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SECURITIES AND EXCHANGE COMMISSION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Report of Foreign Private Issuer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Pursuant to Rule 13a-16 or 15d-16 of</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For the month of May 2026</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TC Energy Corporation</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TransCanada PipeLines Limited</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(Commission File No. 1-8887)</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(Translation of Registrants’ Names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450 - 1 Street S.W., Calgary, Alberta, T2P 5H1, Canada</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(Address of Principal Executive Offices)</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Indicate by check mark whether the registrant files or will file annual reports under cover of Form 20-F or Form 40-F:</w:t>
      </w:r>
    </w:p>
    <w:p>
      <w:pPr>
        <w:pStyle w:val="TextBody"/>
        <w:bidi w:val="0"/>
        <w:spacing w:before="0" w:after="0"/>
        <w:jc w:val="both"/>
        <w:rPr/>
      </w:pPr>
      <w:r>
        <w:rPr/>
      </w:r>
    </w:p>
    <w:p>
      <w:pPr>
        <w:pStyle w:val="TextBody"/>
        <w:bidi w:val="0"/>
        <w:spacing w:lineRule="auto" w:line="288" w:before="0" w:after="0"/>
        <w:jc w:val="center"/>
        <w:rPr/>
      </w:pPr>
      <w:r>
        <w:rPr>
          <w:rFonts w:ascii="sans-serif" w:hAnsi="sans-serif"/>
          <w:b w:val="false"/>
          <w:color w:val="000000"/>
          <w:sz w:val="22"/>
        </w:rPr>
        <w:t>Form 20-F                      </w:t>
      </w:r>
      <w:r>
        <w:rPr>
          <w:rFonts w:ascii="Wingdings;sans-serif" w:hAnsi="Wingdings;sans-serif"/>
          <w:b w:val="false"/>
          <w:color w:val="000000"/>
          <w:sz w:val="22"/>
        </w:rPr>
        <w:t>o</w:t>
      </w:r>
      <w:r>
        <w:rPr>
          <w:color w:val="000000"/>
        </w:rPr>
        <w:t>                      </w:t>
      </w:r>
      <w:r>
        <w:rPr>
          <w:rFonts w:ascii="sans-serif" w:hAnsi="sans-serif"/>
          <w:b w:val="false"/>
          <w:color w:val="000000"/>
          <w:sz w:val="22"/>
        </w:rPr>
        <w:t>Form 40-F                     </w:t>
      </w:r>
      <w:r>
        <w:rPr>
          <w:color w:val="000000"/>
        </w:rPr>
        <w:t> ☑</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Exhibits 13.1 and 13.2 to this report, furnished on Form 6-K, shall be incorporated by reference into each of the following Registration Statements under the Securities Act of 1933, as amended: Form S-8 (File Nos. 333-5916, 333-8470, 333-9130, 333-151736, 333-184074, 333-227114 and 333-237979), Form F-3 (File Nos. 33-13564 and 333-6132) and Form F-10 (File No. 333-283633).</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Exhibits 31.1, 31.2, 32.1, 32.2 and 99.1 to this report, furnished on Form 6-K, are furnished, not filed, and will not be incorporated by reference into any registration statement filed by the registrants under the Securities Act of 1933, as amended.</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Explanatory Note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TransCanada PipeLines Limited (“TransCanada PipeLines”) is a wholly owned subsidiary of TC Energy Corporation (“TC Energy”). TransCanada PipeLines is relying on the continuous disclosure documents filed by TC Energy pursuant to an exemption from the requirements of National Instrument 51-102 - Continuous Disclosure Obligations and as provided in the decision of the Alberta Securities Commission and Ontario Securities Commission in </w:t>
      </w:r>
      <w:r>
        <w:rPr>
          <w:rFonts w:ascii="sans-serif" w:hAnsi="sans-serif"/>
          <w:b w:val="false"/>
          <w:i/>
          <w:color w:val="000000"/>
          <w:sz w:val="22"/>
        </w:rPr>
        <w:t>Re TransCanada Corporation, 2019 ABASC 1</w:t>
      </w:r>
      <w:r>
        <w:rPr>
          <w:rFonts w:ascii="sans-serif" w:hAnsi="sans-serif"/>
          <w:b w:val="false"/>
          <w:color w:val="000000"/>
          <w:sz w:val="22"/>
        </w:rPr>
        <w:t>, issued on January 3, 2019. Consistent with the exemptive relief, information contained in this Form 6-K is that provided by TC Energy.</w:t>
      </w:r>
    </w:p>
    <w:p>
      <w:pPr>
        <w:pStyle w:val="TextBody"/>
        <w:bidi w:val="0"/>
        <w:spacing w:before="0" w:after="0"/>
        <w:ind w:left="0" w:right="0" w:hanging="720"/>
        <w:jc w:val="both"/>
        <w:rPr/>
      </w:pPr>
      <w:r>
        <w:rPr/>
      </w:r>
    </w:p>
    <w:p>
      <w:pPr>
        <w:pStyle w:val="TextBody"/>
        <w:bidi w:val="0"/>
        <w:spacing w:before="0" w:after="0"/>
        <w:ind w:left="0" w:right="0" w:hanging="720"/>
        <w:jc w:val="center"/>
        <w:rPr/>
      </w:pPr>
      <w:r>
        <w:rPr/>
      </w:r>
    </w:p>
    <w:p>
      <w:pPr>
        <w:pStyle w:val="TextBody"/>
        <w:bidi w:val="0"/>
        <w:spacing w:before="0" w:after="0"/>
        <w:ind w:left="0" w:right="0" w:hanging="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EXHIBIT INDEX</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tbl>
      <w:tblPr>
        <w:tblW w:w="10205" w:type="dxa"/>
        <w:jc w:val="center"/>
        <w:tblInd w:w="0" w:type="dxa"/>
        <w:tblLayout w:type="fixed"/>
        <w:tblCellMar>
          <w:top w:w="28" w:type="dxa"/>
          <w:left w:w="28" w:type="dxa"/>
          <w:bottom w:w="28" w:type="dxa"/>
          <w:right w:w="28" w:type="dxa"/>
        </w:tblCellMar>
      </w:tblPr>
      <w:tblGrid>
        <w:gridCol w:w="234"/>
        <w:gridCol w:w="205"/>
        <w:gridCol w:w="207"/>
        <w:gridCol w:w="2839"/>
        <w:gridCol w:w="2778"/>
        <w:gridCol w:w="394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mda.htm">
              <w:r>
                <w:rPr>
                  <w:rStyle w:val="InternetLink"/>
                  <w:rFonts w:ascii="sans-serif" w:hAnsi="sans-serif"/>
                  <w:b w:val="false"/>
                  <w:color w:val="0000FF"/>
                  <w:sz w:val="22"/>
                  <w:u w:val="single"/>
                </w:rPr>
                <w:t>Management’s Discussion and Analysis of Financial Condition and Results of Operations of TC Energy Corporation as at and for the period ended March 31,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13.2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finstmts.htm">
              <w:r>
                <w:rPr>
                  <w:rStyle w:val="InternetLink"/>
                  <w:rFonts w:ascii="sans-serif" w:hAnsi="sans-serif"/>
                  <w:b w:val="false"/>
                  <w:color w:val="0000FF"/>
                  <w:sz w:val="22"/>
                  <w:u w:val="single"/>
                </w:rPr>
                <w:t>Consolidated comparative interim unaudited financial statements of TC Energy Corporation for the period ended March 31, 2026 (included in TC Energy Corporation's First Quarter 2026 Quarterly Report to Shareholders).</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31.1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exx311tcetcpl.htm">
              <w:r>
                <w:rPr>
                  <w:rStyle w:val="InternetLink"/>
                  <w:rFonts w:ascii="sans-serif" w:hAnsi="sans-serif"/>
                  <w:b w:val="false"/>
                  <w:color w:val="0000FF"/>
                  <w:sz w:val="22"/>
                  <w:u w:val="single"/>
                </w:rPr>
                <w:t>Certification of Chief Executive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31.2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exx312tcetcpl.htm">
              <w:r>
                <w:rPr>
                  <w:rStyle w:val="InternetLink"/>
                  <w:rFonts w:ascii="sans-serif" w:hAnsi="sans-serif"/>
                  <w:b w:val="false"/>
                  <w:color w:val="0000FF"/>
                  <w:sz w:val="22"/>
                  <w:u w:val="single"/>
                </w:rPr>
                <w:t>Certification of Chief Financial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32.1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exx321tcetcpl.htm">
              <w:r>
                <w:rPr>
                  <w:rStyle w:val="InternetLink"/>
                  <w:rFonts w:ascii="sans-serif" w:hAnsi="sans-serif"/>
                  <w:b w:val="false"/>
                  <w:color w:val="0000FF"/>
                  <w:sz w:val="22"/>
                  <w:u w:val="single"/>
                </w:rPr>
                <w:t>Certification of Chief Executive Officer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32.2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exx322tcetcpl.htm">
              <w:r>
                <w:rPr>
                  <w:rStyle w:val="InternetLink"/>
                  <w:rFonts w:ascii="sans-serif" w:hAnsi="sans-serif"/>
                  <w:b w:val="false"/>
                  <w:color w:val="0000FF"/>
                  <w:sz w:val="22"/>
                  <w:u w:val="single"/>
                </w:rPr>
                <w:t>Certification of Chief Financial Officer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99.1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p-03312026xexx991parta.htm">
              <w:r>
                <w:rPr>
                  <w:rStyle w:val="InternetLink"/>
                  <w:rFonts w:ascii="sans-serif" w:hAnsi="sans-serif"/>
                  <w:b w:val="false"/>
                  <w:color w:val="0000FF"/>
                  <w:sz w:val="22"/>
                  <w:u w:val="single"/>
                </w:rPr>
                <w:t>A copy of the registrant's news release of May 1, 2026.</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Pursuant to the requirements of the Securities Exchange Act of 1934, each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3"/>
        <w:gridCol w:w="513"/>
        <w:gridCol w:w="517"/>
        <w:gridCol w:w="552"/>
        <w:gridCol w:w="552"/>
        <w:gridCol w:w="552"/>
        <w:gridCol w:w="2194"/>
        <w:gridCol w:w="2026"/>
        <w:gridCol w:w="271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 May 1, 2026</w:t>
            </w:r>
          </w:p>
        </w:tc>
        <w:tc>
          <w:tcPr>
            <w:tcW w:w="85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TC ENERGY CORPORATION</w:t>
              <w:br/>
              <w:t>TRANSCANADA PIPELINES LIMITED</w:t>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By:</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Sean P. O'Donnell</w:t>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Vice-President, Strategy and Corporate Development and Chief Financial Officer</w:t>
            </w:r>
          </w:p>
        </w:tc>
      </w:tr>
      <w:tr>
        <w:trPr/>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By:</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Yvonne Frame-Zawalykut</w:t>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Yvonne Frame-Zawalykut</w:t>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Vice-President and Corporate Controller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100"/>
        <w:jc w:val="right"/>
        <w:rPr>
          <w:rFonts w:ascii="sans-serif" w:hAnsi="sans-serif"/>
          <w:b w:val="false"/>
          <w:color w:val="000000"/>
          <w:sz w:val="20"/>
        </w:rPr>
      </w:pPr>
      <w:r>
        <w:rPr>
          <w:rFonts w:ascii="sans-serif" w:hAnsi="sans-serif"/>
          <w:b w:val="false"/>
          <w:color w:val="000000"/>
          <w:sz w:val="20"/>
        </w:rPr>
        <w:t>EXHIBIT 13.1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00"/>
        <w:jc w:val="right"/>
        <w:rPr/>
      </w:pPr>
      <w:r>
        <w:rPr/>
      </w:r>
    </w:p>
    <w:p>
      <w:pPr>
        <w:pStyle w:val="TextBody"/>
        <w:bidi w:val="0"/>
        <w:spacing w:lineRule="auto" w:line="348" w:before="60" w:after="240"/>
        <w:jc w:val="left"/>
        <w:rPr>
          <w:rFonts w:ascii="sans-serif" w:hAnsi="sans-serif"/>
          <w:b w:val="false"/>
          <w:color w:val="0D64EF"/>
          <w:sz w:val="32"/>
        </w:rPr>
      </w:pPr>
      <w:r>
        <w:rPr>
          <w:rFonts w:ascii="sans-serif" w:hAnsi="sans-serif"/>
          <w:b w:val="false"/>
          <w:color w:val="0D64EF"/>
          <w:sz w:val="32"/>
        </w:rPr>
        <w:t>Quarterly report to shareholders</w: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First quarter 2026 </w: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Management’s discussion and analysis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April 30, 2026</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This management’s discussion and analysis (MD&amp;A) contains information to help the reader make investment decisions about TC Energy Corporation (TC Energy). It discusses our business, operations, financial position, risks and other factors for the three months ended March 31, 2026 and should be read with the accompanying unaudited Condensed consolidated financial statements for the three months ended March 31, 2026, which have been prepared in accordance with U.S. GAAP.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MD&amp;A should also be read in conjunction with our December 31, 2025 audited Consolidated financial statements and notes and the MD&amp;A in our 2025 Annual Report. Capitalized and abbreviated terms that are used but not otherwise defined herein are defined in our 2025 Annual Report. Certain comparative figures have been adjusted to reflect the current period's presentation.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On October 1, 2024, TC Energy completed the spinoff of its Liquids Pipelines business into a new public company, South Bow Corporation (the Spinoff Transaction). Upon completion of the Spinoff Transaction, the Liquids Pipelines business was accounted for as a discontinued operation. For the three months ended March 31, 2026 and 2025, we did not recognize any income or loss from discontinued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FORWARD-LOOKING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disclose forward-looking information to help the reader understand management's assessment of our future plans and financial outlook and our future prospects overall.</w:t>
      </w:r>
    </w:p>
    <w:p>
      <w:pPr>
        <w:pStyle w:val="TextBody"/>
        <w:bidi w:val="0"/>
        <w:spacing w:lineRule="auto" w:line="348" w:before="0" w:after="100"/>
        <w:jc w:val="left"/>
        <w:rPr/>
      </w:pPr>
      <w:r>
        <w:rPr>
          <w:rFonts w:ascii="sans-serif" w:hAnsi="sans-serif"/>
          <w:b w:val="false"/>
          <w:color w:val="000000"/>
          <w:sz w:val="20"/>
        </w:rPr>
        <w:t xml:space="preserve">Statements that are </w:t>
      </w:r>
      <w:r>
        <w:rPr>
          <w:rFonts w:ascii="sans-serif" w:hAnsi="sans-serif"/>
          <w:b/>
          <w:i/>
          <w:color w:val="000000"/>
          <w:sz w:val="20"/>
        </w:rPr>
        <w:t xml:space="preserve">forward looking </w:t>
      </w:r>
      <w:r>
        <w:rPr>
          <w:rFonts w:ascii="sans-serif" w:hAnsi="sans-serif"/>
          <w:b w:val="false"/>
          <w:color w:val="000000"/>
          <w:sz w:val="20"/>
        </w:rPr>
        <w:t xml:space="preserve">are based on certain assumptions and on what we know and expect today and generally include words like </w:t>
      </w:r>
      <w:r>
        <w:rPr>
          <w:rFonts w:ascii="sans-serif" w:hAnsi="sans-serif"/>
          <w:b/>
          <w:i/>
          <w:color w:val="000000"/>
          <w:sz w:val="20"/>
        </w:rPr>
        <w:t>anticipate, expect, believe, may, will, should, estimate</w:t>
      </w:r>
      <w:r>
        <w:rPr>
          <w:color w:val="000000"/>
        </w:rPr>
        <w:t xml:space="preserve"> </w:t>
      </w:r>
      <w:r>
        <w:rPr>
          <w:rFonts w:ascii="sans-serif" w:hAnsi="sans-serif"/>
          <w:b w:val="false"/>
          <w:color w:val="000000"/>
          <w:sz w:val="20"/>
        </w:rPr>
        <w:t>or other similar words.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Forward-looking statements in this MD&amp;A include information about the following, among other things: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financial and operational performance, including the performance of our subsidiaries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expectations about strategies and goals for growth and expansion, including acquisitions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cash flows and future financing options available along with portfolio management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expectations regarding the size, structure, timing, conditions and outcome of ongoing and future transactions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dividend growth</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access to and cost of capital</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energy demand levels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expected costs and schedules for planned projects, including projects under construction and in development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capital expenditures, contractual obligations, commitments and contingent liabilities, including environmental remediation costs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regulatory processes and outcomes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outcomes with respect to legal proceedings, including arbitration and insurance claims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impact of future tax and accounting changes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commitments and targets contained in our Report on Sustainability, including statements related to our GHG emissions reduction targets, such as our methane emissions intensity target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expected industry, market and economic conditions, and ongoing trade negotiations, including their impact on our customers and suppliers.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Forward-looking statements do not guarantee future performance. Actual events and results could be significantly different because of assumptions, risks or uncertainties related to our business or events that happen after the date of this MD&amp;A.</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forward-looking information is based on the following key assumptions and subject to the following risks and uncertainties: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Assumptions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realization of expected impacts from 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regulatory decisions and outcomes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planned and unplanned outages and the utilization of our pipelines, power and storage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integrity and reliability of our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anticipated construction costs, schedules and completion dates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access to capital markets, including portfolio management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expected industry, market and economic conditions, including the impact of these on our customers and suppliers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inflation rates, commodity and labour prices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interest, tax and foreign exchange rates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nature and scope of hedging.</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Risks and uncertainties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realization of expected impacts from 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successfully implement our strategic priorities and whether they will yield the expected benefits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implement a capital allocation strategy aligned with maximizing shareholder value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operating performance of our pipelines, power generation and storage assets</w:t>
      </w:r>
    </w:p>
    <w:p>
      <w:pPr>
        <w:pStyle w:val="TextBody"/>
        <w:bidi w:val="0"/>
        <w:spacing w:lineRule="auto" w:line="348"/>
        <w:ind w:left="0" w:right="0" w:hanging="180"/>
        <w:jc w:val="left"/>
        <w:rPr/>
      </w:pPr>
      <w:r>
        <w:rPr>
          <w:color w:val="000000"/>
        </w:rPr>
        <w:t>•</w:t>
      </w:r>
      <w:r>
        <w:rPr>
          <w:rFonts w:ascii="sans-serif" w:hAnsi="sans-serif"/>
          <w:b w:val="false"/>
          <w:color w:val="000000"/>
          <w:sz w:val="20"/>
        </w:rPr>
        <w:t>amount of capacity sold and rates achieved in our pipeline businesses</w:t>
      </w:r>
    </w:p>
    <w:p>
      <w:pPr>
        <w:pStyle w:val="TextBody"/>
        <w:bidi w:val="0"/>
        <w:spacing w:before="0" w:after="1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amount of capacity payments and revenues from power generation assets due to plant availability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production levels within supply basins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construction and completion of capital projects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cost, availability of, and inflationary pressures on, labour, equipment and materials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availability and market prices of commodities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access to capital markets on competitive terms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interest, tax and foreign exchange rates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performance and credit risk of our counterparties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regulatory decisions and outcomes of legal proceedings, including arbitration and insurance claims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effectively anticipate and assess changes to government policies and regulations, including those related to the environment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realize the value of tangible assets and contractual recoveries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competition in the businesses in which we operate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unexpected or unusual weather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acts of civil disobedience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cybersecurity and technological developments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sustainability-related risks including climate-related risks and the impact of energy transition on our business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economic and political conditions, and ongoing trade negotiations in North America, as well as globally</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global health crises, such as pandemics and epidemics, and the impacts related thereto.</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You can read more about these factors and others in reports we have filed with the Canadian securities regulators and the SEC, including the MD&amp;A in our 2025 Annual Report.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 MORE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You can find more information about TC Energy in our Annual Information Form and other disclosure documents, which are available on SEDAR+ (www.sedarplus.ca).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Financial highlights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use certain financial measures that do not have a standardized meaning under GAAP because we believe they improve our ability to compare results between reporting periods and enhance understanding of our operating performance. Known as non-GAAP measures, they may not be comparable to similar measures provided by other companies.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EBITDA, comparable earnings, comparable earnings per common share and comparable funds generated from operations are all non-GAAP measures. Refer to the Non-GAAP measures section for additional information, as well as each business segment and the Financial condition sections for reconciliations to the most directly comparable GAAP measures.</w:t>
      </w:r>
    </w:p>
    <w:tbl>
      <w:tblPr>
        <w:tblW w:w="8759" w:type="dxa"/>
        <w:jc w:val="left"/>
        <w:tblInd w:w="0" w:type="dxa"/>
        <w:tblLayout w:type="fixed"/>
        <w:tblCellMar>
          <w:top w:w="28" w:type="dxa"/>
          <w:left w:w="28" w:type="dxa"/>
          <w:bottom w:w="28" w:type="dxa"/>
          <w:right w:w="28" w:type="dxa"/>
        </w:tblCellMar>
      </w:tblPr>
      <w:tblGrid>
        <w:gridCol w:w="1649"/>
        <w:gridCol w:w="1453"/>
        <w:gridCol w:w="1458"/>
        <w:gridCol w:w="109"/>
        <w:gridCol w:w="109"/>
        <w:gridCol w:w="109"/>
        <w:gridCol w:w="323"/>
        <w:gridCol w:w="323"/>
        <w:gridCol w:w="323"/>
        <w:gridCol w:w="323"/>
        <w:gridCol w:w="635"/>
        <w:gridCol w:w="326"/>
        <w:gridCol w:w="323"/>
        <w:gridCol w:w="109"/>
        <w:gridCol w:w="109"/>
        <w:gridCol w:w="109"/>
        <w:gridCol w:w="353"/>
        <w:gridCol w:w="353"/>
        <w:gridCol w:w="263"/>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6" w:type="dxa"/>
            <w:gridSpan w:val="6"/>
            <w:tcBorders/>
          </w:tcPr>
          <w:p>
            <w:pPr>
              <w:pStyle w:val="TableContents"/>
              <w:bidi w:val="0"/>
              <w:spacing w:before="0" w:after="283"/>
              <w:jc w:val="left"/>
              <w:rPr>
                <w:sz w:val="4"/>
                <w:szCs w:val="4"/>
              </w:rPr>
            </w:pPr>
            <w:r>
              <w:rPr>
                <w:sz w:val="4"/>
                <w:szCs w:val="4"/>
              </w:rPr>
            </w:r>
          </w:p>
        </w:tc>
      </w:tr>
      <w:tr>
        <w:trPr/>
        <w:tc>
          <w:tcPr>
            <w:tcW w:w="456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56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3,088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2,709 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earnings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Dividends 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 xml:space="preserve">Basic common shares outstanding </w:t>
            </w:r>
            <w:r>
              <w:rPr>
                <w:rFonts w:ascii="sans-serif" w:hAnsi="sans-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 xml:space="preserve">weighted average for the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issued and outstanding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323"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63"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1Additional information on the most directly comparable GAAP measure can be found in the Non-GAAP measures section.</w:t>
      </w:r>
    </w:p>
    <w:tbl>
      <w:tblPr>
        <w:tblW w:w="8204" w:type="dxa"/>
        <w:jc w:val="left"/>
        <w:tblInd w:w="0" w:type="dxa"/>
        <w:tblLayout w:type="fixed"/>
        <w:tblCellMar>
          <w:top w:w="28" w:type="dxa"/>
          <w:left w:w="28" w:type="dxa"/>
          <w:bottom w:w="28" w:type="dxa"/>
          <w:right w:w="28" w:type="dxa"/>
        </w:tblCellMar>
      </w:tblPr>
      <w:tblGrid>
        <w:gridCol w:w="1563"/>
        <w:gridCol w:w="1373"/>
        <w:gridCol w:w="1383"/>
        <w:gridCol w:w="109"/>
        <w:gridCol w:w="109"/>
        <w:gridCol w:w="109"/>
        <w:gridCol w:w="452"/>
        <w:gridCol w:w="452"/>
        <w:gridCol w:w="452"/>
        <w:gridCol w:w="452"/>
        <w:gridCol w:w="454"/>
        <w:gridCol w:w="109"/>
        <w:gridCol w:w="109"/>
        <w:gridCol w:w="109"/>
        <w:gridCol w:w="353"/>
        <w:gridCol w:w="353"/>
        <w:gridCol w:w="263"/>
      </w:tblGrid>
      <w:tr>
        <w:trPr/>
        <w:tc>
          <w:tcPr>
            <w:tcW w:w="15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2" w:type="dxa"/>
            <w:gridSpan w:val="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6" w:type="dxa"/>
            <w:gridSpan w:val="6"/>
            <w:tcBorders/>
          </w:tcPr>
          <w:p>
            <w:pPr>
              <w:pStyle w:val="TableContents"/>
              <w:bidi w:val="0"/>
              <w:spacing w:before="0" w:after="283"/>
              <w:jc w:val="left"/>
              <w:rPr>
                <w:sz w:val="4"/>
                <w:szCs w:val="4"/>
              </w:rPr>
            </w:pPr>
            <w:r>
              <w:rPr>
                <w:sz w:val="4"/>
                <w:szCs w:val="4"/>
              </w:rPr>
            </w:r>
          </w:p>
        </w:tc>
      </w:tr>
      <w:tr>
        <w:trPr/>
        <w:tc>
          <w:tcPr>
            <w:tcW w:w="4319"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31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2,603</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funds generated from operations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2,336</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1,949 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Capital spending</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1,307</w:t>
            </w:r>
            <w:r>
              <w:rPr>
                <w:color w:val="000000"/>
              </w:rPr>
              <w:t> </w:t>
            </w:r>
          </w:p>
        </w:tc>
        <w:tc>
          <w:tcPr>
            <w:tcW w:w="45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1,809 </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1Additional information on the most directly comparable GAAP measure can be found in the Non-GAAP measures section.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2Capital spending reflects cash flows associated with our Capital expenditures, Capital projects in development and Contributions to equity investments. Refer to Note 4, Segmented information of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Consolidated results </w:t>
      </w:r>
    </w:p>
    <w:tbl>
      <w:tblPr>
        <w:tblW w:w="9597" w:type="dxa"/>
        <w:jc w:val="left"/>
        <w:tblInd w:w="0" w:type="dxa"/>
        <w:tblLayout w:type="fixed"/>
        <w:tblCellMar>
          <w:top w:w="28" w:type="dxa"/>
          <w:left w:w="28" w:type="dxa"/>
          <w:bottom w:w="28" w:type="dxa"/>
          <w:right w:w="28" w:type="dxa"/>
        </w:tblCellMar>
      </w:tblPr>
      <w:tblGrid>
        <w:gridCol w:w="2024"/>
        <w:gridCol w:w="1782"/>
        <w:gridCol w:w="1788"/>
        <w:gridCol w:w="109"/>
        <w:gridCol w:w="109"/>
        <w:gridCol w:w="109"/>
        <w:gridCol w:w="323"/>
        <w:gridCol w:w="323"/>
        <w:gridCol w:w="323"/>
        <w:gridCol w:w="323"/>
        <w:gridCol w:w="442"/>
        <w:gridCol w:w="323"/>
        <w:gridCol w:w="323"/>
        <w:gridCol w:w="109"/>
        <w:gridCol w:w="109"/>
        <w:gridCol w:w="109"/>
        <w:gridCol w:w="353"/>
        <w:gridCol w:w="353"/>
        <w:gridCol w:w="263"/>
      </w:tblGrid>
      <w:tr>
        <w:trPr/>
        <w:tc>
          <w:tcPr>
            <w:tcW w:w="202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6" w:type="dxa"/>
            <w:gridSpan w:val="6"/>
            <w:tcBorders/>
          </w:tcPr>
          <w:p>
            <w:pPr>
              <w:pStyle w:val="TableContents"/>
              <w:bidi w:val="0"/>
              <w:spacing w:before="0" w:after="283"/>
              <w:jc w:val="left"/>
              <w:rPr>
                <w:sz w:val="4"/>
                <w:szCs w:val="4"/>
              </w:rPr>
            </w:pPr>
            <w:r>
              <w:rPr>
                <w:sz w:val="4"/>
                <w:szCs w:val="4"/>
              </w:rPr>
            </w:r>
          </w:p>
        </w:tc>
      </w:tr>
      <w:tr>
        <w:trPr/>
        <w:tc>
          <w:tcPr>
            <w:tcW w:w="559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5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509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segmented earnings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2,171</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1,966 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(838)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(840)</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1,405</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1,468 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Income tax (expense) recovery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(254)</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(293)</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 xml:space="preserve">Net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1,151</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1,175 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(224)</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927</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1,006 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(loss) attributable to common shares decreased by $79 million or $0.08 per common share for the three months ended March 31, 2026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5</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NON-GAAP MEASURES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MD&amp;A references non-GAAP measures, which are identified in the table below. These measures do not have any standardized meaning as prescribed by GAAP and therefore may not be comparable to similar measures presented by other entities. These measures are reviewed regularly by our President and Chief Executive Officer, management and the Board of Directors in assessing our performance and making decisions regarding the ongoing operations of our business and its ability to generate cash flows. Some or all of these measures may also be used by investors and other external users of our financial statements as a supplemental measure to provide decision-useful information regarding our period-over-period performance and ability to generate earnings that are core to our ongoing operations. Discussions throughout this MD&amp;A on the factors impacting comparable earnings before interest, taxes, depreciation and amortization (comparable EBITDA) and comparable earnings before interest and taxes (comparable EBIT) are consistent with the factors that impact segmented earnings, except where noted otherwise.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measures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Our decision to adjust for a specific item in reporting comparable measures is subjective and made after careful consideration. We maintain a consistent approach to adjustments, which generally fall into the categories described below: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by their nature are unusual, infrequent and separately identifiable from our normal business operations and in our view are not reflective of our underlying operations in the period and generally include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gains or losses on sales of assets or assets held for sale; impairment of goodwill, plant, property and equipment, equity investments and other assets; legal, contractual and other infrequent settlements; acquisition, integration and restructuring costs; expected credit loss provisions on net investment in leases and certain contract assets in Mexico; impacts resulting from changes in legislation and enacted tax rates and unusual tax refunds/payments and valuation allowance adjustments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unrealized gains and losses related to fair value adjustments that do not reflect realized earnings or losses or cash impacts incurred in the current period from our underlying operations and generally include the following:</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related to financial and commodity price risk management activities; unrealized fair value adjustments related to our proportionate share of Bruce Power’s risk management activities and its funds invested for post-retirement benefits and unrealized foreign exchange gains and losses on intercompany loans that impact consolidated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identifies our non-GAAP measures against their most directly comparable GAAP measures. Quantitative reconciliations of our comparable measures to their GAAP measures and a discussion of specific adjustments made for the three months ended March 31, 2026 and comparative period are found throughout this MD&amp;A.</w:t>
      </w:r>
    </w:p>
    <w:tbl>
      <w:tblPr>
        <w:tblW w:w="8804" w:type="dxa"/>
        <w:jc w:val="left"/>
        <w:tblInd w:w="0" w:type="dxa"/>
        <w:tblLayout w:type="fixed"/>
        <w:tblCellMar>
          <w:top w:w="28" w:type="dxa"/>
          <w:left w:w="28" w:type="dxa"/>
          <w:bottom w:w="28" w:type="dxa"/>
          <w:right w:w="28" w:type="dxa"/>
        </w:tblCellMar>
      </w:tblPr>
      <w:tblGrid>
        <w:gridCol w:w="1534"/>
        <w:gridCol w:w="1346"/>
        <w:gridCol w:w="1350"/>
        <w:gridCol w:w="1337"/>
        <w:gridCol w:w="1337"/>
        <w:gridCol w:w="1900"/>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Non-GAAP measure</w:t>
            </w:r>
          </w:p>
        </w:tc>
        <w:tc>
          <w:tcPr>
            <w:tcW w:w="45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GAAP measure</w:t>
            </w:r>
          </w:p>
        </w:tc>
      </w:tr>
      <w:tr>
        <w:trPr/>
        <w:tc>
          <w:tcPr>
            <w:tcW w:w="42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EBITDA</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segmented earnings (losses) </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EBIT</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segmented earnings (losses) </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earnings</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earnings per common share</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per common share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funds generated from operations</w:t>
            </w:r>
          </w:p>
        </w:tc>
        <w:tc>
          <w:tcPr>
            <w:tcW w:w="457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r>
      <w:tr>
        <w:trPr/>
        <w:tc>
          <w:tcPr>
            <w:tcW w:w="423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comparable funds generated from operations</w:t>
            </w:r>
          </w:p>
        </w:tc>
        <w:tc>
          <w:tcPr>
            <w:tcW w:w="457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r>
    </w:tbl>
    <w:p>
      <w:pPr>
        <w:pStyle w:val="TextBody"/>
        <w:bidi w:val="0"/>
        <w:spacing w:before="0" w:after="1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EBITDA and comparable EBIT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Comparable EBITDA represents segmented earnings (losses) adjusted for specific items described in the Comparable measures section, excluding charges for depreciation and amortization. We use comparable EBITDA as a measure of our earnings from ongoing operations as it is a useful indicator of our performance and is also presented on a consolidated basis. Comparable EBIT represents segmented earnings (losses) adjusted for specific items and is an effective tool for evaluating trends in each segment. Refer to each business segment for a reconciliation to segmented earnings (losses).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Funds generated from operations and comparable funds generated from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Funds generated from operations reflects net cash provided by operations before changes in operating working capital. The components of changes in working capital are disclosed in the Consolidated financial statements of our 2025 Annual Report. Comparable funds generated from operations is adjusted for the cash impact of specific items described in the Comparable measures section. We believe funds generated from operations and comparable funds generated from operations are useful measures of our consolidated operating cash flows because they exclude fluctuations from working capital balances, which do not necessarily reflect underlying operations in the same period, and are used to provide a consistent measure of the     cash-generating ability of our businesses. Refer to the Financial condition section for a reconciliation to Net cash provided by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earnings and comparable earnings per common share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earnings represents earnings attributable to common shareholders on a consolidated basis, adjusted for specific items described in the Comparable measures section. Comparable earnings is comprised of segmented earnings (losses), Interest expense, AFUDC, Foreign exchange (gains) losses, net, Interest income and other, Income tax expense (recovery), Net income (loss) attributable to non-controlling interests and Preferred share dividends in our Condensed consolidated statement of income, adjusted for specific items. We use comparable earnings as a measure of our earnings from ongoing operations as it is a useful indicator of our performance and is also presented on a consolidated basis. Refer to the following page for reconciliations to Net income (loss) attributable to common shares and Net income (loss) per common share.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earnings and comparable earnings per common share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specific items were recognized in Net income (loss) attributable to common shares and were excluded from comparable earnings:</w:t>
      </w:r>
    </w:p>
    <w:p>
      <w:pPr>
        <w:pStyle w:val="TextBody"/>
        <w:bidi w:val="0"/>
        <w:spacing w:lineRule="auto" w:line="348" w:before="0" w:after="0"/>
        <w:jc w:val="left"/>
        <w:rPr>
          <w:rFonts w:ascii="sans-serif" w:hAnsi="sans-serif"/>
          <w:b/>
          <w:color w:val="000000"/>
          <w:sz w:val="20"/>
        </w:rPr>
      </w:pPr>
      <w:r>
        <w:rPr>
          <w:rFonts w:ascii="sans-serif" w:hAnsi="sans-serif"/>
          <w:b/>
          <w:color w:val="000000"/>
          <w:sz w:val="20"/>
        </w:rPr>
        <w:t>2026 results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$58 million on the peso-denominated intercompany loan between TransCanada PipeLines Limited (TCPL) and Transportadora de Gas Natural de la Huasteca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$33 million related to the resolution of certain legal matters within our U.S. Natural Gas Pipelines segment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$17 million on the expected credit loss provision related to TGNH net investment in leases, net of     non-controlling interest as well as on certain contract assets in Mexico.</w:t>
      </w:r>
    </w:p>
    <w:p>
      <w:pPr>
        <w:pStyle w:val="TextBody"/>
        <w:bidi w:val="0"/>
        <w:spacing w:lineRule="auto" w:line="348" w:before="0" w:after="0"/>
        <w:jc w:val="left"/>
        <w:rPr>
          <w:rFonts w:ascii="sans-serif" w:hAnsi="sans-serif"/>
          <w:b/>
          <w:color w:val="000000"/>
          <w:sz w:val="20"/>
        </w:rPr>
      </w:pPr>
      <w:r>
        <w:rPr>
          <w:rFonts w:ascii="sans-serif" w:hAnsi="sans-serif"/>
          <w:b/>
          <w:color w:val="000000"/>
          <w:sz w:val="20"/>
        </w:rPr>
        <w:t>2025 results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pre-tax unrealized foreign exchange gains, net, of $3 million on the peso-denominated intercompany loan between TCPL and TGNH, net of non-controlling interest </w:t>
      </w:r>
    </w:p>
    <w:p>
      <w:pPr>
        <w:pStyle w:val="TextBody"/>
        <w:bidi w:val="0"/>
        <w:spacing w:lineRule="auto" w:line="348"/>
        <w:ind w:left="0" w:right="0" w:hanging="180"/>
        <w:jc w:val="left"/>
        <w:rPr/>
      </w:pPr>
      <w:r>
        <w:rPr>
          <w:color w:val="000000"/>
        </w:rPr>
        <w:t>•</w:t>
      </w:r>
      <w:r>
        <w:rPr>
          <w:rFonts w:ascii="sans-serif" w:hAnsi="sans-serif"/>
          <w:b w:val="false"/>
          <w:color w:val="000000"/>
          <w:sz w:val="20"/>
        </w:rPr>
        <w:t>a pre-tax recovery of $2 million on the expected credit loss provision related to TGNH net investment in leases, net of     non-controlling interest as well as on certain contract assets in Mexico.</w:t>
      </w:r>
    </w:p>
    <w:p>
      <w:pPr>
        <w:pStyle w:val="TextBody"/>
        <w:bidi w:val="0"/>
        <w:spacing w:before="0" w:after="1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7</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RECONCILIATION OF NET INCOME (LOSS) ATTRIBUTABLE TO COMMON SHARES TO COMPARABLE EARNINGS</w:t>
      </w:r>
    </w:p>
    <w:tbl>
      <w:tblPr>
        <w:tblW w:w="10205" w:type="dxa"/>
        <w:jc w:val="left"/>
        <w:tblInd w:w="0" w:type="dxa"/>
        <w:tblLayout w:type="fixed"/>
        <w:tblCellMar>
          <w:top w:w="28" w:type="dxa"/>
          <w:left w:w="28" w:type="dxa"/>
          <w:bottom w:w="28" w:type="dxa"/>
          <w:right w:w="28" w:type="dxa"/>
        </w:tblCellMar>
      </w:tblPr>
      <w:tblGrid>
        <w:gridCol w:w="2415"/>
        <w:gridCol w:w="1992"/>
        <w:gridCol w:w="1999"/>
        <w:gridCol w:w="109"/>
        <w:gridCol w:w="109"/>
        <w:gridCol w:w="109"/>
        <w:gridCol w:w="109"/>
        <w:gridCol w:w="109"/>
        <w:gridCol w:w="370"/>
        <w:gridCol w:w="370"/>
        <w:gridCol w:w="452"/>
        <w:gridCol w:w="391"/>
        <w:gridCol w:w="372"/>
        <w:gridCol w:w="109"/>
        <w:gridCol w:w="109"/>
        <w:gridCol w:w="109"/>
        <w:gridCol w:w="353"/>
        <w:gridCol w:w="353"/>
        <w:gridCol w:w="266"/>
      </w:tblGrid>
      <w:tr>
        <w:trPr/>
        <w:tc>
          <w:tcPr>
            <w:tcW w:w="2415"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40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9" w:type="dxa"/>
            <w:gridSpan w:val="6"/>
            <w:tcBorders/>
          </w:tcPr>
          <w:p>
            <w:pPr>
              <w:pStyle w:val="TableContents"/>
              <w:bidi w:val="0"/>
              <w:spacing w:before="0" w:after="283"/>
              <w:jc w:val="left"/>
              <w:rPr>
                <w:sz w:val="4"/>
                <w:szCs w:val="4"/>
              </w:rPr>
            </w:pPr>
            <w:r>
              <w:rPr>
                <w:sz w:val="4"/>
                <w:szCs w:val="4"/>
              </w:rPr>
            </w:r>
          </w:p>
        </w:tc>
      </w:tr>
      <w:tr>
        <w:trPr/>
        <w:tc>
          <w:tcPr>
            <w:tcW w:w="640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4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color w:val="0D64EF"/>
                <w:sz w:val="18"/>
              </w:rPr>
            </w:pPr>
            <w:r>
              <w:rPr>
                <w:rFonts w:ascii="sans-serif" w:hAnsi="sans-serif"/>
                <w:b/>
                <w:color w:val="0D64EF"/>
                <w:sz w:val="18"/>
              </w:rPr>
              <w:t>Net income (loss)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Specific items (pre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Foreign exchange (gains) losses, net – intercompany loan</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(58)</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2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Resolution of legal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Expected credit loss provision on net investment in leases and certain contract assets in Mexico</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unrealized 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Risk management activities</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190</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Taxes on specific items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Comparable earnings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1,031</w:t>
            </w:r>
            <w:r>
              <w:rPr>
                <w:color w:val="000000"/>
              </w:rPr>
              <w:t> </w:t>
            </w:r>
          </w:p>
        </w:tc>
        <w:tc>
          <w:tcPr>
            <w:tcW w:w="3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983 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Net income (loss) per common share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37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0.13</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Comparable earnings per common share</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$0.99</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w:t>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1TCPL and TGNH are parties to an unsecured revolving credit facility. While the loan receivable and payable eliminate on consolidation, differences in each entity’s reporting currency create a net income impact from revaluing and translating these balances into TC Energy’s reporting currency. As the resulting unrealized foreign exchange gains and losses do not reflect amounts expected to be realized at settlement, we exclude them from comparable measures, net of non</w:t>
        <w:noBreakHyphen/>
        <w:t>controlling interest.</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2We have recognized an expected credit loss provision related to net investment in leases and certain contract assets in Mexico, which will fluctuate from period to period based on changing economic assumptions and forward-looking information. This provision is an estimate of losses that may occur over the duration of the TSA through 2055. This provision does not reflect losses or cash outflows that were incurred under this lease arrangement in the current period or from our underlying operations, and therefore, we have excluded any unrealized changes, net of non-controlling interest, from comparable measures. Refer to Note 12, Risk management and financial instruments, in the Condensed consolidated financial statements for additional information.</w:t>
      </w:r>
    </w:p>
    <w:tbl>
      <w:tblPr>
        <w:tblW w:w="101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14"/>
        <w:gridCol w:w="2014"/>
        <w:gridCol w:w="2017"/>
        <w:gridCol w:w="109"/>
        <w:gridCol w:w="109"/>
        <w:gridCol w:w="109"/>
        <w:gridCol w:w="290"/>
        <w:gridCol w:w="290"/>
        <w:gridCol w:w="290"/>
        <w:gridCol w:w="290"/>
        <w:gridCol w:w="308"/>
        <w:gridCol w:w="308"/>
        <w:gridCol w:w="296"/>
        <w:gridCol w:w="109"/>
        <w:gridCol w:w="109"/>
        <w:gridCol w:w="109"/>
        <w:gridCol w:w="218"/>
        <w:gridCol w:w="218"/>
        <w:gridCol w:w="2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 xml:space="preserve">three months ended </w:t>
              <w:br/>
              <w:t>March 31</w:t>
            </w:r>
          </w:p>
        </w:tc>
        <w:tc>
          <w:tcPr>
            <w:tcW w:w="102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shd w:fill="D1D0C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U.S.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(133)</w:t>
            </w:r>
          </w:p>
        </w:tc>
        <w:tc>
          <w:tcPr>
            <w:tcW w:w="296" w:type="dxa"/>
            <w:tcBorders>
              <w:top w:val="single" w:sz="2" w:space="0" w:color="0D64E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D64EF"/>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w:t>
            </w:r>
          </w:p>
        </w:tc>
        <w:tc>
          <w:tcPr>
            <w:tcW w:w="263" w:type="dxa"/>
            <w:tcBorders>
              <w:top w:val="single" w:sz="2" w:space="0" w:color="0D64E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Canadian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(13)</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U.S.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5</w:t>
            </w: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Natural Gas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11</w:t>
            </w: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(60)</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(190)</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Income tax attributable to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16"/>
              </w:rPr>
              <w:t>48</w:t>
            </w:r>
            <w:r>
              <w:rPr>
                <w:color w:val="000000"/>
              </w:rPr>
              <w:t> </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0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D64EF"/>
                <w:sz w:val="16"/>
              </w:rPr>
            </w:pPr>
            <w:r>
              <w:rPr>
                <w:rFonts w:ascii="sans-serif" w:hAnsi="sans-serif"/>
                <w:b/>
                <w:color w:val="0D64EF"/>
                <w:sz w:val="16"/>
              </w:rPr>
              <w:t>Total unrealized gains (losses) from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6"/>
              </w:rPr>
            </w:pPr>
            <w:r>
              <w:rPr>
                <w:rFonts w:ascii="sans-serif" w:hAnsi="sans-serif"/>
                <w:b/>
                <w:color w:val="000000"/>
                <w:sz w:val="16"/>
              </w:rPr>
              <w:t>(142)</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2" w:type="dxa"/>
            <w:gridSpan w:val="7"/>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Refer to the Corporate section for additional information.</w:t>
            </w:r>
          </w:p>
        </w:tc>
        <w:tc>
          <w:tcPr>
            <w:tcW w:w="2808"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3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COMPARABLE EBITDA TO COMPARABLE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EBITDA represents segmented earnings (losses) adjusted for the specific items described on the previous page and excludes charges for depreciation and amortization. Refer to each business segment for further information on our reconciliation to comparable EBITDA.</w:t>
      </w:r>
    </w:p>
    <w:tbl>
      <w:tblPr>
        <w:tblW w:w="10205" w:type="dxa"/>
        <w:jc w:val="left"/>
        <w:tblInd w:w="0" w:type="dxa"/>
        <w:tblLayout w:type="fixed"/>
        <w:tblCellMar>
          <w:top w:w="28" w:type="dxa"/>
          <w:left w:w="28" w:type="dxa"/>
          <w:bottom w:w="28" w:type="dxa"/>
          <w:right w:w="28" w:type="dxa"/>
        </w:tblCellMar>
      </w:tblPr>
      <w:tblGrid>
        <w:gridCol w:w="2425"/>
        <w:gridCol w:w="2011"/>
        <w:gridCol w:w="2019"/>
        <w:gridCol w:w="109"/>
        <w:gridCol w:w="109"/>
        <w:gridCol w:w="109"/>
        <w:gridCol w:w="274"/>
        <w:gridCol w:w="274"/>
        <w:gridCol w:w="274"/>
        <w:gridCol w:w="274"/>
        <w:gridCol w:w="442"/>
        <w:gridCol w:w="310"/>
        <w:gridCol w:w="274"/>
        <w:gridCol w:w="109"/>
        <w:gridCol w:w="109"/>
        <w:gridCol w:w="109"/>
        <w:gridCol w:w="353"/>
        <w:gridCol w:w="353"/>
        <w:gridCol w:w="268"/>
      </w:tblGrid>
      <w:tr>
        <w:trPr/>
        <w:tc>
          <w:tcPr>
            <w:tcW w:w="2425"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45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301" w:type="dxa"/>
            <w:gridSpan w:val="6"/>
            <w:tcBorders/>
          </w:tcPr>
          <w:p>
            <w:pPr>
              <w:pStyle w:val="TableContents"/>
              <w:bidi w:val="0"/>
              <w:spacing w:before="0" w:after="283"/>
              <w:jc w:val="left"/>
              <w:rPr>
                <w:sz w:val="4"/>
                <w:szCs w:val="4"/>
              </w:rPr>
            </w:pPr>
            <w:r>
              <w:rPr>
                <w:sz w:val="4"/>
                <w:szCs w:val="4"/>
              </w:rPr>
            </w:r>
          </w:p>
        </w:tc>
      </w:tr>
      <w:tr>
        <w:trPr/>
        <w:tc>
          <w:tcPr>
            <w:tcW w:w="645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4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919</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1,497</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1,367 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432</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243</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Comparable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3,088</w:t>
            </w:r>
            <w:r>
              <w:rPr>
                <w:color w:val="000000"/>
              </w:rPr>
              <w:t>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2,709 </w:t>
            </w:r>
          </w:p>
        </w:tc>
        <w:tc>
          <w:tcPr>
            <w:tcW w:w="26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(723)</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(678)</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(838)</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(840)</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included in 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income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included in 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(316)</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(292)</w:t>
            </w:r>
          </w:p>
        </w:tc>
        <w:tc>
          <w:tcPr>
            <w:tcW w:w="268" w:type="dxa"/>
            <w:tcBorders/>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 included in 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(225)</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1,031</w:t>
            </w:r>
            <w:r>
              <w:rPr>
                <w:color w:val="000000"/>
              </w:rPr>
              <w:t>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983 </w:t>
            </w:r>
          </w:p>
        </w:tc>
        <w:tc>
          <w:tcPr>
            <w:tcW w:w="26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Comparable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$0.99</w:t>
            </w:r>
            <w:r>
              <w:rPr>
                <w:color w:val="000000"/>
              </w:rPr>
              <w:t> </w:t>
            </w:r>
          </w:p>
        </w:tc>
        <w:tc>
          <w:tcPr>
            <w:tcW w:w="2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 </w:t>
            </w:r>
          </w:p>
        </w:tc>
        <w:tc>
          <w:tcPr>
            <w:tcW w:w="26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283"/>
        <w:jc w:val="left"/>
        <w:rPr/>
      </w:pPr>
      <w:r>
        <w:rPr>
          <w:rFonts w:ascii="sans-serif" w:hAnsi="sans-serif"/>
          <w:b/>
          <w:color w:val="000000"/>
          <w:sz w:val="20"/>
        </w:rPr>
        <w:t xml:space="preserve">Comparable EBITDA – </w:t>
      </w:r>
      <w:r>
        <w:rPr>
          <w:rFonts w:ascii="sans-serif" w:hAnsi="sans-serif"/>
          <w:b/>
          <w:i/>
          <w:color w:val="000000"/>
          <w:sz w:val="20"/>
        </w:rPr>
        <w:t>2026 versus 2025</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increased by $379 million for the three months ended March 31, 2026 compared to the same period in 2025 primarily due to the net result of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U.S. dollar-denominated EBITDA in Mexico Natural Gas Pipelines due to higher earnings in TGNH primarily related to the completion of the Southeast Gateway pipeline in second quarter 2025 and higher equity earnings from Sur de Texas as a result of peso-denominated financial exposure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U.S. dollar-denominated EBITDA in U.S. Natural Gas Pipelines due to an increase in earnings from Columbia Gas as a result of higher transportation rates effective April 1, 2025, settlement-in-principle reached with ANR and additional contract sales, partially offset by lower margins in our U.S. natural gas marketing business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EBITDA in Canadian Natural Gas Pipelines mainly due to higher flow-through depreciation on both the NGTL System and Canadian Mainline and incentive earnings on the NGTL System, partially offset by lower flow-through income taxes on the Canadian Mainline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increased EBITDA in Power and Energy Solutions mainly attributable to higher net contributions from Bruce Power due to a higher contract price partially offset by reduced generation primarily resulting from the Unit 4 Major Component Replacement (MCR) </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negative foreign exchange impact of a weaker U.S. dollar on the Canadian dollar equivalent comparable EBITDA in our U.S. dollar-denominated operations, which was translated at a rate of 1.37 in 2026 versus 1.43 in 2025. Refer to the     Foreign exchange section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Due to the flow-through treatment of certain costs including depreciation, financial charges and income taxes in our Canadian rate-regulated pipelines, changes in these costs impact our comparable EBITDA despite having no significant effect on net income.</w:t>
      </w:r>
    </w:p>
    <w:p>
      <w:pPr>
        <w:pStyle w:val="TextBody"/>
        <w:bidi w:val="0"/>
        <w:spacing w:before="0" w:after="1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9</w:t>
                      </w:r>
                    </w:p>
                  </w:txbxContent>
                </v:textbox>
                <w10:wrap type="none"/>
              </v:rect>
            </w:pict>
          </mc:Fallback>
        </mc:AlternateContent>
      </w:r>
    </w:p>
    <w:p>
      <w:pPr>
        <w:pStyle w:val="TextBody"/>
        <w:bidi w:val="0"/>
        <w:spacing w:lineRule="auto" w:line="348" w:before="60" w:after="283"/>
        <w:jc w:val="left"/>
        <w:rPr/>
      </w:pPr>
      <w:r>
        <w:rPr>
          <w:rFonts w:ascii="sans-serif" w:hAnsi="sans-serif"/>
          <w:b/>
          <w:color w:val="000000"/>
          <w:sz w:val="20"/>
        </w:rPr>
        <w:t xml:space="preserve">Comparable earnings – </w:t>
      </w:r>
      <w:r>
        <w:rPr>
          <w:rFonts w:ascii="sans-serif" w:hAnsi="sans-serif"/>
          <w:b/>
          <w:i/>
          <w:color w:val="000000"/>
          <w:sz w:val="20"/>
        </w:rPr>
        <w:t>2026 versus 2025</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earnings increased by $48 million or 0.04 per common share for the three months ended March 31, 2026 compared to the same period in 2025 primarily due to the net effect of the following: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changes in comparable EBITDA described above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AFUDC primarily due to the completion of the Southeast Gateway pipeline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net income attributable to non-controlling interests primarily from higher net income recognized from the Columbia Gas and Columbia Gulf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depreciation and amortization primarily due to assets placed in service in our Canadian Natural Gas Pipeline segment, higher depreciation rates on the NGTL System and depreciation rate changes as a result of the Columbia Gas Settlement and ANR settlement-in-principle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income tax expense primarily due to a change in geographic and business mix of earnings and higher flow-through income taxes partially offset by the impact of Mexico foreign exchange exposure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interest income and other due to the change in fair value of other restricted investments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risk management activities used to manage our foreign exchange exposure.</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Supplementary financial measure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Net capital expenditures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capital expenditures represents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pStyle w:val="TextBody"/>
        <w:bidi w:val="0"/>
        <w:spacing w:lineRule="auto" w:line="348" w:before="0" w:after="220"/>
        <w:jc w:val="left"/>
        <w:rPr>
          <w:rFonts w:ascii="sans-serif" w:hAnsi="sans-serif"/>
          <w:b w:val="false"/>
          <w:color w:val="000000"/>
          <w:sz w:val="20"/>
        </w:rPr>
      </w:pPr>
      <w:r>
        <w:rPr>
          <w:rFonts w:ascii="sans-serif" w:hAnsi="sans-serif"/>
          <w:b w:val="false"/>
          <w:color w:val="000000"/>
          <w:sz w:val="20"/>
        </w:rPr>
        <w:t xml:space="preserve">Net capital expenditures does not include an adjustment related to the CFE’s minority interest in TGNH capital expenditures until after the in-service of the projects included as part of the 2022 strategic alliance between TGNH and the CFE. The CFE’s contribution in second quarter 2024 to obtain a 13.01 per cent equity interest in TGNH included consideration of its proportionate share of required capital contributions for approved projects. Net capital expenditures will be adjusted for any new capital projects approved in TGNH going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Outlook</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EBITDA and comparable earnings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Our overall comparable EBITDA and comparable earnings per common share outlooks for 2026 remain consistent with our 2025 Annual Report.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Consolidated capital expenditures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expected total capital expenditures for 2026 as outlined in our 2025 Annual Report remain materially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Capital program</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are developing quality projects under our capital program. These long-life infrastructure assets are supported by     long-term commercial arrangements with creditworthy counterparties and/or regulated business models and are expected to generate growth in earnings and cash flows.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Our capital program consists of approximately $23 billion of secured projects that represent commercially supported, committed projects that are either under construction or are in, or preparing to commence the permitting stage.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Three years of maintenance capital expenditures for our businesses are included in the Secured projects table. Maintenance capital expenditures on our regulated Canadian and U.S. natural gas pipelines are added to rate base on which we have the opportunity to earn a return and recover these expenditures through current or future tolls, which is similar to our capacity capital projects on these pipelines.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For the three months ended March 31, 2026, we placed approximately $0.4 billion of natural gas pipeline capacity projects into service along our extensive North American asset footprint. In addition, approximately $0.3 billion of maintenance capital expenditures were incurred in the period.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All projects are subject to cost and timing adjustments due to factors including weather, market conditions, route refinement, land acquisition, permitting conditions, scheduling and timing of regulatory permits, as well as other potential restrictions     and uncertainties, including inflationary pressures on labour and materials. Amounts exclude capitalized interest and AFUDC, where applicable.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to our secured projects, we are pursuing a portfolio of quality projects in various stages of development across each of our business units as discussed in our 2025 Annual Report. Projects under development have greater uncertainty with respect to timing and estimated project costs and are subject to corporate and regulatory approvals, unless otherwise noted. While each business segment also has additional areas of focus for further ongoing business development activities and growth opportunities, new opportunities will be assessed within our capital allocation framework in order to fit within our annual capital expenditure parameters. As these projects advance and reach necessary milestones they will be included in the Secured projects table on the following page. Refer to the Recent developments section for updates to our secured projects and projects under development.</w:t>
      </w:r>
    </w:p>
    <w:p>
      <w:pPr>
        <w:pStyle w:val="TextBody"/>
        <w:bidi w:val="0"/>
        <w:spacing w:before="0" w:after="1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Secured projects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Estimated and incurred project costs referred to in the following table include 100 per cent of the capital expenditures related to projects within entities that we own or partially own and fully consolidate, as well as our share of equity contributions to fund projects within our equity investments. </w:t>
      </w:r>
    </w:p>
    <w:tbl>
      <w:tblPr>
        <w:tblW w:w="10205" w:type="dxa"/>
        <w:jc w:val="left"/>
        <w:tblInd w:w="0" w:type="dxa"/>
        <w:tblLayout w:type="fixed"/>
        <w:tblCellMar>
          <w:top w:w="28" w:type="dxa"/>
          <w:left w:w="28" w:type="dxa"/>
          <w:bottom w:w="28" w:type="dxa"/>
          <w:right w:w="28" w:type="dxa"/>
        </w:tblCellMar>
      </w:tblPr>
      <w:tblGrid>
        <w:gridCol w:w="1430"/>
        <w:gridCol w:w="1044"/>
        <w:gridCol w:w="1051"/>
        <w:gridCol w:w="109"/>
        <w:gridCol w:w="109"/>
        <w:gridCol w:w="109"/>
        <w:gridCol w:w="469"/>
        <w:gridCol w:w="469"/>
        <w:gridCol w:w="471"/>
        <w:gridCol w:w="109"/>
        <w:gridCol w:w="109"/>
        <w:gridCol w:w="109"/>
        <w:gridCol w:w="420"/>
        <w:gridCol w:w="412"/>
        <w:gridCol w:w="414"/>
        <w:gridCol w:w="109"/>
        <w:gridCol w:w="109"/>
        <w:gridCol w:w="109"/>
        <w:gridCol w:w="941"/>
        <w:gridCol w:w="868"/>
        <w:gridCol w:w="1235"/>
      </w:tblGrid>
      <w:tr>
        <w:trPr/>
        <w:tc>
          <w:tcPr>
            <w:tcW w:w="143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Expected </w:t>
              <w:br/>
              <w:t>in-service date</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Estimated </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project cost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Project costs incurred at March 31, 2026</w:t>
            </w:r>
          </w:p>
        </w:tc>
      </w:tr>
      <w:tr>
        <w:trPr/>
        <w:tc>
          <w:tcPr>
            <w:tcW w:w="3525"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(billions of Canadian $, unless otherwise noted)</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0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24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30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5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Canadian Natural Gas Pipelines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NGTL 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2</w:t>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2</w:t>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Regulated maintenance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Gillis Access –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0.2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Heartland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0.1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Northwoods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Pulaski and Maysville 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0.8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Appalachia Supply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1.5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Southeast Virginia Energy Storage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TCO Connector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capital</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1.9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0.5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Regulated maintenance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2.6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0.1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Villa de Reyes – South section</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Tula</w:t>
            </w:r>
            <w:r>
              <w:rPr>
                <w:rFonts w:ascii="sans-serif" w:hAnsi="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0.4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0.3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 Unit 3 MCR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 – Unit 4 MCR</w:t>
            </w:r>
            <w:r>
              <w:rPr>
                <w:rFonts w:ascii="sans-serif" w:hAnsi="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0.5 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 – Unit 5 MCR</w:t>
            </w:r>
            <w:r>
              <w:rPr>
                <w:rFonts w:ascii="sans-serif" w:hAnsi="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 – life extension</w:t>
            </w:r>
            <w:r>
              <w:rPr>
                <w:rFonts w:ascii="sans-serif" w:hAnsi="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Non-recoverable maintenance capital expenditures</w:t>
            </w:r>
            <w:r>
              <w:rPr>
                <w:rFonts w:ascii="sans-serif" w:hAnsi="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0.5 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19.1 </w:t>
            </w:r>
          </w:p>
        </w:tc>
        <w:tc>
          <w:tcPr>
            <w:tcW w:w="4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123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Foreign exchange impact on secured projects</w:t>
            </w:r>
            <w:r>
              <w:rPr>
                <w:rFonts w:ascii="sans-serif" w:hAnsi="sans-serif"/>
                <w:b w:val="false"/>
                <w:color w:val="000000"/>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4.1 </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0.6 </w:t>
            </w:r>
          </w:p>
        </w:tc>
        <w:tc>
          <w:tcPr>
            <w:tcW w:w="1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Total secured projects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23.2 </w:t>
            </w:r>
          </w:p>
        </w:tc>
        <w:tc>
          <w:tcPr>
            <w:tcW w:w="41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4.9 </w:t>
            </w:r>
          </w:p>
        </w:tc>
        <w:tc>
          <w:tcPr>
            <w:tcW w:w="123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1Our share of committed equity to fund the estimated cost of the Coastal GasLink – Cedar Link project is $37 million.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amounts related to projects within the Multi-Year Growth Plan (MYGP) that have received FID.</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3Includes capital expenditures related to certain large-scope maintenance projects across our U.S. natural gas footprint due to their discrete nature for regulatory recovery.</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4We are working with the CFE on completing the remaining section of the Villa de Reyes pipeline. The in-service date will be determined upon resolution of outstanding stakeholder issues.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5Estimated project cost as per contracts signed in 2022 as part of the TGNH strategic alliance between TC Energy and the CFE. We continue to evaluate the development and completion of the Tula pipeline, with the CFE, subject to a future FID and an updated cost estimate.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6Amounts are net of expected investment tax credits.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7Reflects amounts to be invested under the Asset Management program to 2027, other life extension projects and the incremental uprate initiative.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8Includes non-recoverable maintenance capital expenditures from all segments and is primarily related to our Power and Energy Solutions and Corporate assets.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9Reflects U.S./Canada foreign exchange rate of 1.40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13</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Canadian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is a reconciliation of comparable EBITDA and comparable EBIT (our non-GAAP measures) to segmented     earnings (losses) (the most directly comparable GAAP measure).</w:t>
      </w:r>
    </w:p>
    <w:tbl>
      <w:tblPr>
        <w:tblW w:w="9118" w:type="dxa"/>
        <w:jc w:val="left"/>
        <w:tblInd w:w="0" w:type="dxa"/>
        <w:tblLayout w:type="fixed"/>
        <w:tblCellMar>
          <w:top w:w="28" w:type="dxa"/>
          <w:left w:w="28" w:type="dxa"/>
          <w:bottom w:w="28" w:type="dxa"/>
          <w:right w:w="28" w:type="dxa"/>
        </w:tblCellMar>
      </w:tblPr>
      <w:tblGrid>
        <w:gridCol w:w="1926"/>
        <w:gridCol w:w="1693"/>
        <w:gridCol w:w="1706"/>
        <w:gridCol w:w="109"/>
        <w:gridCol w:w="109"/>
        <w:gridCol w:w="109"/>
        <w:gridCol w:w="323"/>
        <w:gridCol w:w="323"/>
        <w:gridCol w:w="323"/>
        <w:gridCol w:w="323"/>
        <w:gridCol w:w="323"/>
        <w:gridCol w:w="323"/>
        <w:gridCol w:w="323"/>
        <w:gridCol w:w="109"/>
        <w:gridCol w:w="109"/>
        <w:gridCol w:w="109"/>
        <w:gridCol w:w="307"/>
        <w:gridCol w:w="308"/>
        <w:gridCol w:w="263"/>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05" w:type="dxa"/>
            <w:gridSpan w:val="6"/>
            <w:tcBorders/>
          </w:tcPr>
          <w:p>
            <w:pPr>
              <w:pStyle w:val="TableContents"/>
              <w:bidi w:val="0"/>
              <w:spacing w:before="0" w:after="283"/>
              <w:jc w:val="left"/>
              <w:rPr>
                <w:sz w:val="4"/>
                <w:szCs w:val="4"/>
              </w:rPr>
            </w:pPr>
            <w:r>
              <w:rPr>
                <w:sz w:val="4"/>
                <w:szCs w:val="4"/>
              </w:rPr>
            </w:r>
          </w:p>
        </w:tc>
      </w:tr>
      <w:tr>
        <w:trPr/>
        <w:tc>
          <w:tcPr>
            <w:tcW w:w="532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3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NGTL System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660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Mainline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Canadian pipelines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919</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890 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(410)</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 and Segmented earnings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509</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516 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1Includes results from Foothills, Ventures LP, Great Lakes Canada and our proportionate share of income related to investments in Trans Québec &amp; Maritimes (TQM) and Coastal GasLink, as well as general and administrative and business development costs related to our Canadian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Canadian Natural Gas Pipelines segmented earnings decreased by $7 million for the three months ended March 31, 2026 compared to the same period in 2025.</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for our rate-regulated Canadian natural gas pipelines is primarily affected by our approved ROE, investment base, the level of deemed common equity and incentive earnings. Comparable EBITDA is impacted by these factors, as well as changes in depreciation, financial charges and income taxes. These additional items do not have a significant impact on net income as they are almost entirely recovered in revenues on a flow-through basis.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NET INCOME AND AVERAGE INVESTMENT BASE</w:t>
      </w:r>
    </w:p>
    <w:tbl>
      <w:tblPr>
        <w:tblW w:w="6929"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323"/>
        <w:gridCol w:w="323"/>
        <w:gridCol w:w="323"/>
        <w:gridCol w:w="323"/>
        <w:gridCol w:w="516"/>
        <w:gridCol w:w="325"/>
        <w:gridCol w:w="323"/>
        <w:gridCol w:w="109"/>
        <w:gridCol w:w="109"/>
        <w:gridCol w:w="109"/>
        <w:gridCol w:w="413"/>
        <w:gridCol w:w="413"/>
        <w:gridCol w:w="263"/>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416"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73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NGTL System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204</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Mainline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Average investment 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NGTL System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19,059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19,365 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Mainline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3,673</w:t>
            </w:r>
            <w:r>
              <w:rPr>
                <w:color w:val="000000"/>
              </w:rPr>
              <w:t> </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3,643 </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for the NGTL System increased by $6 million for the three months ended March 31, 2026 compared to the same period in 2025 primarily due to higher incentive earnings. The NGTL System is currently operating under the 2025-2029 NGTL Settlement, which includes an approved ROE of 10.1 per cent on 40 per cent deemed common equity. This settlement provides the NGTL System with higher depreciation rates and the opportunity to further increase depreciation rates with an incentive if tolls fall below specified levels, or if growth projects are undertaken. It also includes incentive mechanisms to reduce both physical emissions and emission compliance costs, while also providing incentive for certain operating costs where variances from projected amounts and emissions savings are shared with customers.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for the Canadian Mainline was consistent for the three months ended March 31, 2026 compared to the same period in 2025. The Canadian Mainline is operating under the 2021-2026 Mainline Settlement, which includes an approved ROE of 10.1 per cent on 40 per cent deemed common equity and an incentive to decrease costs and increase revenues on the pipeline under a beneficial sharing mechanism with our customers.</w:t>
      </w:r>
    </w:p>
    <w:p>
      <w:pPr>
        <w:pStyle w:val="TextBody"/>
        <w:bidi w:val="0"/>
        <w:spacing w:before="0" w:after="1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COMPARABLE EBITDA</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for Canadian Natural Gas Pipelines increased by $29 million for the three months ended March 31, 2026 compared to the same period in 2025 due to the net effect of higher flow-through depreciation and incentive earnings on the NGTL System along with higher flow-through depreciation, partially offset by lower flow-through income taxes on the Canadian Mainline.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Depreciation and amortization increased by $36 million for the three months ended March 31, 2026 compared to the same period in 2025 mainly due to an increase in assets placed in service on the Canadian Mainline and higher depreciation rates and expansion facilities placed in service on the NGTL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15</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U.S.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a reconciliation of comparable EBITDA and comparable EBIT (our non-GAAP measures) to segmented    earnings (losses) (the most directly comparable GAAP measure). </w:t>
      </w:r>
    </w:p>
    <w:tbl>
      <w:tblPr>
        <w:tblW w:w="7813" w:type="dxa"/>
        <w:jc w:val="left"/>
        <w:tblInd w:w="0" w:type="dxa"/>
        <w:tblLayout w:type="fixed"/>
        <w:tblCellMar>
          <w:top w:w="28" w:type="dxa"/>
          <w:left w:w="28" w:type="dxa"/>
          <w:bottom w:w="28" w:type="dxa"/>
          <w:right w:w="28" w:type="dxa"/>
        </w:tblCellMar>
      </w:tblPr>
      <w:tblGrid>
        <w:gridCol w:w="1380"/>
        <w:gridCol w:w="1211"/>
        <w:gridCol w:w="1219"/>
        <w:gridCol w:w="109"/>
        <w:gridCol w:w="109"/>
        <w:gridCol w:w="109"/>
        <w:gridCol w:w="323"/>
        <w:gridCol w:w="323"/>
        <w:gridCol w:w="323"/>
        <w:gridCol w:w="323"/>
        <w:gridCol w:w="442"/>
        <w:gridCol w:w="323"/>
        <w:gridCol w:w="323"/>
        <w:gridCol w:w="109"/>
        <w:gridCol w:w="109"/>
        <w:gridCol w:w="109"/>
        <w:gridCol w:w="352"/>
        <w:gridCol w:w="354"/>
        <w:gridCol w:w="263"/>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6"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381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Columbia Gas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ANR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267</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Columbia Gulf</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Great Lakes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GTN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U.S. pipelines</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Comparable EBITDA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1,091</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953 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(187)</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(176)</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904</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777 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337</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Comparable EBIT</w:t>
            </w:r>
            <w:r>
              <w:rPr>
                <w:color w:val="0D64EF"/>
              </w:rPr>
              <w:t xml:space="preserve"> </w:t>
            </w:r>
            <w:r>
              <w:rPr>
                <w:rFonts w:ascii="sans-serif" w:hAnsi="sans-serif"/>
                <w:b w:val="false"/>
                <w:color w:val="000000"/>
                <w:sz w:val="18"/>
              </w:rPr>
              <w:t>(Cdn$)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1,241</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1,115 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Resolution of legal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(133)</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D64EF"/>
                <w:sz w:val="18"/>
              </w:rPr>
              <w:t xml:space="preserve">Segmented earnings (losses) </w:t>
            </w:r>
            <w:r>
              <w:rPr>
                <w:rFonts w:ascii="sans-serif" w:hAnsi="sans-serif"/>
                <w:b w:val="false"/>
                <w:color w:val="000000"/>
                <w:sz w:val="18"/>
              </w:rPr>
              <w:t>(Cdn$)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1,075</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non-controlling interest. Refer to the Corporate section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2Reflects comparable EBITDA from our ownership in our mineral rights business (CEVCO), North Baja, Gillis Access, Tuscarora, Bison, Crossroads and our share of equity income from Northern Border, Iroquois, Millennium and Hardy Storage, our U.S. natural gas marketing business, as well as general and administrative and business development costs related to our U.S. natural gas pipelines.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U.S. Natural Gas Pipelines segmented earnings decreased by $34 million for the three months ended March 31, 2026 compared to the same period in 2025 and included the following specific items which have been excluded from our calculation of comparable EBITDA and comparable EBIT: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$33 million related to the resolution of certain legal matters within our U.S. Natural Gas Pipelines segment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used in our U.S. natural gas marketing business.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weaker U.S. dollar for the three months ended March 31, 2026 had a negative impact on the Canadian dollar equivalent segmented earnings from our U.S. dollar-denominated operations compared to the same period in 2025. Refer to the Foreign exchange section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Earnings from our U.S. Natural Gas Pipelines operations are generally affected by contracted volume levels, volumes delivered and the rates charged, as well as by the cost of providing services. Columbia Gas and ANR results are also affected by the contracting and pricing of their natural gas storage capacity and incidental commodity sales. Natural gas pipeline and storage volumes and revenues are generally higher in the winter months because of the seasonal nature of the business.</w:t>
      </w:r>
    </w:p>
    <w:p>
      <w:pPr>
        <w:pStyle w:val="TextBody"/>
        <w:bidi w:val="0"/>
        <w:spacing w:before="0" w:after="10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for U.S. Natural Gas Pipelines increased by US$138 million for the three months ended March 31, 2026 compared to the same period in 2025 and was primarily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net increase in earnings from Columbia Gas as a result of higher transportation rates effective April 1, 2025, pursuant to the Columbia Gas Settlement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net increase in earnings from ANR as a result of higher transportation rates effective November 1, 2025 as well as adjustments related to the ANR settlement-in-principle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incremental earnings from projects placed in service and lower operating costs on Columbia Gulf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earnings from additional short-term contract sales due to the impacts of a cold weather event across multiple U.S. Natural Gas Pipeline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lower realized earnings related to our U.S. natural gas marketing business primarily due to reduced trading margins from the impacts of a cold weather event.</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Depreciation and amortization increased by US$11 million for the three months ended March 31, 2026 compared to the same period in 2025 primarily due to new projects placed in service and depreciation rate changes as a result of the Columbia Gas Settlement, offset by a decrease in depreciation rate changes as a result of the ANR settlement-in-principle.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Mexico Natural Gas Pipelines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a reconciliation of comparable EBITDA and comparable EBIT (our non-GAAP measures) to segmented    earnings (losses) (the most directly comparable GAAP measure). </w:t>
      </w:r>
    </w:p>
    <w:tbl>
      <w:tblPr>
        <w:tblW w:w="10205" w:type="dxa"/>
        <w:jc w:val="left"/>
        <w:tblInd w:w="0" w:type="dxa"/>
        <w:tblLayout w:type="fixed"/>
        <w:tblCellMar>
          <w:top w:w="28" w:type="dxa"/>
          <w:left w:w="28" w:type="dxa"/>
          <w:bottom w:w="28" w:type="dxa"/>
          <w:right w:w="28" w:type="dxa"/>
        </w:tblCellMar>
      </w:tblPr>
      <w:tblGrid>
        <w:gridCol w:w="2519"/>
        <w:gridCol w:w="2122"/>
        <w:gridCol w:w="2136"/>
        <w:gridCol w:w="109"/>
        <w:gridCol w:w="109"/>
        <w:gridCol w:w="109"/>
        <w:gridCol w:w="274"/>
        <w:gridCol w:w="274"/>
        <w:gridCol w:w="274"/>
        <w:gridCol w:w="274"/>
        <w:gridCol w:w="323"/>
        <w:gridCol w:w="289"/>
        <w:gridCol w:w="274"/>
        <w:gridCol w:w="109"/>
        <w:gridCol w:w="109"/>
        <w:gridCol w:w="109"/>
        <w:gridCol w:w="263"/>
        <w:gridCol w:w="263"/>
        <w:gridCol w:w="266"/>
      </w:tblGrid>
      <w:tr>
        <w:trPr/>
        <w:tc>
          <w:tcPr>
            <w:tcW w:w="251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119" w:type="dxa"/>
            <w:gridSpan w:val="6"/>
            <w:tcBorders/>
          </w:tcPr>
          <w:p>
            <w:pPr>
              <w:pStyle w:val="TableContents"/>
              <w:bidi w:val="0"/>
              <w:spacing w:before="0" w:after="283"/>
              <w:jc w:val="left"/>
              <w:rPr>
                <w:sz w:val="4"/>
                <w:szCs w:val="4"/>
              </w:rPr>
            </w:pPr>
            <w:r>
              <w:rPr>
                <w:sz w:val="4"/>
                <w:szCs w:val="4"/>
              </w:rPr>
            </w:r>
          </w:p>
        </w:tc>
      </w:tr>
      <w:tr>
        <w:trPr/>
        <w:tc>
          <w:tcPr>
            <w:tcW w:w="677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7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TGNH</w:t>
            </w:r>
            <w:r>
              <w:rPr>
                <w:rFonts w:ascii="sans-serif" w:hAnsi="sans-serif"/>
                <w:b w:val="false"/>
                <w:color w:val="000000"/>
                <w:sz w:val="12"/>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211</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Sur de Texas</w:t>
            </w:r>
            <w:r>
              <w:rPr>
                <w:rFonts w:ascii="sans-serif" w:hAnsi="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Topolobampo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Guadalajara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Mazatlán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315</w:t>
            </w:r>
            <w:r>
              <w:rPr>
                <w:color w:val="000000"/>
              </w:rPr>
              <w:t>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163 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(18)</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297</w:t>
            </w:r>
            <w:r>
              <w:rPr>
                <w:color w:val="000000"/>
              </w:rPr>
              <w:t>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146 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111</w:t>
            </w: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Comparable EBIT</w:t>
            </w:r>
            <w:r>
              <w:rPr>
                <w:color w:val="237CC1"/>
              </w:rPr>
              <w:t xml:space="preserve"> </w:t>
            </w:r>
            <w:r>
              <w:rPr>
                <w:rFonts w:ascii="sans-serif" w:hAnsi="sans-serif"/>
                <w:b w:val="false"/>
                <w:color w:val="000000"/>
                <w:sz w:val="18"/>
              </w:rPr>
              <w:t>(Cdn$)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408</w:t>
            </w:r>
            <w:r>
              <w:rPr>
                <w:color w:val="000000"/>
              </w:rPr>
              <w:t> </w:t>
            </w:r>
          </w:p>
        </w:tc>
        <w:tc>
          <w:tcPr>
            <w:tcW w:w="2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209 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Expected credit loss provision on net investment in leases and certain contract assets in Mexico</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(19)</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D64EF"/>
                <w:sz w:val="18"/>
              </w:rPr>
              <w:t>Segmented earnings (losses)</w:t>
            </w:r>
            <w:r>
              <w:rPr>
                <w:color w:val="0D64EF"/>
              </w:rPr>
              <w:t xml:space="preserve"> </w:t>
            </w:r>
            <w:r>
              <w:rPr>
                <w:rFonts w:ascii="sans-serif" w:hAnsi="sans-serif"/>
                <w:b w:val="false"/>
                <w:color w:val="000000"/>
                <w:sz w:val="18"/>
              </w:rPr>
              <w:t>(Cdn$)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389</w:t>
            </w:r>
            <w:r>
              <w:rPr>
                <w:color w:val="000000"/>
              </w:rPr>
              <w:t> </w:t>
            </w:r>
          </w:p>
        </w:tc>
        <w:tc>
          <w:tcPr>
            <w:tcW w:w="2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211 </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1Includes the operating sections of the Tamazunchale, Villa de Reyes, Tula and Southeast Gateway pipelines. </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non-controlling interest. Refer to the Corporate section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3Represents equity income from our 60 per cent interest and fees earned from the construction and operation of the pipeline.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Mexico Natural Gas Pipelines segmented earnings increased by $178 million for the three months ended March 31, 2026 compared to the same period in 2025 and included an expense of $19 million (2025 – recovery of $2 million) on the expected credit loss provision related to the TGNH net investment in leases and certain contract assets in Mexico, which has been excluded from our calculation of comparable EBITDA and comparable EBIT.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weaker U.S. dollar for the three months ended March 31, 2026 had a negative impact on the Canadian dollar equivalent segmented earnings from our U.S. dollar-denominated operations in Mexico compared to the same period in 2025. Refer to the Foreign exchange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Comparable EBITDA for Mexico Natural Gas Pipelines increased by US$152 million for the three months ended March 31, 2026 compared with the same period in 2025 due to: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earnings in TGNH due to the completion of the Southeast Gateway pipeline in second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higher equity earnings from Sur de Texas primarily due to the foreign exchange impacts on the revaluation of </w:t>
        <w:br/>
        <w:t>peso-denominated liabilities as well as lower interest expense.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Depreciation and amortization was generally consistent for the three months ended March 31, 2026 compared to the same period in 2025. Under sales-type lease accounting, our in-service TGNH pipeline assets are derecognized from Plant, property and equipment and recorded as a net investment in lease on our Condensed consolidated balance sheet with no depreciation expense being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18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18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Sur de Texas results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Sur de Texas results reflect equity income from our 60 per cent interest and fees earned from the construction and operation of the pipeline. We use foreign exchange derivatives to manage Sur de Texas' foreign exchange exposures, and the impact of these derivatives is recognized in Foreign exchange (gains) losses, net in the Condensed consolidated statement of income. Refer to the Foreign exchange section for additional information.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our proportionate share of equity income and the foreign exchange impact on Sur de Texas equity earnings from changes in the value of the Mexican peso against the U.S. dollar:</w:t>
      </w:r>
    </w:p>
    <w:tbl>
      <w:tblPr>
        <w:tblW w:w="8549" w:type="dxa"/>
        <w:jc w:val="left"/>
        <w:tblInd w:w="0" w:type="dxa"/>
        <w:tblLayout w:type="fixed"/>
        <w:tblCellMar>
          <w:top w:w="28" w:type="dxa"/>
          <w:left w:w="28" w:type="dxa"/>
          <w:bottom w:w="28" w:type="dxa"/>
          <w:right w:w="28" w:type="dxa"/>
        </w:tblCellMar>
      </w:tblPr>
      <w:tblGrid>
        <w:gridCol w:w="1796"/>
        <w:gridCol w:w="1578"/>
        <w:gridCol w:w="1591"/>
        <w:gridCol w:w="109"/>
        <w:gridCol w:w="109"/>
        <w:gridCol w:w="109"/>
        <w:gridCol w:w="323"/>
        <w:gridCol w:w="323"/>
        <w:gridCol w:w="323"/>
        <w:gridCol w:w="323"/>
        <w:gridCol w:w="323"/>
        <w:gridCol w:w="323"/>
        <w:gridCol w:w="323"/>
        <w:gridCol w:w="109"/>
        <w:gridCol w:w="109"/>
        <w:gridCol w:w="109"/>
        <w:gridCol w:w="203"/>
        <w:gridCol w:w="203"/>
        <w:gridCol w:w="263"/>
      </w:tblGrid>
      <w:tr>
        <w:trPr/>
        <w:tc>
          <w:tcPr>
            <w:tcW w:w="179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996" w:type="dxa"/>
            <w:gridSpan w:val="6"/>
            <w:tcBorders/>
          </w:tcPr>
          <w:p>
            <w:pPr>
              <w:pStyle w:val="TableContents"/>
              <w:bidi w:val="0"/>
              <w:spacing w:before="0" w:after="283"/>
              <w:jc w:val="left"/>
              <w:rPr>
                <w:sz w:val="4"/>
                <w:szCs w:val="4"/>
              </w:rPr>
            </w:pPr>
            <w:r>
              <w:rPr>
                <w:sz w:val="4"/>
                <w:szCs w:val="4"/>
              </w:rPr>
            </w:r>
          </w:p>
        </w:tc>
      </w:tr>
      <w:tr>
        <w:trPr/>
        <w:tc>
          <w:tcPr>
            <w:tcW w:w="4965"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9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income before foreign exchange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Foreign exchange impact included in equity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 - Sur de Texas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19</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Power and Energy Solutions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a reconciliation of comparable EBITDA and comparable EBIT (our non-GAAP measures) to segmented    earnings (losses) (the most directly comparable GAAP measure). </w:t>
      </w:r>
    </w:p>
    <w:tbl>
      <w:tblPr>
        <w:tblW w:w="8008" w:type="dxa"/>
        <w:jc w:val="left"/>
        <w:tblInd w:w="0" w:type="dxa"/>
        <w:tblLayout w:type="fixed"/>
        <w:tblCellMar>
          <w:top w:w="28" w:type="dxa"/>
          <w:left w:w="28" w:type="dxa"/>
          <w:bottom w:w="28" w:type="dxa"/>
          <w:right w:w="28" w:type="dxa"/>
        </w:tblCellMar>
      </w:tblPr>
      <w:tblGrid>
        <w:gridCol w:w="1557"/>
        <w:gridCol w:w="1369"/>
        <w:gridCol w:w="1378"/>
        <w:gridCol w:w="109"/>
        <w:gridCol w:w="109"/>
        <w:gridCol w:w="109"/>
        <w:gridCol w:w="323"/>
        <w:gridCol w:w="323"/>
        <w:gridCol w:w="323"/>
        <w:gridCol w:w="323"/>
        <w:gridCol w:w="323"/>
        <w:gridCol w:w="323"/>
        <w:gridCol w:w="323"/>
        <w:gridCol w:w="109"/>
        <w:gridCol w:w="109"/>
        <w:gridCol w:w="109"/>
        <w:gridCol w:w="263"/>
        <w:gridCol w:w="263"/>
        <w:gridCol w:w="263"/>
      </w:tblGrid>
      <w:tr>
        <w:trPr/>
        <w:tc>
          <w:tcPr>
            <w:tcW w:w="15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116" w:type="dxa"/>
            <w:gridSpan w:val="6"/>
            <w:tcBorders/>
          </w:tcPr>
          <w:p>
            <w:pPr>
              <w:pStyle w:val="TableContents"/>
              <w:bidi w:val="0"/>
              <w:spacing w:before="0" w:after="283"/>
              <w:jc w:val="left"/>
              <w:rPr>
                <w:sz w:val="4"/>
                <w:szCs w:val="4"/>
              </w:rPr>
            </w:pPr>
            <w:r>
              <w:rPr>
                <w:sz w:val="4"/>
                <w:szCs w:val="4"/>
              </w:rPr>
            </w:r>
          </w:p>
        </w:tc>
      </w:tr>
      <w:tr>
        <w:trPr/>
        <w:tc>
          <w:tcPr>
            <w:tcW w:w="430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3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Bruce Power</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243</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224 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210</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unrealized 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Risk management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(71)</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201</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1Represents our share of equity income from Bruce Power.</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2Includes non-controlling interest in the Fluvanna and Blue Cloud Wind Farms (Texas Wind Farms), which is comprised of Class A Membership Interests. Refer to the Corporate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Power and Energy Solutions segmented earnings increased by $66 million for the three months ended March 31, 2026 compared to the same period in 2025 and included the following specific items which have been excluded from our calculation of comparable EBITDA and comparable EBIT: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proportionate share of Bruce Power's unrealized gains and losses on funds invested for post-retirement benefits and risk management activities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used to reduce commodity exposures.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Comparable EBITDA for Power and Energy Solutions increased by $19 million for the three months ended March 31, 2026 compared to the same period in 2025 primarily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increased Bruce Power contributions due to a higher contract price and realized gains on funds invested for post-retirement benefits, partially offset by reduced generation primarily related to the Unit 4 MCR and increased operating costs. Refer to the Bruce Power results section for additional information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higher Canadian Power financial results primarily from increased contributions from our marketing business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 xml:space="preserve">decreased Natural Gas Storage and other results primarily due to lower contributions from our U.S. marketing business.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DEPRECIATION AND AMORTIZATION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Depreciation and amortization was generally consistent for the three months ended March 31, 2026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BRUCE POWER</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is our proportionate share of the components of comparable EBITDA and comparable EBIT. </w:t>
      </w:r>
    </w:p>
    <w:tbl>
      <w:tblPr>
        <w:tblW w:w="10205" w:type="dxa"/>
        <w:jc w:val="left"/>
        <w:tblInd w:w="0" w:type="dxa"/>
        <w:tblLayout w:type="fixed"/>
        <w:tblCellMar>
          <w:top w:w="28" w:type="dxa"/>
          <w:left w:w="28" w:type="dxa"/>
          <w:bottom w:w="28" w:type="dxa"/>
          <w:right w:w="28" w:type="dxa"/>
        </w:tblCellMar>
      </w:tblPr>
      <w:tblGrid>
        <w:gridCol w:w="2326"/>
        <w:gridCol w:w="1958"/>
        <w:gridCol w:w="1970"/>
        <w:gridCol w:w="109"/>
        <w:gridCol w:w="109"/>
        <w:gridCol w:w="109"/>
        <w:gridCol w:w="225"/>
        <w:gridCol w:w="225"/>
        <w:gridCol w:w="225"/>
        <w:gridCol w:w="225"/>
        <w:gridCol w:w="389"/>
        <w:gridCol w:w="332"/>
        <w:gridCol w:w="593"/>
        <w:gridCol w:w="109"/>
        <w:gridCol w:w="109"/>
        <w:gridCol w:w="109"/>
        <w:gridCol w:w="352"/>
        <w:gridCol w:w="354"/>
        <w:gridCol w:w="377"/>
      </w:tblGrid>
      <w:tr>
        <w:trPr/>
        <w:tc>
          <w:tcPr>
            <w:tcW w:w="232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410" w:type="dxa"/>
            <w:gridSpan w:val="6"/>
            <w:tcBorders/>
          </w:tcPr>
          <w:p>
            <w:pPr>
              <w:pStyle w:val="TableContents"/>
              <w:bidi w:val="0"/>
              <w:spacing w:before="0" w:after="283"/>
              <w:jc w:val="left"/>
              <w:rPr>
                <w:sz w:val="4"/>
                <w:szCs w:val="4"/>
              </w:rPr>
            </w:pPr>
            <w:r>
              <w:rPr>
                <w:sz w:val="4"/>
                <w:szCs w:val="4"/>
              </w:rPr>
            </w:r>
          </w:p>
        </w:tc>
      </w:tr>
      <w:tr>
        <w:trPr/>
        <w:tc>
          <w:tcPr>
            <w:tcW w:w="625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25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Items included in comparable EBITDA and comparable EBIT are comprised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Revenues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536</w:t>
            </w: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501 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(292)</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(274)</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(88)</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Comparable EBITDA and comparable EBIT</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156</w:t>
            </w:r>
            <w:r>
              <w:rPr>
                <w:color w:val="000000"/>
              </w:rPr>
              <w:t> </w:t>
            </w:r>
          </w:p>
        </w:tc>
        <w:tc>
          <w:tcPr>
            <w:tcW w:w="5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132 </w:t>
            </w:r>
          </w:p>
        </w:tc>
        <w:tc>
          <w:tcPr>
            <w:tcW w:w="37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Bruce Power – 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Plant availability</w:t>
            </w:r>
            <w:r>
              <w:rPr>
                <w:rFonts w:ascii="sans-serif" w:hAnsi="sans-serif"/>
                <w:b w:val="false"/>
                <w:color w:val="000000"/>
                <w:sz w:val="12"/>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88</w:t>
            </w:r>
          </w:p>
        </w:tc>
        <w:tc>
          <w:tcPr>
            <w:tcW w:w="593"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87</w:t>
            </w:r>
          </w:p>
        </w:tc>
        <w:tc>
          <w:tcPr>
            <w:tcW w:w="37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Planned outage days</w:t>
            </w:r>
            <w:r>
              <w:rPr>
                <w:rFonts w:ascii="sans-serif" w:hAnsi="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w:t>
            </w: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65 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Unplanned outage days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Sales volumes (GWh)</w:t>
            </w:r>
            <w:r>
              <w:rPr>
                <w:rFonts w:ascii="sans-serif" w:hAnsi="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4,523</w:t>
            </w: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4,645 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Realized power price per MWh</w:t>
            </w:r>
            <w:r>
              <w:rPr>
                <w:rFonts w:ascii="sans-serif" w:hAnsi="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$116</w:t>
            </w:r>
            <w:r>
              <w:rPr>
                <w:color w:val="000000"/>
              </w:rPr>
              <w:t> </w:t>
            </w:r>
          </w:p>
        </w:tc>
        <w:tc>
          <w:tcPr>
            <w:tcW w:w="59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 </w:t>
            </w:r>
          </w:p>
        </w:tc>
        <w:tc>
          <w:tcPr>
            <w:tcW w:w="37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1Net of amounts recorded to reflect operating cost efficiencies shared with the IESO, if applicable.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2Represents our 48.3 per cent ownership interest and internal costs supporting our investment in Bruce Power. Excludes unrealized gains and losses on funds invested for post-retirement benefits and risk management activities.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3The percentage of time the plant was available to generate power, regardless of whether it was running.</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4Excludes MCR outage days. </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5Sales volumes include deemed generation, if applicable.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6Calculation based on actual and deemed generation. Realized power price per MWh includes realized gains and losses from contracting activities and cost flow-through items. Excludes unrealized gains and losses on contracting activities and non-electricity revenues.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Planned maintenance on Unit 8 was completed in first quarter 2026. </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Corporate</w:t>
      </w:r>
    </w:p>
    <w:tbl>
      <w:tblPr>
        <w:tblW w:w="6643" w:type="dxa"/>
        <w:jc w:val="left"/>
        <w:tblInd w:w="0" w:type="dxa"/>
        <w:tblLayout w:type="fixed"/>
        <w:tblCellMar>
          <w:top w:w="28" w:type="dxa"/>
          <w:left w:w="28" w:type="dxa"/>
          <w:bottom w:w="28" w:type="dxa"/>
          <w:right w:w="28" w:type="dxa"/>
        </w:tblCellMar>
      </w:tblPr>
      <w:tblGrid>
        <w:gridCol w:w="1118"/>
        <w:gridCol w:w="982"/>
        <w:gridCol w:w="989"/>
        <w:gridCol w:w="109"/>
        <w:gridCol w:w="109"/>
        <w:gridCol w:w="109"/>
        <w:gridCol w:w="323"/>
        <w:gridCol w:w="323"/>
        <w:gridCol w:w="323"/>
        <w:gridCol w:w="323"/>
        <w:gridCol w:w="323"/>
        <w:gridCol w:w="323"/>
        <w:gridCol w:w="323"/>
        <w:gridCol w:w="109"/>
        <w:gridCol w:w="109"/>
        <w:gridCol w:w="109"/>
        <w:gridCol w:w="188"/>
        <w:gridCol w:w="188"/>
        <w:gridCol w:w="263"/>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966"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30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Segmented earnings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Corporate segmented losses were generally consistent for the three months ended March 31, 2026 compared to the same period in 2025.</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INTEREST EXPENSE</w:t>
      </w:r>
    </w:p>
    <w:tbl>
      <w:tblPr>
        <w:tblW w:w="10205" w:type="dxa"/>
        <w:jc w:val="left"/>
        <w:tblInd w:w="0" w:type="dxa"/>
        <w:tblLayout w:type="fixed"/>
        <w:tblCellMar>
          <w:top w:w="28" w:type="dxa"/>
          <w:left w:w="28" w:type="dxa"/>
          <w:bottom w:w="28" w:type="dxa"/>
          <w:right w:w="28" w:type="dxa"/>
        </w:tblCellMar>
      </w:tblPr>
      <w:tblGrid>
        <w:gridCol w:w="2370"/>
        <w:gridCol w:w="2057"/>
        <w:gridCol w:w="2078"/>
        <w:gridCol w:w="109"/>
        <w:gridCol w:w="109"/>
        <w:gridCol w:w="109"/>
        <w:gridCol w:w="307"/>
        <w:gridCol w:w="307"/>
        <w:gridCol w:w="307"/>
        <w:gridCol w:w="307"/>
        <w:gridCol w:w="323"/>
        <w:gridCol w:w="313"/>
        <w:gridCol w:w="307"/>
        <w:gridCol w:w="109"/>
        <w:gridCol w:w="109"/>
        <w:gridCol w:w="109"/>
        <w:gridCol w:w="303"/>
        <w:gridCol w:w="304"/>
        <w:gridCol w:w="268"/>
      </w:tblGrid>
      <w:tr>
        <w:trPr/>
        <w:tc>
          <w:tcPr>
            <w:tcW w:w="237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50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02" w:type="dxa"/>
            <w:gridSpan w:val="6"/>
            <w:tcBorders/>
          </w:tcPr>
          <w:p>
            <w:pPr>
              <w:pStyle w:val="TableContents"/>
              <w:bidi w:val="0"/>
              <w:spacing w:before="0" w:after="283"/>
              <w:jc w:val="left"/>
              <w:rPr>
                <w:sz w:val="4"/>
                <w:szCs w:val="4"/>
              </w:rPr>
            </w:pPr>
            <w:r>
              <w:rPr>
                <w:sz w:val="4"/>
                <w:szCs w:val="4"/>
              </w:rPr>
            </w:r>
          </w:p>
        </w:tc>
      </w:tr>
      <w:tr>
        <w:trPr/>
        <w:tc>
          <w:tcPr>
            <w:tcW w:w="650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50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Interest expense on long-term debt and junior subordinated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dollar-denominated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(217)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U.S. dollar-denominated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(422)</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(429)</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(157)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(187)</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(796)</w:t>
            </w:r>
          </w:p>
        </w:tc>
        <w:tc>
          <w:tcPr>
            <w:tcW w:w="30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(811)</w:t>
            </w:r>
          </w:p>
        </w:tc>
        <w:tc>
          <w:tcPr>
            <w:tcW w:w="26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interest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(46)</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5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50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(838)</w:t>
            </w:r>
          </w:p>
        </w:tc>
        <w:tc>
          <w:tcPr>
            <w:tcW w:w="30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(840)</w:t>
            </w:r>
          </w:p>
        </w:tc>
        <w:tc>
          <w:tcPr>
            <w:tcW w:w="26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Interest expense decreased by $2 million for the three months ended March 31, 2026 compared to the same period in 2025 primarily due to the net effect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the foreign exchange impact from a weaker    U.S. dollar on translation of U.S. dollar-denominated    interest expense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long-term debt issuances and maturities. Refer to the Financial condition section for additional information.</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ALLOWANCE FOR FUNDS USED DURING CONSTRUCTION</w:t>
      </w:r>
    </w:p>
    <w:tbl>
      <w:tblPr>
        <w:tblW w:w="8488" w:type="dxa"/>
        <w:jc w:val="left"/>
        <w:tblInd w:w="0" w:type="dxa"/>
        <w:tblLayout w:type="fixed"/>
        <w:tblCellMar>
          <w:top w:w="28" w:type="dxa"/>
          <w:left w:w="28" w:type="dxa"/>
          <w:bottom w:w="28" w:type="dxa"/>
          <w:right w:w="28" w:type="dxa"/>
        </w:tblCellMar>
      </w:tblPr>
      <w:tblGrid>
        <w:gridCol w:w="1730"/>
        <w:gridCol w:w="1519"/>
        <w:gridCol w:w="1535"/>
        <w:gridCol w:w="109"/>
        <w:gridCol w:w="109"/>
        <w:gridCol w:w="109"/>
        <w:gridCol w:w="323"/>
        <w:gridCol w:w="323"/>
        <w:gridCol w:w="323"/>
        <w:gridCol w:w="323"/>
        <w:gridCol w:w="323"/>
        <w:gridCol w:w="323"/>
        <w:gridCol w:w="323"/>
        <w:gridCol w:w="109"/>
        <w:gridCol w:w="109"/>
        <w:gridCol w:w="109"/>
        <w:gridCol w:w="263"/>
        <w:gridCol w:w="263"/>
        <w:gridCol w:w="263"/>
      </w:tblGrid>
      <w:tr>
        <w:trPr/>
        <w:tc>
          <w:tcPr>
            <w:tcW w:w="173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116" w:type="dxa"/>
            <w:gridSpan w:val="6"/>
            <w:tcBorders/>
          </w:tcPr>
          <w:p>
            <w:pPr>
              <w:pStyle w:val="TableContents"/>
              <w:bidi w:val="0"/>
              <w:spacing w:before="0" w:after="283"/>
              <w:jc w:val="left"/>
              <w:rPr>
                <w:sz w:val="4"/>
                <w:szCs w:val="4"/>
              </w:rPr>
            </w:pPr>
            <w:r>
              <w:rPr>
                <w:sz w:val="4"/>
                <w:szCs w:val="4"/>
              </w:rPr>
            </w:r>
          </w:p>
        </w:tc>
      </w:tr>
      <w:tr>
        <w:trPr/>
        <w:tc>
          <w:tcPr>
            <w:tcW w:w="478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7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dollar-denominated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dollar-denominated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166 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Allowance for funds used during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AFUDC decreased by $209 million for the three months ended March 31, 2026 compared to the same period in 2025. The decrease in U.S. dollar-denominated AFUDC is mainly the result of the completion of the Southeast Gateway pipeline in second quarter 2025 and U.S natural gas pipeline projects placed in service during 2025.</w:t>
      </w:r>
    </w:p>
    <w:p>
      <w:pPr>
        <w:pStyle w:val="TextBody"/>
        <w:bidi w:val="0"/>
        <w:spacing w:before="0" w:after="10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GAINS (LOSSES), NET</w:t>
      </w:r>
    </w:p>
    <w:tbl>
      <w:tblPr>
        <w:tblW w:w="10205" w:type="dxa"/>
        <w:jc w:val="left"/>
        <w:tblInd w:w="0" w:type="dxa"/>
        <w:tblLayout w:type="fixed"/>
        <w:tblCellMar>
          <w:top w:w="28" w:type="dxa"/>
          <w:left w:w="28" w:type="dxa"/>
          <w:bottom w:w="28" w:type="dxa"/>
          <w:right w:w="28" w:type="dxa"/>
        </w:tblCellMar>
      </w:tblPr>
      <w:tblGrid>
        <w:gridCol w:w="2424"/>
        <w:gridCol w:w="2111"/>
        <w:gridCol w:w="2122"/>
        <w:gridCol w:w="109"/>
        <w:gridCol w:w="109"/>
        <w:gridCol w:w="109"/>
        <w:gridCol w:w="303"/>
        <w:gridCol w:w="303"/>
        <w:gridCol w:w="303"/>
        <w:gridCol w:w="303"/>
        <w:gridCol w:w="319"/>
        <w:gridCol w:w="303"/>
        <w:gridCol w:w="303"/>
        <w:gridCol w:w="109"/>
        <w:gridCol w:w="109"/>
        <w:gridCol w:w="109"/>
        <w:gridCol w:w="242"/>
        <w:gridCol w:w="243"/>
        <w:gridCol w:w="272"/>
      </w:tblGrid>
      <w:tr>
        <w:trPr/>
        <w:tc>
          <w:tcPr>
            <w:tcW w:w="242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7"/>
            <w:tcBorders>
              <w:top w:val="single" w:sz="2" w:space="0" w:color="0D64E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84" w:type="dxa"/>
            <w:gridSpan w:val="6"/>
            <w:tcBorders/>
          </w:tcPr>
          <w:p>
            <w:pPr>
              <w:pStyle w:val="TableContents"/>
              <w:bidi w:val="0"/>
              <w:spacing w:before="0" w:after="283"/>
              <w:jc w:val="left"/>
              <w:rPr>
                <w:sz w:val="4"/>
                <w:szCs w:val="4"/>
              </w:rPr>
            </w:pPr>
            <w:r>
              <w:rPr>
                <w:sz w:val="4"/>
                <w:szCs w:val="4"/>
              </w:rPr>
            </w:r>
          </w:p>
        </w:tc>
      </w:tr>
      <w:tr>
        <w:trPr/>
        <w:tc>
          <w:tcPr>
            <w:tcW w:w="6657" w:type="dxa"/>
            <w:gridSpan w:val="3"/>
            <w:tcBorders>
              <w:top w:val="single" w:sz="2" w:space="0" w:color="D1D0C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single" w:sz="2" w:space="0" w:color="D1D0C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6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Foreign exchange gains (losses), net included in 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Foreign exchange gains (losses), net – intercompany loan</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w:t>
            </w: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(60)</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Foreign exchange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30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27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     Includes non-controlling interest. Refer to Net (income) loss attributable to non-controlling interests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Foreign exchange gains (losses), net, changed by $43 million for the three months ended March 31, 2026 compared to the same period in 2025. The following specific items have been removed from our calculation of Foreign exchange gains (losses), net included in comparable earnings: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unrealized foreign exchange gains and losses on the peso-denominated intercompany loan between TCPL and TGNH</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unrealized gains and losses from changes in the fair value of derivatives used to manage our foreign exchange risk. Refer to the Financial risks and financial instruments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Foreign exchange gains (losses), net included in comparable earnings changed by $11 million for the three months ended March 31, 2026 compared to the same period in 2025. The changes were primarily due to the net effect of: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risk management activities used to manage our foreign exchange exposure to net liabilities in Mexico and to U.S. dollar</w:t>
        <w:noBreakHyphen/>
        <w:t>denominated income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foreign exchange gains in 2026 compared to foreign exchange losses in 2025 on the revaluation of our peso-denominated net monetary liabilities to U.S. dollars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foreign exchange losses in 2026 compared to foreign exchange gains in 2025 on the revaluation of our U.S. dollar-denominated assets and liabilities to Canadian dollars.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INTEREST INCOME AND OTHER</w:t>
      </w:r>
    </w:p>
    <w:tbl>
      <w:tblPr>
        <w:tblW w:w="6374" w:type="dxa"/>
        <w:jc w:val="center"/>
        <w:tblInd w:w="0" w:type="dxa"/>
        <w:tblLayout w:type="fixed"/>
        <w:tblCellMar>
          <w:top w:w="28" w:type="dxa"/>
          <w:left w:w="28" w:type="dxa"/>
          <w:bottom w:w="28" w:type="dxa"/>
          <w:right w:w="28" w:type="dxa"/>
        </w:tblCellMar>
      </w:tblPr>
      <w:tblGrid>
        <w:gridCol w:w="1009"/>
        <w:gridCol w:w="886"/>
        <w:gridCol w:w="895"/>
        <w:gridCol w:w="109"/>
        <w:gridCol w:w="109"/>
        <w:gridCol w:w="109"/>
        <w:gridCol w:w="323"/>
        <w:gridCol w:w="323"/>
        <w:gridCol w:w="323"/>
        <w:gridCol w:w="323"/>
        <w:gridCol w:w="323"/>
        <w:gridCol w:w="323"/>
        <w:gridCol w:w="323"/>
        <w:gridCol w:w="109"/>
        <w:gridCol w:w="109"/>
        <w:gridCol w:w="109"/>
        <w:gridCol w:w="203"/>
        <w:gridCol w:w="203"/>
        <w:gridCol w:w="263"/>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996"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op w:val="single" w:sz="2" w:space="0" w:color="D1D0C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left w:val="single" w:sz="2" w:space="0" w:color="D1D0CF"/>
            </w:tcBorders>
            <w:shd w:fill="D1D0C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7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dollar-denominated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dollar-denominated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Interest income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Interest income and other decreased by $18 million for the three months ended March 31, 2026 compared to the same period in 2025 primarily due to:</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changes in fair value of other restricted investments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lower interest earned on Canadian and U.S. dollar-denominated short-term investments.</w:t>
      </w:r>
    </w:p>
    <w:p>
      <w:pPr>
        <w:pStyle w:val="TextBody"/>
        <w:bidi w:val="0"/>
        <w:spacing w:before="0" w:after="10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23</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INCOME TAX (EXPENSE) RECOVERY</w:t>
      </w:r>
    </w:p>
    <w:tbl>
      <w:tblPr>
        <w:tblW w:w="10205" w:type="dxa"/>
        <w:jc w:val="left"/>
        <w:tblInd w:w="0" w:type="dxa"/>
        <w:tblLayout w:type="fixed"/>
        <w:tblCellMar>
          <w:top w:w="28" w:type="dxa"/>
          <w:left w:w="28" w:type="dxa"/>
          <w:bottom w:w="28" w:type="dxa"/>
          <w:right w:w="28" w:type="dxa"/>
        </w:tblCellMar>
      </w:tblPr>
      <w:tblGrid>
        <w:gridCol w:w="2416"/>
        <w:gridCol w:w="2067"/>
        <w:gridCol w:w="2072"/>
        <w:gridCol w:w="109"/>
        <w:gridCol w:w="109"/>
        <w:gridCol w:w="109"/>
        <w:gridCol w:w="109"/>
        <w:gridCol w:w="109"/>
        <w:gridCol w:w="376"/>
        <w:gridCol w:w="376"/>
        <w:gridCol w:w="415"/>
        <w:gridCol w:w="376"/>
        <w:gridCol w:w="377"/>
        <w:gridCol w:w="109"/>
        <w:gridCol w:w="109"/>
        <w:gridCol w:w="109"/>
        <w:gridCol w:w="295"/>
        <w:gridCol w:w="296"/>
        <w:gridCol w:w="267"/>
      </w:tblGrid>
      <w:tr>
        <w:trPr/>
        <w:tc>
          <w:tcPr>
            <w:tcW w:w="2416"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185" w:type="dxa"/>
            <w:gridSpan w:val="6"/>
            <w:tcBorders/>
          </w:tcPr>
          <w:p>
            <w:pPr>
              <w:pStyle w:val="TableContents"/>
              <w:bidi w:val="0"/>
              <w:spacing w:before="0" w:after="283"/>
              <w:jc w:val="left"/>
              <w:rPr>
                <w:sz w:val="4"/>
                <w:szCs w:val="4"/>
              </w:rPr>
            </w:pPr>
            <w:r>
              <w:rPr>
                <w:sz w:val="4"/>
                <w:szCs w:val="4"/>
              </w:rPr>
            </w:r>
          </w:p>
        </w:tc>
      </w:tr>
      <w:tr>
        <w:trPr/>
        <w:tc>
          <w:tcPr>
            <w:tcW w:w="655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5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tax (expense) recovery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(316)</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(292)</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Specific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Resolution of legal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 intercompany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Expected credit loss provision on net investment in leases and certain contract assets in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 unrealized fair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Risk management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48</w:t>
            </w: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tax (expense) recovery</w:t>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(254)</w:t>
            </w:r>
          </w:p>
        </w:tc>
        <w:tc>
          <w:tcPr>
            <w:tcW w:w="37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(293)</w:t>
            </w:r>
          </w:p>
        </w:tc>
        <w:tc>
          <w:tcPr>
            <w:tcW w:w="26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Income tax expense decreased by $39 million for the three months ended March 31, 2026 compared to the same period in 2025. The income tax impacts on specified items referenced throughout the MD&amp;A have been removed from our calculation of Income tax expense included in comparable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Income tax expense included in comparable earnings increased by $24 million for the three months ended March 31, 2026 compared to the same period in 2025 primarily due to a change in geographic and business mix of earnings and higher flow-through income taxes, partially offset by the impact of Mexico foreign exchange exposure. </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NET (INCOME) LOSS ATTRIBUTABLE TO NON-CONTROLLING INTERESTS</w:t>
      </w:r>
    </w:p>
    <w:tbl>
      <w:tblPr>
        <w:tblW w:w="10205" w:type="dxa"/>
        <w:jc w:val="left"/>
        <w:tblInd w:w="0" w:type="dxa"/>
        <w:tblLayout w:type="fixed"/>
        <w:tblCellMar>
          <w:top w:w="28" w:type="dxa"/>
          <w:left w:w="28" w:type="dxa"/>
          <w:bottom w:w="28" w:type="dxa"/>
          <w:right w:w="28" w:type="dxa"/>
        </w:tblCellMar>
      </w:tblPr>
      <w:tblGrid>
        <w:gridCol w:w="2010"/>
        <w:gridCol w:w="1356"/>
        <w:gridCol w:w="1349"/>
        <w:gridCol w:w="467"/>
        <w:gridCol w:w="467"/>
        <w:gridCol w:w="1167"/>
        <w:gridCol w:w="109"/>
        <w:gridCol w:w="109"/>
        <w:gridCol w:w="109"/>
        <w:gridCol w:w="215"/>
        <w:gridCol w:w="302"/>
        <w:gridCol w:w="215"/>
        <w:gridCol w:w="215"/>
        <w:gridCol w:w="323"/>
        <w:gridCol w:w="258"/>
        <w:gridCol w:w="215"/>
        <w:gridCol w:w="195"/>
        <w:gridCol w:w="195"/>
        <w:gridCol w:w="196"/>
        <w:gridCol w:w="284"/>
        <w:gridCol w:w="285"/>
        <w:gridCol w:w="164"/>
      </w:tblGrid>
      <w:tr>
        <w:trPr/>
        <w:tc>
          <w:tcPr>
            <w:tcW w:w="201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op w:val="single" w:sz="2" w:space="0" w:color="0D64EF"/>
              <w:left w:val="single" w:sz="2" w:space="0" w:color="D1D0CF"/>
              <w:right w:val="single" w:sz="2" w:space="0" w:color="D1D0CF"/>
            </w:tcBorders>
            <w:shd w:fill="D1D0CF" w:val="clear"/>
            <w:tcMar>
              <w:bottom w:w="0" w:type="dxa"/>
            </w:tcMar>
            <w:vAlign w:val="center"/>
          </w:tcPr>
          <w:p>
            <w:pPr>
              <w:pStyle w:val="TableContents"/>
              <w:bidi w:val="0"/>
              <w:spacing w:before="0" w:after="283"/>
              <w:jc w:val="left"/>
              <w:rPr>
                <w:sz w:val="4"/>
                <w:szCs w:val="4"/>
              </w:rPr>
            </w:pPr>
            <w:r>
              <w:rPr>
                <w:sz w:val="4"/>
                <w:szCs w:val="4"/>
              </w:rPr>
            </w:r>
          </w:p>
        </w:tc>
        <w:tc>
          <w:tcPr>
            <w:tcW w:w="210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Non-Controlling Interests</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Ownership at </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319" w:type="dxa"/>
            <w:gridSpan w:val="6"/>
            <w:tcBorders/>
          </w:tcPr>
          <w:p>
            <w:pPr>
              <w:pStyle w:val="TableContents"/>
              <w:bidi w:val="0"/>
              <w:spacing w:before="0" w:after="283"/>
              <w:jc w:val="left"/>
              <w:rPr>
                <w:sz w:val="4"/>
                <w:szCs w:val="4"/>
              </w:rPr>
            </w:pPr>
            <w:r>
              <w:rPr>
                <w:sz w:val="4"/>
                <w:szCs w:val="4"/>
              </w:rPr>
            </w:r>
          </w:p>
        </w:tc>
      </w:tr>
      <w:tr>
        <w:trPr/>
        <w:tc>
          <w:tcPr>
            <w:tcW w:w="4715" w:type="dxa"/>
            <w:gridSpan w:val="3"/>
            <w:tcBorders>
              <w:left w:val="single" w:sz="2" w:space="0" w:color="D1D0CF"/>
              <w:right w:val="single" w:sz="2" w:space="0" w:color="D1D0CF"/>
            </w:tcBorders>
            <w:shd w:fill="D1D0CF" w:val="clear"/>
            <w:tcMar>
              <w:top w:w="0" w:type="dxa"/>
              <w:bottom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210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left w:val="single" w:sz="2" w:space="0" w:color="D1D0CF"/>
            </w:tcBorders>
            <w:shd w:fill="D1D0C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D64EF"/>
              <w:left w:val="single" w:sz="2" w:space="0" w:color="D1D0CF"/>
            </w:tcBorders>
            <w:shd w:fill="D1D0CF" w:val="clear"/>
            <w:tcMar>
              <w:top w:w="3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96" w:type="dxa"/>
            <w:gridSpan w:val="3"/>
            <w:tcBorders>
              <w:top w:val="single" w:sz="2" w:space="0" w:color="0D64EF"/>
              <w:left w:val="single" w:sz="2" w:space="0" w:color="D1D0CF"/>
            </w:tcBorders>
            <w:shd w:fill="D1D0C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D64EF"/>
              <w:left w:val="single" w:sz="2" w:space="0" w:color="D1D0CF"/>
              <w:right w:val="single" w:sz="2" w:space="0" w:color="D1D0CF"/>
            </w:tcBorders>
            <w:shd w:fill="D1D0CF" w:val="clear"/>
            <w:tcMar>
              <w:top w:w="30" w:type="dxa"/>
              <w:bottom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733" w:type="dxa"/>
            <w:gridSpan w:val="3"/>
            <w:tcBorders/>
          </w:tcPr>
          <w:p>
            <w:pPr>
              <w:pStyle w:val="TableContents"/>
              <w:bidi w:val="0"/>
              <w:spacing w:before="0" w:after="283"/>
              <w:jc w:val="left"/>
              <w:rPr>
                <w:sz w:val="4"/>
                <w:szCs w:val="4"/>
              </w:rPr>
            </w:pPr>
            <w:r>
              <w:rPr>
                <w:sz w:val="4"/>
                <w:szCs w:val="4"/>
              </w:rPr>
            </w:r>
          </w:p>
        </w:tc>
      </w:tr>
      <w:tr>
        <w:trPr/>
        <w:tc>
          <w:tcPr>
            <w:tcW w:w="471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Columbia Gas and Columbia Gulf</w:t>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w:t>
            </w:r>
          </w:p>
        </w:tc>
        <w:tc>
          <w:tcPr>
            <w:tcW w:w="116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(219)</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TGNH</w:t>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13.01</w:t>
            </w:r>
          </w:p>
        </w:tc>
        <w:tc>
          <w:tcPr>
            <w:tcW w:w="116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Texas Wind Farms</w:t>
            </w:r>
            <w:r>
              <w:rPr>
                <w:rFonts w:ascii="sans-serif" w:hAnsi="sans-serif"/>
                <w:b w:val="false"/>
                <w:color w:val="000000"/>
                <w:sz w:val="12"/>
              </w:rPr>
              <w:t>1</w:t>
            </w:r>
          </w:p>
        </w:tc>
        <w:tc>
          <w:tcPr>
            <w:tcW w:w="9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w:t>
            </w:r>
          </w:p>
        </w:tc>
        <w:tc>
          <w:tcPr>
            <w:tcW w:w="1167"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10 </w:t>
            </w:r>
          </w:p>
        </w:tc>
        <w:tc>
          <w:tcPr>
            <w:tcW w:w="164" w:type="dxa"/>
            <w:tcBorders/>
            <w:tcMar>
              <w:top w:w="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4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non-controlling interests included in comparable earnings</w:t>
            </w:r>
          </w:p>
        </w:tc>
        <w:tc>
          <w:tcPr>
            <w:tcW w:w="21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(225)</w:t>
            </w:r>
          </w:p>
        </w:tc>
        <w:tc>
          <w:tcPr>
            <w:tcW w:w="21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w:t>
            </w:r>
          </w:p>
        </w:tc>
        <w:tc>
          <w:tcPr>
            <w:tcW w:w="16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items:</w:t>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 intercompany loan</w:t>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8 </w:t>
            </w:r>
          </w:p>
        </w:tc>
        <w:tc>
          <w:tcPr>
            <w:tcW w:w="16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Expected credit loss provision on net investment in leases </w:t>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non-controlling interests</w:t>
            </w:r>
          </w:p>
        </w:tc>
        <w:tc>
          <w:tcPr>
            <w:tcW w:w="210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(224)</w:t>
            </w:r>
          </w:p>
        </w:tc>
        <w:tc>
          <w:tcPr>
            <w:tcW w:w="21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(169)</w:t>
            </w:r>
          </w:p>
        </w:tc>
        <w:tc>
          <w:tcPr>
            <w:tcW w:w="16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    Tax equity investors own 100 per cent of the Class A Membership Interests, to which a percentage of earnings, tax attributes and cash flows are allocated. We own 100 per cent of the Class B Membership Interests.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 xml:space="preserve">Net income attributable to non-controlling interests increased by $55 million for the three months ended March 31, 2026 compared to the same period in 2025 and included the following specific items which have been excluded from our calculation of Net (income) loss attributable to non-controlling interests included in comparable earnings: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the non-controlling interest portion of the unrealized foreign exchange gains and losses on the TGNH peso-denominated intercompany loan payable to TCPL </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the expected credit loss provision related to the TGNH net investment in leases.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income attributable to non-controlling interests included in comparable earnings increased by $48 million for the three months ended March 31, 2026 compared to the same period in 2025 resulting from higher net income recognized from the Columbia Gas and Columbia Gulf assets.</w:t>
      </w:r>
    </w:p>
    <w:p>
      <w:pPr>
        <w:pStyle w:val="TextBody"/>
        <w:bidi w:val="0"/>
        <w:spacing w:before="0" w:after="1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PREFERRED SHARE DIVIDENDS</w:t>
      </w:r>
    </w:p>
    <w:tbl>
      <w:tblPr>
        <w:tblW w:w="6462" w:type="dxa"/>
        <w:jc w:val="left"/>
        <w:tblInd w:w="0" w:type="dxa"/>
        <w:tblLayout w:type="fixed"/>
        <w:tblCellMar>
          <w:top w:w="28" w:type="dxa"/>
          <w:left w:w="28" w:type="dxa"/>
          <w:bottom w:w="28" w:type="dxa"/>
          <w:right w:w="28" w:type="dxa"/>
        </w:tblCellMar>
      </w:tblPr>
      <w:tblGrid>
        <w:gridCol w:w="1009"/>
        <w:gridCol w:w="887"/>
        <w:gridCol w:w="893"/>
        <w:gridCol w:w="109"/>
        <w:gridCol w:w="109"/>
        <w:gridCol w:w="109"/>
        <w:gridCol w:w="323"/>
        <w:gridCol w:w="323"/>
        <w:gridCol w:w="323"/>
        <w:gridCol w:w="323"/>
        <w:gridCol w:w="323"/>
        <w:gridCol w:w="323"/>
        <w:gridCol w:w="323"/>
        <w:gridCol w:w="109"/>
        <w:gridCol w:w="109"/>
        <w:gridCol w:w="109"/>
        <w:gridCol w:w="247"/>
        <w:gridCol w:w="248"/>
        <w:gridCol w:w="263"/>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85"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7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Preferred share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Preferred share dividends were consistent for the three months ended March 31, 2026 compared to the same period in 2025 primarily due to the offsetting impacts of the redemption of preferred shares in 2025 and dividend rate resets on and conversions of certain series of preferred shares in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25</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Foreign exchange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RELATED TO U.S. DOLLAR-DENOMINATED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 As our U.S. dollar-denominated operations continue to grow, this exposure increases. A portion of the U.S. dollar-denominated comparable EBITDA exposure is naturally offset by U.S. dollar-denominated amounts below comparable EBITDA within Depreciation and amortization, Interest expense and other income statement line items. A portion of the remaining exposure is actively managed on a rolling forward basis up to three years using foreign exchange derivatives; however, the natural exposure beyond that period remains. The net impact of the U.S. dollar movements on comparable earnings during the three months ended March 31, 2026 after considering natural offsets and economic hedges was not significant.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components of our financial results denominated in U.S. dollars are set out in the table below, including our U.S. Natural Gas Pipelines and Mexico Natural Gas Pipelines operations. Comparable EBITDA is a non-GAAP measure.</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PRE-TAX U.S. DOLLAR-DENOMINATED INCOME AND EXPENSE ITEMS</w:t>
      </w:r>
    </w:p>
    <w:tbl>
      <w:tblPr>
        <w:tblW w:w="10205" w:type="dxa"/>
        <w:jc w:val="left"/>
        <w:tblInd w:w="0" w:type="dxa"/>
        <w:tblLayout w:type="fixed"/>
        <w:tblCellMar>
          <w:top w:w="28" w:type="dxa"/>
          <w:left w:w="28" w:type="dxa"/>
          <w:bottom w:w="28" w:type="dxa"/>
          <w:right w:w="28" w:type="dxa"/>
        </w:tblCellMar>
      </w:tblPr>
      <w:tblGrid>
        <w:gridCol w:w="2417"/>
        <w:gridCol w:w="2075"/>
        <w:gridCol w:w="2014"/>
        <w:gridCol w:w="109"/>
        <w:gridCol w:w="109"/>
        <w:gridCol w:w="109"/>
        <w:gridCol w:w="260"/>
        <w:gridCol w:w="260"/>
        <w:gridCol w:w="260"/>
        <w:gridCol w:w="260"/>
        <w:gridCol w:w="477"/>
        <w:gridCol w:w="294"/>
        <w:gridCol w:w="260"/>
        <w:gridCol w:w="109"/>
        <w:gridCol w:w="109"/>
        <w:gridCol w:w="109"/>
        <w:gridCol w:w="353"/>
        <w:gridCol w:w="353"/>
        <w:gridCol w:w="268"/>
      </w:tblGrid>
      <w:tr>
        <w:trPr/>
        <w:tc>
          <w:tcPr>
            <w:tcW w:w="241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50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301" w:type="dxa"/>
            <w:gridSpan w:val="6"/>
            <w:tcBorders/>
          </w:tcPr>
          <w:p>
            <w:pPr>
              <w:pStyle w:val="TableContents"/>
              <w:bidi w:val="0"/>
              <w:spacing w:before="0" w:after="283"/>
              <w:jc w:val="left"/>
              <w:rPr>
                <w:sz w:val="4"/>
                <w:szCs w:val="4"/>
              </w:rPr>
            </w:pPr>
            <w:r>
              <w:rPr>
                <w:sz w:val="4"/>
                <w:szCs w:val="4"/>
              </w:rPr>
            </w:r>
          </w:p>
        </w:tc>
      </w:tr>
      <w:tr>
        <w:trPr/>
        <w:tc>
          <w:tcPr>
            <w:tcW w:w="650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5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U.S. Natural Gas Pipelines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1,091</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315</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163 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1,406</w:t>
            </w:r>
            <w:r>
              <w:rPr>
                <w:color w:val="000000"/>
              </w:rPr>
              <w:t> </w:t>
            </w:r>
          </w:p>
        </w:tc>
        <w:tc>
          <w:tcPr>
            <w:tcW w:w="26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1,116 </w:t>
            </w:r>
          </w:p>
        </w:tc>
        <w:tc>
          <w:tcPr>
            <w:tcW w:w="26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(193)</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 on long-term debt and junior subordinated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(422)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(429)</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166 </w:t>
            </w:r>
          </w:p>
        </w:tc>
        <w:tc>
          <w:tcPr>
            <w:tcW w:w="26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 included in comparable earnings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659</w:t>
            </w:r>
            <w:r>
              <w:rPr>
                <w:color w:val="000000"/>
              </w:rPr>
              <w:t> </w:t>
            </w:r>
          </w:p>
        </w:tc>
        <w:tc>
          <w:tcPr>
            <w:tcW w:w="26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576 </w:t>
            </w:r>
          </w:p>
        </w:tc>
        <w:tc>
          <w:tcPr>
            <w:tcW w:w="26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Average exchange rate – U.S. to Canadian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8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1.37</w:t>
            </w:r>
            <w:r>
              <w:rPr>
                <w:color w:val="000000"/>
              </w:rPr>
              <w:t> </w:t>
            </w:r>
          </w:p>
        </w:tc>
        <w:tc>
          <w:tcPr>
            <w:tcW w:w="26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1.43 </w:t>
            </w:r>
          </w:p>
        </w:tc>
        <w:tc>
          <w:tcPr>
            <w:tcW w:w="26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RELATED TO MEXICO NATURAL GAS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Changes in the value of the Mexican peso against the U.S. dollar can affect our comparable earnings as a portion of our Mexico Natural Gas Pipelines' monetary assets and liabilities are peso-denominated, while our financial results are denominated in U.S. dollars for our Mexico operations. These peso-denominated balances are revalued to U.S. dollars, creating foreign exchange gains and losses that are included in Income (loss) from equity investments, Foreign exchange (gains) losses, net and Net income (loss) attributable to non-controlling interests in the Condensed consolidated statement of income.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foreign exchange gains or losses calculated for Mexico income tax purposes on the revaluation of U.S. dollar</w:t>
        <w:noBreakHyphen/>
        <w:t>denominated monetary assets and liabilities result in a peso-denominated income tax exposure for these entities, leading to fluctuations in Income from equity investments and Income tax expense. This exposure increases as our U.S. dollar</w:t>
        <w:noBreakHyphen/>
        <w:t>denominated net monetary liabilities grow.</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above exposures are managed using foreign exchange derivatives, although some unhedged exposure remains. The impacts of the foreign exchange derivatives are recorded in Foreign exchange (gains) losses, net in the Condensed consolidated statement of income. Refer to the Financial risks and financial instruments section for additional information.</w:t>
      </w:r>
    </w:p>
    <w:p>
      <w:pPr>
        <w:pStyle w:val="TextBody"/>
        <w:bidi w:val="0"/>
        <w:spacing w:before="0" w:after="1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period end exchange rates for one U.S. dollar to Mexican pesos were as follows:</w:t>
      </w:r>
    </w:p>
    <w:tbl>
      <w:tblPr>
        <w:tblW w:w="3153" w:type="dxa"/>
        <w:jc w:val="left"/>
        <w:tblInd w:w="0" w:type="dxa"/>
        <w:tblLayout w:type="fixed"/>
        <w:tblCellMar>
          <w:top w:w="28" w:type="dxa"/>
          <w:left w:w="28" w:type="dxa"/>
          <w:bottom w:w="28" w:type="dxa"/>
          <w:right w:w="28" w:type="dxa"/>
        </w:tblCellMar>
      </w:tblPr>
      <w:tblGrid>
        <w:gridCol w:w="707"/>
        <w:gridCol w:w="620"/>
        <w:gridCol w:w="624"/>
        <w:gridCol w:w="109"/>
        <w:gridCol w:w="109"/>
        <w:gridCol w:w="109"/>
        <w:gridCol w:w="360"/>
        <w:gridCol w:w="361"/>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18.05</w:t>
            </w:r>
            <w:r>
              <w:rPr>
                <w:color w:val="000000"/>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December 31, 2024</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20.87 </w:t>
            </w:r>
          </w:p>
        </w:tc>
        <w:tc>
          <w:tcPr>
            <w:tcW w:w="15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 summary of the impacts of transactional foreign exchange gains and losses from changes in the value of the Mexican peso against the U.S. dollar and associated derivatives is set out in the table below: </w:t>
      </w:r>
    </w:p>
    <w:tbl>
      <w:tblPr>
        <w:tblW w:w="10205" w:type="dxa"/>
        <w:jc w:val="left"/>
        <w:tblInd w:w="0" w:type="dxa"/>
        <w:tblLayout w:type="fixed"/>
        <w:tblCellMar>
          <w:top w:w="28" w:type="dxa"/>
          <w:left w:w="28" w:type="dxa"/>
          <w:bottom w:w="28" w:type="dxa"/>
          <w:right w:w="28" w:type="dxa"/>
        </w:tblCellMar>
      </w:tblPr>
      <w:tblGrid>
        <w:gridCol w:w="2501"/>
        <w:gridCol w:w="2158"/>
        <w:gridCol w:w="2139"/>
        <w:gridCol w:w="109"/>
        <w:gridCol w:w="109"/>
        <w:gridCol w:w="109"/>
        <w:gridCol w:w="282"/>
        <w:gridCol w:w="282"/>
        <w:gridCol w:w="282"/>
        <w:gridCol w:w="282"/>
        <w:gridCol w:w="315"/>
        <w:gridCol w:w="282"/>
        <w:gridCol w:w="282"/>
        <w:gridCol w:w="109"/>
        <w:gridCol w:w="109"/>
        <w:gridCol w:w="109"/>
        <w:gridCol w:w="238"/>
        <w:gridCol w:w="239"/>
        <w:gridCol w:w="269"/>
      </w:tblGrid>
      <w:tr>
        <w:trPr/>
        <w:tc>
          <w:tcPr>
            <w:tcW w:w="250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73" w:type="dxa"/>
            <w:gridSpan w:val="6"/>
            <w:tcBorders/>
          </w:tcPr>
          <w:p>
            <w:pPr>
              <w:pStyle w:val="TableContents"/>
              <w:bidi w:val="0"/>
              <w:spacing w:before="0" w:after="283"/>
              <w:jc w:val="left"/>
              <w:rPr>
                <w:sz w:val="4"/>
                <w:szCs w:val="4"/>
              </w:rPr>
            </w:pPr>
            <w:r>
              <w:rPr>
                <w:sz w:val="4"/>
                <w:szCs w:val="4"/>
              </w:rPr>
            </w:r>
          </w:p>
        </w:tc>
      </w:tr>
      <w:tr>
        <w:trPr/>
        <w:tc>
          <w:tcPr>
            <w:tcW w:w="679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79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 - Mexico Natural Gas Pipelines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Foreign exchange gains (losses), net included in 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included in comparable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Net (income) loss attributable to non-controlling interests included in comparable earnings</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28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26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the foreign exchange impacts from the Sur de Texas joint venture recorded in Income (loss) from equity investments in the Condensed consolidated statement of income.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2Represents the non-controlling interest portion related to TGNH. Refer to the Corporate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CANADIAN NATURAL GAS PIPELINES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NGTL System</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the three months ended March 31, 2026, the NGTL System placed approximately $0.4 billion of capacity projects into service, including $0.1 billion of Multi-Year Growth Plan (MYGP) projects.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Multi-Year Growth Plan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2025-2029 NGTL Settlement enables an investment framework that supports our Board of Directors' approval to allocate up to $3.3 billion of capital towards progression of the MYGP for expansion facilities to meet commitments on the NGTL System. It is comprised of multiple distinct projects with various targeted in-service dates, subject to final company and regulatory approvals. As of March 31, 2026, approximately $1.1 billion of expansion facilities have received FID, with various in-service dates starting in 2026. As we have continued to evaluate plans for each MYGP facility, we do not expect that all facilities up to the Board-approved capital allocation will be required to satisfy our MYGP capacity commitments of approximately 1.0 Bcf/d of incremental system throughput.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Valhalla North and Berland River Project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Valhalla North and Berland River project continues to advance. The Valhalla section, which consists of approximately 33 km (21 miles) of new pipeline, was placed in service in third quarter 2025, with a capital cost of approximately $0.2 billion. The construction of the Berland River non</w:t>
        <w:noBreakHyphen/>
        <w:t>emitting electric compressor unit was completed in first quarter 2026, with a capital cost of approximately $0.3 billion, and is expected to be operational in the second half of 2026 upon completion of the third-party power transmission connection. The project is designed to provide incremental capacity on the NGTL System of approximately 428 TJ/d (400 MMcf/d).</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Canadian Mainline Settlement</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March 2026, we filed an application with the CER seeking approval of a four</w:t>
        <w:noBreakHyphen/>
        <w:t>year negotiated settlement governing the Canadian Mainline tolls and service for the period from January 2027 through December 2030. The proposed settlement, supported by our customers and other interested parties, maintains a return on equity of 10.1 per cent on 40 per cent deemed common equity and includes an incentive mechanism designed to encourage cost management and revenue optimization, with benefits shared between customers and us. This incentive provides the opportunity to outperform the approved rate of return. In addition, TC Energy has committed up to $200 million of capital to support incremental capacity, with targeted returns that exceed the approved return on equity.</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Coastal GasLink</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Coastal GasLink Pipeline Phase 2 Expansion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March 2026, Coastal GasLink Limited Partnership (Coastal GasLink LP) entered into commercial agreements with LNG Canada (LNGC), which establish a framework for advancing a proposed expansion of the Coastal GasLink pipeline (the CGL Phase 2 Expansion) to enable the delivery of incremental pipeline capacity to the LNGC export facility in Kitimat, British Columbia. The commercial structure of the agreements includes limits on Coastal GasLink LP's capital commitments and overall liability for construction cost and schedule risks. Under the agreements, LNGC will lead project construction as the     CGL Phase 2 Expansion execution manager and Coastal GasLink LP will provide LNGC technical advisory services. The CGL Phase 2 Expansion remains subject to FID by LNGC and its joint venture participants, as well as approval by Coastal GasLink LP.</w: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28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28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U.S. NATURAL GAS PIPELINES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ANR Section 4 Rate Case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April 2025, ANR filed a Section 4 Rate Case with FERC requesting an increase to its overall maximum transportation rates effective November 1, 2025, subject to refund. On March 18, 2026, ANR notified FERC that it has reached a settlement-in-principle with its customers. ANR expects the final settlement to include an increase relative to pre-filed rates, subject to revision following completion and approval of settlement terms, which we anticipate in third quarter 2026.</w:t>
      </w:r>
    </w:p>
    <w:p>
      <w:pPr>
        <w:pStyle w:val="TextBody"/>
        <w:bidi w:val="0"/>
        <w:spacing w:lineRule="auto" w:line="348" w:before="120" w:after="283"/>
        <w:jc w:val="both"/>
        <w:rPr>
          <w:rFonts w:ascii="sans-serif" w:hAnsi="sans-serif"/>
          <w:b/>
          <w:color w:val="0D64EF"/>
          <w:sz w:val="22"/>
        </w:rPr>
      </w:pPr>
      <w:r>
        <w:rPr>
          <w:rFonts w:ascii="sans-serif" w:hAnsi="sans-serif"/>
          <w:b/>
          <w:color w:val="0D64EF"/>
          <w:sz w:val="22"/>
        </w:rPr>
        <w:t>Great Lakes Section 4 Rate Case</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April 2025, Great Lakes filed a Section 4 Rate Case with FERC requesting an increase to its maximum transportation rates effective November 1, 2025, subject to refund. On April 28, 2026, Great Lakes notified FERC that it has reached a settlement-in-principle with its customers, subject to revision following completion and approval of settlement terms, which we anticipate in fourth quarter 2026.</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Appalachia Supply Project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April 2026, we approved the Appalachia Supply project, an expansion project of our Columbia Gas system designed to provide up to 0.8 Bcf/d of capacity to facilitate expanded new natural gas-fired power generation. The project has an anticipated in-service date of 2030 and an estimated project cost of approximately US$1.5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MEXICO NATURAL GAS PIPELINES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TGNH Strategic Alliance with the CFE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CFE is an equity partner in TGNH with a 13.01 per cent equity interest, which is expected to increase to a maximum of 15 per cent, subject to regulatory approvals, and will increase to approximately     35 per cent upon expiry of the contract in 2055.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29</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Financial condition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strive to maintain financial strength and flexibility in all parts of the economic cycle. We rely on our operating cash flows to sustain our business, pay dividends and fund a portion of our growth. In addition, we access capital markets and engage in portfolio management activities to meet our financing needs and to manage our capital structure and credit ratings.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believe that we have the financial capacity to fund our existing capital program through predictable cash flows from operations, access to capital markets, portfolio management activities, joint ventures, asset-level financing, cash on hand and substantial committed credit facilities. Annually, in the fourth quarter, we renew and extend our credit facilities as required.</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At March 31, 2026, our current assets totaled $6.8 billion and current liabilities amounted to $10.3 billion, leaving us with a working capital deficit of $3.5 billion compared to a deficit of $3.7 billion at December 31, 2025, excluding discontinued operations. Our working capital deficiency is considered to be in the normal course of business and is managed through:</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our ability to generate predictable cash flows from operations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total of $7.9 billion of TCPL committed revolving credit facilities, of which $6.8 billion of short-term borrowing capacity remains available, net of $1.1 billion backstopping outstanding commercial paper balances, and arrangements for a further $2.0 billion of demand credit facilities, of which $1.2 billion remains available as of March 31,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additional $2.1 billion of committed revolving credit facilities at certain of our subsidiaries and affiliates, of which         $0.9 billion of short-term borrowing capacity remains available as of March 31, 2026, net of $1.2 billion backstopping outstanding commercial paper balances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our access to capital markets, including through securities issuances, incremental credit facilities, capital rotation and DRP, if deemed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CASH PROVIDED BY OPERATING ACTIVITIES</w:t>
      </w:r>
    </w:p>
    <w:tbl>
      <w:tblPr>
        <w:tblW w:w="9422" w:type="dxa"/>
        <w:jc w:val="left"/>
        <w:tblInd w:w="0" w:type="dxa"/>
        <w:tblLayout w:type="fixed"/>
        <w:tblCellMar>
          <w:top w:w="28" w:type="dxa"/>
          <w:left w:w="28" w:type="dxa"/>
          <w:bottom w:w="28" w:type="dxa"/>
          <w:right w:w="28" w:type="dxa"/>
        </w:tblCellMar>
      </w:tblPr>
      <w:tblGrid>
        <w:gridCol w:w="1948"/>
        <w:gridCol w:w="1712"/>
        <w:gridCol w:w="1724"/>
        <w:gridCol w:w="109"/>
        <w:gridCol w:w="109"/>
        <w:gridCol w:w="109"/>
        <w:gridCol w:w="323"/>
        <w:gridCol w:w="323"/>
        <w:gridCol w:w="323"/>
        <w:gridCol w:w="323"/>
        <w:gridCol w:w="477"/>
        <w:gridCol w:w="323"/>
        <w:gridCol w:w="323"/>
        <w:gridCol w:w="109"/>
        <w:gridCol w:w="109"/>
        <w:gridCol w:w="109"/>
        <w:gridCol w:w="353"/>
        <w:gridCol w:w="353"/>
        <w:gridCol w:w="263"/>
      </w:tblGrid>
      <w:tr>
        <w:trPr/>
        <w:tc>
          <w:tcPr>
            <w:tcW w:w="194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6" w:type="dxa"/>
            <w:gridSpan w:val="6"/>
            <w:tcBorders/>
          </w:tcPr>
          <w:p>
            <w:pPr>
              <w:pStyle w:val="TableContents"/>
              <w:bidi w:val="0"/>
              <w:spacing w:before="0" w:after="283"/>
              <w:jc w:val="left"/>
              <w:rPr>
                <w:sz w:val="4"/>
                <w:szCs w:val="4"/>
              </w:rPr>
            </w:pPr>
            <w:r>
              <w:rPr>
                <w:sz w:val="4"/>
                <w:szCs w:val="4"/>
              </w:rPr>
            </w:r>
          </w:p>
        </w:tc>
      </w:tr>
      <w:tr>
        <w:trPr/>
        <w:tc>
          <w:tcPr>
            <w:tcW w:w="538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3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cash provided by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2,603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Increase (decrease) in operating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(259)</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Funds generated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2,344</w:t>
            </w:r>
            <w:r>
              <w:rPr>
                <w:color w:val="000000"/>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1,949 </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Specific item: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Current income tax expense on resolution of legal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funds generated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2,336</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1,949 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Net cash provided by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cash provided by operations increased by $1,244 million for the three months ended March 31, 2026 compared to the same period in 2025 primarily due to the timing of working capital changes and higher funds generated from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Comparable funds generated from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funds generated from operations, a non-GAAP measure, helps us assess the cash generating ability of our businesses by excluding the timing effects of working capital changes, as well as the cash impact of our specific items.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Comparable funds generated from operations increased by $387 million for the three months ended March 31, 2026 compared to the same period in 2025 primarily due to higher comparable earnings and higher distributions from our equity investments.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CASH (USED IN) PROVIDED BY INVESTING ACTIVITIES</w:t>
      </w:r>
    </w:p>
    <w:tbl>
      <w:tblPr>
        <w:tblW w:w="9402" w:type="dxa"/>
        <w:jc w:val="left"/>
        <w:tblInd w:w="0" w:type="dxa"/>
        <w:tblLayout w:type="fixed"/>
        <w:tblCellMar>
          <w:top w:w="28" w:type="dxa"/>
          <w:left w:w="28" w:type="dxa"/>
          <w:bottom w:w="28" w:type="dxa"/>
          <w:right w:w="28" w:type="dxa"/>
        </w:tblCellMar>
      </w:tblPr>
      <w:tblGrid>
        <w:gridCol w:w="1907"/>
        <w:gridCol w:w="1673"/>
        <w:gridCol w:w="1685"/>
        <w:gridCol w:w="109"/>
        <w:gridCol w:w="109"/>
        <w:gridCol w:w="109"/>
        <w:gridCol w:w="323"/>
        <w:gridCol w:w="323"/>
        <w:gridCol w:w="323"/>
        <w:gridCol w:w="323"/>
        <w:gridCol w:w="487"/>
        <w:gridCol w:w="323"/>
        <w:gridCol w:w="323"/>
        <w:gridCol w:w="109"/>
        <w:gridCol w:w="109"/>
        <w:gridCol w:w="109"/>
        <w:gridCol w:w="397"/>
        <w:gridCol w:w="398"/>
        <w:gridCol w:w="263"/>
      </w:tblGrid>
      <w:tr>
        <w:trPr/>
        <w:tc>
          <w:tcPr>
            <w:tcW w:w="190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385" w:type="dxa"/>
            <w:gridSpan w:val="6"/>
            <w:tcBorders/>
          </w:tcPr>
          <w:p>
            <w:pPr>
              <w:pStyle w:val="TableContents"/>
              <w:bidi w:val="0"/>
              <w:spacing w:before="0" w:after="283"/>
              <w:jc w:val="left"/>
              <w:rPr>
                <w:sz w:val="4"/>
                <w:szCs w:val="4"/>
              </w:rPr>
            </w:pPr>
            <w:r>
              <w:rPr>
                <w:sz w:val="4"/>
                <w:szCs w:val="4"/>
              </w:rPr>
            </w:r>
          </w:p>
        </w:tc>
      </w:tr>
      <w:tr>
        <w:trPr/>
        <w:tc>
          <w:tcPr>
            <w:tcW w:w="526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2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Capital spending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(1,070)</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(1,560)</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Capital projects in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(233)</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(1,307)</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(1,809)</w:t>
            </w:r>
          </w:p>
        </w:tc>
        <w:tc>
          <w:tcPr>
            <w:tcW w:w="26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distributions from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Deferred amounts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cash (used in) 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(1,264)</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(1,736)</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Net cash used in investing activities decreased by $472 million for the three months ended March 31, 2026 compared to the same period in 2025 primarily due to decreased capital spending in 2026.</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Capital expenditures incurred for the three months ended March 31, 2026 were primarily for capital spending across our U.S. Natural Gas Pipelines asset footprint, NGTL System expansion projects and maintenance capital expenditures. Lower capital expenditures for the three months ended March 31, 2026 compared to the same period in 2025 reflect the completion of the Southeast Gateway pipeline and ANR projects in 2025.</w:t>
      </w:r>
    </w:p>
    <w:p>
      <w:pPr>
        <w:pStyle w:val="TextBody"/>
        <w:bidi w:val="0"/>
        <w:spacing w:before="0" w:after="1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31</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CASH (USED IN) PROVIDED BY FINANCING ACTIVITIES</w:t>
      </w:r>
    </w:p>
    <w:tbl>
      <w:tblPr>
        <w:tblW w:w="9462" w:type="dxa"/>
        <w:jc w:val="left"/>
        <w:tblInd w:w="0" w:type="dxa"/>
        <w:tblLayout w:type="fixed"/>
        <w:tblCellMar>
          <w:top w:w="28" w:type="dxa"/>
          <w:left w:w="28" w:type="dxa"/>
          <w:bottom w:w="28" w:type="dxa"/>
          <w:right w:w="28" w:type="dxa"/>
        </w:tblCellMar>
      </w:tblPr>
      <w:tblGrid>
        <w:gridCol w:w="1927"/>
        <w:gridCol w:w="1692"/>
        <w:gridCol w:w="1706"/>
        <w:gridCol w:w="109"/>
        <w:gridCol w:w="109"/>
        <w:gridCol w:w="109"/>
        <w:gridCol w:w="323"/>
        <w:gridCol w:w="323"/>
        <w:gridCol w:w="323"/>
        <w:gridCol w:w="323"/>
        <w:gridCol w:w="467"/>
        <w:gridCol w:w="343"/>
        <w:gridCol w:w="323"/>
        <w:gridCol w:w="109"/>
        <w:gridCol w:w="109"/>
        <w:gridCol w:w="109"/>
        <w:gridCol w:w="397"/>
        <w:gridCol w:w="398"/>
        <w:gridCol w:w="263"/>
      </w:tblGrid>
      <w:tr>
        <w:trPr/>
        <w:tc>
          <w:tcPr>
            <w:tcW w:w="192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385" w:type="dxa"/>
            <w:gridSpan w:val="6"/>
            <w:tcBorders/>
          </w:tcPr>
          <w:p>
            <w:pPr>
              <w:pStyle w:val="TableContents"/>
              <w:bidi w:val="0"/>
              <w:spacing w:before="0" w:after="283"/>
              <w:jc w:val="left"/>
              <w:rPr>
                <w:sz w:val="4"/>
                <w:szCs w:val="4"/>
              </w:rPr>
            </w:pPr>
            <w:r>
              <w:rPr>
                <w:sz w:val="4"/>
                <w:szCs w:val="4"/>
              </w:rPr>
            </w:r>
          </w:p>
        </w:tc>
      </w:tr>
      <w:tr>
        <w:trPr/>
        <w:tc>
          <w:tcPr>
            <w:tcW w:w="532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3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Notes payable issued (repaid),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issued, net of issue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2,427 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repaid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(510)</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(2,009)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 issued, net of issue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Dividends and distributions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(1,288)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(1,103)</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shares issued, net of issue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Amounts related to factoring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(226)</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Loan from affiliate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Net cash (used in) provided by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(443)</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1,546 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Long-term debt repaid/retired</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The following table outlines significant long-term debt repaid/retired in the three months ended March 31, 2026:</w:t>
      </w:r>
    </w:p>
    <w:tbl>
      <w:tblPr>
        <w:tblW w:w="10205" w:type="dxa"/>
        <w:jc w:val="left"/>
        <w:tblInd w:w="0" w:type="dxa"/>
        <w:tblLayout w:type="fixed"/>
        <w:tblCellMar>
          <w:top w:w="28" w:type="dxa"/>
          <w:left w:w="28" w:type="dxa"/>
          <w:bottom w:w="28" w:type="dxa"/>
          <w:right w:w="28" w:type="dxa"/>
        </w:tblCellMar>
      </w:tblPr>
      <w:tblGrid>
        <w:gridCol w:w="423"/>
        <w:gridCol w:w="372"/>
        <w:gridCol w:w="375"/>
        <w:gridCol w:w="293"/>
        <w:gridCol w:w="293"/>
        <w:gridCol w:w="293"/>
        <w:gridCol w:w="622"/>
        <w:gridCol w:w="622"/>
        <w:gridCol w:w="624"/>
        <w:gridCol w:w="268"/>
        <w:gridCol w:w="268"/>
        <w:gridCol w:w="268"/>
        <w:gridCol w:w="854"/>
        <w:gridCol w:w="814"/>
        <w:gridCol w:w="803"/>
        <w:gridCol w:w="109"/>
        <w:gridCol w:w="109"/>
        <w:gridCol w:w="109"/>
        <w:gridCol w:w="305"/>
        <w:gridCol w:w="305"/>
        <w:gridCol w:w="306"/>
        <w:gridCol w:w="109"/>
        <w:gridCol w:w="109"/>
        <w:gridCol w:w="109"/>
        <w:gridCol w:w="306"/>
        <w:gridCol w:w="292"/>
        <w:gridCol w:w="845"/>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7192"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87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Repayment date</w:t>
            </w:r>
          </w:p>
        </w:tc>
        <w:tc>
          <w:tcPr>
            <w:tcW w:w="804"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11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770" w:type="dxa"/>
            <w:gridSpan w:val="6"/>
            <w:tcBorders/>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917"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February 2026</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8.29</w:t>
            </w:r>
          </w:p>
        </w:tc>
        <w:tc>
          <w:tcPr>
            <w:tcW w:w="845"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3917"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TC Energía Mexicana, S. de R.L. de C.V.</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March 2026</w:t>
            </w:r>
          </w:p>
        </w:tc>
        <w:tc>
          <w:tcPr>
            <w:tcW w:w="804"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Senior Unsecured Term Loan</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168</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Floating</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770" w:type="dxa"/>
            <w:gridSpan w:val="6"/>
            <w:tcBorders/>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770" w:type="dxa"/>
            <w:gridSpan w:val="6"/>
            <w:tcBorders/>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Subsequent debt repayment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On April 13, 2026, TCPL fully repaid and retired $400 million of medium term notes bearing interest at a fixed rate of 4.35 per cent.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Junior subordinated notes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outlines significant junior subordinated notes issued in the three months ended March 31, 2026:</w:t>
      </w:r>
    </w:p>
    <w:tbl>
      <w:tblPr>
        <w:tblW w:w="10205" w:type="dxa"/>
        <w:jc w:val="left"/>
        <w:tblInd w:w="0" w:type="dxa"/>
        <w:tblLayout w:type="fixed"/>
        <w:tblCellMar>
          <w:top w:w="28" w:type="dxa"/>
          <w:left w:w="28" w:type="dxa"/>
          <w:bottom w:w="28" w:type="dxa"/>
          <w:right w:w="28" w:type="dxa"/>
        </w:tblCellMar>
      </w:tblPr>
      <w:tblGrid>
        <w:gridCol w:w="732"/>
        <w:gridCol w:w="645"/>
        <w:gridCol w:w="650"/>
        <w:gridCol w:w="166"/>
        <w:gridCol w:w="166"/>
        <w:gridCol w:w="166"/>
        <w:gridCol w:w="429"/>
        <w:gridCol w:w="427"/>
        <w:gridCol w:w="223"/>
        <w:gridCol w:w="166"/>
        <w:gridCol w:w="166"/>
        <w:gridCol w:w="166"/>
        <w:gridCol w:w="820"/>
        <w:gridCol w:w="534"/>
        <w:gridCol w:w="330"/>
        <w:gridCol w:w="109"/>
        <w:gridCol w:w="109"/>
        <w:gridCol w:w="109"/>
        <w:gridCol w:w="382"/>
        <w:gridCol w:w="382"/>
        <w:gridCol w:w="384"/>
        <w:gridCol w:w="109"/>
        <w:gridCol w:w="109"/>
        <w:gridCol w:w="109"/>
        <w:gridCol w:w="305"/>
        <w:gridCol w:w="305"/>
        <w:gridCol w:w="306"/>
        <w:gridCol w:w="109"/>
        <w:gridCol w:w="109"/>
        <w:gridCol w:w="109"/>
        <w:gridCol w:w="263"/>
        <w:gridCol w:w="263"/>
        <w:gridCol w:w="353"/>
        <w:gridCol w:w="141"/>
        <w:gridCol w:w="141"/>
        <w:gridCol w:w="213"/>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86"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498"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Issue date </w:t>
            </w:r>
          </w:p>
        </w:tc>
        <w:tc>
          <w:tcPr>
            <w:tcW w:w="498"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Maturity date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6"/>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0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498"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February 2026</w:t>
            </w:r>
          </w:p>
        </w:tc>
        <w:tc>
          <w:tcPr>
            <w:tcW w:w="498"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August 2056</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500 </w:t>
            </w:r>
          </w:p>
        </w:tc>
        <w:tc>
          <w:tcPr>
            <w:tcW w:w="30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5.13</w:t>
            </w:r>
          </w:p>
        </w:tc>
        <w:tc>
          <w:tcPr>
            <w:tcW w:w="353" w:type="dxa"/>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c>
          <w:tcPr>
            <w:tcW w:w="495" w:type="dxa"/>
            <w:gridSpan w:val="3"/>
            <w:tcBorders>
              <w:bottom w:val="single" w:sz="2" w:space="0" w:color="002060"/>
            </w:tcBorders>
            <w:shd w:fill="FFFFFF" w:val="clear"/>
            <w:tcMar>
              <w:top w:w="0" w:type="dxa"/>
              <w:left w:w="0" w:type="dxa"/>
              <w:bottom w:w="30" w:type="dxa"/>
              <w:right w:w="0" w:type="dxa"/>
            </w:tcMar>
            <w:vAlign w:val="center"/>
          </w:tcPr>
          <w:p>
            <w:pPr>
              <w:pStyle w:val="TableContents"/>
              <w:bidi w:val="0"/>
              <w:spacing w:lineRule="auto" w:line="264" w:before="0" w:after="40"/>
              <w:jc w:val="left"/>
              <w:rPr>
                <w:rFonts w:ascii="sans-serif" w:hAnsi="sans-serif"/>
                <w:b w:val="false"/>
                <w:color w:val="000000"/>
                <w:sz w:val="12"/>
              </w:rPr>
            </w:pPr>
            <w:r>
              <w:rPr>
                <w:rFonts w:ascii="sans-serif" w:hAnsi="sans-serif"/>
                <w:b w:val="false"/>
                <w:color w:val="000000"/>
                <w:sz w:val="12"/>
              </w:rPr>
              <w:t>1</w:t>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6"/>
            <w:tcBorders/>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6"/>
            <w:tcBorders/>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    Fixed rate of interest per year until August 20, 2031, and resetting every five years thereafter, subject to a rate-reset minimum.</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April 17, 2026, TCPL issued US$500 million of junior subordinated notes, maturing in October 2056 with a fixed interest rate of 6.13 per cent and US$500 million of junior subordinated notes, maturing in October 2056 with a fixed interest rate of 6.38 per cent. We intend to use the net proceeds from these issuances, combined with the net proceeds of the 5.13 per cent junior subordinated notes issued in February 2026, to fund the redemption price of the US$1.2 billion in aggregate principal amount of outstanding Trust Notes - Series 2016-A issued by TransCanada Trust, a wholly owned financing trust subsidiary of TCPL, in August 2026 pursuant to their terms. Prior to such redemption, the funds will be used to reduce other indebtedness of TC Energy and for general corporate purposes. Refer to Note 8, Junior subordinated notes, of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32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DIVIDENDS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Board of Directors have declared a quarterly dividend on our outstanding common shares of $0.8775 per common share for the quarter ending June 30, 2026.</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SHARE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At April 24, 2026, we had approximately 1.0 billion issued and outstanding common shares and approximately 1.4 million outstanding and exercisable options to buy common shares.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January 30, 2026, the remaining 1,929,407 Series 6 preferred shares were converted, on a one-for-one basis, into 1,929,407 Series 5 preferred shares and Series 6 preferred shares were delisted from the TSX at the close of markets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CREDIT FACILITIES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At April 24, 2026, we had a total of $7.8 billion of TCPL committed revolving credit facilities, of which $6.8 billion of     short-term borrowing capacity remains available, net of $1.0 billion backstopping outstanding commercial paper balances. We also have arrangements in place for a further $2.0 billion of demand credit facilities, of which $1.2 billion remains available.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we have $2.1 billion of committed revolving credit facilities at certain of our subsidiaries and affiliates, of which $1.1 billion of borrowing capacity remains available at April 24, 2026, net of $1.0 billion backstopping outstanding commercial paper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CONTRACTUAL OBLIGATIONS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Capital expenditure commitments at March 31, 2026 were approximately $1.3 billion (December 31, 2025 - approximately     $0.8 billion), reflecting contractual commitments entered into for construction on U.S. natural gas pipelines primarily related to the construction costs associated with ANR and other pipeline projects.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There were no material changes to our contractual obligations in first quarter 2026 or to payments due in the next five years or thereafter. Refer to our 2025 Annual Report for additional information about our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33</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Financial risks and 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are exposed to various financial risks and have strategies, policies and limits in place to manage the impact of these risks on our earnings, cash flows and, ultimately, shareholder value.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Risk management strategies, policies and limits are designed to ensure our risks and related exposures are in line with our business objectives and risk tolerance.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Refer to our 2025 Annual Report for additional information about the risks we face in our business which have not changed materially since December 31, 2025, other than as noted within this MD&amp;A.</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INTEREST RATE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utilize both short- and long-term debt to finance our operations which exposes us to interest rate risk. We typically pay fixed rates of interest on our long-term debt and floating rates on short-term debt including our commercial paper programs and amounts drawn on our credit facilities. A small portion of our long-term debt bears interest at floating rates. In addition, we are exposed to interest rate risk on financial instruments and contractual obligations containing variable interest rate components. We actively manage our interest rate risk using interest rate derivatives.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FOREIGN EXCHANGE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 portion of our Mexico Natural Gas Pipelines' monetary assets and liabilities are peso-denominated, while our Mexico operations' financial results are denominated in U.S. dollars. Therefore, changes in the value of the Mexican peso against the U.S. dollar can affect our comparable earnings. In addition, foreign exchange gains or losses calculated for Mexico income tax purposes on the revaluation of U.S. dollar-denominated monetary assets and liabilities result in a peso-denominated income tax exposure for these entities, leading to fluctuations in Income (loss) from equity investments and Income tax expense (recovery) in the Condensed consolidated statement of income.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actively manage a portion of our foreign exchange risk using foreign exchange derivatives. Refer to the Foreign exchange section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hedge a portion of our net investment in foreign operations (on an after-tax basis) with U.S. dollar-denominated debt as appropriate.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COUNTERPARTY CREDIT RISK</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We have exposure to counterparty credit risk in a number of areas including:</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cash and cash equivalents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accounts receivable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available-for-sale assets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fair value of derivative assets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 xml:space="preserve">net investment in leases and certain contract assets in Mexico.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Market events causing disruptions in global energy demand and supply may contribute to economic uncertainties impacting a number of our customers. While the majority of our credit exposure is to large creditworthy entities, we maintain close monitoring and communication with those counterparties experiencing greater financial pressures. Refer to our 2025 Annual Report for more information about the factors that mitigate our counterparty credit risk exposure.</w:t>
      </w:r>
    </w:p>
    <w:p>
      <w:pPr>
        <w:pStyle w:val="TextBody"/>
        <w:bidi w:val="0"/>
        <w:spacing w:before="0" w:after="1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34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review financial assets carried at amortized cost for impairment using the lifetime expected loss of the financial asset at initial recognition and throughout the life of the financial asset. We use historical credit loss and recovery data, adjusted for our judgment regarding current economic and credit conditions, along with reasonable and supportable forecasts to determine if any impairment, should be recognized in Plant operating costs and other. At March 31, 2026, we had no significant credit risk concentrations, with the exception of the CFE, which represents approximately 33 per cent of gross exposure. At this time, there were no significant amounts past due or impaired. We recorded a pre-tax expense of $19 million on the expected credit loss provision on the TGNH net investment in leases and certain contract assets in Mexico for the three months ended March 31, 2026 (2025 – pre-tax recovery of $2 million). Refer to Note 12, Risk management and financial instruments, of our Condensed consolidated financial statements for additional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have significant credit and performance exposure to financial institutions that hold cash deposits and provide committed credit lines and letters of credit that help manage our exposure to counterparties and provide liquidity in commodity, foreign exchange and interest rate derivative markets. Our portfolio of financial sector exposure consists primarily of highly-rated investment grade, systemically important financial institutions.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LIQUIDITY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Liquidity risk is the risk that we will not be able to meet our financial obligations as they come due. We manage our liquidity risk by continuously forecasting our cash flows and ensuring we have adequate cash balances, cash flows from operations, committed and demand credit facilities and access to capital markets to meet our operating, financing and capital expenditure obligations under both normal and stressed economic conditions.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With the exception of Long-term debt and Junior subordinated notes, our derivative and non-derivative financial instruments are recorded on the balance sheet at fair value unless they were entered into and continue to be held for the purpose of receipt or delivery in accordance with our normal purchase and sales exemptions and are documented as such. In addition, fair value accounting is not required for other financial instruments that qualify for certain accounting exemptions.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use derivative instruments to reduce volatility associated with fluctuations in commodity prices, interest rates and foreign exchange rates. Derivative instruments, including those that qualify and are designated for hedge accounting treatment, are recorded at fair value.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majority of derivative instruments that are not designated or do not qualify for hedge accounting treatment have been entered into as economic hedges to manage our exposure to market risk and are classified as held-for-trading. Changes in the fair value of held-for-trading derivative instruments are recorded in net income in the period of change. This may expose us to increased variability in reported operating results since the fair value of the held-for-trading derivative instruments can fluctuate significantly from period to period.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recognition of gains and losses on derivatives for Canadian natural gas regulated pipeline exposures is determined through the regulatory process. Gains and losses arising from changes in the fair value of derivatives accounted for as part of RRA, including those that qualify for hedge accounting treatment, are expected to be refunded or recovered through the tolls charged by us. As a result, these gains and losses are deferred as regulatory liabilities or regulatory assets and are refunded to or collected from the ratepayers in subsequent years when the derivative settles.</w:t>
      </w:r>
    </w:p>
    <w:p>
      <w:pPr>
        <w:pStyle w:val="TextBody"/>
        <w:bidi w:val="0"/>
        <w:spacing w:before="0" w:after="10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35</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Balance sheet presentation of derivative instruments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balance sheet presentation of the fair value of derivative instruments were as follows:</w:t>
      </w:r>
    </w:p>
    <w:tbl>
      <w:tblPr>
        <w:tblW w:w="7076" w:type="dxa"/>
        <w:jc w:val="left"/>
        <w:tblInd w:w="0" w:type="dxa"/>
        <w:tblLayout w:type="fixed"/>
        <w:tblCellMar>
          <w:top w:w="28" w:type="dxa"/>
          <w:left w:w="28" w:type="dxa"/>
          <w:bottom w:w="28" w:type="dxa"/>
          <w:right w:w="28" w:type="dxa"/>
        </w:tblCellMar>
      </w:tblPr>
      <w:tblGrid>
        <w:gridCol w:w="966"/>
        <w:gridCol w:w="849"/>
        <w:gridCol w:w="855"/>
        <w:gridCol w:w="109"/>
        <w:gridCol w:w="109"/>
        <w:gridCol w:w="109"/>
        <w:gridCol w:w="550"/>
        <w:gridCol w:w="550"/>
        <w:gridCol w:w="551"/>
        <w:gridCol w:w="109"/>
        <w:gridCol w:w="109"/>
        <w:gridCol w:w="109"/>
        <w:gridCol w:w="615"/>
        <w:gridCol w:w="615"/>
        <w:gridCol w:w="871"/>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both"/>
              <w:rPr>
                <w:rFonts w:ascii="sans-serif" w:hAnsi="sans-serif"/>
                <w:b w:val="false"/>
                <w:color w:val="000000"/>
                <w:sz w:val="18"/>
              </w:rPr>
            </w:pPr>
            <w:r>
              <w:rPr>
                <w:rFonts w:ascii="sans-serif" w:hAnsi="sans-serif"/>
                <w:b w:val="false"/>
                <w:color w:val="000000"/>
                <w:sz w:val="18"/>
              </w:rPr>
              <w:t>(millions of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26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476</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438 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161 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(571)</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(380)</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(164)</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(149)</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(119)</w:t>
            </w:r>
          </w:p>
        </w:tc>
        <w:tc>
          <w:tcPr>
            <w:tcW w:w="5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8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Unrealized and realized gains (losses) on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summary does not include hedges of our net investment in foreign operations.</w:t>
      </w:r>
    </w:p>
    <w:tbl>
      <w:tblPr>
        <w:tblW w:w="8787" w:type="dxa"/>
        <w:jc w:val="left"/>
        <w:tblInd w:w="0" w:type="dxa"/>
        <w:tblLayout w:type="fixed"/>
        <w:tblCellMar>
          <w:top w:w="28" w:type="dxa"/>
          <w:left w:w="28" w:type="dxa"/>
          <w:bottom w:w="28" w:type="dxa"/>
          <w:right w:w="28" w:type="dxa"/>
        </w:tblCellMar>
      </w:tblPr>
      <w:tblGrid>
        <w:gridCol w:w="1848"/>
        <w:gridCol w:w="1626"/>
        <w:gridCol w:w="1640"/>
        <w:gridCol w:w="109"/>
        <w:gridCol w:w="109"/>
        <w:gridCol w:w="109"/>
        <w:gridCol w:w="323"/>
        <w:gridCol w:w="323"/>
        <w:gridCol w:w="323"/>
        <w:gridCol w:w="323"/>
        <w:gridCol w:w="323"/>
        <w:gridCol w:w="323"/>
        <w:gridCol w:w="323"/>
        <w:gridCol w:w="109"/>
        <w:gridCol w:w="109"/>
        <w:gridCol w:w="109"/>
        <w:gridCol w:w="247"/>
        <w:gridCol w:w="248"/>
        <w:gridCol w:w="263"/>
      </w:tblGrid>
      <w:tr>
        <w:trPr/>
        <w:tc>
          <w:tcPr>
            <w:tcW w:w="184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85" w:type="dxa"/>
            <w:gridSpan w:val="6"/>
            <w:tcBorders/>
          </w:tcPr>
          <w:p>
            <w:pPr>
              <w:pStyle w:val="TableContents"/>
              <w:bidi w:val="0"/>
              <w:spacing w:before="0" w:after="283"/>
              <w:jc w:val="left"/>
              <w:rPr>
                <w:sz w:val="4"/>
                <w:szCs w:val="4"/>
              </w:rPr>
            </w:pPr>
            <w:r>
              <w:rPr>
                <w:sz w:val="4"/>
                <w:szCs w:val="4"/>
              </w:rPr>
            </w:r>
          </w:p>
        </w:tc>
      </w:tr>
      <w:tr>
        <w:trPr/>
        <w:tc>
          <w:tcPr>
            <w:tcW w:w="511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1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Derivative Instruments Held for Trading</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Unrealized gains (losses)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(60)</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(249)</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Instruments in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pPr>
      <w:r>
        <w:rPr>
          <w:rFonts w:ascii="sans-serif" w:hAnsi="sans-serif"/>
          <w:b w:val="false"/>
          <w:color w:val="000000"/>
          <w:sz w:val="16"/>
        </w:rPr>
        <w:t>1Realized and unrealized gains (losses) on held-for-trading derivative instruments used to purchase and sell commodities are included on a net basis in Revenues in the Condensed consolidated statement of income. Realized and unrealized gains (losses) on foreign exchange and interest rate held</w:t>
      </w:r>
      <w:r>
        <w:rPr>
          <w:color w:val="000000"/>
        </w:rPr>
        <w:noBreakHyphen/>
      </w:r>
      <w:r>
        <w:rPr>
          <w:rFonts w:ascii="sans-serif" w:hAnsi="sans-serif"/>
          <w:b w:val="false"/>
          <w:color w:val="000000"/>
          <w:sz w:val="16"/>
        </w:rPr>
        <w:t>for</w:t>
      </w:r>
      <w:r>
        <w:rPr>
          <w:color w:val="000000"/>
        </w:rPr>
        <w:noBreakHyphen/>
      </w:r>
      <w:r>
        <w:rPr>
          <w:rFonts w:ascii="sans-serif" w:hAnsi="sans-serif"/>
          <w:b w:val="false"/>
          <w:color w:val="000000"/>
          <w:sz w:val="16"/>
        </w:rPr>
        <w:t xml:space="preserve">trading derivative instruments are included on a net basis in Foreign exchange (gains) losses, net and Interest expense, respectively, in the Condensed consolidated statement of income.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further details on our non-derivative and derivative financial instruments, including classification assumptions made in the calculation of fair value and additional discussion of exposure to risks and mitigation activities, refer to Note 12, Risk management and financial instruments, 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36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Other information</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CONTROLS AND PROCEDURES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Management, including our President and CEO and our CFO, evaluated the effectiveness of our disclosure controls and procedures as at March 31, 2026, as required by the Canadian securities regulatory authorities and by the SEC and concluded that our disclosure controls and procedures are effective at a reasonable assurance level.</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There were no changes in first quarter 2026 that had or are likely to have a material impact on our internal controls over financial reporting.</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CRITICAL ACCOUNTING ESTIMATES AND ACCOUNTING POLICY CHANGES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When we prepare financial statements that conform with U.S. GAAP, we are required to make estimates and assumptions that affect the timing and amounts we record for our assets, liabilities, revenues and expenses because these items may be affected by future events. We base the estimates and assumptions on the most current information available, using our best judgment. We also regularly assess the assets and liabilities themselves. In addition to the items discussed below, refer to our 2025 Annual Report for a listing of critical accounting estimates.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Impairment of goodwill</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Goodwill is tested for impairment on an annual basis, or more frequently if events or changes in circumstances indicate it might be impaired. We can initially make this assessment based on qualitative factors. If we conclude that it is not more likely than not that the fair value of the reporting unit is greater than its carrying value, we will then perform a quantitative goodwill impairment test.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estimated fair value in excess of the carrying value was less than 10 per cent on our Great Lakes reporting unit at the date of our last quantitative goodwill impairment test. Any future reductions in cash flow forecasts or adverse changes in other key assumptions could result in a future impairment of our goodwill balance.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Accounting changes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significant accounting policies have remained unchanged since December 31, 2025 other than as described in         Note 2, Accounting changes, of our Condensed consolidated financial statements. A summary of our significant accounting policies is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Quarterly results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SELECTED QUARTERLY CONSOLIDATED FINANCIAL DATA</w:t>
      </w:r>
    </w:p>
    <w:tbl>
      <w:tblPr>
        <w:tblW w:w="12401"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479"/>
        <w:gridCol w:w="482"/>
        <w:gridCol w:w="196"/>
        <w:gridCol w:w="109"/>
        <w:gridCol w:w="109"/>
        <w:gridCol w:w="109"/>
        <w:gridCol w:w="360"/>
        <w:gridCol w:w="361"/>
        <w:gridCol w:w="266"/>
        <w:gridCol w:w="109"/>
        <w:gridCol w:w="109"/>
        <w:gridCol w:w="109"/>
        <w:gridCol w:w="360"/>
        <w:gridCol w:w="361"/>
        <w:gridCol w:w="216"/>
        <w:gridCol w:w="109"/>
        <w:gridCol w:w="109"/>
        <w:gridCol w:w="109"/>
        <w:gridCol w:w="360"/>
        <w:gridCol w:w="361"/>
        <w:gridCol w:w="286"/>
        <w:gridCol w:w="109"/>
        <w:gridCol w:w="109"/>
        <w:gridCol w:w="109"/>
        <w:gridCol w:w="360"/>
        <w:gridCol w:w="361"/>
        <w:gridCol w:w="191"/>
        <w:gridCol w:w="109"/>
        <w:gridCol w:w="109"/>
        <w:gridCol w:w="109"/>
        <w:gridCol w:w="479"/>
        <w:gridCol w:w="482"/>
        <w:gridCol w:w="266"/>
        <w:gridCol w:w="109"/>
        <w:gridCol w:w="109"/>
        <w:gridCol w:w="109"/>
        <w:gridCol w:w="360"/>
        <w:gridCol w:w="361"/>
        <w:gridCol w:w="216"/>
        <w:gridCol w:w="109"/>
        <w:gridCol w:w="109"/>
        <w:gridCol w:w="109"/>
        <w:gridCol w:w="360"/>
        <w:gridCol w:w="361"/>
        <w:gridCol w:w="286"/>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21"/>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center"/>
              <w:rPr/>
            </w:pPr>
            <w:r>
              <w:rPr>
                <w:rFonts w:ascii="sans-serif" w:hAnsi="sans-serif"/>
                <w:b/>
                <w:color w:val="000000"/>
                <w:sz w:val="18"/>
              </w:rPr>
              <w:t>2024</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First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Fourth</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Third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Second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First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Fourth</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Third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Second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4,168</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3,704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3,744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3,623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3,577</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3,358</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3,327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Net income (loss)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980</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609</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978</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971</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1,457</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1,069 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1,338 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00000"/>
                <w:sz w:val="18"/>
              </w:rPr>
              <w:t>Comparable earnings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1,031</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1,018</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805</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848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1,094</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978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1,018 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share statistics: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Net income (loss) per common share – 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$0.58</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($0.09)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00000"/>
                <w:sz w:val="18"/>
              </w:rPr>
              <w:t>Comparable earnings per common share</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$0.99</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$0.98</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$0.77</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$0.95</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$1.05</w:t>
            </w: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$0.94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$0.79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00000"/>
                <w:sz w:val="18"/>
              </w:rPr>
              <w:t>Dividends declared per common share</w:t>
            </w:r>
            <w:r>
              <w:rPr>
                <w:rFonts w:ascii="sans-serif" w:hAnsi="sans-serif"/>
                <w:b w:val="false"/>
                <w:color w:val="000000"/>
                <w:sz w:val="12"/>
              </w:rPr>
              <w:t>3</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19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26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21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28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$0.85</w:t>
            </w:r>
            <w:r>
              <w:rPr>
                <w:color w:val="000000"/>
              </w:rPr>
              <w:t> </w:t>
            </w:r>
          </w:p>
        </w:tc>
        <w:tc>
          <w:tcPr>
            <w:tcW w:w="19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$0.8225</w:t>
            </w:r>
            <w:r>
              <w:rPr>
                <w:color w:val="000000"/>
              </w:rPr>
              <w:t> </w:t>
            </w:r>
          </w:p>
        </w:tc>
        <w:tc>
          <w:tcPr>
            <w:tcW w:w="26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$0.96</w:t>
            </w:r>
            <w:r>
              <w:rPr>
                <w:color w:val="000000"/>
              </w:rPr>
              <w:t> </w:t>
            </w:r>
          </w:p>
        </w:tc>
        <w:tc>
          <w:tcPr>
            <w:tcW w:w="21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$0.96</w:t>
            </w:r>
            <w:r>
              <w:rPr>
                <w:color w:val="000000"/>
              </w:rPr>
              <w:t> </w:t>
            </w:r>
          </w:p>
        </w:tc>
        <w:tc>
          <w:tcPr>
            <w:tcW w:w="28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Discontinued operations represents nine months of Liquids Pipelines earnings in 2024.</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    Additional information on the most directly comparable GAAP measure can be found in the Non-GAAP measures section.</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    Dividends declared in fourth quarter 2024 and thereafter reflect TC Energy’s proportionate allocation following the Spinoff Transaction.</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FACTORS AFFECTING QUARTERLY FINANCIAL INFORMATION BY BUSINESS SEGMENT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Quarter-over-quarter revenues and net income fluctuate for reasons that vary across our business segments. In addition to the factors below, our revenues and segmented earnings (losses) are impacted by fluctuations in foreign exchange rates, mainly related to our U.S. dollar-denominated operations and our peso-denominated exposure. Refer to the Foreign exchange section for additional information.</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our Natural Gas Pipelines business, except for seasonal fluctuations in short-term throughput volumes on U.S. pipelines, quarter-over-quarter revenues and segmented earnings (losses) generally remain relatively stable during any fiscal year.     Over the long term, however, they fluctuate because of:</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regulatory decisions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negotiated settlements with customers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newly constructed assets being placed in service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natural gas marketing activities and commodity prices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developments outside of the normal course of operations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certain fair value adjustments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provisions for expected credit losses on net investment in leases and certain contract assets in Mexico.</w:t>
      </w:r>
    </w:p>
    <w:p>
      <w:pPr>
        <w:pStyle w:val="TextBody"/>
        <w:bidi w:val="0"/>
        <w:spacing w:before="0" w:after="10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38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38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In Power and Energy Solutions, quarter-over-quarter revenues and segmented earnings (losses) are affected by: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weather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customer demand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newly constructed assets being placed in service</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acquisitions and divestitures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market prices for natural gas and power</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capacity prices and payments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power marketing and trading activities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planned and unplanned plant outages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developments outside of the normal course of operations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certain fair value adjustments.</w:t>
      </w:r>
    </w:p>
    <w:p>
      <w:pPr>
        <w:pStyle w:val="TextBody"/>
        <w:bidi w:val="0"/>
        <w:spacing w:lineRule="auto" w:line="348" w:before="160" w:after="283"/>
        <w:jc w:val="left"/>
        <w:rPr>
          <w:rFonts w:ascii="sans-serif" w:hAnsi="sans-serif"/>
          <w:b/>
          <w:color w:val="0D64EF"/>
          <w:sz w:val="22"/>
        </w:rPr>
      </w:pPr>
      <w:r>
        <w:rPr>
          <w:rFonts w:ascii="sans-serif" w:hAnsi="sans-serif"/>
          <w:b/>
          <w:color w:val="0D64EF"/>
          <w:sz w:val="22"/>
        </w:rPr>
        <w:t>FACTORS AFFECTING FINANCIAL INFORMATION BY QUARTER</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     Refer to the Non-GAAP measures section for additional information. </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first quarter 2026,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$58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$33 million related to the resolution of certain legal matters within our U.S. Natural Gas Pipelines segment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$17 million on the expected credit loss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fourth quarter 2025,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impairment charge of $110 million for certain Power and Energy Solutions projects following our decision to discontinue development along with updated forecast assumptions as we refocus our Power and Energy Solutions strategy</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$47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$4 million on the expected credit loss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third quarter 2025,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$87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$12 million on the expected credit loss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second quarter 2025,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$132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$93 million on the expected credit loss provision related to TGNH net investment in leases, net of     non-controlling interest as well as on certain contract assets in Mexico.</w:t>
      </w:r>
    </w:p>
    <w:p>
      <w:pPr>
        <w:pStyle w:val="TextBody"/>
        <w:bidi w:val="0"/>
        <w:spacing w:before="0" w:after="10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right"/>
                        <w:rPr/>
                      </w:pPr>
                      <w:r>
                        <w:rPr>
                          <w:rFonts w:ascii="sans-serif" w:hAnsi="sans-serif"/>
                          <w:b w:val="false"/>
                          <w:color w:val="000000"/>
                          <w:sz w:val="20"/>
                        </w:rPr>
                        <w:t xml:space="preserve">TC Energy </w:t>
                      </w:r>
                      <w:r>
                        <w:rPr>
                          <w:rFonts w:ascii="sans-serif" w:hAnsi="sans-serif"/>
                          <w:b/>
                          <w:color w:val="0D64EF"/>
                          <w:sz w:val="20"/>
                        </w:rPr>
                        <w:t>First Quarter</w:t>
                      </w:r>
                      <w:r>
                        <w:rPr>
                          <w:color w:val="237CC1"/>
                        </w:rPr>
                        <w:t xml:space="preserve"> </w:t>
                      </w:r>
                      <w:r>
                        <w:rPr>
                          <w:rFonts w:ascii="sans-serif" w:hAnsi="sans-serif"/>
                          <w:b w:val="false"/>
                          <w:color w:val="000000"/>
                          <w:sz w:val="20"/>
                        </w:rPr>
                        <w:t>2026 | 39</w:t>
                      </w:r>
                    </w:p>
                  </w:txbxContent>
                </v:textbox>
                <w10:wrap type="none"/>
              </v:rect>
            </w:pict>
          </mc:Fallback>
        </mc:AlternateConten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first quarter 2025,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$3 million on the peso-denominated intercompany loan between TCPL and TGNH, net of non-controlling interest</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recovery of $2 million on the expected credit loss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fourth quarter 2024,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net gain on debt extinguishment of $228 million related to the purchase and cancellation of certain senior unsecured notes and medium term notes and the retirement of outstanding callable notes in October 2024</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gains, net, of $143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recovery of $3 million on the expected credit loss provision related to TGNH net investment in leases, net of     non-controlling interest as well as on certain contract assets in Mexico</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deferred income tax expense of $96 million resulting from the revaluation of remaining deferred tax balances following the Spinoff Transaction</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impairment charge of $36 million for a Power and Energy Solutions project following our decision to discontinue development as we refocus our Power and Energy Solutions strategy</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$9 million related to Focus Project costs.</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 xml:space="preserve">In third quarter 2024, comparable earnings from continuing operations also excluded: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gain of $572 million related to the sale of PNGTS which was completed on August 2024</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$52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expense of $5 million on the expected credit loss provision related to TGNH net investment in leases, net of     non-controlling interest as well as on certain contract assets in Mexico</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a pre-tax expense of $5 million related to Focus Project costs.</w:t>
      </w:r>
    </w:p>
    <w:p>
      <w:pPr>
        <w:pStyle w:val="TextBody"/>
        <w:bidi w:val="0"/>
        <w:spacing w:lineRule="auto" w:line="348" w:before="0" w:after="0"/>
        <w:ind w:left="0" w:right="0" w:hanging="180"/>
        <w:jc w:val="left"/>
        <w:rPr>
          <w:rFonts w:ascii="sans-serif" w:hAnsi="sans-serif"/>
          <w:b w:val="false"/>
          <w:color w:val="000000"/>
          <w:sz w:val="20"/>
        </w:rPr>
      </w:pPr>
      <w:r>
        <w:rPr>
          <w:rFonts w:ascii="sans-serif" w:hAnsi="sans-serif"/>
          <w:b w:val="false"/>
          <w:color w:val="000000"/>
          <w:sz w:val="20"/>
        </w:rPr>
        <w:t>In second quarter 2024, comparable earnings from continuing operations also excluded: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gain of $48 million related to the sale of non-core assets in U.S. Natural Gas Pipelines and Canadian Natural Gas Pipelines segments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pre-tax unrealized foreign exchange losses, net, of $3 million on the peso-denominated intercompany loan between TCPL and TGNH, net of non-controlling interest</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 pre-tax recovery of $3 million on the expected credit loss provision related to TGNH net investment in leases, net of     non-controlling interest as well as on certain contract assets in Mexico</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pre-tax costs of $10 million related to the NGTL System ownership transfer.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EXHIBIT 13.2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8" w:before="0" w:after="0"/>
                              <w:jc w:val="left"/>
                              <w:rPr/>
                            </w:pPr>
                            <w:r>
                              <w:rPr>
                                <w:rFonts w:ascii="sans-serif" w:hAnsi="sans-serif"/>
                                <w:b w:val="false"/>
                                <w:color w:val="000000"/>
                                <w:sz w:val="20"/>
                              </w:rPr>
                              <w:t xml:space="preserve">40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pPr>
                      <w:r>
                        <w:rPr>
                          <w:rFonts w:ascii="sans-serif" w:hAnsi="sans-serif"/>
                          <w:b w:val="false"/>
                          <w:color w:val="000000"/>
                          <w:sz w:val="20"/>
                        </w:rPr>
                        <w:t xml:space="preserve">40 | TC Energy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0"/>
        <w:jc w:val="left"/>
        <w:rPr>
          <w:rFonts w:ascii="sans-serif" w:hAnsi="sans-serif"/>
          <w:b w:val="false"/>
          <w:color w:val="0D64EF"/>
          <w:sz w:val="28"/>
        </w:rPr>
      </w:pPr>
      <w:r>
        <w:rPr>
          <w:rFonts w:ascii="sans-serif" w:hAnsi="sans-serif"/>
          <w:b w:val="false"/>
          <w:color w:val="0D64EF"/>
          <w:sz w:val="28"/>
        </w:rPr>
        <w:t>Condensed consolidated statement of income</w:t>
      </w:r>
    </w:p>
    <w:tbl>
      <w:tblPr>
        <w:tblW w:w="9323" w:type="dxa"/>
        <w:jc w:val="left"/>
        <w:tblInd w:w="0" w:type="dxa"/>
        <w:tblLayout w:type="fixed"/>
        <w:tblCellMar>
          <w:top w:w="28" w:type="dxa"/>
          <w:left w:w="28" w:type="dxa"/>
          <w:bottom w:w="28" w:type="dxa"/>
          <w:right w:w="28" w:type="dxa"/>
        </w:tblCellMar>
      </w:tblPr>
      <w:tblGrid>
        <w:gridCol w:w="2125"/>
        <w:gridCol w:w="1865"/>
        <w:gridCol w:w="1875"/>
        <w:gridCol w:w="109"/>
        <w:gridCol w:w="109"/>
        <w:gridCol w:w="109"/>
        <w:gridCol w:w="373"/>
        <w:gridCol w:w="348"/>
        <w:gridCol w:w="244"/>
        <w:gridCol w:w="244"/>
        <w:gridCol w:w="244"/>
        <w:gridCol w:w="244"/>
        <w:gridCol w:w="366"/>
        <w:gridCol w:w="340"/>
        <w:gridCol w:w="247"/>
        <w:gridCol w:w="109"/>
        <w:gridCol w:w="109"/>
        <w:gridCol w:w="109"/>
        <w:gridCol w:w="154"/>
      </w:tblGrid>
      <w:tr>
        <w:trPr/>
        <w:tc>
          <w:tcPr>
            <w:tcW w:w="212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3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1,454</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1,769</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1,858 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426</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211</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3,623 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337</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Operating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Plant operating costs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1,037</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1,010 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Commodity purchases resold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Property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723</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2,027</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1,962 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Financial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838</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(39)</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766</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498 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Income (Loss) before Income Taxes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1,405</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1,468 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Income Tax Expense (Recovery)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187</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254</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293 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Net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1,151</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1,175 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224</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927</w:t>
            </w: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1,006 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24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Net Income (Loss)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Weighted Average Number of Common Shares</w:t>
            </w:r>
            <w:r>
              <w:rPr>
                <w:color w:val="000000"/>
              </w:rPr>
              <w:t xml:space="preserve"> </w:t>
            </w:r>
            <w:r>
              <w:rPr>
                <w:rFonts w:ascii="sans-serif" w:hAnsi="sans-serif"/>
                <w:b w:val="false"/>
                <w:color w:val="000000"/>
                <w:sz w:val="18"/>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1,041</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Diluted</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24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4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41</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statement of comprehensive income</w:t>
      </w:r>
    </w:p>
    <w:tbl>
      <w:tblPr>
        <w:tblW w:w="10205" w:type="dxa"/>
        <w:jc w:val="left"/>
        <w:tblInd w:w="0" w:type="dxa"/>
        <w:tblLayout w:type="fixed"/>
        <w:tblCellMar>
          <w:top w:w="28" w:type="dxa"/>
          <w:left w:w="28" w:type="dxa"/>
          <w:bottom w:w="28" w:type="dxa"/>
          <w:right w:w="28" w:type="dxa"/>
        </w:tblCellMar>
      </w:tblPr>
      <w:tblGrid>
        <w:gridCol w:w="2544"/>
        <w:gridCol w:w="2148"/>
        <w:gridCol w:w="2159"/>
        <w:gridCol w:w="109"/>
        <w:gridCol w:w="109"/>
        <w:gridCol w:w="109"/>
        <w:gridCol w:w="373"/>
        <w:gridCol w:w="348"/>
        <w:gridCol w:w="222"/>
        <w:gridCol w:w="222"/>
        <w:gridCol w:w="222"/>
        <w:gridCol w:w="222"/>
        <w:gridCol w:w="366"/>
        <w:gridCol w:w="340"/>
        <w:gridCol w:w="225"/>
        <w:gridCol w:w="109"/>
        <w:gridCol w:w="109"/>
        <w:gridCol w:w="109"/>
        <w:gridCol w:w="160"/>
      </w:tblGrid>
      <w:tr>
        <w:trPr/>
        <w:tc>
          <w:tcPr>
            <w:tcW w:w="2544"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85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6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1,151</w:t>
            </w: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 Net of Income Taxes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364</w:t>
            </w: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w:t>
            </w: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365</w:t>
            </w:r>
            <w:r>
              <w:rPr>
                <w:color w:val="000000"/>
              </w:rPr>
              <w:t> </w:t>
            </w:r>
          </w:p>
        </w:tc>
        <w:tc>
          <w:tcPr>
            <w:tcW w:w="22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w:t>
            </w:r>
          </w:p>
        </w:tc>
        <w:tc>
          <w:tcPr>
            <w:tcW w:w="22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Comprehensive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1,516</w:t>
            </w:r>
            <w:r>
              <w:rPr>
                <w:color w:val="000000"/>
              </w:rPr>
              <w:t> </w:t>
            </w:r>
          </w:p>
        </w:tc>
        <w:tc>
          <w:tcPr>
            <w:tcW w:w="22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1,127 </w:t>
            </w:r>
          </w:p>
        </w:tc>
        <w:tc>
          <w:tcPr>
            <w:tcW w:w="22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Comprehensive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401</w:t>
            </w: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Comprehensive Income (Loss) Attributable to 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1,115</w:t>
            </w:r>
            <w:r>
              <w:rPr>
                <w:color w:val="000000"/>
              </w:rPr>
              <w:t> </w:t>
            </w:r>
          </w:p>
        </w:tc>
        <w:tc>
          <w:tcPr>
            <w:tcW w:w="22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2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Comprehensive Income (Loss) Attributable to Common Shares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1,087</w:t>
            </w:r>
            <w:r>
              <w:rPr>
                <w:color w:val="000000"/>
              </w:rPr>
              <w:t> </w:t>
            </w:r>
          </w:p>
        </w:tc>
        <w:tc>
          <w:tcPr>
            <w:tcW w:w="22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950 </w:t>
            </w:r>
          </w:p>
        </w:tc>
        <w:tc>
          <w:tcPr>
            <w:tcW w:w="22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42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42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statement of cash flows</w:t>
      </w:r>
    </w:p>
    <w:tbl>
      <w:tblPr>
        <w:tblW w:w="10205" w:type="dxa"/>
        <w:jc w:val="center"/>
        <w:tblInd w:w="0" w:type="dxa"/>
        <w:tblLayout w:type="fixed"/>
        <w:tblCellMar>
          <w:top w:w="28" w:type="dxa"/>
          <w:left w:w="28" w:type="dxa"/>
          <w:bottom w:w="28" w:type="dxa"/>
          <w:right w:w="28" w:type="dxa"/>
        </w:tblCellMar>
      </w:tblPr>
      <w:tblGrid>
        <w:gridCol w:w="2269"/>
        <w:gridCol w:w="1908"/>
        <w:gridCol w:w="1919"/>
        <w:gridCol w:w="109"/>
        <w:gridCol w:w="109"/>
        <w:gridCol w:w="109"/>
        <w:gridCol w:w="409"/>
        <w:gridCol w:w="383"/>
        <w:gridCol w:w="214"/>
        <w:gridCol w:w="214"/>
        <w:gridCol w:w="214"/>
        <w:gridCol w:w="214"/>
        <w:gridCol w:w="402"/>
        <w:gridCol w:w="375"/>
        <w:gridCol w:w="216"/>
        <w:gridCol w:w="109"/>
        <w:gridCol w:w="109"/>
        <w:gridCol w:w="109"/>
        <w:gridCol w:w="109"/>
        <w:gridCol w:w="109"/>
        <w:gridCol w:w="109"/>
        <w:gridCol w:w="109"/>
        <w:gridCol w:w="109"/>
        <w:gridCol w:w="109"/>
        <w:gridCol w:w="160"/>
      </w:tblGrid>
      <w:tr>
        <w:trPr/>
        <w:tc>
          <w:tcPr>
            <w:tcW w:w="226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09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64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Generated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1,151</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723</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187</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Distributions received from operating activities of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532</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336 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Employee post-retirement benefits funding, net of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Equity allowance for funds used during construction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Unrealized (gains) losses on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Expected credit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 intercompany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(Increase) decrease in operating working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259</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2,603</w:t>
            </w:r>
            <w:r>
              <w:rPr>
                <w:color w:val="000000"/>
              </w:rPr>
              <w:t> </w:t>
            </w:r>
          </w:p>
        </w:tc>
        <w:tc>
          <w:tcPr>
            <w:tcW w:w="2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1,359 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Investing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(1,070)</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(1,560)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Capital projects in 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distributions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Deferred amounts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(used in) provided by investing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(1,264)</w:t>
            </w:r>
          </w:p>
        </w:tc>
        <w:tc>
          <w:tcPr>
            <w:tcW w:w="2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(1,736)</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Financing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Notes payable issued (repaid),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985</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2,427 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 repaid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(510)</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(2,009)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496</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Dividends on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(884)</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Dividends on preferred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shares issued, net of issue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62</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Distributions to non-controlling interests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(377)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(220)</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Amounts related to factoring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(226)</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Loan from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(used in) provided by financing activities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(443)</w:t>
            </w:r>
          </w:p>
        </w:tc>
        <w:tc>
          <w:tcPr>
            <w:tcW w:w="2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1,546 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Effect of Foreign Exchange Rate Changes on Cash and Cash Equivalents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w:t>
            </w:r>
            <w:r>
              <w:rPr>
                <w:color w:val="000000"/>
              </w:rPr>
              <w:t> </w:t>
            </w:r>
          </w:p>
        </w:tc>
        <w:tc>
          <w:tcPr>
            <w:tcW w:w="2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Increase (Decrease) in Cash and Cash Equivalents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915</w:t>
            </w:r>
            <w:r>
              <w:rPr>
                <w:color w:val="000000"/>
              </w:rPr>
              <w:t> </w:t>
            </w:r>
          </w:p>
        </w:tc>
        <w:tc>
          <w:tcPr>
            <w:tcW w:w="21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1,161 </w:t>
            </w:r>
          </w:p>
        </w:tc>
        <w:tc>
          <w:tcPr>
            <w:tcW w:w="2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Cash and Cash Equivalents - Beginning of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168</w:t>
            </w: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and Cash Equivalents - End of period</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1,083</w:t>
            </w:r>
            <w:r>
              <w:rPr>
                <w:color w:val="000000"/>
              </w:rPr>
              <w:t> </w:t>
            </w:r>
          </w:p>
        </w:tc>
        <w:tc>
          <w:tcPr>
            <w:tcW w:w="21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1,962 </w:t>
            </w:r>
          </w:p>
        </w:tc>
        <w:tc>
          <w:tcPr>
            <w:tcW w:w="21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43</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balance sheet</w:t>
      </w:r>
    </w:p>
    <w:tbl>
      <w:tblPr>
        <w:tblW w:w="10205" w:type="dxa"/>
        <w:jc w:val="left"/>
        <w:tblInd w:w="0" w:type="dxa"/>
        <w:tblLayout w:type="fixed"/>
        <w:tblCellMar>
          <w:top w:w="28" w:type="dxa"/>
          <w:left w:w="28" w:type="dxa"/>
          <w:bottom w:w="28" w:type="dxa"/>
          <w:right w:w="28" w:type="dxa"/>
        </w:tblCellMar>
      </w:tblPr>
      <w:tblGrid>
        <w:gridCol w:w="1007"/>
        <w:gridCol w:w="845"/>
        <w:gridCol w:w="850"/>
        <w:gridCol w:w="1096"/>
        <w:gridCol w:w="998"/>
        <w:gridCol w:w="1000"/>
        <w:gridCol w:w="109"/>
        <w:gridCol w:w="109"/>
        <w:gridCol w:w="109"/>
        <w:gridCol w:w="550"/>
        <w:gridCol w:w="550"/>
        <w:gridCol w:w="551"/>
        <w:gridCol w:w="109"/>
        <w:gridCol w:w="109"/>
        <w:gridCol w:w="109"/>
        <w:gridCol w:w="615"/>
        <w:gridCol w:w="615"/>
        <w:gridCol w:w="874"/>
      </w:tblGrid>
      <w:tr>
        <w:trPr/>
        <w:tc>
          <w:tcPr>
            <w:tcW w:w="100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094" w:type="dxa"/>
            <w:gridSpan w:val="3"/>
            <w:tcBorders>
              <w:top w:val="single" w:sz="2" w:space="0" w:color="0D64EF"/>
              <w:bottom w:val="single" w:sz="2" w:space="0" w:color="0D64EF"/>
            </w:tcBorders>
            <w:shd w:fill="D1D0C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57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2,380</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2,794 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857</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782 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2,503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2,375 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assets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6,828</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6,316 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Plant, Property and Equipment</w:t>
            </w:r>
          </w:p>
        </w:tc>
        <w:tc>
          <w:tcPr>
            <w:tcW w:w="30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 xml:space="preserve">net of accumulated depreciation of </w:t>
            </w:r>
          </w:p>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$37,754 and $36,951,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72,021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71,054 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Investment in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8,230</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8,110 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11,435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11,358 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Restricted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3,563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3,502 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2,974</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2,913 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13,244</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13,016 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2,533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2,482 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120,828</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118,751 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2,223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1,200 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4,910</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5,274 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901 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Accrued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843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1,424</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1,545 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liabilities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169</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181 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10,502</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9,959 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5,946</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5,841 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1,087</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Deferred Income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7,973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7,677 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45,411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45,247 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12,751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12,094 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83,670</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81,852 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30,287</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30,218 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Issued and outstanding:</w:t>
            </w:r>
          </w:p>
        </w:tc>
        <w:tc>
          <w:tcPr>
            <w:tcW w:w="30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March 31, 2026 – 1,042 million shares</w:t>
            </w:r>
          </w:p>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December 31, 2025 – 1,041 million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2,255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2,255 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3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tcPr>
          <w:p>
            <w:pPr>
              <w:pStyle w:val="TableContents"/>
              <w:bidi w:val="0"/>
              <w:spacing w:before="0" w:after="283"/>
              <w:jc w:val="left"/>
              <w:rPr>
                <w:sz w:val="4"/>
                <w:szCs w:val="4"/>
              </w:rPr>
            </w:pPr>
            <w:r>
              <w:rPr>
                <w:sz w:val="4"/>
                <w:szCs w:val="4"/>
              </w:rPr>
            </w:r>
          </w:p>
        </w:tc>
      </w:tr>
      <w:tr>
        <w:trPr/>
        <w:tc>
          <w:tcPr>
            <w:tcW w:w="5796" w:type="dxa"/>
            <w:gridSpan w:val="6"/>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(5,947)</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(5,925)</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747 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Controlling Interests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27,530</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27,295 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9,628</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9,604 </w:t>
            </w:r>
          </w:p>
        </w:tc>
        <w:tc>
          <w:tcPr>
            <w:tcW w:w="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37,158</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36,899 </w:t>
            </w:r>
          </w:p>
        </w:tc>
        <w:tc>
          <w:tcPr>
            <w:tcW w:w="8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6"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120,828</w:t>
            </w:r>
            <w:r>
              <w:rPr>
                <w:color w:val="000000"/>
              </w:rPr>
              <w:t> </w:t>
            </w:r>
          </w:p>
        </w:tc>
        <w:tc>
          <w:tcPr>
            <w:tcW w:w="5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118,751 </w:t>
            </w:r>
          </w:p>
        </w:tc>
        <w:tc>
          <w:tcPr>
            <w:tcW w:w="87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jc w:val="left"/>
        <w:rPr/>
      </w:pPr>
      <w:r>
        <w:rPr>
          <w:rFonts w:ascii="sans-serif" w:hAnsi="sans-serif"/>
          <w:b/>
          <w:color w:val="000000"/>
          <w:sz w:val="20"/>
        </w:rPr>
        <w:t xml:space="preserve">Commitments, Contingencies and Guarantees </w:t>
      </w:r>
      <w:r>
        <w:rPr>
          <w:rFonts w:ascii="sans-serif" w:hAnsi="sans-serif"/>
          <w:b w:val="false"/>
          <w:color w:val="000000"/>
          <w:sz w:val="20"/>
        </w:rPr>
        <w:t>(Note 13)</w:t>
      </w:r>
    </w:p>
    <w:p>
      <w:pPr>
        <w:pStyle w:val="TextBody"/>
        <w:bidi w:val="0"/>
        <w:spacing w:lineRule="auto" w:line="348" w:before="0" w:after="0"/>
        <w:jc w:val="left"/>
        <w:rPr/>
      </w:pPr>
      <w:r>
        <w:rPr>
          <w:rFonts w:ascii="sans-serif" w:hAnsi="sans-serif"/>
          <w:b/>
          <w:color w:val="000000"/>
          <w:sz w:val="20"/>
        </w:rPr>
        <w:t xml:space="preserve">Variable Interest Entities </w:t>
      </w:r>
      <w:r>
        <w:rPr>
          <w:rFonts w:ascii="sans-serif" w:hAnsi="sans-serif"/>
          <w:b w:val="false"/>
          <w:color w:val="000000"/>
          <w:sz w:val="20"/>
        </w:rPr>
        <w:t>(Note 14)</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44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44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Condensed consolidated statement of equity</w:t>
      </w:r>
    </w:p>
    <w:tbl>
      <w:tblPr>
        <w:tblW w:w="10205" w:type="dxa"/>
        <w:jc w:val="center"/>
        <w:tblInd w:w="0" w:type="dxa"/>
        <w:tblLayout w:type="fixed"/>
        <w:tblCellMar>
          <w:top w:w="28" w:type="dxa"/>
          <w:left w:w="28" w:type="dxa"/>
          <w:bottom w:w="28" w:type="dxa"/>
          <w:right w:w="28" w:type="dxa"/>
        </w:tblCellMar>
      </w:tblPr>
      <w:tblGrid>
        <w:gridCol w:w="2488"/>
        <w:gridCol w:w="2174"/>
        <w:gridCol w:w="2184"/>
        <w:gridCol w:w="435"/>
        <w:gridCol w:w="406"/>
        <w:gridCol w:w="241"/>
        <w:gridCol w:w="241"/>
        <w:gridCol w:w="241"/>
        <w:gridCol w:w="241"/>
        <w:gridCol w:w="428"/>
        <w:gridCol w:w="398"/>
        <w:gridCol w:w="244"/>
        <w:gridCol w:w="109"/>
        <w:gridCol w:w="109"/>
        <w:gridCol w:w="109"/>
        <w:gridCol w:w="157"/>
      </w:tblGrid>
      <w:tr>
        <w:trPr/>
        <w:tc>
          <w:tcPr>
            <w:tcW w:w="248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84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08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2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Common Shares</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30,218</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30,101 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Shares issued:</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Exercise of stock options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69</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30,287</w:t>
            </w:r>
            <w:r>
              <w:rPr>
                <w:color w:val="000000"/>
              </w:rPr>
              <w:t> </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30,136 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Preferred Shares</w:t>
            </w:r>
          </w:p>
        </w:tc>
        <w:tc>
          <w:tcPr>
            <w:tcW w:w="10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Balance at beginning and end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2,255</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2,499 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 xml:space="preserve">Additional Paid-In Capital </w:t>
            </w:r>
          </w:p>
        </w:tc>
        <w:tc>
          <w:tcPr>
            <w:tcW w:w="10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Exercise and forfeitures of stock options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Reclassification of additional paid-in capital deficit to accumulated deficit</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Accumulated Deficit</w:t>
            </w:r>
          </w:p>
        </w:tc>
        <w:tc>
          <w:tcPr>
            <w:tcW w:w="10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(5,925)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(5,241)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927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1,006 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Common share dividends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(914)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(884)</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Reclassification of additional paid-in capital deficit to accumulated deficit</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(5,947)</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(5,147)</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Accumulated Other Comprehensive Income (Loss)</w:t>
            </w:r>
          </w:p>
        </w:tc>
        <w:tc>
          <w:tcPr>
            <w:tcW w:w="10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attributable to 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935</w:t>
            </w:r>
            <w:r>
              <w:rPr>
                <w:color w:val="000000"/>
              </w:rPr>
              <w:t> </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205 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Attributable to Controlling Interests</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27,530</w:t>
            </w:r>
            <w:r>
              <w:rPr>
                <w:color w:val="000000"/>
              </w:rPr>
              <w:t> </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27,693 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Attributable to Non-Controlling Interests</w:t>
            </w:r>
          </w:p>
        </w:tc>
        <w:tc>
          <w:tcPr>
            <w:tcW w:w="10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9,604</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10,768 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224</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attributable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Distributions declared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(377)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end of period</w:t>
            </w:r>
          </w:p>
        </w:tc>
        <w:tc>
          <w:tcPr>
            <w:tcW w:w="8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9,628</w:t>
            </w:r>
            <w:r>
              <w:rPr>
                <w:color w:val="000000"/>
              </w:rPr>
              <w:t> </w:t>
            </w:r>
          </w:p>
        </w:tc>
        <w:tc>
          <w:tcPr>
            <w:tcW w:w="24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10,746 </w:t>
            </w:r>
          </w:p>
        </w:tc>
        <w:tc>
          <w:tcPr>
            <w:tcW w:w="2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Equity</w:t>
            </w:r>
          </w:p>
        </w:tc>
        <w:tc>
          <w:tcPr>
            <w:tcW w:w="84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37,158</w:t>
            </w:r>
            <w:r>
              <w:rPr>
                <w:color w:val="000000"/>
              </w:rPr>
              <w:t> </w:t>
            </w:r>
          </w:p>
        </w:tc>
        <w:tc>
          <w:tcPr>
            <w:tcW w:w="24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38,439 </w:t>
            </w:r>
          </w:p>
        </w:tc>
        <w:tc>
          <w:tcPr>
            <w:tcW w:w="24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45</w:t>
                      </w:r>
                    </w:p>
                  </w:txbxContent>
                </v:textbox>
                <w10:wrap type="none"/>
              </v:rect>
            </w:pict>
          </mc:Fallback>
        </mc:AlternateConten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Notes to Condensed consolidated financial statements</w:t>
      </w:r>
    </w:p>
    <w:p>
      <w:pPr>
        <w:pStyle w:val="TextBody"/>
        <w:bidi w:val="0"/>
        <w:spacing w:lineRule="auto" w:line="348" w:before="160" w:after="100"/>
        <w:jc w:val="center"/>
        <w:rPr>
          <w:rFonts w:ascii="sans-serif" w:hAnsi="sans-serif"/>
          <w:b w:val="false"/>
          <w:color w:val="0D64EF"/>
          <w:sz w:val="28"/>
        </w:rPr>
      </w:pPr>
      <w:r>
        <w:rPr>
          <w:rFonts w:ascii="sans-serif" w:hAnsi="sans-serif"/>
          <w:b w:val="false"/>
          <w:color w:val="0D64EF"/>
          <w:sz w:val="2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 BASIS OF PRESENTATION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These Condensed consolidated financial statements of TC Energy Corporation (TC Energy or the Company) have been prepared by management in accordance with U.S. GAAP. The accounting policies applied are consistent with those outlined in TC Energy’s annual audited Consolidated financial statements for the year ended December 31, 2025, except as described in Note 2, Accounting changes. Capitalized and abbreviated terms that are used but not otherwise defined herein are identified in TC Energy’s 2025 Annual Report.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These Condensed consolidated financial statements reflect adjustments, all of which are normal recurring adjustments that are, in the opinion of management, necessary to reflect fairly the financial position and results of operations for the respective periods. These Condensed consolidated financial statements do not include all disclosures required in the annual financial statements and should be read in conjunction with the 2025 audited Consolidated financial statements included in TC Energy’s 2025 Annual Report. Certain comparative figures have been adjusted to reflect the current period's presentation.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On October 1, 2024, TC Energy completed the spinoff of its Liquids Pipelines business into the new public company, South Bow Corporation (South Bow) (the Spinoff Transaction). The results of the Liquids Pipelines business are presented as discontinued operations and have been excluded from continuing operations and segment disclosures for all periods presented. </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Earnings for interim periods may not be indicative of results for the fiscal year in certain of the Company’s segments primarily due to:</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Natural gas pipelines segments – the timing of regulatory decisions and negotiated rate case settlements as well as seasonal fluctuations in short-term throughput volumes on U.S. pipelines and marketing activities</w:t>
      </w:r>
    </w:p>
    <w:p>
      <w:pPr>
        <w:pStyle w:val="TextBody"/>
        <w:bidi w:val="0"/>
        <w:spacing w:lineRule="auto" w:line="348" w:before="0" w:after="100"/>
        <w:ind w:left="0" w:right="0" w:hanging="180"/>
        <w:jc w:val="left"/>
        <w:rPr/>
      </w:pPr>
      <w:r>
        <w:rPr>
          <w:color w:val="000000"/>
        </w:rPr>
        <w:t>•</w:t>
      </w:r>
      <w:r>
        <w:rPr>
          <w:rFonts w:ascii="sans-serif" w:hAnsi="sans-serif"/>
          <w:b w:val="false"/>
          <w:color w:val="000000"/>
          <w:sz w:val="20"/>
        </w:rPr>
        <w:t>Power and Energy Solutions – the impacts of seasonal weather conditions on customer demand, market supply and prices of natural gas and power as well as maintenance outages in certain of the Company’s investments in electrical power generation plants and Canadian non-regulated natural gas storage facilities and marketing activities.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addition to the factors mentioned above, revenues and segmented earnings are impacted by fluctuations in foreign exchange rates, mainly related to the Company's U.S. dollar-denominated operations and Mexican peso-denominated exposure.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Use of Estimates and Judgments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preparing these Condensed consolidated financial statements, TC Energy is required to make estimates and assumptions that affect both the amount and timing of recording assets, liabilities, revenues and expenses since the determination of these items may be dependent on future events. The Company uses the most current information available and exercises careful judgment in making these estimates and assumptions. In the opinion of management, these Condensed consolidated financial statements have been properly prepared within reasonable limits of materiality and within the framework of the Company’s significant accounting policies included in the annual audited Consolidated financial statements for the year ended December 31, 2025, except as described in Note 2, Accounting 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46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46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2. ACCOUNTING CHANGES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Future Accounting Changes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Disaggregation of Income Statement Expenses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November 2024, the FASB issued new guidance requiring additional disclosure on the nature of expenses included in the income statement. The new standard requires disclosures about specific types of expenses included in the expense captions presented on the face of the income statement as well as disclosures about selling expenses. The new guidance is effective for annual periods beginning January 1, 2027 and interim periods beginning January 1, 2028. Early adoption is permitted. The guidance is applied prospectively with retrospective application permitted.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Internal-Use Software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September 2025, the FASB issued updated guidance for accounting for internal-use software costs. The updated guidance removes references to project development stages and outlines revised guidance for when capitalization begins for </w:t>
        <w:br/>
        <w:t xml:space="preserve">internal-use software costs. The guidance is effective for annual and interim periods beginning January 1, 2028. Early adoption is permitted as of the beginning of an annual reporting period. The guidance can be applied prospectively, retrospectively, or with a modified transition approach.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Hedge Accounting Improvements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November 2025, the FASB issued new guidance to further align hedge accounting with the economics of an entity's risk management activities. The amendments are intended to allow entities to achieve and maintain hedge accounting for highly effective hedges of forecasted transactions. The new guidance is effective for interim and annual reporting periods beginning January 1, 2027. Early adoption is permitted. The guidance is applied on a prospective basis for all hedging relationships that exist at the date of adoption. The Company is currently assessing the impact of the standard on the Company's consolidated financial statements. </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 xml:space="preserve">Government Grants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In December 2025, the FASB established authoritative guidance on the recognition, measurement and presentation requirements for government grants received. The new guidance is effective for annual and interim periods beginning         January 1, 2029. Early adoption is permitted. The guidance can be applied with a modified prospective, a modified retrospective, or a retrospective approach. The Company is currently assessing the impact of the standard on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47</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3. DISCONTINUED OPERATIONS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Spinoff of Liquids Pipelines Business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the three months ended March 31, 2026 and 2025, the Company did not recognize any income or loss from discontinued operations.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the three months ended March 31, 2026 net cash provided by operations of discontinued operations was $168 million (2025 – $56 million used in operations).</w:t>
      </w:r>
    </w:p>
    <w:p>
      <w:pPr>
        <w:pStyle w:val="TextBody"/>
        <w:bidi w:val="0"/>
        <w:spacing w:lineRule="auto" w:line="348" w:before="60" w:after="283"/>
        <w:jc w:val="left"/>
        <w:rPr>
          <w:rFonts w:ascii="sans-serif" w:hAnsi="sans-serif"/>
          <w:b w:val="false"/>
          <w:color w:val="000000"/>
          <w:sz w:val="20"/>
        </w:rPr>
      </w:pPr>
      <w:r>
        <w:rPr>
          <w:rFonts w:ascii="sans-serif" w:hAnsi="sans-serif"/>
          <w:b w:val="false"/>
          <w:color w:val="000000"/>
          <w:sz w:val="20"/>
        </w:rPr>
        <w:t>At March 31, 2026, the Company reported current assets of discontinued operations of $5 million (December 31, 2025 –     $197 million) and current liabilities of discontinued operations of $169 million (December 31, 2025 – $181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48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48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4. SEGMENTED INFORMATION</w:t>
      </w:r>
    </w:p>
    <w:tbl>
      <w:tblPr>
        <w:tblW w:w="10205" w:type="dxa"/>
        <w:jc w:val="center"/>
        <w:tblInd w:w="0" w:type="dxa"/>
        <w:tblLayout w:type="fixed"/>
        <w:tblCellMar>
          <w:top w:w="28" w:type="dxa"/>
          <w:left w:w="28" w:type="dxa"/>
          <w:bottom w:w="28" w:type="dxa"/>
          <w:right w:w="28" w:type="dxa"/>
        </w:tblCellMar>
      </w:tblPr>
      <w:tblGrid>
        <w:gridCol w:w="685"/>
        <w:gridCol w:w="418"/>
        <w:gridCol w:w="420"/>
        <w:gridCol w:w="109"/>
        <w:gridCol w:w="109"/>
        <w:gridCol w:w="109"/>
        <w:gridCol w:w="417"/>
        <w:gridCol w:w="407"/>
        <w:gridCol w:w="408"/>
        <w:gridCol w:w="109"/>
        <w:gridCol w:w="109"/>
        <w:gridCol w:w="109"/>
        <w:gridCol w:w="414"/>
        <w:gridCol w:w="386"/>
        <w:gridCol w:w="387"/>
        <w:gridCol w:w="109"/>
        <w:gridCol w:w="109"/>
        <w:gridCol w:w="109"/>
        <w:gridCol w:w="392"/>
        <w:gridCol w:w="392"/>
        <w:gridCol w:w="393"/>
        <w:gridCol w:w="109"/>
        <w:gridCol w:w="109"/>
        <w:gridCol w:w="109"/>
        <w:gridCol w:w="399"/>
        <w:gridCol w:w="399"/>
        <w:gridCol w:w="401"/>
        <w:gridCol w:w="109"/>
        <w:gridCol w:w="109"/>
        <w:gridCol w:w="109"/>
        <w:gridCol w:w="212"/>
        <w:gridCol w:w="213"/>
        <w:gridCol w:w="200"/>
        <w:gridCol w:w="200"/>
        <w:gridCol w:w="200"/>
        <w:gridCol w:w="201"/>
        <w:gridCol w:w="369"/>
        <w:gridCol w:w="371"/>
        <w:gridCol w:w="286"/>
      </w:tblGrid>
      <w:tr>
        <w:trPr/>
        <w:tc>
          <w:tcPr>
            <w:tcW w:w="6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Canadian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U.S.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Mexico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 and Energy Solutions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6"/>
            <w:tcBorders/>
            <w:shd w:fill="D1D0CF" w:val="clear"/>
            <w:tcMar>
              <w:top w:w="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Corporate</w:t>
            </w:r>
            <w:r>
              <w:rPr>
                <w:rFonts w:ascii="sans-serif" w:hAnsi="sans-serif"/>
                <w:b w:val="false"/>
                <w:color w:val="000000"/>
                <w:sz w:val="12"/>
              </w:rPr>
              <w:t>1</w:t>
            </w:r>
          </w:p>
        </w:tc>
        <w:tc>
          <w:tcPr>
            <w:tcW w:w="1026"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Total</w:t>
            </w:r>
          </w:p>
        </w:tc>
      </w:tr>
      <w:tr>
        <w:trPr/>
        <w:tc>
          <w:tcPr>
            <w:tcW w:w="15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1,454</w:t>
            </w:r>
            <w:r>
              <w:rPr>
                <w:color w:val="000000"/>
              </w:rPr>
              <w:t>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1,769</w:t>
            </w: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426</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211</w:t>
            </w: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Intersegment revenues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w:t>
            </w: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(80)</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1,454</w:t>
            </w:r>
            <w:r>
              <w:rPr>
                <w:color w:val="000000"/>
              </w:rPr>
              <w:t> </w:t>
            </w:r>
          </w:p>
        </w:tc>
        <w:tc>
          <w:tcPr>
            <w:tcW w:w="40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1,795</w:t>
            </w:r>
            <w:r>
              <w:rPr>
                <w:color w:val="000000"/>
              </w:rPr>
              <w:t> </w:t>
            </w:r>
          </w:p>
        </w:tc>
        <w:tc>
          <w:tcPr>
            <w:tcW w:w="3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426</w:t>
            </w:r>
            <w:r>
              <w:rPr>
                <w:color w:val="000000"/>
              </w:rPr>
              <w:t> </w:t>
            </w:r>
          </w:p>
        </w:tc>
        <w:tc>
          <w:tcPr>
            <w:tcW w:w="39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265</w:t>
            </w:r>
            <w:r>
              <w:rPr>
                <w:color w:val="000000"/>
              </w:rPr>
              <w:t> </w:t>
            </w:r>
          </w:p>
        </w:tc>
        <w:tc>
          <w:tcPr>
            <w:tcW w:w="40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(79)</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121</w:t>
            </w: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45</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w:t>
            </w: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Operating costs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(561)</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(585)</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(58)</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(176)</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76</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(1,304)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(410)</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(256)</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(33)</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(723)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509</w:t>
            </w:r>
            <w:r>
              <w:rPr>
                <w:color w:val="000000"/>
              </w:rPr>
              <w:t> </w:t>
            </w:r>
          </w:p>
        </w:tc>
        <w:tc>
          <w:tcPr>
            <w:tcW w:w="40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1,075</w:t>
            </w:r>
            <w:r>
              <w:rPr>
                <w:color w:val="000000"/>
              </w:rPr>
              <w:t> </w:t>
            </w:r>
          </w:p>
        </w:tc>
        <w:tc>
          <w:tcPr>
            <w:tcW w:w="38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389</w:t>
            </w:r>
            <w:r>
              <w:rPr>
                <w:color w:val="000000"/>
              </w:rPr>
              <w:t> </w:t>
            </w:r>
          </w:p>
        </w:tc>
        <w:tc>
          <w:tcPr>
            <w:tcW w:w="3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201</w:t>
            </w:r>
            <w:r>
              <w:rPr>
                <w:color w:val="000000"/>
              </w:rPr>
              <w:t> </w:t>
            </w:r>
          </w:p>
        </w:tc>
        <w:tc>
          <w:tcPr>
            <w:tcW w:w="40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2,171</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(838)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Income (Loss) before Income Taxes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1,405</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tax (expense) recovery</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(254)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123" w:type="dxa"/>
            <w:gridSpan w:val="30"/>
            <w:tcBorders/>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123" w:type="dxa"/>
            <w:gridSpan w:val="30"/>
            <w:tcBorders/>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1,151</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927</w:t>
            </w:r>
            <w:r>
              <w:rPr>
                <w:color w:val="000000"/>
              </w:rPr>
              <w:t> </w:t>
            </w:r>
          </w:p>
        </w:tc>
        <w:tc>
          <w:tcPr>
            <w:tcW w:w="2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8" w:type="dxa"/>
            <w:gridSpan w:val="3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28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357</w:t>
            </w:r>
            <w:r>
              <w:rPr>
                <w:color w:val="000000"/>
              </w:rPr>
              <w:t>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676</w:t>
            </w: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w:t>
            </w: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projects 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233</w:t>
            </w: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357</w:t>
            </w:r>
            <w:r>
              <w:rPr>
                <w:color w:val="000000"/>
              </w:rPr>
              <w:t> </w:t>
            </w:r>
          </w:p>
        </w:tc>
        <w:tc>
          <w:tcPr>
            <w:tcW w:w="40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676</w:t>
            </w:r>
            <w:r>
              <w:rPr>
                <w:color w:val="000000"/>
              </w:rPr>
              <w:t> </w:t>
            </w:r>
          </w:p>
        </w:tc>
        <w:tc>
          <w:tcPr>
            <w:tcW w:w="38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39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250</w:t>
            </w:r>
            <w:r>
              <w:rPr>
                <w:color w:val="000000"/>
              </w:rPr>
              <w:t> </w:t>
            </w:r>
          </w:p>
        </w:tc>
        <w:tc>
          <w:tcPr>
            <w:tcW w:w="40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1,307</w:t>
            </w:r>
            <w:r>
              <w:rPr>
                <w:color w:val="000000"/>
              </w:rPr>
              <w:t> </w:t>
            </w:r>
          </w:p>
        </w:tc>
        <w:tc>
          <w:tcPr>
            <w:tcW w:w="2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intersegment eliminations.</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pStyle w:val="TextBody"/>
        <w:bidi w:val="0"/>
        <w:spacing w:before="0" w:after="108"/>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49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88"/>
        <w:gridCol w:w="421"/>
        <w:gridCol w:w="423"/>
        <w:gridCol w:w="109"/>
        <w:gridCol w:w="109"/>
        <w:gridCol w:w="109"/>
        <w:gridCol w:w="410"/>
        <w:gridCol w:w="410"/>
        <w:gridCol w:w="411"/>
        <w:gridCol w:w="109"/>
        <w:gridCol w:w="109"/>
        <w:gridCol w:w="109"/>
        <w:gridCol w:w="403"/>
        <w:gridCol w:w="388"/>
        <w:gridCol w:w="389"/>
        <w:gridCol w:w="109"/>
        <w:gridCol w:w="109"/>
        <w:gridCol w:w="109"/>
        <w:gridCol w:w="394"/>
        <w:gridCol w:w="394"/>
        <w:gridCol w:w="396"/>
        <w:gridCol w:w="109"/>
        <w:gridCol w:w="109"/>
        <w:gridCol w:w="109"/>
        <w:gridCol w:w="402"/>
        <w:gridCol w:w="402"/>
        <w:gridCol w:w="403"/>
        <w:gridCol w:w="109"/>
        <w:gridCol w:w="109"/>
        <w:gridCol w:w="109"/>
        <w:gridCol w:w="212"/>
        <w:gridCol w:w="213"/>
        <w:gridCol w:w="200"/>
        <w:gridCol w:w="200"/>
        <w:gridCol w:w="200"/>
        <w:gridCol w:w="201"/>
        <w:gridCol w:w="362"/>
        <w:gridCol w:w="363"/>
        <w:gridCol w:w="285"/>
      </w:tblGrid>
      <w:tr>
        <w:trPr/>
        <w:tc>
          <w:tcPr>
            <w:tcW w:w="6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Canadian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U.S.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Mexico Natural Gas Pipelines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 and Energy Solutions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6"/>
            <w:tcBorders/>
            <w:shd w:fill="D1D0CF" w:val="clear"/>
            <w:tcMar>
              <w:top w:w="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Corporate</w:t>
            </w:r>
            <w:r>
              <w:rPr>
                <w:rFonts w:ascii="sans-serif" w:hAnsi="sans-serif"/>
                <w:b w:val="false"/>
                <w:color w:val="000000"/>
                <w:sz w:val="12"/>
              </w:rPr>
              <w:t>1</w:t>
            </w:r>
          </w:p>
        </w:tc>
        <w:tc>
          <w:tcPr>
            <w:tcW w:w="1010"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Total</w:t>
            </w:r>
          </w:p>
        </w:tc>
      </w:tr>
      <w:tr>
        <w:trPr/>
        <w:tc>
          <w:tcPr>
            <w:tcW w:w="15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1,858 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226 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162 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Intersegment revenues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1,371 </w:t>
            </w:r>
          </w:p>
        </w:tc>
        <w:tc>
          <w:tcPr>
            <w:tcW w:w="4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1,884 </w:t>
            </w:r>
          </w:p>
        </w:tc>
        <w:tc>
          <w:tcPr>
            <w:tcW w:w="38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226 </w:t>
            </w:r>
          </w:p>
        </w:tc>
        <w:tc>
          <w:tcPr>
            <w:tcW w:w="3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162 </w:t>
            </w:r>
          </w:p>
        </w:tc>
        <w:tc>
          <w:tcPr>
            <w:tcW w:w="40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3,623 </w:t>
            </w:r>
          </w:p>
        </w:tc>
        <w:tc>
          <w:tcPr>
            <w:tcW w:w="2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143 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Operating costs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(621)</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(142)</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(1,284)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(374)</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(252)</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(678)</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516 </w:t>
            </w:r>
          </w:p>
        </w:tc>
        <w:tc>
          <w:tcPr>
            <w:tcW w:w="41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1,109 </w:t>
            </w:r>
          </w:p>
        </w:tc>
        <w:tc>
          <w:tcPr>
            <w:tcW w:w="38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211 </w:t>
            </w:r>
          </w:p>
        </w:tc>
        <w:tc>
          <w:tcPr>
            <w:tcW w:w="3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135 </w:t>
            </w:r>
          </w:p>
        </w:tc>
        <w:tc>
          <w:tcPr>
            <w:tcW w:w="40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1,966 </w:t>
            </w:r>
          </w:p>
        </w:tc>
        <w:tc>
          <w:tcPr>
            <w:tcW w:w="2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Income (Loss) before Income Taxes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1,468 </w:t>
            </w:r>
          </w:p>
        </w:tc>
        <w:tc>
          <w:tcPr>
            <w:tcW w:w="2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tax (expense) recovery</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(293)</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7115" w:type="dxa"/>
            <w:gridSpan w:val="30"/>
            <w:tcBorders/>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7115" w:type="dxa"/>
            <w:gridSpan w:val="30"/>
            <w:tcBorders/>
          </w:tcPr>
          <w:p>
            <w:pPr>
              <w:pStyle w:val="TableContents"/>
              <w:bidi w:val="0"/>
              <w:spacing w:before="0" w:after="283"/>
              <w:jc w:val="left"/>
              <w:rPr>
                <w:sz w:val="4"/>
                <w:szCs w:val="4"/>
              </w:rPr>
            </w:pPr>
            <w:r>
              <w:rPr>
                <w:sz w:val="4"/>
                <w:szCs w:val="4"/>
              </w:rPr>
            </w:r>
          </w:p>
        </w:tc>
      </w:tr>
      <w:tr>
        <w:trPr/>
        <w:tc>
          <w:tcPr>
            <w:tcW w:w="8594"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1,175 </w:t>
            </w:r>
          </w:p>
        </w:tc>
        <w:tc>
          <w:tcPr>
            <w:tcW w:w="2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Net (income) loss attributable to non-controlling interests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(169)</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Controlling Interests</w:t>
            </w:r>
          </w:p>
        </w:tc>
        <w:tc>
          <w:tcPr>
            <w:tcW w:w="6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1,006 </w:t>
            </w:r>
          </w:p>
        </w:tc>
        <w:tc>
          <w:tcPr>
            <w:tcW w:w="2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Income (Loss) Attributable to Common Shares</w:t>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8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color w:val="0D64EF"/>
                <w:sz w:val="18"/>
              </w:rPr>
            </w:pPr>
            <w:r>
              <w:rPr>
                <w:rFonts w:ascii="sans-serif" w:hAnsi="sans-serif"/>
                <w:b/>
                <w:color w:val="0D64EF"/>
                <w:sz w:val="18"/>
              </w:rPr>
              <w:t>Capital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305 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1,560 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Capital projects 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Contributions to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191 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416 </w:t>
            </w:r>
          </w:p>
        </w:tc>
        <w:tc>
          <w:tcPr>
            <w:tcW w:w="41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858 </w:t>
            </w:r>
          </w:p>
        </w:tc>
        <w:tc>
          <w:tcPr>
            <w:tcW w:w="38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305 </w:t>
            </w:r>
          </w:p>
        </w:tc>
        <w:tc>
          <w:tcPr>
            <w:tcW w:w="3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225 </w:t>
            </w:r>
          </w:p>
        </w:tc>
        <w:tc>
          <w:tcPr>
            <w:tcW w:w="40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1,809 </w:t>
            </w:r>
          </w:p>
        </w:tc>
        <w:tc>
          <w:tcPr>
            <w:tcW w:w="2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1Includes intersegment eliminations.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pStyle w:val="TextBody"/>
        <w:bidi w:val="0"/>
        <w:spacing w:before="0" w:after="108"/>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50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50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Total Assets by Segment</w:t>
      </w:r>
    </w:p>
    <w:tbl>
      <w:tblPr>
        <w:tblW w:w="7765" w:type="dxa"/>
        <w:jc w:val="left"/>
        <w:tblInd w:w="0" w:type="dxa"/>
        <w:tblLayout w:type="fixed"/>
        <w:tblCellMar>
          <w:top w:w="28" w:type="dxa"/>
          <w:left w:w="28" w:type="dxa"/>
          <w:bottom w:w="28" w:type="dxa"/>
          <w:right w:w="28" w:type="dxa"/>
        </w:tblCellMar>
      </w:tblPr>
      <w:tblGrid>
        <w:gridCol w:w="1217"/>
        <w:gridCol w:w="1068"/>
        <w:gridCol w:w="1074"/>
        <w:gridCol w:w="109"/>
        <w:gridCol w:w="109"/>
        <w:gridCol w:w="109"/>
        <w:gridCol w:w="550"/>
        <w:gridCol w:w="550"/>
        <w:gridCol w:w="551"/>
        <w:gridCol w:w="109"/>
        <w:gridCol w:w="109"/>
        <w:gridCol w:w="109"/>
        <w:gridCol w:w="615"/>
        <w:gridCol w:w="615"/>
        <w:gridCol w:w="871"/>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3359"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31,368</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31,371 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57,909</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56,617 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16,448</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16,342 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10,782</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10,764 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4,316</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3,460 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120,823</w:t>
            </w:r>
            <w:r>
              <w:rPr>
                <w:color w:val="000000"/>
              </w:rPr>
              <w:t> </w:t>
            </w:r>
          </w:p>
        </w:tc>
        <w:tc>
          <w:tcPr>
            <w:tcW w:w="55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118,554 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197 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120,828</w:t>
            </w:r>
            <w:r>
              <w:rPr>
                <w:color w:val="000000"/>
              </w:rPr>
              <w:t> </w:t>
            </w:r>
          </w:p>
        </w:tc>
        <w:tc>
          <w:tcPr>
            <w:tcW w:w="55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118,751 </w:t>
            </w:r>
          </w:p>
        </w:tc>
        <w:tc>
          <w:tcPr>
            <w:tcW w:w="87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51</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5. REVENUES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Disaggregation of Revenues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tables summarize total Revenues for the three months ended March 31, 2026 and 2025:</w:t>
      </w:r>
    </w:p>
    <w:tbl>
      <w:tblPr>
        <w:tblW w:w="10057" w:type="dxa"/>
        <w:jc w:val="center"/>
        <w:tblInd w:w="0" w:type="dxa"/>
        <w:tblLayout w:type="fixed"/>
        <w:tblCellMar>
          <w:top w:w="28" w:type="dxa"/>
          <w:left w:w="28" w:type="dxa"/>
          <w:bottom w:w="28" w:type="dxa"/>
          <w:right w:w="28" w:type="dxa"/>
        </w:tblCellMar>
      </w:tblPr>
      <w:tblGrid>
        <w:gridCol w:w="1446"/>
        <w:gridCol w:w="1270"/>
        <w:gridCol w:w="1274"/>
        <w:gridCol w:w="374"/>
        <w:gridCol w:w="374"/>
        <w:gridCol w:w="376"/>
        <w:gridCol w:w="360"/>
        <w:gridCol w:w="361"/>
        <w:gridCol w:w="346"/>
        <w:gridCol w:w="345"/>
        <w:gridCol w:w="345"/>
        <w:gridCol w:w="346"/>
        <w:gridCol w:w="614"/>
        <w:gridCol w:w="614"/>
        <w:gridCol w:w="616"/>
        <w:gridCol w:w="360"/>
        <w:gridCol w:w="361"/>
        <w:gridCol w:w="275"/>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2026</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Canadian </w:t>
              <w:br/>
              <w:t xml:space="preserve">Natural </w:t>
              <w:br/>
              <w:t xml:space="preserve">Gas </w:t>
              <w:br/>
              <w:t>Pipelines</w:t>
            </w:r>
          </w:p>
        </w:tc>
        <w:tc>
          <w:tcPr>
            <w:tcW w:w="106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U.S. </w:t>
              <w:br/>
              <w:t xml:space="preserve">Natural </w:t>
              <w:br/>
              <w:t xml:space="preserve">Gas </w:t>
              <w:br/>
              <w:t>Pipelines</w:t>
            </w:r>
          </w:p>
        </w:tc>
        <w:tc>
          <w:tcPr>
            <w:tcW w:w="103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Mexico </w:t>
              <w:br/>
              <w:t xml:space="preserve">Natural </w:t>
              <w:br/>
              <w:t xml:space="preserve">Gas </w:t>
              <w:br/>
              <w:t>Pipelines</w:t>
            </w:r>
          </w:p>
        </w:tc>
        <w:tc>
          <w:tcPr>
            <w:tcW w:w="18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Power </w:t>
              <w:br/>
              <w:t xml:space="preserve">and </w:t>
              <w:br/>
              <w:t>Energy Solutions</w:t>
            </w:r>
          </w:p>
        </w:tc>
        <w:tc>
          <w:tcPr>
            <w:tcW w:w="99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39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6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3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8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99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from contracts with customers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Capacity arrangements and transportation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1,454</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1,618</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106</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3,178</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Power generation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1</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324</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490</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1,454</w:t>
            </w:r>
            <w:r>
              <w:rPr>
                <w:color w:val="000000"/>
              </w:rPr>
              <w:t>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1,942</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179</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147</w:t>
            </w:r>
            <w:r>
              <w:rPr>
                <w:color w:val="000000"/>
              </w:rPr>
              <w:t>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3,722</w:t>
            </w: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Sales-type lease income</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247</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247</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revenues</w:t>
            </w:r>
            <w:r>
              <w:rPr>
                <w:rFonts w:ascii="sans-serif" w:hAnsi="sans-serif"/>
                <w:b w:val="false"/>
                <w:color w:val="000000"/>
                <w:sz w:val="12"/>
              </w:rPr>
              <w:t>2</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(173)</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64</w:t>
            </w: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(109)</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1,454</w:t>
            </w:r>
            <w:r>
              <w:rPr>
                <w:color w:val="000000"/>
              </w:rPr>
              <w:t>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1,769</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426</w:t>
            </w:r>
            <w:r>
              <w:rPr>
                <w:color w:val="000000"/>
              </w:rPr>
              <w:t>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211</w:t>
            </w:r>
            <w:r>
              <w:rPr>
                <w:color w:val="000000"/>
              </w:rPr>
              <w:t>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3,860</w:t>
            </w: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Corporate revenues</w:t>
            </w:r>
            <w:r>
              <w:rPr>
                <w:rFonts w:ascii="sans-serif" w:hAnsi="sans-serif"/>
                <w:b w:val="false"/>
                <w:color w:val="000000"/>
                <w:sz w:val="12"/>
              </w:rPr>
              <w:t>3</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3,861</w:t>
            </w:r>
            <w:r>
              <w:rPr>
                <w:color w:val="000000"/>
              </w:rPr>
              <w:t>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1The Mexico Natural Gas Pipelines segment includes $67 million of revenues generated from non-lease components for the provision of operating and maintenance services with respect to sales-type leases on the in-service Transportadora de Gas Natural de La Huasteca (TGNH) pipelines.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2Includes the Company's marketing activities, financial instruments and $31 million of operating lease income. Refer to Note 12, Risk management and financial instruments, for additional information.</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3Revenues generated from the Transition Services Agreement with South Bow.</w:t>
      </w:r>
    </w:p>
    <w:tbl>
      <w:tblPr>
        <w:tblW w:w="10027" w:type="dxa"/>
        <w:jc w:val="center"/>
        <w:tblInd w:w="0" w:type="dxa"/>
        <w:tblLayout w:type="fixed"/>
        <w:tblCellMar>
          <w:top w:w="28" w:type="dxa"/>
          <w:left w:w="28" w:type="dxa"/>
          <w:bottom w:w="28" w:type="dxa"/>
          <w:right w:w="28" w:type="dxa"/>
        </w:tblCellMar>
      </w:tblPr>
      <w:tblGrid>
        <w:gridCol w:w="1446"/>
        <w:gridCol w:w="1270"/>
        <w:gridCol w:w="1274"/>
        <w:gridCol w:w="374"/>
        <w:gridCol w:w="374"/>
        <w:gridCol w:w="376"/>
        <w:gridCol w:w="353"/>
        <w:gridCol w:w="353"/>
        <w:gridCol w:w="346"/>
        <w:gridCol w:w="345"/>
        <w:gridCol w:w="345"/>
        <w:gridCol w:w="346"/>
        <w:gridCol w:w="614"/>
        <w:gridCol w:w="614"/>
        <w:gridCol w:w="616"/>
        <w:gridCol w:w="353"/>
        <w:gridCol w:w="353"/>
        <w:gridCol w:w="275"/>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2025</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Canadian </w:t>
              <w:br/>
              <w:t xml:space="preserve">Natural </w:t>
              <w:br/>
              <w:t xml:space="preserve">Gas </w:t>
              <w:br/>
              <w:t>Pipelines</w:t>
            </w:r>
          </w:p>
        </w:tc>
        <w:tc>
          <w:tcPr>
            <w:tcW w:w="105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U.S. </w:t>
              <w:br/>
              <w:t xml:space="preserve">Natural </w:t>
              <w:br/>
              <w:t xml:space="preserve">Gas </w:t>
              <w:br/>
              <w:t>Pipelines</w:t>
            </w:r>
          </w:p>
        </w:tc>
        <w:tc>
          <w:tcPr>
            <w:tcW w:w="103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Mexico </w:t>
              <w:br/>
              <w:t xml:space="preserve">Natural </w:t>
              <w:br/>
              <w:t xml:space="preserve">Gas </w:t>
              <w:br/>
              <w:t>Pipelines</w:t>
            </w:r>
          </w:p>
        </w:tc>
        <w:tc>
          <w:tcPr>
            <w:tcW w:w="184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Power </w:t>
              <w:br/>
              <w:t xml:space="preserve">and </w:t>
              <w:br/>
              <w:t>Energy Solutions</w:t>
            </w:r>
          </w:p>
        </w:tc>
        <w:tc>
          <w:tcPr>
            <w:tcW w:w="98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3990"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5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3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84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98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9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from contracts with customers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Capacity arrangements and transportation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1,528 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113 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3,012 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Power generation</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Natural gas storage and other</w:t>
            </w:r>
            <w:r>
              <w:rPr>
                <w:rFonts w:ascii="sans-serif" w:hAnsi="sans-serif"/>
                <w:b w:val="false"/>
                <w:color w:val="000000"/>
                <w:sz w:val="12"/>
              </w:rPr>
              <w:t>1</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1,371 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1,786 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3,479 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Sales-type lease income</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revenues</w:t>
            </w:r>
            <w:r>
              <w:rPr>
                <w:rFonts w:ascii="sans-serif" w:hAnsi="sans-serif"/>
                <w:b w:val="false"/>
                <w:color w:val="000000"/>
                <w:sz w:val="12"/>
              </w:rPr>
              <w:t>2</w:t>
            </w:r>
          </w:p>
        </w:tc>
        <w:tc>
          <w:tcPr>
            <w:tcW w:w="74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1,371 </w:t>
            </w:r>
          </w:p>
        </w:tc>
        <w:tc>
          <w:tcPr>
            <w:tcW w:w="37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1,858 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226 </w:t>
            </w:r>
          </w:p>
        </w:tc>
        <w:tc>
          <w:tcPr>
            <w:tcW w:w="3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162 </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3,617 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Corporate revenues</w:t>
            </w:r>
            <w:r>
              <w:rPr>
                <w:rFonts w:ascii="sans-serif" w:hAnsi="sans-serif"/>
                <w:b w:val="false"/>
                <w:color w:val="000000"/>
                <w:sz w:val="12"/>
              </w:rPr>
              <w:t>3</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3,623 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1The Mexico Natural Gas Pipelines segment includes $26 million of revenues generated from non-lease components for the provision of operating and maintenance services with respect to sales-type leases on the in-service TGNH pipelines.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2Includes the Company's marketing activities, financial instruments and $30 million of operating lease income. Refer to Note 12, Risk management and financial instruments, for additional information. </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3Revenues generated from the Transition Services Agreement with South Bow.</w:t>
      </w:r>
    </w:p>
    <w:p>
      <w:pPr>
        <w:pStyle w:val="TextBody"/>
        <w:bidi w:val="0"/>
        <w:spacing w:before="0" w:after="0"/>
        <w:ind w:left="0" w:right="0" w:hanging="360"/>
        <w:jc w:val="left"/>
        <w:rPr/>
      </w:pPr>
      <w:r>
        <w:rPr/>
      </w:r>
    </w:p>
    <w:p>
      <w:pPr>
        <w:pStyle w:val="TextBody"/>
        <w:bidi w:val="0"/>
        <w:spacing w:before="0" w:after="10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52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52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Contract Balances</w:t>
      </w:r>
    </w:p>
    <w:tbl>
      <w:tblPr>
        <w:tblW w:w="10205" w:type="dxa"/>
        <w:jc w:val="left"/>
        <w:tblInd w:w="0" w:type="dxa"/>
        <w:tblLayout w:type="fixed"/>
        <w:tblCellMar>
          <w:top w:w="28" w:type="dxa"/>
          <w:left w:w="28" w:type="dxa"/>
          <w:bottom w:w="28" w:type="dxa"/>
          <w:right w:w="28" w:type="dxa"/>
        </w:tblCellMar>
      </w:tblPr>
      <w:tblGrid>
        <w:gridCol w:w="836"/>
        <w:gridCol w:w="709"/>
        <w:gridCol w:w="713"/>
        <w:gridCol w:w="550"/>
        <w:gridCol w:w="550"/>
        <w:gridCol w:w="551"/>
        <w:gridCol w:w="109"/>
        <w:gridCol w:w="109"/>
        <w:gridCol w:w="109"/>
        <w:gridCol w:w="685"/>
        <w:gridCol w:w="685"/>
        <w:gridCol w:w="686"/>
        <w:gridCol w:w="109"/>
        <w:gridCol w:w="109"/>
        <w:gridCol w:w="109"/>
        <w:gridCol w:w="1142"/>
        <w:gridCol w:w="1142"/>
        <w:gridCol w:w="1144"/>
        <w:gridCol w:w="158"/>
      </w:tblGrid>
      <w:tr>
        <w:trPr/>
        <w:tc>
          <w:tcPr>
            <w:tcW w:w="83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65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Affected line item on the Condensed consolidated balance sheet</w:t>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65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5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342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Receivables from contracts with customers</w:t>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1,665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1,822 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receivable</w:t>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Contract assets</w:t>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295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216 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Long-term contract assets</w:t>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622</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627 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Contract liabilities</w:t>
            </w:r>
            <w:r>
              <w:rPr>
                <w:rFonts w:ascii="sans-serif" w:hAnsi="sans-serif"/>
                <w:b w:val="false"/>
                <w:color w:val="000000"/>
                <w:sz w:val="12"/>
              </w:rPr>
              <w:t>1</w:t>
            </w:r>
          </w:p>
        </w:tc>
        <w:tc>
          <w:tcPr>
            <w:tcW w:w="110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73</w:t>
            </w:r>
            <w:r>
              <w:rPr>
                <w:color w:val="000000"/>
              </w:rPr>
              <w:t> </w:t>
            </w:r>
          </w:p>
        </w:tc>
        <w:tc>
          <w:tcPr>
            <w:tcW w:w="55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46 </w:t>
            </w:r>
          </w:p>
        </w:tc>
        <w:tc>
          <w:tcPr>
            <w:tcW w:w="68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158" w:type="dxa"/>
            <w:tcBorders/>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8" w:type="dxa"/>
            <w:gridSpan w:val="3"/>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1During the three months ended March 31, 2026, $19 million (2025 – $13 million) of revenues were recognized that were included in contract liabilities at the beginning of the period.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Contract assets and long-term contract assets primarily relate to the Company’s right to revenues for services completed but not invoiced at the reporting date on long-term committed capacity natural gas pipelines contracts. The change in contract assets is primarily related to the transfer to Accounts receivable when these rights become unconditional and the customer is invoiced, as well as the recognition of additional revenues that remain to be invoiced. Contract liabilities primarily represent unearned revenue for contracted services.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Future Revenues from Remaining Performance Obligations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At March 31, 2026, future revenues from long-term pipeline capacity arrangements and transportation as well as natural gas storage and other contracts extending through 2055 are approximately $33.7 billion, of which approximately $5.7 billion is expected to be recognized during the remainder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6. INCOME TAXES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Effective Tax Rates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effective income tax rates were 18 per cent and 20 per cent for the three months ended March 31, 2026 and 2025, respectively. The decrease in the effective income tax rate is primarily due to the impact of Mexico foreign exchange exposure partially offset by a change in the geographic and business mix of earnings and higher flow-through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53</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7. LONG-TERM DEBT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Long-Term Debt Repaid/Retired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Long-term debt repaid/retired by the Company in the three months ended March 31, 2026 included the following:</w:t>
      </w:r>
    </w:p>
    <w:tbl>
      <w:tblPr>
        <w:tblW w:w="10205" w:type="dxa"/>
        <w:jc w:val="left"/>
        <w:tblInd w:w="0" w:type="dxa"/>
        <w:tblLayout w:type="fixed"/>
        <w:tblCellMar>
          <w:top w:w="28" w:type="dxa"/>
          <w:left w:w="28" w:type="dxa"/>
          <w:bottom w:w="28" w:type="dxa"/>
          <w:right w:w="28" w:type="dxa"/>
        </w:tblCellMar>
      </w:tblPr>
      <w:tblGrid>
        <w:gridCol w:w="943"/>
        <w:gridCol w:w="828"/>
        <w:gridCol w:w="645"/>
        <w:gridCol w:w="242"/>
        <w:gridCol w:w="242"/>
        <w:gridCol w:w="242"/>
        <w:gridCol w:w="513"/>
        <w:gridCol w:w="513"/>
        <w:gridCol w:w="515"/>
        <w:gridCol w:w="242"/>
        <w:gridCol w:w="242"/>
        <w:gridCol w:w="242"/>
        <w:gridCol w:w="770"/>
        <w:gridCol w:w="633"/>
        <w:gridCol w:w="516"/>
        <w:gridCol w:w="109"/>
        <w:gridCol w:w="109"/>
        <w:gridCol w:w="109"/>
        <w:gridCol w:w="305"/>
        <w:gridCol w:w="305"/>
        <w:gridCol w:w="306"/>
        <w:gridCol w:w="109"/>
        <w:gridCol w:w="109"/>
        <w:gridCol w:w="109"/>
        <w:gridCol w:w="306"/>
        <w:gridCol w:w="263"/>
        <w:gridCol w:w="738"/>
      </w:tblGrid>
      <w:tr>
        <w:trPr/>
        <w:tc>
          <w:tcPr>
            <w:tcW w:w="9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328"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(unaudited - 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72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Repayment date</w:t>
            </w:r>
          </w:p>
        </w:tc>
        <w:tc>
          <w:tcPr>
            <w:tcW w:w="726"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4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February 2026</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Medium Term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8.29</w:t>
            </w:r>
          </w:p>
        </w:tc>
        <w:tc>
          <w:tcPr>
            <w:tcW w:w="738" w:type="dxa"/>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4683" w:type="dxa"/>
            <w:gridSpan w:val="9"/>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TC Energía Mexicana, S. de R.L. de C.V.</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March 2026</w:t>
            </w:r>
          </w:p>
        </w:tc>
        <w:tc>
          <w:tcPr>
            <w:tcW w:w="726"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Senior Unsecured Term Loan</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US 168</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Floating</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34" w:type="dxa"/>
            <w:gridSpan w:val="6"/>
            <w:tcBorders/>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34" w:type="dxa"/>
            <w:gridSpan w:val="6"/>
            <w:tcBorders/>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Subsequent Debt Repayment</w:t>
      </w:r>
    </w:p>
    <w:p>
      <w:pPr>
        <w:pStyle w:val="TextBody"/>
        <w:bidi w:val="0"/>
        <w:spacing w:lineRule="auto" w:line="348" w:before="0" w:after="112"/>
        <w:jc w:val="left"/>
        <w:rPr>
          <w:rFonts w:ascii="sans-serif" w:hAnsi="sans-serif"/>
          <w:b w:val="false"/>
          <w:color w:val="000000"/>
          <w:sz w:val="20"/>
        </w:rPr>
      </w:pPr>
      <w:r>
        <w:rPr>
          <w:rFonts w:ascii="sans-serif" w:hAnsi="sans-serif"/>
          <w:b w:val="false"/>
          <w:color w:val="000000"/>
          <w:sz w:val="20"/>
        </w:rPr>
        <w:t xml:space="preserve">On April 13, 2026, TCPL fully repaid and retired $400 million of medium term notes bearing interest at a fixed rate of 4.35 per cent.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Capitalized Interest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the three months ended March 31, 2026, TC Energy capitalized interest related to capital projects of $4 million         (2025 – $3 million).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54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54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8. JUNIOR SUBORDINATED NOTES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Junior Subordinated Notes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Junior subordinated notes issued by the Company in the three months ended March 31, 2026 included the following:</w:t>
      </w:r>
    </w:p>
    <w:tbl>
      <w:tblPr>
        <w:tblW w:w="10205" w:type="dxa"/>
        <w:jc w:val="left"/>
        <w:tblInd w:w="0" w:type="dxa"/>
        <w:tblLayout w:type="fixed"/>
        <w:tblCellMar>
          <w:top w:w="28" w:type="dxa"/>
          <w:left w:w="28" w:type="dxa"/>
          <w:bottom w:w="28" w:type="dxa"/>
          <w:right w:w="28" w:type="dxa"/>
        </w:tblCellMar>
      </w:tblPr>
      <w:tblGrid>
        <w:gridCol w:w="793"/>
        <w:gridCol w:w="696"/>
        <w:gridCol w:w="543"/>
        <w:gridCol w:w="189"/>
        <w:gridCol w:w="189"/>
        <w:gridCol w:w="189"/>
        <w:gridCol w:w="429"/>
        <w:gridCol w:w="427"/>
        <w:gridCol w:w="224"/>
        <w:gridCol w:w="189"/>
        <w:gridCol w:w="189"/>
        <w:gridCol w:w="189"/>
        <w:gridCol w:w="972"/>
        <w:gridCol w:w="366"/>
        <w:gridCol w:w="349"/>
        <w:gridCol w:w="109"/>
        <w:gridCol w:w="109"/>
        <w:gridCol w:w="109"/>
        <w:gridCol w:w="383"/>
        <w:gridCol w:w="383"/>
        <w:gridCol w:w="384"/>
        <w:gridCol w:w="109"/>
        <w:gridCol w:w="109"/>
        <w:gridCol w:w="109"/>
        <w:gridCol w:w="305"/>
        <w:gridCol w:w="305"/>
        <w:gridCol w:w="306"/>
        <w:gridCol w:w="109"/>
        <w:gridCol w:w="109"/>
        <w:gridCol w:w="109"/>
        <w:gridCol w:w="306"/>
        <w:gridCol w:w="246"/>
        <w:gridCol w:w="673"/>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5933"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(unaudited - millions of Canadian $, unless otherwise noted)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Company</w:t>
            </w:r>
          </w:p>
        </w:tc>
        <w:tc>
          <w:tcPr>
            <w:tcW w:w="56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Issue date </w:t>
            </w:r>
          </w:p>
        </w:tc>
        <w:tc>
          <w:tcPr>
            <w:tcW w:w="56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 xml:space="preserve">Type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Maturity date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Amount</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Interest rate </w:t>
            </w:r>
          </w:p>
        </w:tc>
      </w:tr>
      <w:tr>
        <w:trPr/>
        <w:tc>
          <w:tcPr>
            <w:tcW w:w="20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TransCanada PipeLines Limited</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February 2026</w:t>
            </w:r>
          </w:p>
        </w:tc>
        <w:tc>
          <w:tcPr>
            <w:tcW w:w="56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August 2056</w:t>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500 </w:t>
            </w:r>
          </w:p>
        </w:tc>
        <w:tc>
          <w:tcPr>
            <w:tcW w:w="306" w:type="dxa"/>
            <w:tcBorders>
              <w:bottom w:val="single" w:sz="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5.13</w:t>
            </w:r>
          </w:p>
        </w:tc>
        <w:tc>
          <w:tcPr>
            <w:tcW w:w="673" w:type="dxa"/>
            <w:tcBorders>
              <w:bottom w:val="single" w:sz="2" w:space="0" w:color="000000"/>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w:t>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552" w:type="dxa"/>
            <w:gridSpan w:val="6"/>
            <w:tcBorders/>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552" w:type="dxa"/>
            <w:gridSpan w:val="6"/>
            <w:tcBorders/>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February 2026, TCPL issued $500 million of junior subordinated notes maturing in 2056 with a fixed interest rate of 5.13 per cent per year until August 20, 2031. The rate on the junior subordinated notes will reset every five years commencing August 2031 until August 2056 to the then Five-Year Government of Canada Yield, as defined in the document governing the subordinated notes, plus 2.24 per cent per annum, subject to a rate-reset minimum. The junior subordinated notes are callable at TCPL's option at any time from May 20, 2031 to August 20, 2031 and on each interest payment and reset date thereafter at 100 per cent of the principal amount plus accrued and unpaid interest to the date of redemption.</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Subsequent Junior Subordinated Notes Issued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April 17, 2026, TCPL issued US$500 million of junior subordinated notes maturing in October 2056 with a fixed interest rate of 6.13 per cent until October 17, 2031, and resetting every five years thereafter. The rate on the junior subordinated notes will reset every five years commencing October 2031 until October 2056 to the then current Five-Year Treasury Rate, as defined in the document governing the subordinated notes, plus 2.25 per cent per annum, subject to a rate-reset minimum. The junior subordinated notes are callable at TCPL's option at any time from July 17, 2031 to October 17, 2031 and on each interest payment and reset date thereafter at 100 per cent of the principal amount plus accrued and unpaid interest to the date of redemption.</w:t>
      </w:r>
    </w:p>
    <w:p>
      <w:pPr>
        <w:pStyle w:val="TextBody"/>
        <w:bidi w:val="0"/>
        <w:spacing w:lineRule="auto" w:line="348" w:before="0" w:after="108"/>
        <w:jc w:val="left"/>
        <w:rPr>
          <w:rFonts w:ascii="sans-serif" w:hAnsi="sans-serif"/>
          <w:b w:val="false"/>
          <w:color w:val="000000"/>
          <w:sz w:val="20"/>
        </w:rPr>
      </w:pPr>
      <w:r>
        <w:rPr>
          <w:rFonts w:ascii="sans-serif" w:hAnsi="sans-serif"/>
          <w:b w:val="false"/>
          <w:color w:val="000000"/>
          <w:sz w:val="20"/>
        </w:rPr>
        <w:t>On April 17, 2026, TCPL issued US$500 million of junior subordinated notes maturing in October 2056 with a fixed interest rate of 6.38 per cent until October 17, 2036, and resetting every five years thereafter. The rate on the junior subordinated notes will reset every five years commencing October 2036 until October 2056 to the then current Five-Year Treasury Rate, as defined in the document governing the subordinated notes, plus 2.12 per cent per annum, subject to a rate-reset minimum. The junior subordinated notes are callable at TCPL's option at any time from July 17, 2036 to October 17, 2036 and on each interest payment and reset date thereafter at 100 per cent of the principal amount plus accrued and unpaid interest to the date of redemption.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Pursuant to the terms of the junior subordinated notes issued in 2026, TCPL has the option to defer payment of interest for one or more periods of up to ten years without giving rise to an event of default and without permitting acceleration of payment. TC Energy and TCPL would be prohibited from declaring or paying dividends during any deferral period. The junior subordinated notes are subordinated in right of payment to existing and future senior indebtedness and other obligations of TCPL.</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55</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 xml:space="preserve">9. COMMON SHARES AND PREFERRED SHARES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Board of Directors of TC Energy declared quarterly dividends as follows:</w:t>
      </w:r>
    </w:p>
    <w:tbl>
      <w:tblPr>
        <w:tblW w:w="10205" w:type="dxa"/>
        <w:jc w:val="left"/>
        <w:tblInd w:w="0" w:type="dxa"/>
        <w:tblLayout w:type="fixed"/>
        <w:tblCellMar>
          <w:top w:w="28" w:type="dxa"/>
          <w:left w:w="28" w:type="dxa"/>
          <w:bottom w:w="28" w:type="dxa"/>
          <w:right w:w="28" w:type="dxa"/>
        </w:tblCellMar>
      </w:tblPr>
      <w:tblGrid>
        <w:gridCol w:w="2486"/>
        <w:gridCol w:w="2181"/>
        <w:gridCol w:w="2194"/>
        <w:gridCol w:w="109"/>
        <w:gridCol w:w="109"/>
        <w:gridCol w:w="109"/>
        <w:gridCol w:w="435"/>
        <w:gridCol w:w="406"/>
        <w:gridCol w:w="242"/>
        <w:gridCol w:w="242"/>
        <w:gridCol w:w="242"/>
        <w:gridCol w:w="242"/>
        <w:gridCol w:w="304"/>
        <w:gridCol w:w="282"/>
        <w:gridCol w:w="245"/>
        <w:gridCol w:w="109"/>
        <w:gridCol w:w="109"/>
        <w:gridCol w:w="159"/>
      </w:tblGrid>
      <w:tr>
        <w:trPr/>
        <w:tc>
          <w:tcPr>
            <w:tcW w:w="248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861"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Canadian $, rounded to two decimals unless otherwise noted)</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72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1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0.31</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2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0.26</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3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0.26</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4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0.22</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5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0.28</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0.12 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6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0.29 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7 preferred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0.37</w:t>
            </w: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9 preferred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0.32</w:t>
            </w: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bottom w:val="single" w:sz="4" w:space="0" w:color="6D6D6D"/>
            </w:tcBorders>
            <w:shd w:fill="FFFFFF" w:val="clear"/>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Series 10 preferred share</w:t>
            </w:r>
          </w:p>
        </w:tc>
        <w:tc>
          <w:tcPr>
            <w:tcW w:w="327" w:type="dxa"/>
            <w:gridSpan w:val="3"/>
            <w:tcBorders>
              <w:bottom w:val="single" w:sz="4" w:space="0" w:color="6D6D6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4" w:space="0" w:color="6D6D6D"/>
            </w:tcBorders>
            <w:shd w:fill="FFFFFF" w:val="clear"/>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0.28</w:t>
            </w:r>
            <w:r>
              <w:rPr>
                <w:color w:val="000000"/>
              </w:rPr>
              <w:t> </w:t>
            </w:r>
          </w:p>
        </w:tc>
        <w:tc>
          <w:tcPr>
            <w:tcW w:w="242" w:type="dxa"/>
            <w:tcBorders>
              <w:bottom w:val="single" w:sz="4"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4" w:space="0" w:color="6D6D6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4" w:space="0" w:color="6D6D6D"/>
            </w:tcBorders>
            <w:shd w:fill="FFFFFF" w:val="clear"/>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0.34 </w:t>
            </w:r>
          </w:p>
        </w:tc>
        <w:tc>
          <w:tcPr>
            <w:tcW w:w="245" w:type="dxa"/>
            <w:tcBorders>
              <w:bottom w:val="single" w:sz="4"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On January 30, 2026, the remaining 1,929,407 Series 6 preferred shares were converted, on a one-for-one basis, into 1,929,407 Series 5 preferred shares and Series 6 preferred shares were delisted from the TSX at the close of markets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56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56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10. OTHER COMPREHENSIVE INCOME (LOSS) AND ACCUMULATED OTHER COMPREHENSIVE INCOME (LOSS)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Components of other comprehensive income (loss), including the portion attributable to non-controlling interests and related tax effects, were as follows: </w:t>
      </w:r>
    </w:p>
    <w:tbl>
      <w:tblPr>
        <w:tblW w:w="10205" w:type="dxa"/>
        <w:jc w:val="left"/>
        <w:tblInd w:w="0" w:type="dxa"/>
        <w:tblLayout w:type="fixed"/>
        <w:tblCellMar>
          <w:top w:w="28" w:type="dxa"/>
          <w:left w:w="28" w:type="dxa"/>
          <w:bottom w:w="28" w:type="dxa"/>
          <w:right w:w="28" w:type="dxa"/>
        </w:tblCellMar>
      </w:tblPr>
      <w:tblGrid>
        <w:gridCol w:w="1608"/>
        <w:gridCol w:w="1389"/>
        <w:gridCol w:w="1393"/>
        <w:gridCol w:w="109"/>
        <w:gridCol w:w="109"/>
        <w:gridCol w:w="109"/>
        <w:gridCol w:w="460"/>
        <w:gridCol w:w="460"/>
        <w:gridCol w:w="462"/>
        <w:gridCol w:w="109"/>
        <w:gridCol w:w="109"/>
        <w:gridCol w:w="109"/>
        <w:gridCol w:w="679"/>
        <w:gridCol w:w="679"/>
        <w:gridCol w:w="680"/>
        <w:gridCol w:w="109"/>
        <w:gridCol w:w="109"/>
        <w:gridCol w:w="109"/>
        <w:gridCol w:w="412"/>
        <w:gridCol w:w="412"/>
        <w:gridCol w:w="590"/>
      </w:tblGrid>
      <w:tr>
        <w:trPr/>
        <w:tc>
          <w:tcPr>
            <w:tcW w:w="160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Before tax amount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Income tax (expense) recovery</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of tax amount</w:t>
            </w:r>
          </w:p>
        </w:tc>
      </w:tr>
      <w:tr>
        <w:trPr/>
        <w:tc>
          <w:tcPr>
            <w:tcW w:w="43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8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3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43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360</w:t>
            </w:r>
            <w:r>
              <w:rPr>
                <w:color w:val="000000"/>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364</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w:t>
            </w: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(13)</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361</w:t>
            </w:r>
            <w:r>
              <w:rPr>
                <w:color w:val="000000"/>
              </w:rPr>
              <w:t> </w:t>
            </w:r>
          </w:p>
        </w:tc>
        <w:tc>
          <w:tcPr>
            <w:tcW w:w="4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6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365</w:t>
            </w:r>
            <w:r>
              <w:rPr>
                <w:color w:val="000000"/>
              </w:rPr>
              <w:t> </w:t>
            </w:r>
          </w:p>
        </w:tc>
        <w:tc>
          <w:tcPr>
            <w:tcW w:w="5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8"/>
        <w:gridCol w:w="1389"/>
        <w:gridCol w:w="1393"/>
        <w:gridCol w:w="109"/>
        <w:gridCol w:w="109"/>
        <w:gridCol w:w="109"/>
        <w:gridCol w:w="460"/>
        <w:gridCol w:w="460"/>
        <w:gridCol w:w="462"/>
        <w:gridCol w:w="109"/>
        <w:gridCol w:w="109"/>
        <w:gridCol w:w="109"/>
        <w:gridCol w:w="679"/>
        <w:gridCol w:w="679"/>
        <w:gridCol w:w="680"/>
        <w:gridCol w:w="109"/>
        <w:gridCol w:w="109"/>
        <w:gridCol w:w="109"/>
        <w:gridCol w:w="412"/>
        <w:gridCol w:w="412"/>
        <w:gridCol w:w="590"/>
      </w:tblGrid>
      <w:tr>
        <w:trPr/>
        <w:tc>
          <w:tcPr>
            <w:tcW w:w="160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2025</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Before tax amount</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Income tax (expense) recovery</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of tax amount</w:t>
            </w:r>
          </w:p>
        </w:tc>
      </w:tr>
      <w:tr>
        <w:trPr/>
        <w:tc>
          <w:tcPr>
            <w:tcW w:w="439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38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3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1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43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Foreign currency translation gains and losses on net investment in foreign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Change in fair value of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Change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Reclassification to net income of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comprehensive income (loss) on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Comprehensive Income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w:t>
            </w:r>
          </w:p>
        </w:tc>
        <w:tc>
          <w:tcPr>
            <w:tcW w:w="46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6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w:t>
            </w:r>
          </w:p>
        </w:tc>
        <w:tc>
          <w:tcPr>
            <w:tcW w:w="5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changes in AOCI by component, net of tax, were as follows:</w:t>
      </w:r>
    </w:p>
    <w:tbl>
      <w:tblPr>
        <w:tblW w:w="10205" w:type="dxa"/>
        <w:jc w:val="left"/>
        <w:tblInd w:w="0" w:type="dxa"/>
        <w:tblLayout w:type="fixed"/>
        <w:tblCellMar>
          <w:top w:w="28" w:type="dxa"/>
          <w:left w:w="28" w:type="dxa"/>
          <w:bottom w:w="28" w:type="dxa"/>
          <w:right w:w="28" w:type="dxa"/>
        </w:tblCellMar>
      </w:tblPr>
      <w:tblGrid>
        <w:gridCol w:w="707"/>
        <w:gridCol w:w="608"/>
        <w:gridCol w:w="610"/>
        <w:gridCol w:w="109"/>
        <w:gridCol w:w="109"/>
        <w:gridCol w:w="109"/>
        <w:gridCol w:w="489"/>
        <w:gridCol w:w="489"/>
        <w:gridCol w:w="490"/>
        <w:gridCol w:w="109"/>
        <w:gridCol w:w="109"/>
        <w:gridCol w:w="109"/>
        <w:gridCol w:w="306"/>
        <w:gridCol w:w="306"/>
        <w:gridCol w:w="307"/>
        <w:gridCol w:w="109"/>
        <w:gridCol w:w="109"/>
        <w:gridCol w:w="109"/>
        <w:gridCol w:w="676"/>
        <w:gridCol w:w="676"/>
        <w:gridCol w:w="677"/>
        <w:gridCol w:w="109"/>
        <w:gridCol w:w="109"/>
        <w:gridCol w:w="109"/>
        <w:gridCol w:w="474"/>
        <w:gridCol w:w="474"/>
        <w:gridCol w:w="475"/>
        <w:gridCol w:w="109"/>
        <w:gridCol w:w="109"/>
        <w:gridCol w:w="109"/>
        <w:gridCol w:w="263"/>
        <w:gridCol w:w="263"/>
        <w:gridCol w:w="280"/>
      </w:tblGrid>
      <w:tr>
        <w:trPr/>
        <w:tc>
          <w:tcPr>
            <w:tcW w:w="7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three months ended March 31, 2026</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Currency</w:t>
              <w:br/>
              <w:t>translation adjustments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Cash flow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Pension and other post-retirement benefit plans adjustments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Equity investments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192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6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91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2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42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80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19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2" w:space="0" w:color="0D64EF"/>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AOCI balance at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101</w:t>
            </w:r>
            <w:r>
              <w:rPr>
                <w:color w:val="000000"/>
              </w:rPr>
              <w:t> </w:t>
            </w:r>
          </w:p>
        </w:tc>
        <w:tc>
          <w:tcPr>
            <w:tcW w:w="6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631</w:t>
            </w: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747</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Other comprehensive income (loss) before reclassifications</w:t>
            </w:r>
            <w:r>
              <w:rPr>
                <w:rFonts w:ascii="sans-serif" w:hAnsi="sans-serif"/>
                <w:b w:val="false"/>
                <w:color w:val="000000"/>
                <w:sz w:val="12"/>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187</w:t>
            </w:r>
            <w:r>
              <w:rPr>
                <w:color w:val="000000"/>
              </w:rPr>
              <w:t> </w:t>
            </w:r>
          </w:p>
        </w:tc>
        <w:tc>
          <w:tcPr>
            <w:tcW w:w="4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27</w:t>
            </w:r>
            <w:r>
              <w:rPr>
                <w:color w:val="000000"/>
              </w:rPr>
              <w:t> </w:t>
            </w:r>
          </w:p>
        </w:tc>
        <w:tc>
          <w:tcPr>
            <w:tcW w:w="30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7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w:t>
            </w:r>
          </w:p>
        </w:tc>
        <w:tc>
          <w:tcPr>
            <w:tcW w:w="4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203</w:t>
            </w:r>
            <w:r>
              <w:rPr>
                <w:color w:val="000000"/>
              </w:rPr>
              <w:t> </w:t>
            </w:r>
          </w:p>
        </w:tc>
        <w:tc>
          <w:tcPr>
            <w:tcW w:w="28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Amounts reclassified from AOCI</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(15)</w:t>
            </w:r>
          </w:p>
        </w:tc>
        <w:tc>
          <w:tcPr>
            <w:tcW w:w="28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Net current period other comprehensive income (loss)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187</w:t>
            </w:r>
            <w:r>
              <w:rPr>
                <w:color w:val="000000"/>
              </w:rPr>
              <w:t> </w:t>
            </w:r>
          </w:p>
        </w:tc>
        <w:tc>
          <w:tcPr>
            <w:tcW w:w="4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30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7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4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188</w:t>
            </w:r>
            <w:r>
              <w:rPr>
                <w:color w:val="000000"/>
              </w:rPr>
              <w:t> </w:t>
            </w:r>
          </w:p>
        </w:tc>
        <w:tc>
          <w:tcPr>
            <w:tcW w:w="28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92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AOCI balance at March 31, 2026</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209</w:t>
            </w:r>
            <w:r>
              <w:rPr>
                <w:color w:val="000000"/>
              </w:rPr>
              <w:t> </w:t>
            </w:r>
          </w:p>
        </w:tc>
        <w:tc>
          <w:tcPr>
            <w:tcW w:w="49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30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101</w:t>
            </w:r>
            <w:r>
              <w:rPr>
                <w:color w:val="000000"/>
              </w:rPr>
              <w:t> </w:t>
            </w:r>
          </w:p>
        </w:tc>
        <w:tc>
          <w:tcPr>
            <w:tcW w:w="67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622</w:t>
            </w:r>
            <w:r>
              <w:rPr>
                <w:color w:val="000000"/>
              </w:rPr>
              <w:t> </w:t>
            </w:r>
          </w:p>
        </w:tc>
        <w:tc>
          <w:tcPr>
            <w:tcW w:w="4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935</w:t>
            </w:r>
            <w:r>
              <w:rPr>
                <w:color w:val="000000"/>
              </w:rPr>
              <w:t> </w:t>
            </w:r>
          </w:p>
        </w:tc>
        <w:tc>
          <w:tcPr>
            <w:tcW w:w="2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 xml:space="preserve">1    Other comprehensive income (loss) before reclassifications on currency translation adjustments is net of non-controlling interest gains of $177 million (2025 – losses of $20 million). </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    Gains related to cash flow hedges reported in AOCI and expected to be reclassified to net income in the next 12 months are estimated to be $13 million ($10 million after tax) at March 31, 2026. These estimates assume constant commodity prices, interest rates and foreign exchange rates over time; however, the amounts reclassified will vary based on the actual value of these factors at the date of settlement.</w:t>
      </w:r>
    </w:p>
    <w:p>
      <w:pPr>
        <w:pStyle w:val="TextBody"/>
        <w:bidi w:val="0"/>
        <w:spacing w:before="0" w:after="108"/>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57</w:t>
                      </w:r>
                    </w:p>
                  </w:txbxContent>
                </v:textbox>
                <w10:wrap type="none"/>
              </v:rect>
            </w:pict>
          </mc:Fallback>
        </mc:AlternateContent>
      </w:r>
    </w:p>
    <w:p>
      <w:pPr>
        <w:pStyle w:val="TextBody"/>
        <w:bidi w:val="0"/>
        <w:spacing w:lineRule="auto" w:line="348" w:before="0" w:after="100"/>
        <w:ind w:left="0" w:right="0" w:hanging="360"/>
        <w:jc w:val="left"/>
        <w:rPr>
          <w:rFonts w:ascii="sans-serif" w:hAnsi="sans-serif"/>
          <w:b w:val="false"/>
          <w:color w:val="000000"/>
          <w:sz w:val="20"/>
        </w:rPr>
      </w:pPr>
      <w:r>
        <w:rPr>
          <w:rFonts w:ascii="sans-serif" w:hAnsi="sans-serif"/>
          <w:b w:val="false"/>
          <w:color w:val="000000"/>
          <w:sz w:val="20"/>
        </w:rPr>
        <w:t>Details about reclassifications out of AOCI into the Condensed consolidated statement of income were as follows: </w:t>
      </w:r>
    </w:p>
    <w:tbl>
      <w:tblPr>
        <w:tblW w:w="10205" w:type="dxa"/>
        <w:jc w:val="left"/>
        <w:tblInd w:w="0" w:type="dxa"/>
        <w:tblLayout w:type="fixed"/>
        <w:tblCellMar>
          <w:top w:w="28" w:type="dxa"/>
          <w:left w:w="28" w:type="dxa"/>
          <w:bottom w:w="28" w:type="dxa"/>
          <w:right w:w="28" w:type="dxa"/>
        </w:tblCellMar>
      </w:tblPr>
      <w:tblGrid>
        <w:gridCol w:w="759"/>
        <w:gridCol w:w="563"/>
        <w:gridCol w:w="566"/>
        <w:gridCol w:w="109"/>
        <w:gridCol w:w="109"/>
        <w:gridCol w:w="109"/>
        <w:gridCol w:w="244"/>
        <w:gridCol w:w="231"/>
        <w:gridCol w:w="152"/>
        <w:gridCol w:w="152"/>
        <w:gridCol w:w="152"/>
        <w:gridCol w:w="152"/>
        <w:gridCol w:w="244"/>
        <w:gridCol w:w="231"/>
        <w:gridCol w:w="153"/>
        <w:gridCol w:w="109"/>
        <w:gridCol w:w="109"/>
        <w:gridCol w:w="109"/>
        <w:gridCol w:w="3145"/>
        <w:gridCol w:w="109"/>
        <w:gridCol w:w="109"/>
        <w:gridCol w:w="109"/>
        <w:gridCol w:w="844"/>
        <w:gridCol w:w="674"/>
        <w:gridCol w:w="962"/>
      </w:tblGrid>
      <w:tr>
        <w:trPr/>
        <w:tc>
          <w:tcPr>
            <w:tcW w:w="75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00000"/>
                <w:sz w:val="18"/>
              </w:rPr>
              <w:t>Affected line item in the Condensed consolidated statement of income</w:t>
            </w:r>
            <w:r>
              <w:rPr>
                <w:rFonts w:ascii="sans-serif" w:hAnsi="sans-serif"/>
                <w:b w:val="false"/>
                <w:color w:val="000000"/>
                <w:sz w:val="12"/>
              </w:rPr>
              <w:t>1</w:t>
            </w:r>
          </w:p>
        </w:tc>
        <w:tc>
          <w:tcPr>
            <w:tcW w:w="2807" w:type="dxa"/>
            <w:gridSpan w:val="6"/>
            <w:tcBorders/>
          </w:tcPr>
          <w:p>
            <w:pPr>
              <w:pStyle w:val="TableContents"/>
              <w:bidi w:val="0"/>
              <w:spacing w:before="0" w:after="283"/>
              <w:jc w:val="left"/>
              <w:rPr>
                <w:sz w:val="4"/>
                <w:szCs w:val="4"/>
              </w:rPr>
            </w:pPr>
            <w:r>
              <w:rPr>
                <w:sz w:val="4"/>
                <w:szCs w:val="4"/>
              </w:rPr>
            </w:r>
          </w:p>
        </w:tc>
      </w:tr>
      <w:tr>
        <w:trPr/>
        <w:tc>
          <w:tcPr>
            <w:tcW w:w="1888"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45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88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Revenues (Power and Energy Solutions)</w:t>
            </w:r>
          </w:p>
        </w:tc>
      </w:tr>
      <w:tr>
        <w:trPr/>
        <w:tc>
          <w:tcPr>
            <w:tcW w:w="188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expense and Foreign exchange gains (losses), net</w:t>
            </w:r>
          </w:p>
        </w:tc>
      </w:tr>
      <w:tr>
        <w:trPr/>
        <w:tc>
          <w:tcPr>
            <w:tcW w:w="188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r>
      <w:tr>
        <w:trPr/>
        <w:tc>
          <w:tcPr>
            <w:tcW w:w="188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15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15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Total before tax</w:t>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w:t>
            </w:r>
          </w:p>
        </w:tc>
      </w:tr>
      <w:tr>
        <w:trPr/>
        <w:tc>
          <w:tcPr>
            <w:tcW w:w="188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15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15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of tax</w:t>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investments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88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Income (loss) from equity investments</w:t>
            </w:r>
          </w:p>
        </w:tc>
      </w:tr>
      <w:tr>
        <w:trPr/>
        <w:tc>
          <w:tcPr>
            <w:tcW w:w="188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w:t>
            </w:r>
          </w:p>
        </w:tc>
      </w:tr>
      <w:tr>
        <w:trPr/>
        <w:tc>
          <w:tcPr>
            <w:tcW w:w="188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5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15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of tax</w:t>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1All amounts in parentheses indicate expenses to the Condensed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11. EMPLOYEE POST-RETIREMENT BENEFITS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components of the net benefit cost (recovery) recognized for the Company’s pension benefit plans and other         post-retirement benefit plans were as follows:</w:t>
      </w:r>
    </w:p>
    <w:tbl>
      <w:tblPr>
        <w:tblW w:w="10205" w:type="dxa"/>
        <w:jc w:val="left"/>
        <w:tblInd w:w="0" w:type="dxa"/>
        <w:tblLayout w:type="fixed"/>
        <w:tblCellMar>
          <w:top w:w="28" w:type="dxa"/>
          <w:left w:w="28" w:type="dxa"/>
          <w:bottom w:w="28" w:type="dxa"/>
          <w:right w:w="28" w:type="dxa"/>
        </w:tblCellMar>
      </w:tblPr>
      <w:tblGrid>
        <w:gridCol w:w="1082"/>
        <w:gridCol w:w="897"/>
        <w:gridCol w:w="902"/>
        <w:gridCol w:w="123"/>
        <w:gridCol w:w="123"/>
        <w:gridCol w:w="123"/>
        <w:gridCol w:w="109"/>
        <w:gridCol w:w="109"/>
        <w:gridCol w:w="281"/>
        <w:gridCol w:w="281"/>
        <w:gridCol w:w="586"/>
        <w:gridCol w:w="586"/>
        <w:gridCol w:w="521"/>
        <w:gridCol w:w="281"/>
        <w:gridCol w:w="361"/>
        <w:gridCol w:w="361"/>
        <w:gridCol w:w="368"/>
        <w:gridCol w:w="171"/>
        <w:gridCol w:w="171"/>
        <w:gridCol w:w="171"/>
        <w:gridCol w:w="230"/>
        <w:gridCol w:w="231"/>
        <w:gridCol w:w="200"/>
        <w:gridCol w:w="109"/>
        <w:gridCol w:w="109"/>
        <w:gridCol w:w="109"/>
        <w:gridCol w:w="203"/>
        <w:gridCol w:w="203"/>
        <w:gridCol w:w="196"/>
        <w:gridCol w:w="109"/>
        <w:gridCol w:w="109"/>
        <w:gridCol w:w="109"/>
        <w:gridCol w:w="203"/>
        <w:gridCol w:w="203"/>
        <w:gridCol w:w="275"/>
      </w:tblGrid>
      <w:tr>
        <w:trPr/>
        <w:tc>
          <w:tcPr>
            <w:tcW w:w="108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6" w:type="dxa"/>
            <w:gridSpan w:val="9"/>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three months ended March 31</w:t>
            </w:r>
          </w:p>
        </w:tc>
        <w:tc>
          <w:tcPr>
            <w:tcW w:w="3111" w:type="dxa"/>
            <w:gridSpan w:val="18"/>
            <w:tcBorders/>
          </w:tcPr>
          <w:p>
            <w:pPr>
              <w:pStyle w:val="TableContents"/>
              <w:bidi w:val="0"/>
              <w:spacing w:before="0" w:after="283"/>
              <w:jc w:val="left"/>
              <w:rPr>
                <w:sz w:val="4"/>
                <w:szCs w:val="4"/>
              </w:rPr>
            </w:pPr>
            <w:r>
              <w:rPr>
                <w:sz w:val="4"/>
                <w:szCs w:val="4"/>
              </w:rPr>
            </w:r>
          </w:p>
        </w:tc>
      </w:tr>
      <w:tr>
        <w:trPr/>
        <w:tc>
          <w:tcPr>
            <w:tcW w:w="288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9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Pension benefit plans</w:t>
            </w:r>
          </w:p>
        </w:tc>
        <w:tc>
          <w:tcPr>
            <w:tcW w:w="281"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center"/>
              <w:rPr>
                <w:rFonts w:ascii="sans-serif" w:hAnsi="sans-serif"/>
                <w:b/>
                <w:color w:val="000000"/>
                <w:sz w:val="18"/>
              </w:rPr>
            </w:pPr>
            <w:r>
              <w:rPr>
                <w:rFonts w:ascii="sans-serif" w:hAnsi="sans-serif"/>
                <w:b/>
                <w:color w:val="000000"/>
                <w:sz w:val="18"/>
              </w:rPr>
              <w:t xml:space="preserve">Other post-retirement </w:t>
            </w:r>
          </w:p>
          <w:p>
            <w:pPr>
              <w:pStyle w:val="TableContents"/>
              <w:bidi w:val="0"/>
              <w:spacing w:lineRule="auto" w:line="264" w:before="0" w:after="0"/>
              <w:jc w:val="center"/>
              <w:rPr>
                <w:rFonts w:ascii="sans-serif" w:hAnsi="sans-serif"/>
                <w:b/>
                <w:color w:val="000000"/>
                <w:sz w:val="18"/>
              </w:rPr>
            </w:pPr>
            <w:r>
              <w:rPr>
                <w:rFonts w:ascii="sans-serif" w:hAnsi="sans-serif"/>
                <w:b/>
                <w:color w:val="000000"/>
                <w:sz w:val="18"/>
              </w:rPr>
              <w:t>benefit plans</w:t>
            </w:r>
          </w:p>
        </w:tc>
        <w:tc>
          <w:tcPr>
            <w:tcW w:w="1937" w:type="dxa"/>
            <w:gridSpan w:val="12"/>
            <w:tcBorders/>
          </w:tcPr>
          <w:p>
            <w:pPr>
              <w:pStyle w:val="TableContents"/>
              <w:bidi w:val="0"/>
              <w:spacing w:before="0" w:after="283"/>
              <w:jc w:val="left"/>
              <w:rPr>
                <w:sz w:val="4"/>
                <w:szCs w:val="4"/>
              </w:rPr>
            </w:pPr>
            <w:r>
              <w:rPr>
                <w:sz w:val="4"/>
                <w:szCs w:val="4"/>
              </w:rPr>
            </w:r>
          </w:p>
        </w:tc>
      </w:tr>
      <w:tr>
        <w:trPr/>
        <w:tc>
          <w:tcPr>
            <w:tcW w:w="288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51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28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Service cost</w:t>
            </w:r>
            <w:r>
              <w:rPr>
                <w:rFonts w:ascii="sans-serif" w:hAnsi="sans-serif"/>
                <w:b w:val="false"/>
                <w:color w:val="000000"/>
                <w:sz w:val="12"/>
              </w:rPr>
              <w:t>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22</w:t>
            </w:r>
            <w:r>
              <w:rPr>
                <w:color w:val="000000"/>
              </w:rPr>
              <w:t>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0" w:type="dxa"/>
            <w:gridSpan w:val="6"/>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Other components of net benefit cost (recovery)</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cost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w:t>
            </w:r>
            <w:r>
              <w:rPr>
                <w:color w:val="000000"/>
              </w:rPr>
              <w:t>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w:t>
            </w: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Expected return on plan assets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(63)</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Amortization of past service costs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w:t>
            </w:r>
          </w:p>
        </w:tc>
        <w:tc>
          <w:tcPr>
            <w:tcW w:w="36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w:t>
            </w:r>
          </w:p>
        </w:tc>
        <w:tc>
          <w:tcPr>
            <w:tcW w:w="2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both"/>
              <w:rPr>
                <w:rFonts w:ascii="sans-serif" w:hAnsi="sans-serif"/>
                <w:b/>
                <w:color w:val="0D64EF"/>
                <w:sz w:val="18"/>
              </w:rPr>
            </w:pPr>
            <w:r>
              <w:rPr>
                <w:rFonts w:ascii="sans-serif" w:hAnsi="sans-serif"/>
                <w:b/>
                <w:color w:val="0D64EF"/>
                <w:sz w:val="18"/>
              </w:rPr>
              <w:t>Net Benefit Cost (Recovery)</w:t>
            </w:r>
          </w:p>
        </w:tc>
        <w:tc>
          <w:tcPr>
            <w:tcW w:w="3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36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20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1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27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1Service cost and other components of net benefit cost (recovery) are included in Plant operating costs and other in the Condensed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58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58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12. RISK MANAGEMENT AND FINANCIAL INSTRUMENTS</w:t>
      </w:r>
    </w:p>
    <w:p>
      <w:pPr>
        <w:pStyle w:val="TextBody"/>
        <w:bidi w:val="0"/>
        <w:spacing w:lineRule="auto" w:line="348" w:before="120" w:after="283"/>
        <w:jc w:val="left"/>
        <w:rPr>
          <w:rFonts w:ascii="sans-serif" w:hAnsi="sans-serif"/>
          <w:b/>
          <w:color w:val="0D64EF"/>
          <w:sz w:val="22"/>
          <w:shd w:fill="FFFFFF" w:val="clear"/>
        </w:rPr>
      </w:pPr>
      <w:r>
        <w:rPr>
          <w:rFonts w:ascii="sans-serif" w:hAnsi="sans-serif"/>
          <w:b/>
          <w:color w:val="0D64EF"/>
          <w:sz w:val="22"/>
          <w:shd w:fill="FFFFFF" w:val="clear"/>
        </w:rPr>
        <w:t>Risk Management Overview</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 has exposure to market risk and counterparty credit risk and has strategies, policies and limits in place to manage the impact of these risks on its earnings, cash flows and, ultimately, shareholder value.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Counterparty Credit Risk</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Energy’s exposure to counterparty credit risk includes its cash and cash equivalents, accounts receivable, available-for-sale assets, the fair value of derivative assets, net investment in leases and certain contract assets in Mexico.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Market events causing disruptions in global energy demand and supply may contribute to economic uncertainties impacting a number of TC Energy's customers. While the majority of the Company's credit exposure is to large creditworthy entities, TC Energy maintains close monitoring and communication with those counterparties experiencing greater financial pressures. Refer to TC Energy's 2025 Annual Report for more information about the factors that mitigate the Company's counterparty credit risk exposure.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Company reviews financial assets carried at amortized cost for impairment using the lifetime expected loss of the financial asset at initial recognition and throughout the life of the financial asset. TC Energy uses historical credit loss and recovery data, adjusted for management's judgment regarding current economic and credit conditions, along with reasonable and supportable forecasts to determine any impairment, which is recognized in Plant operating costs and other.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For the three months ended March 31, 2026, the Company recorded an expense of $17 million (2025 – recovery of $2 million) on the expected credit loss (ECL) provision before tax with respect to the net investment in leases associated with in-service TGNH pipelines.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At March 31, 2026, the balance of the ECL provision was $162 million (December 31, 2025 – $141 million) with respect to the net investment in leases associated with in-service TGNH pipelines.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ECL provision is driven primarily by a probability of default measure for the counterparty, which is calculated using information published by an external third party.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Other than the ECL provision noted above, the Company had no significant credit losses at March 31, 2026, and there were no significant credit risk concentrations or amounts past due or impaired.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 has significant credit and performance exposure to financial institutions that hold cash deposits and provide committed credit lines and letters of credit that help manage the Company's exposure to counterparties and provide liquidity in commodity, foreign exchange and interest rate derivative markets. TC Energy's portfolio of financial sector exposure consists primarily of highly-rated investment grade, systemically important financial institutions.</w:t>
      </w:r>
    </w:p>
    <w:p>
      <w:pPr>
        <w:pStyle w:val="TextBody"/>
        <w:bidi w:val="0"/>
        <w:spacing w:before="0" w:after="108"/>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59</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Net Investment in Foreign Operations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Company hedges a portion of its net investment in foreign operations (on an after-tax basis) with U.S. dollar-denominated debt as appropriate. The notional amounts and fair values of U.S. dollar-denominated debt designated as a net investment hedge were as follows: </w:t>
      </w:r>
    </w:p>
    <w:tbl>
      <w:tblPr>
        <w:tblW w:w="10205" w:type="dxa"/>
        <w:jc w:val="left"/>
        <w:tblInd w:w="0" w:type="dxa"/>
        <w:tblLayout w:type="fixed"/>
        <w:tblCellMar>
          <w:top w:w="28" w:type="dxa"/>
          <w:left w:w="28" w:type="dxa"/>
          <w:bottom w:w="28" w:type="dxa"/>
          <w:right w:w="28" w:type="dxa"/>
        </w:tblCellMar>
      </w:tblPr>
      <w:tblGrid>
        <w:gridCol w:w="1974"/>
        <w:gridCol w:w="1732"/>
        <w:gridCol w:w="1742"/>
        <w:gridCol w:w="109"/>
        <w:gridCol w:w="109"/>
        <w:gridCol w:w="109"/>
        <w:gridCol w:w="665"/>
        <w:gridCol w:w="665"/>
        <w:gridCol w:w="667"/>
        <w:gridCol w:w="109"/>
        <w:gridCol w:w="109"/>
        <w:gridCol w:w="109"/>
        <w:gridCol w:w="615"/>
        <w:gridCol w:w="615"/>
        <w:gridCol w:w="876"/>
      </w:tblGrid>
      <w:tr>
        <w:trPr/>
        <w:tc>
          <w:tcPr>
            <w:tcW w:w="197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 unless otherwise noted)</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544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23,900 (US 17,100)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25,700 (US 18,700)</w:t>
            </w:r>
          </w:p>
        </w:tc>
      </w:tr>
      <w:tr>
        <w:trPr/>
        <w:tc>
          <w:tcPr>
            <w:tcW w:w="5448"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Fair value</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23,800 (US 17,100)</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25,800 (US 18,800)</w:t>
            </w:r>
          </w:p>
        </w:tc>
      </w:tr>
    </w:tbl>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Non-Derivative Financial Instruments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Fair value of non-derivative 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Available-for-sale assets are recorded at fair value which is calculated using quoted market prices where available in addition to the Company's LMCI equity securities which are classified in Level I of the fair value hierarchy. Certain other non-derivative financial instruments included in Cash and cash equivalents, Accounts receivable, Other current assets, Net investment in leases, Restricted investments, Other long-term assets, Notes payable, Accounts payable and other, Dividends payable, Accrued interest and Other long-term liabilities have carrying amounts that approximate their fair value due to the nature of the item or the short time to maturity.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Credit risk has been taken into consideration when calculating the fair value of non-derivative financial instruments.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Balance sheet presentation of non-derivative financial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the fair value of non-derivative financial instruments, excluding those where carrying amounts approximate fair value and would be classified in Level II of the fair value hierarchy:</w:t>
      </w:r>
    </w:p>
    <w:tbl>
      <w:tblPr>
        <w:tblW w:w="10205" w:type="dxa"/>
        <w:jc w:val="center"/>
        <w:tblInd w:w="0" w:type="dxa"/>
        <w:tblLayout w:type="fixed"/>
        <w:tblCellMar>
          <w:top w:w="28" w:type="dxa"/>
          <w:left w:w="28" w:type="dxa"/>
          <w:bottom w:w="28" w:type="dxa"/>
          <w:right w:w="28" w:type="dxa"/>
        </w:tblCellMar>
      </w:tblPr>
      <w:tblGrid>
        <w:gridCol w:w="1298"/>
        <w:gridCol w:w="1100"/>
        <w:gridCol w:w="1107"/>
        <w:gridCol w:w="109"/>
        <w:gridCol w:w="109"/>
        <w:gridCol w:w="109"/>
        <w:gridCol w:w="456"/>
        <w:gridCol w:w="456"/>
        <w:gridCol w:w="331"/>
        <w:gridCol w:w="183"/>
        <w:gridCol w:w="183"/>
        <w:gridCol w:w="183"/>
        <w:gridCol w:w="456"/>
        <w:gridCol w:w="456"/>
        <w:gridCol w:w="225"/>
        <w:gridCol w:w="109"/>
        <w:gridCol w:w="109"/>
        <w:gridCol w:w="109"/>
        <w:gridCol w:w="448"/>
        <w:gridCol w:w="449"/>
        <w:gridCol w:w="331"/>
        <w:gridCol w:w="223"/>
        <w:gridCol w:w="223"/>
        <w:gridCol w:w="223"/>
        <w:gridCol w:w="448"/>
        <w:gridCol w:w="449"/>
        <w:gridCol w:w="323"/>
      </w:tblGrid>
      <w:tr>
        <w:trPr/>
        <w:tc>
          <w:tcPr>
            <w:tcW w:w="129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50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December 31, 2025</w:t>
            </w:r>
          </w:p>
        </w:tc>
      </w:tr>
      <w:tr>
        <w:trPr/>
        <w:tc>
          <w:tcPr>
            <w:tcW w:w="350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amount</w:t>
            </w:r>
          </w:p>
        </w:tc>
        <w:tc>
          <w:tcPr>
            <w:tcW w:w="54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Fair</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value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amount</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Fair</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value</w:t>
            </w:r>
          </w:p>
        </w:tc>
      </w:tr>
      <w:tr>
        <w:trPr/>
        <w:tc>
          <w:tcPr>
            <w:tcW w:w="3505"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0D64E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Long-term debt, including current portion</w:t>
            </w:r>
            <w:r>
              <w:rPr>
                <w:rFonts w:ascii="sans-serif" w:hAnsi="sans-serif"/>
                <w:b w:val="false"/>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(46,835)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(47,225)</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(46,792)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(47,720)</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(12,751)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(12,641)</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(12,094)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(12,061)</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(59,586)</w:t>
            </w:r>
          </w:p>
        </w:tc>
        <w:tc>
          <w:tcPr>
            <w:tcW w:w="33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(59,866)</w:t>
            </w:r>
          </w:p>
        </w:tc>
        <w:tc>
          <w:tcPr>
            <w:tcW w:w="22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(58,886)</w:t>
            </w:r>
          </w:p>
        </w:tc>
        <w:tc>
          <w:tcPr>
            <w:tcW w:w="33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(59,781)</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1Long-term debt is recorded at amortized cost, except for $4.7 billion (December 31, 2025 – $4.0 billion) that is attributed to hedged risk and recorded at fair value.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2Net income (loss) for the three months ended March 31, 2026 included unrealized gains of $26 million (2025 – unrealized losses of $88 million) for fair value adjustments attributable to the hedged interest rate risk associated with interest rate swap fair value hedging relationships. </w:t>
      </w:r>
    </w:p>
    <w:p>
      <w:pPr>
        <w:pStyle w:val="TextBody"/>
        <w:bidi w:val="0"/>
        <w:spacing w:before="0" w:after="108"/>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60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60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following tables summarize additional information about the Company's restricted investments that were classified as available-for-sale assets and equity securities with readily determinable fair values: </w:t>
      </w:r>
    </w:p>
    <w:tbl>
      <w:tblPr>
        <w:tblW w:w="10205" w:type="dxa"/>
        <w:jc w:val="center"/>
        <w:tblInd w:w="0" w:type="dxa"/>
        <w:tblLayout w:type="fixed"/>
        <w:tblCellMar>
          <w:top w:w="28" w:type="dxa"/>
          <w:left w:w="28" w:type="dxa"/>
          <w:bottom w:w="28" w:type="dxa"/>
          <w:right w:w="28" w:type="dxa"/>
        </w:tblCellMar>
      </w:tblPr>
      <w:tblGrid>
        <w:gridCol w:w="586"/>
        <w:gridCol w:w="481"/>
        <w:gridCol w:w="483"/>
        <w:gridCol w:w="109"/>
        <w:gridCol w:w="109"/>
        <w:gridCol w:w="109"/>
        <w:gridCol w:w="546"/>
        <w:gridCol w:w="546"/>
        <w:gridCol w:w="547"/>
        <w:gridCol w:w="183"/>
        <w:gridCol w:w="183"/>
        <w:gridCol w:w="183"/>
        <w:gridCol w:w="571"/>
        <w:gridCol w:w="571"/>
        <w:gridCol w:w="586"/>
        <w:gridCol w:w="109"/>
        <w:gridCol w:w="109"/>
        <w:gridCol w:w="109"/>
        <w:gridCol w:w="546"/>
        <w:gridCol w:w="546"/>
        <w:gridCol w:w="547"/>
        <w:gridCol w:w="223"/>
        <w:gridCol w:w="223"/>
        <w:gridCol w:w="223"/>
        <w:gridCol w:w="517"/>
        <w:gridCol w:w="517"/>
        <w:gridCol w:w="743"/>
      </w:tblGrid>
      <w:tr>
        <w:trPr/>
        <w:tc>
          <w:tcPr>
            <w:tcW w:w="5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December 31, 2025</w:t>
            </w:r>
          </w:p>
        </w:tc>
      </w:tr>
      <w:tr>
        <w:trPr/>
        <w:tc>
          <w:tcPr>
            <w:tcW w:w="155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LMCI restricted investments</w:t>
            </w:r>
          </w:p>
        </w:tc>
        <w:tc>
          <w:tcPr>
            <w:tcW w:w="54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1</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LMCI restricted investments</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1</w:t>
            </w:r>
          </w:p>
        </w:tc>
      </w:tr>
      <w:tr>
        <w:trPr/>
        <w:tc>
          <w:tcPr>
            <w:tcW w:w="155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Fair value of fixed income securities</w:t>
            </w:r>
            <w:r>
              <w:rPr>
                <w:rFonts w:ascii="sans-serif" w:hAnsi="sans-serif"/>
                <w:b w:val="false"/>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within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121</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within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w:t>
            </w: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256</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251 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within 5-10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1,861</w:t>
            </w: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Maturing after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Fair value of equity securities</w:t>
            </w:r>
            <w:r>
              <w:rPr>
                <w:rFonts w:ascii="sans-serif" w:hAnsi="sans-serif"/>
                <w:b w:val="false"/>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1,271</w:t>
            </w: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92</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1,252 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3,173</w:t>
            </w:r>
            <w:r>
              <w:rPr>
                <w:color w:val="000000"/>
              </w:rPr>
              <w:t> </w:t>
            </w:r>
          </w:p>
        </w:tc>
        <w:tc>
          <w:tcPr>
            <w:tcW w:w="54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490</w:t>
            </w:r>
            <w:r>
              <w:rPr>
                <w:color w:val="000000"/>
              </w:rPr>
              <w:t> </w:t>
            </w:r>
          </w:p>
        </w:tc>
        <w:tc>
          <w:tcPr>
            <w:tcW w:w="5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3,124 </w:t>
            </w:r>
          </w:p>
        </w:tc>
        <w:tc>
          <w:tcPr>
            <w:tcW w:w="54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459 </w:t>
            </w:r>
          </w:p>
        </w:tc>
        <w:tc>
          <w:tcPr>
            <w:tcW w:w="74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1Other restricted investments have been set aside to fund insurance claim losses to be paid by the Company's wholly-owned captive subsidiary and to pay for certain active employee medical benefits.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2Available-for-sale assets and equity securities with readily determinable fair values are recorded at fair value and included in Other current assets and Restricted investments on the Company's Condensed consolidated balance sheet.</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3Classified in Level II of the fair value hierarchy.</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4Classified in Level I of the fair value hierarchy.</w:t>
      </w:r>
    </w:p>
    <w:tbl>
      <w:tblPr>
        <w:tblW w:w="10205" w:type="dxa"/>
        <w:jc w:val="center"/>
        <w:tblInd w:w="0" w:type="dxa"/>
        <w:tblLayout w:type="fixed"/>
        <w:tblCellMar>
          <w:top w:w="28" w:type="dxa"/>
          <w:left w:w="28" w:type="dxa"/>
          <w:bottom w:w="28" w:type="dxa"/>
          <w:right w:w="28" w:type="dxa"/>
        </w:tblCellMar>
      </w:tblPr>
      <w:tblGrid>
        <w:gridCol w:w="564"/>
        <w:gridCol w:w="495"/>
        <w:gridCol w:w="498"/>
        <w:gridCol w:w="109"/>
        <w:gridCol w:w="109"/>
        <w:gridCol w:w="109"/>
        <w:gridCol w:w="568"/>
        <w:gridCol w:w="568"/>
        <w:gridCol w:w="569"/>
        <w:gridCol w:w="183"/>
        <w:gridCol w:w="183"/>
        <w:gridCol w:w="183"/>
        <w:gridCol w:w="568"/>
        <w:gridCol w:w="568"/>
        <w:gridCol w:w="584"/>
        <w:gridCol w:w="109"/>
        <w:gridCol w:w="109"/>
        <w:gridCol w:w="109"/>
        <w:gridCol w:w="568"/>
        <w:gridCol w:w="568"/>
        <w:gridCol w:w="569"/>
        <w:gridCol w:w="180"/>
        <w:gridCol w:w="180"/>
        <w:gridCol w:w="180"/>
        <w:gridCol w:w="515"/>
        <w:gridCol w:w="515"/>
        <w:gridCol w:w="745"/>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March 31, 2025</w:t>
            </w:r>
          </w:p>
        </w:tc>
      </w:tr>
      <w:tr>
        <w:trPr/>
        <w:tc>
          <w:tcPr>
            <w:tcW w:w="155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LMCI restricted investments</w:t>
            </w:r>
            <w:r>
              <w:rPr>
                <w:rFonts w:ascii="sans-serif" w:hAnsi="sans-serif"/>
                <w:b w:val="false"/>
                <w:color w:val="000000"/>
                <w:sz w:val="12"/>
              </w:rPr>
              <w:t>1</w:t>
            </w:r>
          </w:p>
        </w:tc>
        <w:tc>
          <w:tcPr>
            <w:tcW w:w="54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2</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LMCI restricted investments</w:t>
            </w:r>
            <w:r>
              <w:rPr>
                <w:rFonts w:ascii="sans-serif" w:hAnsi="sans-serif"/>
                <w:b w:val="false"/>
                <w:color w:val="000000"/>
                <w:sz w:val="12"/>
              </w:rPr>
              <w:t>1</w:t>
            </w:r>
          </w:p>
        </w:tc>
        <w:tc>
          <w:tcPr>
            <w:tcW w:w="54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Other restricted investments</w:t>
            </w:r>
            <w:r>
              <w:rPr>
                <w:rFonts w:ascii="sans-serif" w:hAnsi="sans-serif"/>
                <w:b w:val="false"/>
                <w:color w:val="000000"/>
                <w:sz w:val="12"/>
              </w:rPr>
              <w:t>2</w:t>
            </w:r>
          </w:p>
        </w:tc>
      </w:tr>
      <w:tr>
        <w:trPr/>
        <w:tc>
          <w:tcPr>
            <w:tcW w:w="155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unrealized gains (losses) in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(14)</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w:t>
            </w:r>
          </w:p>
        </w:tc>
        <w:tc>
          <w:tcPr>
            <w:tcW w:w="5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7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155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realized gains (losses) in the period</w:t>
            </w:r>
            <w:r>
              <w:rPr>
                <w:rFonts w:ascii="sans-serif" w:hAnsi="sans-serif"/>
                <w:b w:val="false"/>
                <w:color w:val="000000"/>
                <w:sz w:val="12"/>
              </w:rPr>
              <w:t>3</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56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58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w:t>
            </w:r>
          </w:p>
        </w:tc>
        <w:tc>
          <w:tcPr>
            <w:tcW w:w="56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color w:val="000000"/>
              </w:rPr>
            </w:pPr>
            <w:r>
              <w:rPr>
                <w:color w:val="000000"/>
              </w:rPr>
              <w:t>— </w:t>
            </w:r>
          </w:p>
        </w:tc>
        <w:tc>
          <w:tcPr>
            <w:tcW w:w="74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1Unrealized and realized gains (losses) arising from changes in the fair value of LMCI restricted investments impact the subsequent amounts to be collected through tolls to cover future pipeline abandonment costs. As a result, the Company records these gains and losses as regulatory liabilities or regulatory assets.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2Unrealized and realized gains (losses) on other restricted investments are included in Interest income and other in the Condensed consolidated statement of income.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3Realized gains (losses) on the sale of LMCI restricted investments are determined using the average cost basis.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Derivative Instruments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Fair value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fair value of foreign exchange and interest rate derivatives has been calculated using the income approach which uses period-end market rates and applies a discounted cash flow valuation model. The fair value of commodity derivatives has been calculated using quoted market prices where available. In the absence of quoted market prices, third-party broker quotes or other valuation techniques have been used. The fair value of options has been calculated using the Black-Scholes pricing model. Credit risk has been taken into consideration when calculating the fair value of derivative instruments. Unrealized gains and losses on derivative instruments are not necessarily representative of the amounts that will be realized on settlement.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In some cases, even though the derivatives are considered to be effective economic hedges, they do not meet the specific criteria for hedge accounting treatment or are not designated as a hedge and are accounted for at fair value with changes in fair value recorded in net income in the period of change. This may expose the Company to increased variability in reported earnings because the fair value of the derivative instruments can fluctuate significantly from period to period.</w:t>
      </w:r>
    </w:p>
    <w:p>
      <w:pPr>
        <w:pStyle w:val="TextBody"/>
        <w:bidi w:val="0"/>
        <w:spacing w:before="0" w:after="108"/>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61</w:t>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recognition of gains and losses on derivatives for Canadian natural gas regulated pipeline exposures is determined through the regulatory process. Gains and losses arising from changes in the fair value of derivatives accounted for as part of rate-regulated accounting, including those that qualify for hedge accounting treatment, are expected to be refunded or recovered through the tolls charged by the Company. As a result, these gains and losses are deferred as regulatory liabilities or regulatory assets and are refunded to or collected from the rate payers in subsequent years when the derivative settles.</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Balance sheet presentation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balance sheet classification of the fair value of derivative instruments was as follows:</w:t>
      </w:r>
    </w:p>
    <w:tbl>
      <w:tblPr>
        <w:tblW w:w="10205" w:type="dxa"/>
        <w:jc w:val="center"/>
        <w:tblInd w:w="0" w:type="dxa"/>
        <w:tblLayout w:type="fixed"/>
        <w:tblCellMar>
          <w:top w:w="28" w:type="dxa"/>
          <w:left w:w="28" w:type="dxa"/>
          <w:bottom w:w="28" w:type="dxa"/>
          <w:right w:w="28" w:type="dxa"/>
        </w:tblCellMar>
      </w:tblPr>
      <w:tblGrid>
        <w:gridCol w:w="860"/>
        <w:gridCol w:w="754"/>
        <w:gridCol w:w="757"/>
        <w:gridCol w:w="109"/>
        <w:gridCol w:w="109"/>
        <w:gridCol w:w="109"/>
        <w:gridCol w:w="428"/>
        <w:gridCol w:w="428"/>
        <w:gridCol w:w="430"/>
        <w:gridCol w:w="109"/>
        <w:gridCol w:w="109"/>
        <w:gridCol w:w="109"/>
        <w:gridCol w:w="432"/>
        <w:gridCol w:w="432"/>
        <w:gridCol w:w="434"/>
        <w:gridCol w:w="109"/>
        <w:gridCol w:w="109"/>
        <w:gridCol w:w="109"/>
        <w:gridCol w:w="109"/>
        <w:gridCol w:w="109"/>
        <w:gridCol w:w="109"/>
        <w:gridCol w:w="109"/>
        <w:gridCol w:w="109"/>
        <w:gridCol w:w="109"/>
        <w:gridCol w:w="410"/>
        <w:gridCol w:w="410"/>
        <w:gridCol w:w="412"/>
        <w:gridCol w:w="109"/>
        <w:gridCol w:w="109"/>
        <w:gridCol w:w="109"/>
        <w:gridCol w:w="599"/>
        <w:gridCol w:w="599"/>
        <w:gridCol w:w="858"/>
      </w:tblGrid>
      <w:tr>
        <w:trPr/>
        <w:tc>
          <w:tcPr>
            <w:tcW w:w="8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Cash flow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Fair value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Held for trading</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Total fair value </w:t>
            </w:r>
          </w:p>
          <w:p>
            <w:pPr>
              <w:pStyle w:val="TableContents"/>
              <w:bidi w:val="0"/>
              <w:spacing w:lineRule="auto" w:line="264" w:before="0" w:after="0"/>
              <w:jc w:val="right"/>
              <w:rPr/>
            </w:pPr>
            <w:r>
              <w:rPr>
                <w:rFonts w:ascii="sans-serif" w:hAnsi="sans-serif"/>
                <w:b/>
                <w:color w:val="000000"/>
                <w:sz w:val="18"/>
              </w:rPr>
              <w:t>of derivative instruments</w:t>
            </w:r>
            <w:r>
              <w:rPr>
                <w:rFonts w:ascii="sans-serif" w:hAnsi="sans-serif"/>
                <w:b w:val="false"/>
                <w:color w:val="000000"/>
                <w:sz w:val="12"/>
              </w:rPr>
              <w:t>1</w:t>
            </w:r>
          </w:p>
        </w:tc>
      </w:tr>
      <w:tr>
        <w:trPr/>
        <w:tc>
          <w:tcPr>
            <w:tcW w:w="237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29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05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37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19</w:t>
            </w: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418</w:t>
            </w: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437</w:t>
            </w:r>
            <w:r>
              <w:rPr>
                <w:color w:val="000000"/>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w:t>
            </w: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28</w:t>
            </w: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35</w:t>
            </w:r>
            <w:r>
              <w:rPr>
                <w:color w:val="000000"/>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w:t>
            </w:r>
            <w:r>
              <w:rPr>
                <w:color w:val="000000"/>
              </w:rPr>
              <w:t> </w:t>
            </w:r>
          </w:p>
        </w:tc>
        <w:tc>
          <w:tcPr>
            <w:tcW w:w="4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4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446</w:t>
            </w:r>
            <w:r>
              <w:rPr>
                <w:color w:val="000000"/>
              </w:rPr>
              <w:t> </w:t>
            </w:r>
          </w:p>
        </w:tc>
        <w:tc>
          <w:tcPr>
            <w:tcW w:w="4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476</w:t>
            </w:r>
            <w:r>
              <w:rPr>
                <w:color w:val="000000"/>
              </w:rPr>
              <w:t> </w:t>
            </w:r>
          </w:p>
        </w:tc>
        <w:tc>
          <w:tcPr>
            <w:tcW w:w="8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119</w:t>
            </w: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125</w:t>
            </w:r>
            <w:r>
              <w:rPr>
                <w:color w:val="000000"/>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w:t>
            </w: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w:t>
            </w:r>
            <w:r>
              <w:rPr>
                <w:color w:val="000000"/>
              </w:rPr>
              <w:t> </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w:t>
            </w:r>
            <w:r>
              <w:rPr>
                <w:color w:val="000000"/>
              </w:rPr>
              <w:t> </w:t>
            </w:r>
          </w:p>
        </w:tc>
        <w:tc>
          <w:tcPr>
            <w:tcW w:w="4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w:t>
            </w:r>
            <w:r>
              <w:rPr>
                <w:color w:val="000000"/>
              </w:rPr>
              <w:t> </w:t>
            </w:r>
          </w:p>
        </w:tc>
        <w:tc>
          <w:tcPr>
            <w:tcW w:w="4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120</w:t>
            </w:r>
            <w:r>
              <w:rPr>
                <w:color w:val="000000"/>
              </w:rPr>
              <w:t> </w:t>
            </w:r>
          </w:p>
        </w:tc>
        <w:tc>
          <w:tcPr>
            <w:tcW w:w="4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140</w:t>
            </w:r>
            <w:r>
              <w:rPr>
                <w:color w:val="000000"/>
              </w:rPr>
              <w:t> </w:t>
            </w:r>
          </w:p>
        </w:tc>
        <w:tc>
          <w:tcPr>
            <w:tcW w:w="8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w:t>
            </w:r>
            <w:r>
              <w:rPr>
                <w:color w:val="000000"/>
              </w:rPr>
              <w:t> </w:t>
            </w:r>
          </w:p>
        </w:tc>
        <w:tc>
          <w:tcPr>
            <w:tcW w:w="4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w:t>
            </w:r>
            <w:r>
              <w:rPr>
                <w:color w:val="000000"/>
              </w:rPr>
              <w:t> </w:t>
            </w:r>
          </w:p>
        </w:tc>
        <w:tc>
          <w:tcPr>
            <w:tcW w:w="4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566</w:t>
            </w:r>
            <w:r>
              <w:rPr>
                <w:color w:val="000000"/>
              </w:rPr>
              <w:t> </w:t>
            </w:r>
          </w:p>
        </w:tc>
        <w:tc>
          <w:tcPr>
            <w:tcW w:w="4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616</w:t>
            </w:r>
            <w:r>
              <w:rPr>
                <w:color w:val="000000"/>
              </w:rPr>
              <w:t> </w:t>
            </w:r>
          </w:p>
        </w:tc>
        <w:tc>
          <w:tcPr>
            <w:tcW w:w="8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(507)</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(507)</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(55)</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(55)</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4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(562)</w:t>
            </w:r>
          </w:p>
        </w:tc>
        <w:tc>
          <w:tcPr>
            <w:tcW w:w="4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(571)</w:t>
            </w:r>
          </w:p>
        </w:tc>
        <w:tc>
          <w:tcPr>
            <w:tcW w:w="8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(72)</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(72)</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(40)</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w:t>
            </w:r>
          </w:p>
        </w:tc>
        <w:tc>
          <w:tcPr>
            <w:tcW w:w="4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w:t>
            </w:r>
          </w:p>
        </w:tc>
        <w:tc>
          <w:tcPr>
            <w:tcW w:w="4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(81)</w:t>
            </w:r>
          </w:p>
        </w:tc>
        <w:tc>
          <w:tcPr>
            <w:tcW w:w="4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(164)</w:t>
            </w:r>
          </w:p>
        </w:tc>
        <w:tc>
          <w:tcPr>
            <w:tcW w:w="8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w:t>
            </w:r>
          </w:p>
        </w:tc>
        <w:tc>
          <w:tcPr>
            <w:tcW w:w="4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(61)</w:t>
            </w:r>
          </w:p>
        </w:tc>
        <w:tc>
          <w:tcPr>
            <w:tcW w:w="43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(643)</w:t>
            </w:r>
          </w:p>
        </w:tc>
        <w:tc>
          <w:tcPr>
            <w:tcW w:w="4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(735)</w:t>
            </w:r>
          </w:p>
        </w:tc>
        <w:tc>
          <w:tcPr>
            <w:tcW w:w="85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43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(43)</w:t>
            </w:r>
          </w:p>
        </w:tc>
        <w:tc>
          <w:tcPr>
            <w:tcW w:w="43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(77)</w:t>
            </w:r>
          </w:p>
        </w:tc>
        <w:tc>
          <w:tcPr>
            <w:tcW w:w="41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(119)</w:t>
            </w:r>
          </w:p>
        </w:tc>
        <w:tc>
          <w:tcPr>
            <w:tcW w:w="85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1Fair value equals carrying value.</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2Includes purchases and sales of power and natural gas.</w:t>
      </w:r>
    </w:p>
    <w:p>
      <w:pPr>
        <w:pStyle w:val="TextBody"/>
        <w:bidi w:val="0"/>
        <w:spacing w:before="0" w:after="108"/>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62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62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4"/>
        <w:gridCol w:w="813"/>
        <w:gridCol w:w="814"/>
        <w:gridCol w:w="109"/>
        <w:gridCol w:w="109"/>
        <w:gridCol w:w="109"/>
        <w:gridCol w:w="320"/>
        <w:gridCol w:w="320"/>
        <w:gridCol w:w="321"/>
        <w:gridCol w:w="109"/>
        <w:gridCol w:w="109"/>
        <w:gridCol w:w="109"/>
        <w:gridCol w:w="417"/>
        <w:gridCol w:w="417"/>
        <w:gridCol w:w="418"/>
        <w:gridCol w:w="109"/>
        <w:gridCol w:w="109"/>
        <w:gridCol w:w="109"/>
        <w:gridCol w:w="109"/>
        <w:gridCol w:w="109"/>
        <w:gridCol w:w="109"/>
        <w:gridCol w:w="109"/>
        <w:gridCol w:w="109"/>
        <w:gridCol w:w="109"/>
        <w:gridCol w:w="296"/>
        <w:gridCol w:w="296"/>
        <w:gridCol w:w="296"/>
        <w:gridCol w:w="109"/>
        <w:gridCol w:w="109"/>
        <w:gridCol w:w="109"/>
        <w:gridCol w:w="756"/>
        <w:gridCol w:w="756"/>
        <w:gridCol w:w="1079"/>
      </w:tblGrid>
      <w:tr>
        <w:trPr/>
        <w:tc>
          <w:tcPr>
            <w:tcW w:w="9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Cash flow </w:t>
              <w:br/>
              <w:t>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Fair value hedges</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Held for</w:t>
              <w:br/>
              <w:t>trading</w:t>
            </w:r>
          </w:p>
        </w:tc>
        <w:tc>
          <w:tcPr>
            <w:tcW w:w="327" w:type="dxa"/>
            <w:gridSpan w:val="3"/>
            <w:vMerge w:val="restart"/>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Total fair value of derivative instruments</w:t>
            </w:r>
            <w:r>
              <w:rPr>
                <w:rFonts w:ascii="sans-serif" w:hAnsi="sans-serif"/>
                <w:b w:val="false"/>
                <w:color w:val="000000"/>
                <w:sz w:val="12"/>
              </w:rPr>
              <w:t>1</w:t>
            </w:r>
          </w:p>
        </w:tc>
      </w:tr>
      <w:tr>
        <w:trPr/>
        <w:tc>
          <w:tcPr>
            <w:tcW w:w="255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25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88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2" w:space="0" w:color="0D64EF"/>
            </w:tcBorders>
            <w:shd w:fill="D1D0CF" w:val="clear"/>
            <w:tcMar>
              <w:left w:w="0" w:type="dxa"/>
              <w:bottom w:w="0" w:type="dxa"/>
              <w:right w:w="0" w:type="dxa"/>
            </w:tcMar>
            <w:vAlign w:val="center"/>
          </w:tcPr>
          <w:p>
            <w:pPr>
              <w:pStyle w:val="Normal"/>
              <w:bidi w:val="0"/>
              <w:jc w:val="left"/>
              <w:rPr/>
            </w:pPr>
            <w:r>
              <w:rPr/>
            </w:r>
          </w:p>
        </w:tc>
        <w:tc>
          <w:tcPr>
            <w:tcW w:w="259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551"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237CC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2" w:space="0" w:color="237CC1"/>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Other current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371 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384 </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107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3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4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413 </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438 </w:t>
            </w:r>
          </w:p>
        </w:tc>
        <w:tc>
          <w:tcPr>
            <w:tcW w:w="1079"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124 </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15 </w:t>
            </w:r>
          </w:p>
        </w:tc>
        <w:tc>
          <w:tcPr>
            <w:tcW w:w="107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3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22 </w:t>
            </w:r>
          </w:p>
        </w:tc>
        <w:tc>
          <w:tcPr>
            <w:tcW w:w="4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137 </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161 </w:t>
            </w:r>
          </w:p>
        </w:tc>
        <w:tc>
          <w:tcPr>
            <w:tcW w:w="1079"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Assets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24 </w:t>
            </w:r>
          </w:p>
        </w:tc>
        <w:tc>
          <w:tcPr>
            <w:tcW w:w="3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4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550 </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599 </w:t>
            </w:r>
          </w:p>
        </w:tc>
        <w:tc>
          <w:tcPr>
            <w:tcW w:w="1079"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(341)</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(342)</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4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(371)</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(380)</w:t>
            </w:r>
          </w:p>
        </w:tc>
        <w:tc>
          <w:tcPr>
            <w:tcW w:w="1079"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(61)</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(62)</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w:t>
            </w:r>
          </w:p>
        </w:tc>
        <w:tc>
          <w:tcPr>
            <w:tcW w:w="3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w:t>
            </w:r>
          </w:p>
        </w:tc>
        <w:tc>
          <w:tcPr>
            <w:tcW w:w="4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(149)</w:t>
            </w:r>
          </w:p>
        </w:tc>
        <w:tc>
          <w:tcPr>
            <w:tcW w:w="1079"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w:t>
            </w:r>
          </w:p>
        </w:tc>
        <w:tc>
          <w:tcPr>
            <w:tcW w:w="3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4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(434)</w:t>
            </w:r>
          </w:p>
        </w:tc>
        <w:tc>
          <w:tcPr>
            <w:tcW w:w="2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(529)</w:t>
            </w:r>
          </w:p>
        </w:tc>
        <w:tc>
          <w:tcPr>
            <w:tcW w:w="1079" w:type="dxa"/>
            <w:tcBorders>
              <w:top w:val="single" w:sz="2"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Derivatives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32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w:t>
            </w:r>
          </w:p>
        </w:tc>
        <w:tc>
          <w:tcPr>
            <w:tcW w:w="41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116 </w:t>
            </w:r>
          </w:p>
        </w:tc>
        <w:tc>
          <w:tcPr>
            <w:tcW w:w="2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107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1Fair value equals carrying value.</w:t>
      </w:r>
    </w:p>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2Includes purchases and sales of power and natural gas.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majority of derivative instruments held for trading have been entered into for risk management purposes and all are subject to the Company's risk management strategies, policies and limits. These include derivatives that have not been designated as hedges or do not qualify for hedge accounting treatment but have been entered into as economic hedges to manage the Company's exposures to market risk.</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Non-derivatives in fair value hedging relationships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amounts recorded on the Condensed consolidated balance sheet in relation to cumulative adjustments for fair value hedges included in the carrying amount of the hedged liabilities:</w:t>
      </w:r>
    </w:p>
    <w:tbl>
      <w:tblPr>
        <w:tblW w:w="10205" w:type="dxa"/>
        <w:jc w:val="left"/>
        <w:tblInd w:w="0" w:type="dxa"/>
        <w:tblLayout w:type="fixed"/>
        <w:tblCellMar>
          <w:top w:w="28" w:type="dxa"/>
          <w:left w:w="28" w:type="dxa"/>
          <w:bottom w:w="28" w:type="dxa"/>
          <w:right w:w="28" w:type="dxa"/>
        </w:tblCellMar>
      </w:tblPr>
      <w:tblGrid>
        <w:gridCol w:w="730"/>
        <w:gridCol w:w="641"/>
        <w:gridCol w:w="644"/>
        <w:gridCol w:w="109"/>
        <w:gridCol w:w="109"/>
        <w:gridCol w:w="109"/>
        <w:gridCol w:w="550"/>
        <w:gridCol w:w="550"/>
        <w:gridCol w:w="551"/>
        <w:gridCol w:w="147"/>
        <w:gridCol w:w="147"/>
        <w:gridCol w:w="147"/>
        <w:gridCol w:w="499"/>
        <w:gridCol w:w="499"/>
        <w:gridCol w:w="505"/>
        <w:gridCol w:w="109"/>
        <w:gridCol w:w="109"/>
        <w:gridCol w:w="109"/>
        <w:gridCol w:w="550"/>
        <w:gridCol w:w="550"/>
        <w:gridCol w:w="551"/>
        <w:gridCol w:w="244"/>
        <w:gridCol w:w="244"/>
        <w:gridCol w:w="244"/>
        <w:gridCol w:w="468"/>
        <w:gridCol w:w="468"/>
        <w:gridCol w:w="622"/>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Carrying amount</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center"/>
              <w:rPr/>
            </w:pPr>
            <w:r>
              <w:rPr>
                <w:rFonts w:ascii="sans-serif" w:hAnsi="sans-serif"/>
                <w:b/>
                <w:color w:val="000000"/>
                <w:sz w:val="18"/>
              </w:rPr>
              <w:t>Fair value hedging adjustments</w:t>
            </w:r>
            <w:r>
              <w:rPr>
                <w:rFonts w:ascii="sans-serif" w:hAnsi="sans-serif"/>
                <w:b w:val="false"/>
                <w:color w:val="000000"/>
                <w:sz w:val="12"/>
              </w:rPr>
              <w:t>1</w:t>
            </w:r>
          </w:p>
        </w:tc>
      </w:tr>
      <w:tr>
        <w:trPr/>
        <w:tc>
          <w:tcPr>
            <w:tcW w:w="201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44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732"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201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01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Long-term debt</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(4,711)</w:t>
            </w:r>
          </w:p>
        </w:tc>
        <w:tc>
          <w:tcPr>
            <w:tcW w:w="55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(4,068)</w:t>
            </w:r>
          </w:p>
        </w:tc>
        <w:tc>
          <w:tcPr>
            <w:tcW w:w="505"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w:t>
            </w:r>
            <w:r>
              <w:rPr>
                <w:color w:val="000000"/>
              </w:rPr>
              <w:t> </w:t>
            </w:r>
          </w:p>
        </w:tc>
        <w:tc>
          <w:tcPr>
            <w:tcW w:w="55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w:t>
            </w:r>
          </w:p>
        </w:tc>
        <w:tc>
          <w:tcPr>
            <w:tcW w:w="62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1At March 31, 2026 and December 31, 2025, adjustments for discontinued hedging relationships included in this balance was a liability of $39 million.</w:t>
      </w:r>
    </w:p>
    <w:p>
      <w:pPr>
        <w:pStyle w:val="TextBody"/>
        <w:bidi w:val="0"/>
        <w:spacing w:before="0" w:after="108"/>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63</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Notional and maturity summary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maturity and notional amount or quantity outstanding related to the Company's derivative instruments was as follows: </w:t>
      </w:r>
    </w:p>
    <w:tbl>
      <w:tblPr>
        <w:tblW w:w="9536" w:type="dxa"/>
        <w:jc w:val="center"/>
        <w:tblInd w:w="0" w:type="dxa"/>
        <w:tblLayout w:type="fixed"/>
        <w:tblCellMar>
          <w:top w:w="28" w:type="dxa"/>
          <w:left w:w="28" w:type="dxa"/>
          <w:bottom w:w="28" w:type="dxa"/>
          <w:right w:w="28" w:type="dxa"/>
        </w:tblCellMar>
      </w:tblPr>
      <w:tblGrid>
        <w:gridCol w:w="919"/>
        <w:gridCol w:w="806"/>
        <w:gridCol w:w="810"/>
        <w:gridCol w:w="440"/>
        <w:gridCol w:w="441"/>
        <w:gridCol w:w="258"/>
        <w:gridCol w:w="109"/>
        <w:gridCol w:w="109"/>
        <w:gridCol w:w="109"/>
        <w:gridCol w:w="429"/>
        <w:gridCol w:w="429"/>
        <w:gridCol w:w="431"/>
        <w:gridCol w:w="109"/>
        <w:gridCol w:w="109"/>
        <w:gridCol w:w="109"/>
        <w:gridCol w:w="109"/>
        <w:gridCol w:w="109"/>
        <w:gridCol w:w="644"/>
        <w:gridCol w:w="644"/>
        <w:gridCol w:w="646"/>
        <w:gridCol w:w="109"/>
        <w:gridCol w:w="109"/>
        <w:gridCol w:w="109"/>
        <w:gridCol w:w="421"/>
        <w:gridCol w:w="421"/>
        <w:gridCol w:w="598"/>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March 31, 2026</w:t>
            </w:r>
          </w:p>
        </w:tc>
        <w:tc>
          <w:tcPr>
            <w:tcW w:w="113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Natural gas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Foreign exchange</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Interest rate</w:t>
            </w:r>
          </w:p>
        </w:tc>
      </w:tr>
      <w:tr>
        <w:trPr/>
        <w:tc>
          <w:tcPr>
            <w:tcW w:w="253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w:t>
            </w:r>
          </w:p>
        </w:tc>
        <w:tc>
          <w:tcPr>
            <w:tcW w:w="113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53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sales (purchases)</w:t>
            </w:r>
            <w:r>
              <w:rPr>
                <w:rFonts w:ascii="sans-serif" w:hAnsi="sans-serif"/>
                <w:b w:val="false"/>
                <w:color w:val="000000"/>
                <w:sz w:val="12"/>
              </w:rPr>
              <w:t>1</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10,359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55</w:t>
            </w: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dollars</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6,592</w:t>
            </w: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3,200</w:t>
            </w: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Canadian dollars</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250</w:t>
            </w: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Mexican pesos</w:t>
            </w:r>
          </w:p>
        </w:tc>
        <w:tc>
          <w:tcPr>
            <w:tcW w:w="881"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18,750</w:t>
            </w:r>
            <w:r>
              <w:rPr>
                <w:color w:val="000000"/>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Maturity dates</w:t>
            </w:r>
          </w:p>
        </w:tc>
        <w:tc>
          <w:tcPr>
            <w:tcW w:w="113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2026-2044</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2026-2032</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2026-2030</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2030-2039</w:t>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 xml:space="preserve">1Volumes for power and natural gas derivatives are in GWh and Bcf, respectively. </w:t>
      </w:r>
    </w:p>
    <w:tbl>
      <w:tblPr>
        <w:tblW w:w="9123" w:type="dxa"/>
        <w:jc w:val="center"/>
        <w:tblInd w:w="0" w:type="dxa"/>
        <w:tblLayout w:type="fixed"/>
        <w:tblCellMar>
          <w:top w:w="28" w:type="dxa"/>
          <w:left w:w="28" w:type="dxa"/>
          <w:bottom w:w="28" w:type="dxa"/>
          <w:right w:w="28" w:type="dxa"/>
        </w:tblCellMar>
      </w:tblPr>
      <w:tblGrid>
        <w:gridCol w:w="852"/>
        <w:gridCol w:w="751"/>
        <w:gridCol w:w="752"/>
        <w:gridCol w:w="433"/>
        <w:gridCol w:w="433"/>
        <w:gridCol w:w="258"/>
        <w:gridCol w:w="109"/>
        <w:gridCol w:w="109"/>
        <w:gridCol w:w="109"/>
        <w:gridCol w:w="429"/>
        <w:gridCol w:w="429"/>
        <w:gridCol w:w="431"/>
        <w:gridCol w:w="109"/>
        <w:gridCol w:w="109"/>
        <w:gridCol w:w="109"/>
        <w:gridCol w:w="644"/>
        <w:gridCol w:w="644"/>
        <w:gridCol w:w="646"/>
        <w:gridCol w:w="109"/>
        <w:gridCol w:w="109"/>
        <w:gridCol w:w="109"/>
        <w:gridCol w:w="421"/>
        <w:gridCol w:w="421"/>
        <w:gridCol w:w="598"/>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112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Power</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Natural gas</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Foreign exchange</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Interest rate</w:t>
            </w:r>
          </w:p>
        </w:tc>
      </w:tr>
      <w:tr>
        <w:trPr/>
        <w:tc>
          <w:tcPr>
            <w:tcW w:w="235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w:t>
            </w:r>
          </w:p>
        </w:tc>
        <w:tc>
          <w:tcPr>
            <w:tcW w:w="112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235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sales (purchases)</w:t>
            </w:r>
            <w:r>
              <w:rPr>
                <w:rFonts w:ascii="sans-serif" w:hAnsi="sans-serif"/>
                <w:b w:val="false"/>
                <w:color w:val="000000"/>
                <w:sz w:val="12"/>
              </w:rPr>
              <w:t>1</w:t>
            </w:r>
          </w:p>
        </w:tc>
        <w:tc>
          <w:tcPr>
            <w:tcW w:w="86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10,221 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w:t>
            </w:r>
          </w:p>
        </w:tc>
      </w:tr>
      <w:tr>
        <w:trPr/>
        <w:tc>
          <w:tcPr>
            <w:tcW w:w="23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U.S. dollars</w:t>
            </w:r>
          </w:p>
        </w:tc>
        <w:tc>
          <w:tcPr>
            <w:tcW w:w="8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2,950</w:t>
            </w:r>
          </w:p>
        </w:tc>
      </w:tr>
      <w:tr>
        <w:trPr/>
        <w:tc>
          <w:tcPr>
            <w:tcW w:w="235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Mexican pesos</w:t>
            </w:r>
          </w:p>
        </w:tc>
        <w:tc>
          <w:tcPr>
            <w:tcW w:w="86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Maturity dates</w:t>
            </w:r>
          </w:p>
        </w:tc>
        <w:tc>
          <w:tcPr>
            <w:tcW w:w="112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2026-2044</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2026-2032</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2026-2030</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2030-2034</w:t>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1Volumes for power and natural gas derivatives are in GWh and Bcf, respectively.</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Unrealized and Realized Gains (Losses) on Derivative Instruments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summary does not include hedges of the net investment in foreign operations:</w:t>
      </w:r>
    </w:p>
    <w:tbl>
      <w:tblPr>
        <w:tblW w:w="8788" w:type="dxa"/>
        <w:jc w:val="left"/>
        <w:tblInd w:w="0" w:type="dxa"/>
        <w:tblLayout w:type="fixed"/>
        <w:tblCellMar>
          <w:top w:w="28" w:type="dxa"/>
          <w:left w:w="28" w:type="dxa"/>
          <w:bottom w:w="28" w:type="dxa"/>
          <w:right w:w="28" w:type="dxa"/>
        </w:tblCellMar>
      </w:tblPr>
      <w:tblGrid>
        <w:gridCol w:w="1853"/>
        <w:gridCol w:w="1627"/>
        <w:gridCol w:w="1635"/>
        <w:gridCol w:w="109"/>
        <w:gridCol w:w="109"/>
        <w:gridCol w:w="109"/>
        <w:gridCol w:w="323"/>
        <w:gridCol w:w="323"/>
        <w:gridCol w:w="323"/>
        <w:gridCol w:w="323"/>
        <w:gridCol w:w="323"/>
        <w:gridCol w:w="323"/>
        <w:gridCol w:w="323"/>
        <w:gridCol w:w="109"/>
        <w:gridCol w:w="109"/>
        <w:gridCol w:w="109"/>
        <w:gridCol w:w="247"/>
        <w:gridCol w:w="248"/>
        <w:gridCol w:w="263"/>
      </w:tblGrid>
      <w:tr>
        <w:trPr/>
        <w:tc>
          <w:tcPr>
            <w:tcW w:w="185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85" w:type="dxa"/>
            <w:gridSpan w:val="6"/>
            <w:tcBorders/>
          </w:tcPr>
          <w:p>
            <w:pPr>
              <w:pStyle w:val="TableContents"/>
              <w:bidi w:val="0"/>
              <w:spacing w:before="0" w:after="283"/>
              <w:jc w:val="left"/>
              <w:rPr>
                <w:sz w:val="4"/>
                <w:szCs w:val="4"/>
              </w:rPr>
            </w:pPr>
            <w:r>
              <w:rPr>
                <w:sz w:val="4"/>
                <w:szCs w:val="4"/>
              </w:rPr>
            </w:r>
          </w:p>
        </w:tc>
      </w:tr>
      <w:tr>
        <w:trPr/>
        <w:tc>
          <w:tcPr>
            <w:tcW w:w="5115"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511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Derivative Instruments Held for Trading</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Unrealized gains (losses)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(128)</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(60)</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(249)</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Instruments in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Realized gains (losses)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ind w:left="0" w:right="0" w:hanging="360"/>
        <w:jc w:val="left"/>
        <w:rPr/>
      </w:pPr>
      <w:r>
        <w:rPr>
          <w:rFonts w:ascii="sans-serif" w:hAnsi="sans-serif"/>
          <w:b w:val="false"/>
          <w:color w:val="000000"/>
          <w:sz w:val="16"/>
        </w:rPr>
        <w:t>1Realized and unrealized gains (losses) on held-for-trading derivative instruments used to purchase and sell commodities are included on a net basis in Revenues in the Condensed consolidated statement of income. Realized and unrealized gains (losses) on foreign exchange and interest rate held</w:t>
      </w:r>
      <w:r>
        <w:rPr>
          <w:color w:val="000000"/>
        </w:rPr>
        <w:noBreakHyphen/>
      </w:r>
      <w:r>
        <w:rPr>
          <w:rFonts w:ascii="sans-serif" w:hAnsi="sans-serif"/>
          <w:b w:val="false"/>
          <w:color w:val="000000"/>
          <w:sz w:val="16"/>
        </w:rPr>
        <w:t>for</w:t>
      </w:r>
      <w:r>
        <w:rPr>
          <w:color w:val="000000"/>
        </w:rPr>
        <w:noBreakHyphen/>
      </w:r>
      <w:r>
        <w:rPr>
          <w:rFonts w:ascii="sans-serif" w:hAnsi="sans-serif"/>
          <w:b w:val="false"/>
          <w:color w:val="000000"/>
          <w:sz w:val="16"/>
        </w:rPr>
        <w:t xml:space="preserve">trading derivative instruments are included on a net basis in Foreign exchange (gains) losses, net and Interest expense, respectively, in the Condensed consolidated statement of income. </w:t>
      </w:r>
    </w:p>
    <w:p>
      <w:pPr>
        <w:pStyle w:val="TextBody"/>
        <w:bidi w:val="0"/>
        <w:spacing w:before="0" w:after="108"/>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64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64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Derivatives in cash flow hedging relationships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components of OCI (Note 10) related to the change in fair value of derivatives in cash flow hedging relationships before tax were as follows:</w:t>
      </w:r>
    </w:p>
    <w:tbl>
      <w:tblPr>
        <w:tblW w:w="10107" w:type="dxa"/>
        <w:jc w:val="center"/>
        <w:tblInd w:w="0" w:type="dxa"/>
        <w:tblLayout w:type="fixed"/>
        <w:tblCellMar>
          <w:top w:w="28" w:type="dxa"/>
          <w:left w:w="28" w:type="dxa"/>
          <w:bottom w:w="28" w:type="dxa"/>
          <w:right w:w="28" w:type="dxa"/>
        </w:tblCellMar>
      </w:tblPr>
      <w:tblGrid>
        <w:gridCol w:w="2332"/>
        <w:gridCol w:w="2045"/>
        <w:gridCol w:w="2057"/>
        <w:gridCol w:w="109"/>
        <w:gridCol w:w="109"/>
        <w:gridCol w:w="109"/>
        <w:gridCol w:w="323"/>
        <w:gridCol w:w="323"/>
        <w:gridCol w:w="323"/>
        <w:gridCol w:w="323"/>
        <w:gridCol w:w="323"/>
        <w:gridCol w:w="323"/>
        <w:gridCol w:w="323"/>
        <w:gridCol w:w="109"/>
        <w:gridCol w:w="109"/>
        <w:gridCol w:w="109"/>
        <w:gridCol w:w="247"/>
        <w:gridCol w:w="248"/>
        <w:gridCol w:w="263"/>
      </w:tblGrid>
      <w:tr>
        <w:trPr/>
        <w:tc>
          <w:tcPr>
            <w:tcW w:w="233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85" w:type="dxa"/>
            <w:gridSpan w:val="6"/>
            <w:tcBorders/>
          </w:tcPr>
          <w:p>
            <w:pPr>
              <w:pStyle w:val="TableContents"/>
              <w:bidi w:val="0"/>
              <w:spacing w:before="0" w:after="283"/>
              <w:jc w:val="left"/>
              <w:rPr>
                <w:sz w:val="4"/>
                <w:szCs w:val="4"/>
              </w:rPr>
            </w:pPr>
            <w:r>
              <w:rPr>
                <w:sz w:val="4"/>
                <w:szCs w:val="4"/>
              </w:rPr>
            </w:r>
          </w:p>
        </w:tc>
      </w:tr>
      <w:tr>
        <w:trPr/>
        <w:tc>
          <w:tcPr>
            <w:tcW w:w="6434"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 pre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4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rFonts w:ascii="sans-serif" w:hAnsi="sans-serif"/>
                <w:b w:val="false"/>
                <w:color w:val="000000"/>
                <w:sz w:val="18"/>
              </w:rPr>
            </w:pPr>
            <w:r>
              <w:rPr>
                <w:rFonts w:ascii="sans-serif" w:hAnsi="sans-serif"/>
                <w:b w:val="false"/>
                <w:color w:val="000000"/>
                <w:sz w:val="18"/>
              </w:rPr>
              <w:t>Gains (losses) in fair value of derivative instruments recognized in 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3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Effect of fair value and cash flow hedging relationships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details amounts presented in the Condensed consolidated statement of income in which the effects of fair value or cash flow hedging relationships were recorded:</w:t>
      </w:r>
    </w:p>
    <w:tbl>
      <w:tblPr>
        <w:tblW w:w="10205" w:type="dxa"/>
        <w:jc w:val="center"/>
        <w:tblInd w:w="0" w:type="dxa"/>
        <w:tblLayout w:type="fixed"/>
        <w:tblCellMar>
          <w:top w:w="28" w:type="dxa"/>
          <w:left w:w="28" w:type="dxa"/>
          <w:bottom w:w="28" w:type="dxa"/>
          <w:right w:w="28" w:type="dxa"/>
        </w:tblCellMar>
      </w:tblPr>
      <w:tblGrid>
        <w:gridCol w:w="2499"/>
        <w:gridCol w:w="2137"/>
        <w:gridCol w:w="2150"/>
        <w:gridCol w:w="109"/>
        <w:gridCol w:w="109"/>
        <w:gridCol w:w="109"/>
        <w:gridCol w:w="284"/>
        <w:gridCol w:w="284"/>
        <w:gridCol w:w="284"/>
        <w:gridCol w:w="284"/>
        <w:gridCol w:w="315"/>
        <w:gridCol w:w="284"/>
        <w:gridCol w:w="284"/>
        <w:gridCol w:w="109"/>
        <w:gridCol w:w="109"/>
        <w:gridCol w:w="109"/>
        <w:gridCol w:w="238"/>
        <w:gridCol w:w="239"/>
        <w:gridCol w:w="269"/>
      </w:tblGrid>
      <w:tr>
        <w:trPr/>
        <w:tc>
          <w:tcPr>
            <w:tcW w:w="2499"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78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7"/>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73" w:type="dxa"/>
            <w:gridSpan w:val="6"/>
            <w:tcBorders/>
          </w:tcPr>
          <w:p>
            <w:pPr>
              <w:pStyle w:val="TableContents"/>
              <w:bidi w:val="0"/>
              <w:spacing w:before="0" w:after="283"/>
              <w:jc w:val="left"/>
              <w:rPr>
                <w:sz w:val="4"/>
                <w:szCs w:val="4"/>
              </w:rPr>
            </w:pPr>
            <w:r>
              <w:rPr>
                <w:sz w:val="4"/>
                <w:szCs w:val="4"/>
              </w:rPr>
            </w:r>
          </w:p>
        </w:tc>
      </w:tr>
      <w:tr>
        <w:trPr/>
        <w:tc>
          <w:tcPr>
            <w:tcW w:w="678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78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Interest rate contracts</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Hedged items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(44)</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0"/>
              <w:ind w:left="0" w:right="0" w:hanging="90"/>
              <w:jc w:val="left"/>
              <w:rPr/>
            </w:pPr>
            <w:r>
              <w:rPr>
                <w:rFonts w:ascii="sans-serif" w:hAnsi="sans-serif"/>
                <w:b w:val="false"/>
                <w:color w:val="000000"/>
                <w:sz w:val="18"/>
              </w:rPr>
              <w:t>Reclassification of gains (losses) on derivative instruments from AOCI to Net income (loss)</w:t>
            </w:r>
            <w:r>
              <w:rPr>
                <w:rFonts w:ascii="sans-serif" w:hAnsi="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Commodities</w:t>
            </w:r>
            <w:r>
              <w:rPr>
                <w:rFonts w:ascii="sans-serif" w:hAnsi="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Foreign exchange</w:t>
            </w:r>
            <w:r>
              <w:rPr>
                <w:rFonts w:ascii="sans-serif" w:hAnsi="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0"/>
              <w:jc w:val="left"/>
              <w:rPr/>
            </w:pPr>
            <w:r>
              <w:rPr>
                <w:rFonts w:ascii="sans-serif" w:hAnsi="sans-serif"/>
                <w:b w:val="false"/>
                <w:color w:val="000000"/>
                <w:sz w:val="18"/>
              </w:rPr>
              <w:t>Interest rate</w:t>
            </w:r>
            <w:r>
              <w:rPr>
                <w:rFonts w:ascii="sans-serif" w:hAnsi="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2"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28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w:t>
            </w:r>
          </w:p>
        </w:tc>
        <w:tc>
          <w:tcPr>
            <w:tcW w:w="26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1Presented within Interest expense in the Condensed consolidated statement of income.</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2Refer to Note 10, Other comprehensive income (loss) and accumulated other comprehensive income (loss), for the components of OCI related to derivatives in cash flow hedging relationships.</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3Presented within Revenues (Power and Energy Solutions) in the Condensed consolidated statement of income.</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4Presented within Interest expense and Foreign exchange (gains) losses, net in the Condensed consolidated statement of income.</w:t>
      </w:r>
    </w:p>
    <w:p>
      <w:pPr>
        <w:pStyle w:val="TextBody"/>
        <w:bidi w:val="0"/>
        <w:spacing w:before="0" w:after="108"/>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65</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Offsetting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 enters into derivative contracts with the right to offset in the normal course of business as well as in the event of default. TC Energy has no master netting agreements; however, similar contracts are entered into containing rights to offset. The Company has elected to present the fair value of derivative instruments with the right to offset on a gross basis on the Condensed consolidated balance sheet. The following tables show the impact on the presentation of the fair value of derivative instrument assets and liabilities had the Company elected to present these contracts on a net basis:</w:t>
      </w:r>
    </w:p>
    <w:tbl>
      <w:tblPr>
        <w:tblW w:w="10205" w:type="dxa"/>
        <w:jc w:val="left"/>
        <w:tblInd w:w="0" w:type="dxa"/>
        <w:tblLayout w:type="fixed"/>
        <w:tblCellMar>
          <w:top w:w="28" w:type="dxa"/>
          <w:left w:w="28" w:type="dxa"/>
          <w:bottom w:w="28" w:type="dxa"/>
          <w:right w:w="28" w:type="dxa"/>
        </w:tblCellMar>
      </w:tblPr>
      <w:tblGrid>
        <w:gridCol w:w="1120"/>
        <w:gridCol w:w="982"/>
        <w:gridCol w:w="987"/>
        <w:gridCol w:w="109"/>
        <w:gridCol w:w="109"/>
        <w:gridCol w:w="109"/>
        <w:gridCol w:w="950"/>
        <w:gridCol w:w="950"/>
        <w:gridCol w:w="951"/>
        <w:gridCol w:w="109"/>
        <w:gridCol w:w="109"/>
        <w:gridCol w:w="109"/>
        <w:gridCol w:w="626"/>
        <w:gridCol w:w="626"/>
        <w:gridCol w:w="628"/>
        <w:gridCol w:w="109"/>
        <w:gridCol w:w="109"/>
        <w:gridCol w:w="109"/>
        <w:gridCol w:w="408"/>
        <w:gridCol w:w="408"/>
        <w:gridCol w:w="588"/>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Gross derivative instruments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Amounts available </w:t>
            </w:r>
          </w:p>
          <w:p>
            <w:pPr>
              <w:pStyle w:val="TableContents"/>
              <w:bidi w:val="0"/>
              <w:spacing w:lineRule="auto" w:line="264" w:before="0" w:after="0"/>
              <w:jc w:val="right"/>
              <w:rPr/>
            </w:pPr>
            <w:r>
              <w:rPr>
                <w:rFonts w:ascii="sans-serif" w:hAnsi="sans-serif"/>
                <w:b/>
                <w:color w:val="000000"/>
                <w:sz w:val="18"/>
              </w:rPr>
              <w:t>for offset</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amounts</w:t>
            </w:r>
          </w:p>
        </w:tc>
      </w:tr>
      <w:tr>
        <w:trPr/>
        <w:tc>
          <w:tcPr>
            <w:tcW w:w="3089"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0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562</w:t>
            </w:r>
            <w:r>
              <w:rPr>
                <w:color w:val="000000"/>
              </w:rPr>
              <w:t> </w:t>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(464)</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98</w:t>
            </w:r>
            <w:r>
              <w:rPr>
                <w:color w:val="000000"/>
              </w:rPr>
              <w:t> </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(36)</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w:t>
            </w:r>
            <w:r>
              <w:rPr>
                <w:color w:val="000000"/>
              </w:rPr>
              <w:t> </w:t>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w:t>
            </w:r>
            <w:r>
              <w:rPr>
                <w:color w:val="000000"/>
              </w:rPr>
              <w:t> </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616</w:t>
            </w:r>
            <w:r>
              <w:rPr>
                <w:color w:val="000000"/>
              </w:rPr>
              <w:t> </w:t>
            </w:r>
          </w:p>
        </w:tc>
        <w:tc>
          <w:tcPr>
            <w:tcW w:w="9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(508)</w:t>
            </w:r>
          </w:p>
        </w:tc>
        <w:tc>
          <w:tcPr>
            <w:tcW w:w="62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108</w:t>
            </w:r>
            <w:r>
              <w:rPr>
                <w:color w:val="000000"/>
              </w:rPr>
              <w:t> </w:t>
            </w:r>
          </w:p>
        </w:tc>
        <w:tc>
          <w:tcPr>
            <w:tcW w:w="5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(579)</w:t>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464</w:t>
            </w:r>
            <w:r>
              <w:rPr>
                <w:color w:val="000000"/>
              </w:rPr>
              <w:t>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(115)</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(95)</w:t>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(59)</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(61)</w:t>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w:t>
            </w:r>
            <w:r>
              <w:rPr>
                <w:color w:val="000000"/>
              </w:rPr>
              <w:t>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(53)</w:t>
            </w:r>
          </w:p>
        </w:tc>
        <w:tc>
          <w:tcPr>
            <w:tcW w:w="5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(735)</w:t>
            </w:r>
          </w:p>
        </w:tc>
        <w:tc>
          <w:tcPr>
            <w:tcW w:w="9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508</w:t>
            </w:r>
            <w:r>
              <w:rPr>
                <w:color w:val="000000"/>
              </w:rPr>
              <w:t> </w:t>
            </w:r>
          </w:p>
        </w:tc>
        <w:tc>
          <w:tcPr>
            <w:tcW w:w="62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(227)</w:t>
            </w:r>
          </w:p>
        </w:tc>
        <w:tc>
          <w:tcPr>
            <w:tcW w:w="58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1Amounts available for offset do not include cash collateral pledged or received.</w:t>
      </w:r>
    </w:p>
    <w:tbl>
      <w:tblPr>
        <w:tblW w:w="10205" w:type="dxa"/>
        <w:jc w:val="left"/>
        <w:tblInd w:w="0" w:type="dxa"/>
        <w:tblLayout w:type="fixed"/>
        <w:tblCellMar>
          <w:top w:w="28" w:type="dxa"/>
          <w:left w:w="28" w:type="dxa"/>
          <w:bottom w:w="28" w:type="dxa"/>
          <w:right w:w="28" w:type="dxa"/>
        </w:tblCellMar>
      </w:tblPr>
      <w:tblGrid>
        <w:gridCol w:w="1136"/>
        <w:gridCol w:w="1000"/>
        <w:gridCol w:w="1001"/>
        <w:gridCol w:w="109"/>
        <w:gridCol w:w="109"/>
        <w:gridCol w:w="109"/>
        <w:gridCol w:w="941"/>
        <w:gridCol w:w="941"/>
        <w:gridCol w:w="943"/>
        <w:gridCol w:w="109"/>
        <w:gridCol w:w="109"/>
        <w:gridCol w:w="109"/>
        <w:gridCol w:w="621"/>
        <w:gridCol w:w="621"/>
        <w:gridCol w:w="623"/>
        <w:gridCol w:w="109"/>
        <w:gridCol w:w="109"/>
        <w:gridCol w:w="109"/>
        <w:gridCol w:w="406"/>
        <w:gridCol w:w="406"/>
        <w:gridCol w:w="585"/>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 xml:space="preserve">Gross derivative instruments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Amounts available </w:t>
            </w:r>
          </w:p>
          <w:p>
            <w:pPr>
              <w:pStyle w:val="TableContents"/>
              <w:bidi w:val="0"/>
              <w:spacing w:lineRule="auto" w:line="264" w:before="0" w:after="0"/>
              <w:jc w:val="right"/>
              <w:rPr/>
            </w:pPr>
            <w:r>
              <w:rPr>
                <w:rFonts w:ascii="sans-serif" w:hAnsi="sans-serif"/>
                <w:b/>
                <w:color w:val="000000"/>
                <w:sz w:val="18"/>
              </w:rPr>
              <w:t>for offset</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Net amounts</w:t>
            </w:r>
          </w:p>
        </w:tc>
      </w:tr>
      <w:tr>
        <w:trPr/>
        <w:tc>
          <w:tcPr>
            <w:tcW w:w="3137"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r>
      <w:tr>
        <w:trPr/>
        <w:tc>
          <w:tcPr>
            <w:tcW w:w="313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508 </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599 </w:t>
            </w:r>
          </w:p>
        </w:tc>
        <w:tc>
          <w:tcPr>
            <w:tcW w:w="94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(420)</w:t>
            </w:r>
          </w:p>
        </w:tc>
        <w:tc>
          <w:tcPr>
            <w:tcW w:w="6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179 </w:t>
            </w:r>
          </w:p>
        </w:tc>
        <w:tc>
          <w:tcPr>
            <w:tcW w:w="58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(404)</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(35)</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9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(529)</w:t>
            </w:r>
          </w:p>
        </w:tc>
        <w:tc>
          <w:tcPr>
            <w:tcW w:w="94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420 </w:t>
            </w:r>
          </w:p>
        </w:tc>
        <w:tc>
          <w:tcPr>
            <w:tcW w:w="62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w:t>
            </w:r>
          </w:p>
        </w:tc>
        <w:tc>
          <w:tcPr>
            <w:tcW w:w="58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1Amounts available for offset do not include cash collateral pledged or received.</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With respect to the derivative instruments presented above, the Company provided cash collateral of $159 million and letters of credit of $151 million at March 31, 2026 (December 31, 2025 – $93 million and $73 million, respectively) to its counterparties. At March 31, 2026, the Company held cash collateral of $3 million and $128 million of letters of credit (December 31, 2025 – less than $1 million and $102 million, respectively) from counterparties on asset exposures. Only cash collateral that has been transferred and held at the reporting date is included in collateral disclosures. Margin payable but not yet posted of $17 million at March 31, 2026 (December 31, 2025 – $4 million) represents a financial obligation and is excluded from provided cash collateral balances.</w:t>
      </w:r>
    </w:p>
    <w:p>
      <w:pPr>
        <w:pStyle w:val="TextBody"/>
        <w:bidi w:val="0"/>
        <w:spacing w:before="0" w:after="108"/>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66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66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Credit-risk-related contingent features of derivative instruments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Derivative contracts entered into to manage market risk often contain financial assurance provisions that allow parties to the contracts to manage credit risk. These provisions may require collateral to be provided if a credit-risk-related contingent event occurs, such as a downgrade in the Company’s credit rating to non-investment grade. The Company may also need to provide collateral if the fair value of its derivative financial instruments exceeds pre-defined exposure limits.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Based on contracts in place and market prices at March 31, 2026, the aggregate fair value of all derivative instruments with credit-risk-related contingent features that were in a net liability position was $8 million (December 31, 2025 – net liability of $5 million), for which the Company has provided no collateral in the normal course of business. If the credit</w:t>
        <w:noBreakHyphen/>
        <w:t>risk</w:t>
        <w:noBreakHyphen/>
        <w:t>related contingent features in these agreements were triggered on March 31, 2026, the Company would have been required to provide collateral equal to the fair value of the related derivative instruments discussed above. Collateral may also need to be provided should the fair value of derivative instruments exceed pre-defined contractual exposure limit thresholds. The Company has sufficient liquidity in the form of cash and undrawn committed revolving credit facilities to meet these contingent obligations should they arise.</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Fair Value Hierarchy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Company’s financial assets and liabilities recorded at fair value have been categorized into three categories based on a fair value hierarchy.</w:t>
      </w:r>
    </w:p>
    <w:tbl>
      <w:tblPr>
        <w:tblW w:w="10205" w:type="dxa"/>
        <w:jc w:val="left"/>
        <w:tblInd w:w="0" w:type="dxa"/>
        <w:tblLayout w:type="fixed"/>
        <w:tblCellMar>
          <w:top w:w="28" w:type="dxa"/>
          <w:left w:w="28" w:type="dxa"/>
          <w:bottom w:w="28" w:type="dxa"/>
          <w:right w:w="28" w:type="dxa"/>
        </w:tblCellMar>
      </w:tblPr>
      <w:tblGrid>
        <w:gridCol w:w="286"/>
        <w:gridCol w:w="252"/>
        <w:gridCol w:w="253"/>
        <w:gridCol w:w="2785"/>
        <w:gridCol w:w="2737"/>
        <w:gridCol w:w="3892"/>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Levels</w:t>
            </w:r>
          </w:p>
        </w:tc>
        <w:tc>
          <w:tcPr>
            <w:tcW w:w="941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How fair value has been determined</w:t>
            </w:r>
          </w:p>
        </w:tc>
      </w:tr>
      <w:tr>
        <w:trPr/>
        <w:tc>
          <w:tcPr>
            <w:tcW w:w="7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 I</w:t>
            </w:r>
          </w:p>
        </w:tc>
        <w:tc>
          <w:tcPr>
            <w:tcW w:w="94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Quoted prices in active markets for identical assets and liabilities that the Company has the ability to access at the measurement date. An active market is a market in which frequency and volume of transactions provides pricing information on an ongoing basis.</w:t>
            </w:r>
          </w:p>
        </w:tc>
      </w:tr>
      <w:tr>
        <w:trPr/>
        <w:tc>
          <w:tcPr>
            <w:tcW w:w="7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 II</w:t>
            </w:r>
          </w:p>
        </w:tc>
        <w:tc>
          <w:tcPr>
            <w:tcW w:w="9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This category includes interest rate and foreign exchange derivative assets and liabilities where fair value is determined using the income approach and commodity derivatives where fair value is determined using the market approach.</w:t>
            </w:r>
          </w:p>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Inputs include published exchange rates, interest rates, interest rate swap curves, yield curves and broker quotes from external data service providers.</w:t>
            </w:r>
          </w:p>
        </w:tc>
      </w:tr>
      <w:tr>
        <w:trPr/>
        <w:tc>
          <w:tcPr>
            <w:tcW w:w="791"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Level III</w:t>
            </w:r>
          </w:p>
        </w:tc>
        <w:tc>
          <w:tcPr>
            <w:tcW w:w="941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This category includes long-dated commodity transactions in certain markets where liquidity is low. The Company uses the most observable inputs available or alternatively long-term broker quotes or negotiated commodity prices that have been contracted for under similar terms in determining an appropriate estimate of these transactions. Where appropriate, these long-dated prices are discounted to reflect the expected pricing from the applicable markets.</w:t>
            </w:r>
          </w:p>
          <w:p>
            <w:pPr>
              <w:pStyle w:val="TableContents"/>
              <w:bidi w:val="0"/>
              <w:spacing w:lineRule="auto" w:line="264" w:before="0" w:after="108"/>
              <w:jc w:val="left"/>
              <w:rPr>
                <w:rFonts w:ascii="sans-serif" w:hAnsi="sans-serif"/>
                <w:b w:val="false"/>
                <w:color w:val="000000"/>
                <w:sz w:val="18"/>
              </w:rPr>
            </w:pPr>
            <w:r>
              <w:rPr>
                <w:rFonts w:ascii="sans-serif" w:hAnsi="sans-serif"/>
                <w:b w:val="false"/>
                <w:color w:val="000000"/>
                <w:sz w:val="18"/>
              </w:rPr>
              <w:t>There is uncertainty caused by using unobservable market data which may not accurately reflect possible future changes in fair value.</w:t>
            </w:r>
          </w:p>
        </w:tc>
      </w:tr>
    </w:tbl>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fair value of the Company’s derivative assets and liabilities measured on a recurring basis, including both current and non</w:t>
        <w:noBreakHyphen/>
        <w:t>current portions, were categorized as follows:</w:t>
      </w:r>
    </w:p>
    <w:tbl>
      <w:tblPr>
        <w:tblW w:w="10205" w:type="dxa"/>
        <w:jc w:val="left"/>
        <w:tblInd w:w="0" w:type="dxa"/>
        <w:tblLayout w:type="fixed"/>
        <w:tblCellMar>
          <w:top w:w="28" w:type="dxa"/>
          <w:left w:w="28" w:type="dxa"/>
          <w:bottom w:w="28" w:type="dxa"/>
          <w:right w:w="28" w:type="dxa"/>
        </w:tblCellMar>
      </w:tblPr>
      <w:tblGrid>
        <w:gridCol w:w="781"/>
        <w:gridCol w:w="685"/>
        <w:gridCol w:w="688"/>
        <w:gridCol w:w="109"/>
        <w:gridCol w:w="109"/>
        <w:gridCol w:w="109"/>
        <w:gridCol w:w="627"/>
        <w:gridCol w:w="627"/>
        <w:gridCol w:w="629"/>
        <w:gridCol w:w="109"/>
        <w:gridCol w:w="109"/>
        <w:gridCol w:w="109"/>
        <w:gridCol w:w="654"/>
        <w:gridCol w:w="654"/>
        <w:gridCol w:w="655"/>
        <w:gridCol w:w="109"/>
        <w:gridCol w:w="109"/>
        <w:gridCol w:w="109"/>
        <w:gridCol w:w="685"/>
        <w:gridCol w:w="685"/>
        <w:gridCol w:w="686"/>
        <w:gridCol w:w="109"/>
        <w:gridCol w:w="109"/>
        <w:gridCol w:w="109"/>
        <w:gridCol w:w="280"/>
        <w:gridCol w:w="281"/>
        <w:gridCol w:w="280"/>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Quoted prices in active markets (Level I)</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Significant other observable inputs </w:t>
            </w:r>
          </w:p>
          <w:p>
            <w:pPr>
              <w:pStyle w:val="TableContents"/>
              <w:bidi w:val="0"/>
              <w:spacing w:lineRule="auto" w:line="264" w:before="0" w:after="0"/>
              <w:jc w:val="right"/>
              <w:rPr/>
            </w:pPr>
            <w:r>
              <w:rPr>
                <w:rFonts w:ascii="sans-serif" w:hAnsi="sans-serif"/>
                <w:b/>
                <w:color w:val="000000"/>
                <w:sz w:val="18"/>
              </w:rPr>
              <w:t>(Level II)</w:t>
            </w:r>
            <w:r>
              <w:rPr>
                <w:rFonts w:ascii="sans-serif" w:hAnsi="sans-serif"/>
                <w:b w:val="false"/>
                <w:color w:val="000000"/>
                <w:sz w:val="12"/>
              </w:rPr>
              <w:t>1</w:t>
            </w:r>
            <w:r>
              <w:rPr>
                <w:color w:val="000000"/>
              </w:rPr>
              <w:t xml:space="preserve">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 xml:space="preserve">Significant unobservable inputs </w:t>
              <w:br/>
              <w:t>(Level III)</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215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183</w:t>
            </w:r>
            <w:r>
              <w:rPr>
                <w:color w:val="000000"/>
              </w:rPr>
              <w:t>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327</w:t>
            </w:r>
            <w:r>
              <w:rPr>
                <w:color w:val="000000"/>
              </w:rPr>
              <w:t>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52</w:t>
            </w:r>
            <w:r>
              <w:rPr>
                <w:color w:val="000000"/>
              </w:rPr>
              <w:t>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562</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36</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w:t>
            </w:r>
            <w:r>
              <w:rPr>
                <w:color w:val="000000"/>
              </w:rPr>
              <w:t>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(171)</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(403)</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(579)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(95)</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(95)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(61)</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(61)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12</w:t>
            </w:r>
            <w:r>
              <w:rPr>
                <w:color w:val="000000"/>
              </w:rPr>
              <w:t> </w:t>
            </w:r>
          </w:p>
        </w:tc>
        <w:tc>
          <w:tcPr>
            <w:tcW w:w="629"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(178)</w:t>
            </w:r>
          </w:p>
        </w:tc>
        <w:tc>
          <w:tcPr>
            <w:tcW w:w="65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47</w:t>
            </w:r>
            <w:r>
              <w:rPr>
                <w:color w:val="000000"/>
              </w:rPr>
              <w:t> </w:t>
            </w:r>
          </w:p>
        </w:tc>
        <w:tc>
          <w:tcPr>
            <w:tcW w:w="68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(119)</w:t>
            </w:r>
          </w:p>
        </w:tc>
        <w:tc>
          <w:tcPr>
            <w:tcW w:w="280"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1There were no transfers from Level II to Level III for the three months ended March 31, 2026.</w:t>
      </w:r>
    </w:p>
    <w:p>
      <w:pPr>
        <w:pStyle w:val="TextBody"/>
        <w:bidi w:val="0"/>
        <w:spacing w:before="0" w:after="108"/>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9"/>
        <w:gridCol w:w="765"/>
        <w:gridCol w:w="766"/>
        <w:gridCol w:w="109"/>
        <w:gridCol w:w="109"/>
        <w:gridCol w:w="109"/>
        <w:gridCol w:w="592"/>
        <w:gridCol w:w="592"/>
        <w:gridCol w:w="594"/>
        <w:gridCol w:w="109"/>
        <w:gridCol w:w="109"/>
        <w:gridCol w:w="109"/>
        <w:gridCol w:w="627"/>
        <w:gridCol w:w="627"/>
        <w:gridCol w:w="628"/>
        <w:gridCol w:w="109"/>
        <w:gridCol w:w="109"/>
        <w:gridCol w:w="109"/>
        <w:gridCol w:w="664"/>
        <w:gridCol w:w="664"/>
        <w:gridCol w:w="666"/>
        <w:gridCol w:w="109"/>
        <w:gridCol w:w="109"/>
        <w:gridCol w:w="109"/>
        <w:gridCol w:w="279"/>
        <w:gridCol w:w="280"/>
        <w:gridCol w:w="284"/>
      </w:tblGrid>
      <w:tr>
        <w:trPr/>
        <w:tc>
          <w:tcPr>
            <w:tcW w:w="8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00000"/>
                <w:sz w:val="18"/>
              </w:rPr>
            </w:pPr>
            <w:r>
              <w:rPr>
                <w:rFonts w:ascii="sans-serif" w:hAnsi="sans-serif"/>
                <w:b/>
                <w:color w:val="000000"/>
                <w:sz w:val="18"/>
              </w:rPr>
              <w:t>at December 31, 2025</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Quoted prices in active markets (Level I)</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Significant other observable inputs </w:t>
            </w:r>
          </w:p>
          <w:p>
            <w:pPr>
              <w:pStyle w:val="TableContents"/>
              <w:bidi w:val="0"/>
              <w:spacing w:lineRule="auto" w:line="264" w:before="0" w:after="0"/>
              <w:jc w:val="right"/>
              <w:rPr/>
            </w:pPr>
            <w:r>
              <w:rPr>
                <w:rFonts w:ascii="sans-serif" w:hAnsi="sans-serif"/>
                <w:b/>
                <w:color w:val="000000"/>
                <w:sz w:val="18"/>
              </w:rPr>
              <w:t>(Level II)</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restart"/>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 xml:space="preserve">Significant unobservable inputs </w:t>
            </w:r>
          </w:p>
          <w:p>
            <w:pPr>
              <w:pStyle w:val="TableContents"/>
              <w:bidi w:val="0"/>
              <w:spacing w:lineRule="auto" w:line="264" w:before="0" w:after="0"/>
              <w:jc w:val="right"/>
              <w:rPr/>
            </w:pPr>
            <w:r>
              <w:rPr>
                <w:rFonts w:ascii="sans-serif" w:hAnsi="sans-serif"/>
                <w:b/>
                <w:color w:val="000000"/>
                <w:sz w:val="18"/>
              </w:rPr>
              <w:t>(Level III)</w:t>
            </w:r>
            <w:r>
              <w:rPr>
                <w:rFonts w:ascii="sans-serif" w:hAnsi="sans-serif"/>
                <w:b w:val="false"/>
                <w:color w:val="000000"/>
                <w:sz w:val="12"/>
              </w:rPr>
              <w:t>1</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vMerge w:val="continue"/>
            <w:tcBorders>
              <w:top w:val="single" w:sz="2" w:space="0" w:color="0D64EF"/>
            </w:tcBorders>
            <w:shd w:fill="D1D0CF" w:val="clear"/>
            <w:tcMar>
              <w:top w:w="30" w:type="dxa"/>
              <w:left w:w="0" w:type="dxa"/>
              <w:bottom w:w="0" w:type="dxa"/>
              <w:right w:w="0" w:type="dxa"/>
            </w:tcMar>
            <w:vAlign w:val="center"/>
          </w:tcPr>
          <w:p>
            <w:pPr>
              <w:pStyle w:val="Normal"/>
              <w:bidi w:val="0"/>
              <w:jc w:val="left"/>
              <w:rPr/>
            </w:pPr>
            <w:r>
              <w:rPr/>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Total</w:t>
            </w:r>
          </w:p>
        </w:tc>
      </w:tr>
      <w:tr>
        <w:trPr/>
        <w:tc>
          <w:tcPr>
            <w:tcW w:w="240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154 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279 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75 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508 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Derivative instrument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(151)</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(252)</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(404)</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Foreign exchange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5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(42)</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3 </w:t>
            </w:r>
          </w:p>
        </w:tc>
        <w:tc>
          <w:tcPr>
            <w:tcW w:w="59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w:t>
            </w:r>
          </w:p>
        </w:tc>
        <w:tc>
          <w:tcPr>
            <w:tcW w:w="62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74 </w:t>
            </w:r>
          </w:p>
        </w:tc>
        <w:tc>
          <w:tcPr>
            <w:tcW w:w="6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70 </w:t>
            </w:r>
          </w:p>
        </w:tc>
        <w:tc>
          <w:tcPr>
            <w:tcW w:w="28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1There were no transfers from Level II to Level III for the year ended December 31, 2025.</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 has entered into contracts which commenced in 2025 and 2026 to sell 50 MW of power with terms ranging from 15 to 20 years provided from specified renewable sources in the Province of Alberta. The fair value of these contracts is classified in Level III of the fair value hierarchy and is based on the assumption that the contract volumes will be sourced approximately 70 per cent from wind generation, 10 per cent from solar generation and 20 per cent from the market (December 31, 2025 – 80 per cent wind generation, 10 per cent solar generation and 10 per cent market).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following table presents the net change in fair value of derivative assets and liabilities classified as Level III of the fair value hierarchy:</w:t>
      </w:r>
    </w:p>
    <w:tbl>
      <w:tblPr>
        <w:tblW w:w="8377" w:type="dxa"/>
        <w:jc w:val="left"/>
        <w:tblInd w:w="0" w:type="dxa"/>
        <w:tblLayout w:type="fixed"/>
        <w:tblCellMar>
          <w:top w:w="28" w:type="dxa"/>
          <w:left w:w="28" w:type="dxa"/>
          <w:bottom w:w="28" w:type="dxa"/>
          <w:right w:w="28" w:type="dxa"/>
        </w:tblCellMar>
      </w:tblPr>
      <w:tblGrid>
        <w:gridCol w:w="1625"/>
        <w:gridCol w:w="1426"/>
        <w:gridCol w:w="1434"/>
        <w:gridCol w:w="109"/>
        <w:gridCol w:w="109"/>
        <w:gridCol w:w="109"/>
        <w:gridCol w:w="109"/>
        <w:gridCol w:w="109"/>
        <w:gridCol w:w="452"/>
        <w:gridCol w:w="452"/>
        <w:gridCol w:w="452"/>
        <w:gridCol w:w="452"/>
        <w:gridCol w:w="454"/>
        <w:gridCol w:w="109"/>
        <w:gridCol w:w="109"/>
        <w:gridCol w:w="109"/>
        <w:gridCol w:w="247"/>
        <w:gridCol w:w="248"/>
        <w:gridCol w:w="263"/>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2" w:type="dxa"/>
            <w:gridSpan w:val="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085" w:type="dxa"/>
            <w:gridSpan w:val="6"/>
            <w:tcBorders/>
          </w:tcPr>
          <w:p>
            <w:pPr>
              <w:pStyle w:val="TableContents"/>
              <w:bidi w:val="0"/>
              <w:spacing w:before="0" w:after="283"/>
              <w:jc w:val="left"/>
              <w:rPr>
                <w:sz w:val="4"/>
                <w:szCs w:val="4"/>
              </w:rPr>
            </w:pPr>
            <w:r>
              <w:rPr>
                <w:sz w:val="4"/>
                <w:szCs w:val="4"/>
              </w:rPr>
            </w:r>
          </w:p>
        </w:tc>
      </w:tr>
      <w:tr>
        <w:trPr/>
        <w:tc>
          <w:tcPr>
            <w:tcW w:w="4485"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485"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74</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Net gains (losses) included in Net income (loss)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Transfers to 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Balance at end of period</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47</w:t>
            </w:r>
            <w:r>
              <w:rPr>
                <w:color w:val="000000"/>
              </w:rPr>
              <w:t> </w:t>
            </w:r>
          </w:p>
        </w:tc>
        <w:tc>
          <w:tcPr>
            <w:tcW w:w="45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45 </w:t>
            </w:r>
          </w:p>
        </w:tc>
        <w:tc>
          <w:tcPr>
            <w:tcW w:w="26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rFonts w:ascii="sans-serif" w:hAnsi="sans-serif"/>
          <w:b w:val="false"/>
          <w:color w:val="000000"/>
          <w:sz w:val="16"/>
        </w:rPr>
      </w:pPr>
      <w:r>
        <w:rPr>
          <w:rFonts w:ascii="sans-serif" w:hAnsi="sans-serif"/>
          <w:b w:val="false"/>
          <w:color w:val="000000"/>
          <w:sz w:val="16"/>
        </w:rPr>
        <w:t>1For the three months ended March 31, 2026, there were unrealized losses of $18 million recognized in Revenues attributed to derivatives in the Level III category that were held at March 31, 2026 (2025 – unrealized losses of $23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68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68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13. COMMITMENTS, CONTINGENCIES AND GUARANTEES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Commitments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Capital expenditure commitments include obligations related to the construction of growth projects and are based on the projects proceeding as planned. At March 31, 2026, TC Energy had approximately $1.3 billion of capital expenditure commitments (December 31, 2025 – approximately $0.8 billion) reflecting contractual commitments entered into for construction on U.S. natural gas pipelines, primarily related to the construction costs associated with ANR and other pipeline projects.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Contingencies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 and its subsidiaries are subject to various legal proceedings, arbitrations and actions arising in the normal course of business. While the final outcome of such legal proceedings and actions cannot be predicted with certainty, it is the opinion of management that the resolution of such normal course proceedings and actions will not have a material impact on the Company's consolidated financial position or results of operations.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Guarantees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 and its partner on the Sur de Texas pipeline, IEnova, have jointly guaranteed the financial performance of the entity which owns the pipeline. Such agreements include a guarantee and a letter of credit which are primarily related to the delivery of natural gas.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 and its joint venture partner on Bruce Power, BPC Generation Infrastructure Trust, have each severally guaranteed certain contingent financial obligations of Bruce Power related to a lease agreement and contractor and supplier services.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Company and its partners in certain other jointly-owned entities have either (i) jointly and severally, (ii) jointly or (iii) severally guaranteed the financial performance of these entities. Such agreements include guarantees and letters of credit which are primarily related to construction services and the payment of liabilities. For certain of these entities, any payments made by TC Energy under these guarantees in excess of its ownership interest are to be reimbursed by its partners.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carrying value of these guarantees has been included in Other long-term liabilities on the Condensed consolidated balance sheet. Information regarding the Company’s guarantees is as follows:</w:t>
      </w:r>
    </w:p>
    <w:tbl>
      <w:tblPr>
        <w:tblW w:w="10205" w:type="dxa"/>
        <w:jc w:val="left"/>
        <w:tblInd w:w="0" w:type="dxa"/>
        <w:tblLayout w:type="fixed"/>
        <w:tblCellMar>
          <w:top w:w="28" w:type="dxa"/>
          <w:left w:w="28" w:type="dxa"/>
          <w:bottom w:w="28" w:type="dxa"/>
          <w:right w:w="28" w:type="dxa"/>
        </w:tblCellMar>
      </w:tblPr>
      <w:tblGrid>
        <w:gridCol w:w="878"/>
        <w:gridCol w:w="676"/>
        <w:gridCol w:w="680"/>
        <w:gridCol w:w="109"/>
        <w:gridCol w:w="109"/>
        <w:gridCol w:w="109"/>
        <w:gridCol w:w="517"/>
        <w:gridCol w:w="484"/>
        <w:gridCol w:w="489"/>
        <w:gridCol w:w="109"/>
        <w:gridCol w:w="109"/>
        <w:gridCol w:w="109"/>
        <w:gridCol w:w="375"/>
        <w:gridCol w:w="375"/>
        <w:gridCol w:w="376"/>
        <w:gridCol w:w="183"/>
        <w:gridCol w:w="183"/>
        <w:gridCol w:w="183"/>
        <w:gridCol w:w="327"/>
        <w:gridCol w:w="327"/>
        <w:gridCol w:w="337"/>
        <w:gridCol w:w="109"/>
        <w:gridCol w:w="109"/>
        <w:gridCol w:w="109"/>
        <w:gridCol w:w="375"/>
        <w:gridCol w:w="375"/>
        <w:gridCol w:w="376"/>
        <w:gridCol w:w="223"/>
        <w:gridCol w:w="223"/>
        <w:gridCol w:w="223"/>
        <w:gridCol w:w="302"/>
        <w:gridCol w:w="302"/>
        <w:gridCol w:w="435"/>
      </w:tblGrid>
      <w:tr>
        <w:trPr/>
        <w:tc>
          <w:tcPr>
            <w:tcW w:w="87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December 31, 2025</w:t>
            </w:r>
          </w:p>
        </w:tc>
      </w:tr>
      <w:tr>
        <w:trPr/>
        <w:tc>
          <w:tcPr>
            <w:tcW w:w="223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right"/>
              <w:rPr>
                <w:color w:val="000000"/>
              </w:rPr>
            </w:pPr>
            <w:r>
              <w:rPr>
                <w:color w:val="000000"/>
              </w:rPr>
              <w:t> </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Term</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Potential</w:t>
              <w:br/>
              <w:t>exposure</w:t>
            </w:r>
            <w:r>
              <w:rPr>
                <w:rFonts w:ascii="sans-serif" w:hAnsi="sans-serif"/>
                <w:b w:val="false"/>
                <w:color w:val="000000"/>
                <w:sz w:val="12"/>
              </w:rPr>
              <w:t>1</w:t>
            </w:r>
          </w:p>
        </w:tc>
        <w:tc>
          <w:tcPr>
            <w:tcW w:w="54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Carrying</w:t>
            </w:r>
          </w:p>
          <w:p>
            <w:pPr>
              <w:pStyle w:val="TableContents"/>
              <w:bidi w:val="0"/>
              <w:spacing w:lineRule="auto" w:line="264" w:before="0" w:after="0"/>
              <w:jc w:val="right"/>
              <w:rPr>
                <w:rFonts w:ascii="sans-serif" w:hAnsi="sans-serif"/>
                <w:b/>
                <w:color w:val="000000"/>
                <w:sz w:val="18"/>
              </w:rPr>
            </w:pPr>
            <w:r>
              <w:rPr>
                <w:rFonts w:ascii="sans-serif" w:hAnsi="sans-serif"/>
                <w:b/>
                <w:color w:val="000000"/>
                <w:sz w:val="18"/>
              </w:rPr>
              <w:t>value</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0"/>
              <w:jc w:val="right"/>
              <w:rPr/>
            </w:pPr>
            <w:r>
              <w:rPr>
                <w:rFonts w:ascii="sans-serif" w:hAnsi="sans-serif"/>
                <w:b/>
                <w:color w:val="000000"/>
                <w:sz w:val="18"/>
              </w:rPr>
              <w:t>Potential</w:t>
              <w:br/>
              <w:t>exposure</w:t>
            </w:r>
            <w:r>
              <w:rPr>
                <w:rFonts w:ascii="sans-serif" w:hAnsi="sans-serif"/>
                <w:b w:val="false"/>
                <w:color w:val="000000"/>
                <w:sz w:val="12"/>
              </w:rPr>
              <w:t>1</w:t>
            </w:r>
          </w:p>
        </w:tc>
        <w:tc>
          <w:tcPr>
            <w:tcW w:w="66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Carrying</w:t>
              <w:br/>
              <w:t>value</w:t>
            </w:r>
          </w:p>
        </w:tc>
      </w:tr>
      <w:tr>
        <w:trPr/>
        <w:tc>
          <w:tcPr>
            <w:tcW w:w="223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Renewable to 2065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88</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Sur de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r>
              <w:rPr>
                <w:rFonts w:ascii="sans-serif" w:hAnsi="sans-serif"/>
                <w:b w:val="false"/>
                <w:color w:val="000000"/>
                <w:sz w:val="18"/>
              </w:rPr>
              <w:t>Renewable to 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80</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jointly-owned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64" w:before="0" w:after="0"/>
              <w:jc w:val="right"/>
              <w:rPr>
                <w:rFonts w:ascii="sans-serif" w:hAnsi="sans-serif"/>
                <w:b w:val="false"/>
                <w:color w:val="000000"/>
                <w:sz w:val="18"/>
              </w:rPr>
            </w:pPr>
            <w:r>
              <w:rPr>
                <w:rFonts w:ascii="sans-serif" w:hAnsi="sans-serif"/>
                <w:b w:val="false"/>
                <w:color w:val="000000"/>
                <w:sz w:val="18"/>
              </w:rPr>
              <w:t>to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55</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223</w:t>
            </w:r>
            <w:r>
              <w:rPr>
                <w:color w:val="000000"/>
              </w:rPr>
              <w:t> </w:t>
            </w:r>
          </w:p>
        </w:tc>
        <w:tc>
          <w:tcPr>
            <w:tcW w:w="37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3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220 </w:t>
            </w:r>
          </w:p>
        </w:tc>
        <w:tc>
          <w:tcPr>
            <w:tcW w:w="37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1 </w:t>
            </w:r>
          </w:p>
        </w:tc>
        <w:tc>
          <w:tcPr>
            <w:tcW w:w="435"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00"/>
        <w:ind w:left="0" w:right="0" w:hanging="360"/>
        <w:jc w:val="left"/>
        <w:rPr/>
      </w:pPr>
      <w:r>
        <w:rPr>
          <w:rFonts w:ascii="sans-serif" w:hAnsi="sans-serif"/>
          <w:b w:val="false"/>
          <w:color w:val="000000"/>
          <w:sz w:val="16"/>
        </w:rPr>
        <w:t>1TC Energy's share of the potential estimated current or contingent exposure</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8"/>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69</w:t>
                      </w:r>
                    </w:p>
                  </w:txbxContent>
                </v:textbox>
                <w10:wrap type="none"/>
              </v:rect>
            </w:pict>
          </mc:Fallback>
        </mc:AlternateContent>
      </w:r>
    </w:p>
    <w:p>
      <w:pPr>
        <w:pStyle w:val="TextBody"/>
        <w:bidi w:val="0"/>
        <w:spacing w:lineRule="auto" w:line="348" w:before="160" w:after="100"/>
        <w:jc w:val="left"/>
        <w:rPr>
          <w:rFonts w:ascii="sans-serif" w:hAnsi="sans-serif"/>
          <w:b w:val="false"/>
          <w:color w:val="0D64EF"/>
          <w:sz w:val="28"/>
        </w:rPr>
      </w:pPr>
      <w:r>
        <w:rPr>
          <w:rFonts w:ascii="sans-serif" w:hAnsi="sans-serif"/>
          <w:b w:val="false"/>
          <w:color w:val="0D64EF"/>
          <w:sz w:val="28"/>
        </w:rPr>
        <w:t>14. VARIABLE INTEREST ENTITIES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Consolidated VIEs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significant portion of the Company’s assets are held through VIEs in which the Company holds a 100 per cent voting interest, the VIE meets the definition of a business and the VIE’s assets can be used for general corporate purposes. The consolidated VIEs whose assets cannot be used for purposes other than for the settlement of the VIE’s obligations, or are not considered a business, were as follows:</w:t>
      </w:r>
    </w:p>
    <w:tbl>
      <w:tblPr>
        <w:tblW w:w="8558" w:type="dxa"/>
        <w:jc w:val="left"/>
        <w:tblInd w:w="0" w:type="dxa"/>
        <w:tblLayout w:type="fixed"/>
        <w:tblCellMar>
          <w:top w:w="28" w:type="dxa"/>
          <w:left w:w="28" w:type="dxa"/>
          <w:bottom w:w="28" w:type="dxa"/>
          <w:right w:w="28" w:type="dxa"/>
        </w:tblCellMar>
      </w:tblPr>
      <w:tblGrid>
        <w:gridCol w:w="907"/>
        <w:gridCol w:w="799"/>
        <w:gridCol w:w="799"/>
        <w:gridCol w:w="546"/>
        <w:gridCol w:w="546"/>
        <w:gridCol w:w="555"/>
        <w:gridCol w:w="109"/>
        <w:gridCol w:w="109"/>
        <w:gridCol w:w="109"/>
        <w:gridCol w:w="550"/>
        <w:gridCol w:w="550"/>
        <w:gridCol w:w="551"/>
        <w:gridCol w:w="109"/>
        <w:gridCol w:w="109"/>
        <w:gridCol w:w="109"/>
        <w:gridCol w:w="615"/>
        <w:gridCol w:w="615"/>
        <w:gridCol w:w="871"/>
      </w:tblGrid>
      <w:tr>
        <w:trPr/>
        <w:tc>
          <w:tcPr>
            <w:tcW w:w="9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D64EF"/>
              <w:bottom w:val="single" w:sz="2" w:space="0" w:color="0D64EF"/>
            </w:tcBorders>
            <w:shd w:fill="D1D0CF" w:val="clear"/>
            <w:tcMar>
              <w:top w:w="3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4152" w:type="dxa"/>
            <w:gridSpan w:val="6"/>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181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167 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931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216</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211 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82</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1,410</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1,432 </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Plant,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50,121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49,445 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1,036</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Restricted Investments</w:t>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1,189</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137</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464</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456 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164</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93 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54,521</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53,664 </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LIABILITIES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Notes Payable</w:t>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1,178</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535 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Accounts payable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1,500</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1,703 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Accrued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238</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216 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tcPr>
          <w:p>
            <w:pPr>
              <w:pStyle w:val="TableContents"/>
              <w:bidi w:val="0"/>
              <w:spacing w:before="0" w:after="283"/>
              <w:jc w:val="left"/>
              <w:rPr>
                <w:sz w:val="4"/>
                <w:szCs w:val="4"/>
              </w:rPr>
            </w:pPr>
            <w:r>
              <w:rPr>
                <w:sz w:val="4"/>
                <w:szCs w:val="4"/>
              </w:rPr>
            </w:r>
          </w:p>
        </w:tc>
      </w:tr>
      <w:tr>
        <w:trPr/>
        <w:tc>
          <w:tcPr>
            <w:tcW w:w="415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583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575 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3,499</w:t>
            </w:r>
            <w:r>
              <w:rPr>
                <w:color w:val="000000"/>
              </w:rPr>
              <w:t> </w:t>
            </w:r>
          </w:p>
        </w:tc>
        <w:tc>
          <w:tcPr>
            <w:tcW w:w="55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3,029 </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Regulatory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1,513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1,458 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57</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Deferred Income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14,117</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13,904 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6"/>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19,195</w:t>
            </w:r>
            <w:r>
              <w:rPr>
                <w:color w:val="000000"/>
              </w:rPr>
              <w:t> </w:t>
            </w:r>
          </w:p>
        </w:tc>
        <w:tc>
          <w:tcPr>
            <w:tcW w:w="5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18,449 </w:t>
            </w:r>
          </w:p>
        </w:tc>
        <w:tc>
          <w:tcPr>
            <w:tcW w:w="8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360"/>
        <w:jc w:val="left"/>
        <w:rPr/>
      </w:pPr>
      <w:r>
        <w:rPr/>
      </w:r>
    </w:p>
    <w:p>
      <w:pPr>
        <w:pStyle w:val="TextBody"/>
        <w:bidi w:val="0"/>
        <w:spacing w:before="0" w:after="108"/>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sans-serif" w:hAnsi="sans-serif"/>
                                <w:b w:val="false"/>
                                <w:color w:val="000000"/>
                                <w:sz w:val="20"/>
                              </w:rPr>
                              <w:t>70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rFonts w:ascii="sans-serif" w:hAnsi="sans-serif"/>
                          <w:b w:val="false"/>
                          <w:color w:val="000000"/>
                          <w:sz w:val="20"/>
                        </w:rPr>
                        <w:t>70 | 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w:t>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Non-Consolidated VIEs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The carrying value of non-consolidated VIEs and the maximum exposure to loss as a result of the Company's involvement with these VIEs are as follows: </w:t>
      </w:r>
    </w:p>
    <w:tbl>
      <w:tblPr>
        <w:tblW w:w="7765" w:type="dxa"/>
        <w:jc w:val="center"/>
        <w:tblInd w:w="0" w:type="dxa"/>
        <w:tblLayout w:type="fixed"/>
        <w:tblCellMar>
          <w:top w:w="28" w:type="dxa"/>
          <w:left w:w="28" w:type="dxa"/>
          <w:bottom w:w="28" w:type="dxa"/>
          <w:right w:w="28" w:type="dxa"/>
        </w:tblCellMar>
      </w:tblPr>
      <w:tblGrid>
        <w:gridCol w:w="1217"/>
        <w:gridCol w:w="1068"/>
        <w:gridCol w:w="1074"/>
        <w:gridCol w:w="109"/>
        <w:gridCol w:w="109"/>
        <w:gridCol w:w="109"/>
        <w:gridCol w:w="550"/>
        <w:gridCol w:w="550"/>
        <w:gridCol w:w="551"/>
        <w:gridCol w:w="109"/>
        <w:gridCol w:w="109"/>
        <w:gridCol w:w="109"/>
        <w:gridCol w:w="615"/>
        <w:gridCol w:w="615"/>
        <w:gridCol w:w="871"/>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(unaudited - millions of Canadian $)</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March 31, 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December 31, 2025</w:t>
            </w:r>
          </w:p>
        </w:tc>
      </w:tr>
      <w:tr>
        <w:trPr/>
        <w:tc>
          <w:tcPr>
            <w:tcW w:w="335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Balance Sheet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7,746</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7,780 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Coastal GasLink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873</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896 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Other pipeline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158</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158 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Off-Balance Sheet Exposure</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Bruce Power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1,781</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1,955 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Coastal GasLink</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200</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200 </w:t>
            </w:r>
          </w:p>
        </w:tc>
        <w:tc>
          <w:tcPr>
            <w:tcW w:w="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Maximum Exposure to Loss</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10,758</w:t>
            </w:r>
            <w:r>
              <w:rPr>
                <w:color w:val="000000"/>
              </w:rPr>
              <w:t> </w:t>
            </w:r>
          </w:p>
        </w:tc>
        <w:tc>
          <w:tcPr>
            <w:tcW w:w="55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10,989 </w:t>
            </w:r>
          </w:p>
        </w:tc>
        <w:tc>
          <w:tcPr>
            <w:tcW w:w="87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 Includes maximum potential exposure to guarantees and future funding commitments.</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 TC Energy is contractually obligated to fund the capital costs to complete the Coastal GasLink pipeline by funding the remaining equity requirements of Coastal GasLink LP through incremental capacity on the subordinated loan agreement with Coastal GasLink LP until final costs are determined. In addition to the subordinated loan agreement, TC Energy has entered into an equity contribution agreement to fund a maximum of $37 million for its proportionate share of the equity requirements related to the Cedar Link project.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right"/>
                        <w:rPr/>
                      </w:pPr>
                      <w:r>
                        <w:rPr>
                          <w:rFonts w:ascii="sans-serif" w:hAnsi="sans-serif"/>
                          <w:b w:val="false"/>
                          <w:color w:val="000000"/>
                          <w:sz w:val="20"/>
                        </w:rPr>
                        <w:t>TC Energy</w:t>
                      </w:r>
                      <w:r>
                        <w:rPr>
                          <w:color w:val="237CC1"/>
                        </w:rPr>
                        <w:t xml:space="preserve"> </w:t>
                      </w:r>
                      <w:r>
                        <w:rPr>
                          <w:rFonts w:ascii="sans-serif" w:hAnsi="sans-serif"/>
                          <w:b/>
                          <w:color w:val="0D64EF"/>
                          <w:sz w:val="20"/>
                        </w:rPr>
                        <w:t>First Quarter</w:t>
                      </w:r>
                      <w:r>
                        <w:rPr>
                          <w:color w:val="000000"/>
                        </w:rPr>
                        <w:t xml:space="preserve"> </w:t>
                      </w:r>
                      <w:r>
                        <w:rPr>
                          <w:rFonts w:ascii="sans-serif" w:hAnsi="sans-serif"/>
                          <w:b w:val="false"/>
                          <w:color w:val="000000"/>
                          <w:sz w:val="20"/>
                        </w:rPr>
                        <w:t>2026 | 71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TC Energy Corporation;</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764" w:type="dxa"/>
        <w:jc w:val="center"/>
        <w:tblInd w:w="0" w:type="dxa"/>
        <w:tblLayout w:type="fixed"/>
        <w:tblCellMar>
          <w:top w:w="28" w:type="dxa"/>
          <w:left w:w="28" w:type="dxa"/>
          <w:bottom w:w="28" w:type="dxa"/>
          <w:right w:w="28" w:type="dxa"/>
        </w:tblCellMar>
      </w:tblPr>
      <w:tblGrid>
        <w:gridCol w:w="869"/>
        <w:gridCol w:w="764"/>
        <w:gridCol w:w="766"/>
        <w:gridCol w:w="1275"/>
        <w:gridCol w:w="1275"/>
        <w:gridCol w:w="1815"/>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May 1, 2026</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François L. Poirier</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6"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TransCanada PipeLines Limited;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764" w:type="dxa"/>
        <w:jc w:val="center"/>
        <w:tblInd w:w="0" w:type="dxa"/>
        <w:tblLayout w:type="fixed"/>
        <w:tblCellMar>
          <w:top w:w="28" w:type="dxa"/>
          <w:left w:w="28" w:type="dxa"/>
          <w:bottom w:w="28" w:type="dxa"/>
          <w:right w:w="28" w:type="dxa"/>
        </w:tblCellMar>
      </w:tblPr>
      <w:tblGrid>
        <w:gridCol w:w="869"/>
        <w:gridCol w:w="764"/>
        <w:gridCol w:w="766"/>
        <w:gridCol w:w="1275"/>
        <w:gridCol w:w="1275"/>
        <w:gridCol w:w="1815"/>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May 1, 2026</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François L. Poirier</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7"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TC Energy Corporation;</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27"/>
        <w:gridCol w:w="639"/>
        <w:gridCol w:w="641"/>
        <w:gridCol w:w="2452"/>
        <w:gridCol w:w="2406"/>
        <w:gridCol w:w="3340"/>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May 1, 2026</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Sean P. O'Donnell</w:t>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Vice-President, Strategy and Corporate Development and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2425"/>
                <wp:effectExtent l="0" t="0" r="0" b="0"/>
                <wp:wrapNone/>
                <wp:docPr id="78" name="Frame7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Certifications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1.I have reviewed this quarterly report on Form 6-K of TransCanada PipeLines Limited;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4.The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d.Disclosed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5.The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27"/>
        <w:gridCol w:w="639"/>
        <w:gridCol w:w="641"/>
        <w:gridCol w:w="2452"/>
        <w:gridCol w:w="2406"/>
        <w:gridCol w:w="3340"/>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Dated: May 1, 2026</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2"/>
              </w:rPr>
            </w:pPr>
            <w:r>
              <w:rPr>
                <w:rFonts w:ascii="sans-serif" w:hAnsi="sans-serif"/>
                <w:b w:val="false"/>
                <w:color w:val="000000"/>
                <w:sz w:val="22"/>
              </w:rPr>
              <w:t>Sean P. O'Donnell</w:t>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Vice-President, Strategy and Corporate Development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2425"/>
                <wp:effectExtent l="0" t="0" r="0" b="0"/>
                <wp:wrapNone/>
                <wp:docPr id="79" name="Frame7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TC ENERGY CORPORATION</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EXECUTIVE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the Chief Executive Officer of TC Energy Corporation (the "Company"), in compliance with 18 U.S.C.  Section 1350, as adopted pursuant to Section 906 of the Sarbanes-Oxley Act of 2002, hereby certify, in connection with the Company’s Quarterly Report as filed on Form 6-K for the period ended March 31,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May 1,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80"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TRANSCANADA PIPELINES LIMITED</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EXECUTIVE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François L. Poirier, the Chief Executive Officer of TransCanada PipeLines Limited (the "Company"), in compliance with 18 U.S.C.  Section 1350, as adopted pursuant to Section 906 of the Sarbanes-Oxley Act of 2002, hereby certify, in connection with the Company's Quarterly Report as filed on Form 6-K for the period ended March 31,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François L. Poirier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May 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EXHIBIT 32.2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1"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TC ENERGY CORPORATION</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FINANCIAL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the Chief Financial Officer of TC Energy Corporation (the "Company"), in compliance with 18 U.S.C.  Section 1350, as adopted pursuant to Section 906 of the Sarbanes-Oxley Act of 2002, hereby certify, in connection with the Company’s Quarterly Report as filed on Form 6-K for the period ended March 31,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966" w:type="dxa"/>
        <w:jc w:val="left"/>
        <w:tblInd w:w="0" w:type="dxa"/>
        <w:tblLayout w:type="fixed"/>
        <w:tblCellMar>
          <w:top w:w="28" w:type="dxa"/>
          <w:left w:w="28" w:type="dxa"/>
          <w:bottom w:w="28" w:type="dxa"/>
          <w:right w:w="28" w:type="dxa"/>
        </w:tblCellMar>
      </w:tblPr>
      <w:tblGrid>
        <w:gridCol w:w="124"/>
        <w:gridCol w:w="109"/>
        <w:gridCol w:w="109"/>
        <w:gridCol w:w="768"/>
        <w:gridCol w:w="768"/>
        <w:gridCol w:w="1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May 1,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2"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TRANSCANADA PIPELINES LIMITED</w:t>
      </w:r>
    </w:p>
    <w:p>
      <w:pPr>
        <w:pStyle w:val="TextBody"/>
        <w:bidi w:val="0"/>
        <w:spacing w:before="0" w:after="0"/>
        <w:jc w:val="left"/>
        <w:rPr/>
      </w:pPr>
      <w:r>
        <w:rPr/>
      </w:r>
    </w:p>
    <w:p>
      <w:pPr>
        <w:pStyle w:val="TextBody"/>
        <w:bidi w:val="0"/>
        <w:spacing w:lineRule="auto" w:line="288" w:before="0" w:after="0"/>
        <w:jc w:val="center"/>
        <w:rPr/>
      </w:pPr>
      <w:r>
        <w:rPr>
          <w:rFonts w:ascii="sans-serif" w:hAnsi="sans-serif"/>
          <w:b w:val="false"/>
          <w:color w:val="000000"/>
          <w:sz w:val="22"/>
        </w:rPr>
        <w:t>450 – 1</w:t>
      </w:r>
      <w:r>
        <w:rPr>
          <w:rFonts w:ascii="sans-serif" w:hAnsi="sans-serif"/>
          <w:b w:val="false"/>
          <w:color w:val="000000"/>
          <w:sz w:val="14"/>
        </w:rPr>
        <w:t>st</w:t>
      </w:r>
      <w:r>
        <w:rPr>
          <w:color w:val="000000"/>
        </w:rPr>
        <w:t xml:space="preserve"> </w:t>
      </w:r>
      <w:r>
        <w:rPr>
          <w:rFonts w:ascii="sans-serif" w:hAnsi="sans-serif"/>
          <w:b w:val="false"/>
          <w:color w:val="000000"/>
          <w:sz w:val="22"/>
        </w:rPr>
        <w:t>Street S.W.</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Calgary, Alberta, Canada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T2P 5H1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CERTIFICATION OF CHIEF FINANCIAL OFFICER</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REGARDING PERIODIC REPORT CONTAINING</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Sean P. O'Donnell, the Chief Financial Officer of TransCanada PipeLines Limited (the "Company"), in compliance with 18 U.S.C.  Section 1350, as adopted pursuant to Section 906 of the Sarbanes-Oxley Act of 2002, hereby certify, in connection with the Company's Quarterly Report as filed on Form 6-K for the period ended March 31, 2026 with the Securities and Exchange Commission (the "Report"), that:</w:t>
      </w:r>
    </w:p>
    <w:p>
      <w:pPr>
        <w:pStyle w:val="TextBody"/>
        <w:bidi w:val="0"/>
        <w:spacing w:before="0" w:after="0"/>
        <w:jc w:val="both"/>
        <w:rPr/>
      </w:pPr>
      <w:r>
        <w:rPr/>
      </w:r>
    </w:p>
    <w:p>
      <w:pPr>
        <w:pStyle w:val="TextBody"/>
        <w:bidi w:val="0"/>
        <w:spacing w:lineRule="auto" w:line="288" w:before="0" w:after="0"/>
        <w:ind w:left="0" w:right="0" w:hanging="720"/>
        <w:jc w:val="both"/>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180" w:after="283"/>
        <w:ind w:left="0" w:right="0" w:hanging="720"/>
        <w:jc w:val="both"/>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966" w:type="dxa"/>
        <w:jc w:val="left"/>
        <w:tblInd w:w="0" w:type="dxa"/>
        <w:tblLayout w:type="fixed"/>
        <w:tblCellMar>
          <w:top w:w="28" w:type="dxa"/>
          <w:left w:w="28" w:type="dxa"/>
          <w:bottom w:w="28" w:type="dxa"/>
          <w:right w:w="28" w:type="dxa"/>
        </w:tblCellMar>
      </w:tblPr>
      <w:tblGrid>
        <w:gridCol w:w="124"/>
        <w:gridCol w:w="109"/>
        <w:gridCol w:w="109"/>
        <w:gridCol w:w="768"/>
        <w:gridCol w:w="768"/>
        <w:gridCol w:w="1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u w:val="single"/>
              </w:rPr>
            </w:pPr>
            <w:r>
              <w:rPr>
                <w:rFonts w:ascii="sans-serif" w:hAnsi="sans-serif"/>
                <w:b w:val="false"/>
                <w:color w:val="000000"/>
                <w:sz w:val="22"/>
                <w:u w:val="single"/>
              </w:rPr>
              <w:t>/s/ 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Sean P. O'Donnell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May 1,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108"/>
        <w:jc w:val="right"/>
        <w:rPr>
          <w:rFonts w:ascii="sans-serif" w:hAnsi="sans-serif"/>
          <w:b w:val="false"/>
          <w:color w:val="000000"/>
          <w:sz w:val="20"/>
        </w:rPr>
      </w:pPr>
      <w:r>
        <w:rPr>
          <w:rFonts w:ascii="sans-serif" w:hAnsi="sans-serif"/>
          <w:b w:val="false"/>
          <w:color w:val="000000"/>
          <w:sz w:val="20"/>
        </w:rPr>
        <w:t>EXHIBIT 99.1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3"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 of 2</w:t>
                      </w:r>
                    </w:p>
                  </w:txbxContent>
                </v:textbox>
                <w10:wrap type="none"/>
              </v:rect>
            </w:pict>
          </mc:Fallback>
        </mc:AlternateContent>
      </w:r>
    </w:p>
    <w:p>
      <w:pPr>
        <w:pStyle w:val="TextBody"/>
        <w:bidi w:val="0"/>
        <w:spacing w:before="100" w:after="40"/>
        <w:jc w:val="left"/>
        <w:rPr/>
      </w:pPr>
      <w:r>
        <w:rPr/>
      </w:r>
    </w:p>
    <w:tbl>
      <w:tblPr>
        <w:tblW w:w="8453" w:type="dxa"/>
        <w:jc w:val="left"/>
        <w:tblInd w:w="0" w:type="dxa"/>
        <w:tblLayout w:type="fixed"/>
        <w:tblCellMar>
          <w:top w:w="28" w:type="dxa"/>
          <w:left w:w="28" w:type="dxa"/>
          <w:bottom w:w="28" w:type="dxa"/>
          <w:right w:w="28" w:type="dxa"/>
        </w:tblCellMar>
      </w:tblPr>
      <w:tblGrid>
        <w:gridCol w:w="2021"/>
        <w:gridCol w:w="1778"/>
        <w:gridCol w:w="1781"/>
        <w:gridCol w:w="109"/>
        <w:gridCol w:w="109"/>
        <w:gridCol w:w="109"/>
        <w:gridCol w:w="746"/>
        <w:gridCol w:w="746"/>
        <w:gridCol w:w="1054"/>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64" w:before="0" w:after="120"/>
              <w:jc w:val="left"/>
              <w:rPr/>
            </w:pPr>
            <w:r>
              <w:rPr>
                <w:rFonts w:ascii="sans-serif" w:hAnsi="sans-serif"/>
                <w:b/>
                <w:color w:val="000000"/>
                <w:sz w:val="32"/>
              </w:rPr>
              <w:t xml:space="preserve">Quarterly </w:t>
            </w:r>
            <w:r>
              <w:rPr>
                <w:rFonts w:ascii="sans-serif" w:hAnsi="sans-serif"/>
                <w:b w:val="false"/>
                <w:color w:val="000000"/>
                <w:sz w:val="32"/>
              </w:rPr>
              <w:t>Report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33525" cy="304800"/>
                  <wp:effectExtent l="0" t="0" r="0" b="0"/>
                  <wp:docPr id="8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 descr=""/>
                          <pic:cNvPicPr>
                            <a:picLocks noChangeAspect="1" noChangeArrowheads="1"/>
                          </pic:cNvPicPr>
                        </pic:nvPicPr>
                        <pic:blipFill>
                          <a:blip r:embed="rId2"/>
                          <a:stretch>
                            <a:fillRect/>
                          </a:stretch>
                        </pic:blipFill>
                        <pic:spPr bwMode="auto">
                          <a:xfrm>
                            <a:off x="0" y="0"/>
                            <a:ext cx="1533525" cy="304800"/>
                          </a:xfrm>
                          <a:prstGeom prst="rect">
                            <a:avLst/>
                          </a:prstGeom>
                        </pic:spPr>
                      </pic:pic>
                    </a:graphicData>
                  </a:graphic>
                </wp:inline>
              </w:drawing>
            </w:r>
          </w:p>
        </w:tc>
      </w:tr>
      <w:tr>
        <w:trPr/>
        <w:tc>
          <w:tcPr>
            <w:tcW w:w="55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sans-serif" w:hAnsi="sans-serif"/>
          <w:b/>
          <w:color w:val="000000"/>
          <w:sz w:val="24"/>
        </w:rPr>
      </w:pPr>
      <w:r>
        <w:rPr>
          <w:rFonts w:ascii="sans-serif" w:hAnsi="sans-serif"/>
          <w:b/>
          <w:color w:val="000000"/>
          <w:sz w:val="24"/>
        </w:rPr>
        <w:t>TC Energy reports strong first quarter 2026 operating and financial results</w:t>
      </w:r>
    </w:p>
    <w:p>
      <w:pPr>
        <w:pStyle w:val="TextBody"/>
        <w:bidi w:val="0"/>
        <w:spacing w:lineRule="auto" w:line="288" w:before="0" w:after="0"/>
        <w:jc w:val="center"/>
        <w:rPr>
          <w:rFonts w:ascii="sans-serif" w:hAnsi="sans-serif"/>
          <w:b w:val="false"/>
          <w:i/>
          <w:color w:val="000000"/>
          <w:sz w:val="20"/>
          <w:shd w:fill="FFFFFF" w:val="clear"/>
        </w:rPr>
      </w:pPr>
      <w:r>
        <w:rPr>
          <w:rFonts w:ascii="sans-serif" w:hAnsi="sans-serif"/>
          <w:b w:val="false"/>
          <w:i/>
          <w:color w:val="000000"/>
          <w:sz w:val="20"/>
          <w:shd w:fill="FFFFFF" w:val="clear"/>
        </w:rPr>
        <w:t>Safety and operational excellence drive seven delivery records across North America</w:t>
      </w:r>
    </w:p>
    <w:p>
      <w:pPr>
        <w:pStyle w:val="TextBody"/>
        <w:bidi w:val="0"/>
        <w:spacing w:lineRule="auto" w:line="288" w:before="0" w:after="0"/>
        <w:jc w:val="center"/>
        <w:rPr>
          <w:rFonts w:ascii="sans-serif" w:hAnsi="sans-serif"/>
          <w:b w:val="false"/>
          <w:i/>
          <w:color w:val="000000"/>
          <w:sz w:val="20"/>
          <w:shd w:fill="FFFFFF" w:val="clear"/>
        </w:rPr>
      </w:pPr>
      <w:r>
        <w:rPr>
          <w:rFonts w:ascii="sans-serif" w:hAnsi="sans-serif"/>
          <w:b w:val="false"/>
          <w:i/>
          <w:color w:val="000000"/>
          <w:sz w:val="20"/>
          <w:shd w:fill="FFFFFF" w:val="clear"/>
        </w:rPr>
        <w:t>Approves US$1.5 billion Columbia Gas expansion project, extending reach into high-demand market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48" w:before="0" w:after="100"/>
        <w:jc w:val="left"/>
        <w:rPr/>
      </w:pPr>
      <w:r>
        <w:rPr>
          <w:rFonts w:ascii="sans-serif" w:hAnsi="sans-serif"/>
          <w:b/>
          <w:color w:val="000000"/>
          <w:sz w:val="20"/>
        </w:rPr>
        <w:t>CALGARY, Alberta – May 1, 2026</w:t>
      </w:r>
      <w:r>
        <w:rPr>
          <w:color w:val="000000"/>
        </w:rPr>
        <w:t xml:space="preserve"> – </w:t>
      </w:r>
      <w:r>
        <w:rPr>
          <w:rFonts w:ascii="sans-serif" w:hAnsi="sans-serif"/>
          <w:b w:val="false"/>
          <w:color w:val="000000"/>
          <w:sz w:val="20"/>
        </w:rPr>
        <w:t>TC Energy Corporation (TSX, NYSE: TRP) (TC Energy or the Company) released its first quarter results today. François Poirier, TC Energy’s President and Chief Executive Officer commented, "We entered 2026 with strong momentum. Our best safety performance in six years drove seven delivery records across North America, while consistent execution delivered strong financial results, with comparable EBITDA</w:t>
      </w:r>
      <w:r>
        <w:rPr>
          <w:rFonts w:ascii="sans-serif" w:hAnsi="sans-serif"/>
          <w:b w:val="false"/>
          <w:color w:val="000000"/>
          <w:sz w:val="13"/>
        </w:rPr>
        <w:t>1</w:t>
      </w:r>
      <w:r>
        <w:rPr>
          <w:color w:val="000000"/>
        </w:rPr>
        <w:t xml:space="preserve"> </w:t>
      </w:r>
      <w:r>
        <w:rPr>
          <w:rFonts w:ascii="sans-serif" w:hAnsi="sans-serif"/>
          <w:b w:val="false"/>
          <w:color w:val="000000"/>
          <w:sz w:val="20"/>
        </w:rPr>
        <w:t>up 14 per cent and segmented earnings up 10 per cent compared to first quarter 2025.” Poirier continued, "Constructive market conditions continue to translate into attractive, disciplined growth opportunities. Today, I’m pleased to announce the Appalachia Supply Project, a US$1.5 billion, low</w:t>
        <w:noBreakHyphen/>
        <w:t>risk, strategic expansion on our Columbia Gas system that is expected to strengthen our position and create a new platform for capital-efficient opportunities in a high</w:t>
        <w:noBreakHyphen/>
        <w:t>growth power and industrial corridor. Customer demand continues to validate our strategy; our recent 2.5x oversubscribed open season on Crossroads reinforces the strength of our project origination backlog and provides clear visibility to long-term, high-quality growth.”</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 xml:space="preserve">Financial Highlights </w:t>
      </w:r>
    </w:p>
    <w:p>
      <w:pPr>
        <w:pStyle w:val="TextBody"/>
        <w:bidi w:val="0"/>
        <w:spacing w:lineRule="auto" w:line="348" w:before="0" w:after="100"/>
        <w:jc w:val="left"/>
        <w:rPr>
          <w:rFonts w:ascii="sans-serif" w:hAnsi="sans-serif"/>
          <w:b w:val="false"/>
          <w:i/>
          <w:color w:val="000000"/>
          <w:sz w:val="20"/>
        </w:rPr>
      </w:pPr>
      <w:r>
        <w:rPr>
          <w:rFonts w:ascii="sans-serif" w:hAnsi="sans-serif"/>
          <w:b w:val="false"/>
          <w:i/>
          <w:color w:val="000000"/>
          <w:sz w:val="20"/>
        </w:rPr>
        <w:t>(All financial figures are unaudited and in Canadian dollars unless otherwise noted)</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First quarter 2026 financial results:</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Comparable earnings</w:t>
      </w:r>
      <w:r>
        <w:rPr>
          <w:rFonts w:ascii="sans-serif" w:hAnsi="sans-serif"/>
          <w:b w:val="false"/>
          <w:color w:val="000000"/>
          <w:sz w:val="13"/>
        </w:rPr>
        <w:t>1</w:t>
      </w:r>
      <w:r>
        <w:rPr>
          <w:color w:val="000000"/>
        </w:rPr>
        <w:t xml:space="preserve"> </w:t>
      </w:r>
      <w:r>
        <w:rPr>
          <w:rFonts w:ascii="sans-serif" w:hAnsi="sans-serif"/>
          <w:b w:val="false"/>
          <w:color w:val="000000"/>
          <w:sz w:val="20"/>
        </w:rPr>
        <w:t>of $1.0 billion or $0.99 per common share</w:t>
      </w:r>
      <w:r>
        <w:rPr>
          <w:rFonts w:ascii="sans-serif" w:hAnsi="sans-serif"/>
          <w:b w:val="false"/>
          <w:color w:val="000000"/>
          <w:sz w:val="13"/>
        </w:rPr>
        <w:t>1</w:t>
      </w:r>
      <w:r>
        <w:rPr>
          <w:color w:val="000000"/>
        </w:rPr>
        <w:t xml:space="preserve"> </w:t>
      </w:r>
      <w:r>
        <w:rPr>
          <w:rFonts w:ascii="sans-serif" w:hAnsi="sans-serif"/>
          <w:b w:val="false"/>
          <w:color w:val="000000"/>
          <w:sz w:val="20"/>
        </w:rPr>
        <w:t>compared to $1.0 billion or $0.95 per common share in first quarter 2025</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Net income attributable to common shares</w:t>
      </w:r>
      <w:r>
        <w:rPr>
          <w:color w:val="000000"/>
        </w:rPr>
        <w:t xml:space="preserve"> </w:t>
      </w:r>
      <w:r>
        <w:rPr>
          <w:rFonts w:ascii="sans-serif" w:hAnsi="sans-serif"/>
          <w:b w:val="false"/>
          <w:color w:val="000000"/>
          <w:sz w:val="20"/>
        </w:rPr>
        <w:t>of $0.9 billion or $0.86 per common share compared to $1.0 billion or $0.94 per common share in first quarter 2025</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Comparable EBITDA</w:t>
      </w:r>
      <w:r>
        <w:rPr>
          <w:color w:val="000000"/>
        </w:rPr>
        <w:t xml:space="preserve"> </w:t>
      </w:r>
      <w:r>
        <w:rPr>
          <w:rFonts w:ascii="sans-serif" w:hAnsi="sans-serif"/>
          <w:b w:val="false"/>
          <w:color w:val="000000"/>
          <w:sz w:val="20"/>
        </w:rPr>
        <w:t>of $3.1 billion compared to $2.7 billion in first quarter 2025</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Segmented earnings</w:t>
      </w:r>
      <w:r>
        <w:rPr>
          <w:color w:val="000000"/>
        </w:rPr>
        <w:t xml:space="preserve"> </w:t>
      </w:r>
      <w:r>
        <w:rPr>
          <w:rFonts w:ascii="sans-serif" w:hAnsi="sans-serif"/>
          <w:b w:val="false"/>
          <w:color w:val="000000"/>
          <w:sz w:val="20"/>
        </w:rPr>
        <w:t>of $2.2 billion compared to $2.0 billion in first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TC Energy’s Board of Directors declared a quarterly dividend of $0.8775 per common share for the quarter ending June 30,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Reaffirming 2026 outlook: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We expect </w:t>
      </w:r>
      <w:r>
        <w:rPr>
          <w:rFonts w:ascii="sans-serif" w:hAnsi="sans-serif"/>
          <w:b/>
          <w:color w:val="000000"/>
          <w:sz w:val="20"/>
        </w:rPr>
        <w:t>our 2026 comparable EBITDA</w:t>
      </w:r>
      <w:r>
        <w:rPr>
          <w:color w:val="000000"/>
        </w:rPr>
        <w:t xml:space="preserve"> </w:t>
      </w:r>
      <w:r>
        <w:rPr>
          <w:rFonts w:ascii="sans-serif" w:hAnsi="sans-serif"/>
          <w:b w:val="false"/>
          <w:color w:val="000000"/>
          <w:sz w:val="20"/>
        </w:rPr>
        <w:t xml:space="preserve">and </w:t>
      </w:r>
      <w:r>
        <w:rPr>
          <w:rFonts w:ascii="sans-serif" w:hAnsi="sans-serif"/>
          <w:b/>
          <w:color w:val="000000"/>
          <w:sz w:val="20"/>
        </w:rPr>
        <w:t>comparable earnings per common share (EPS)</w:t>
      </w:r>
      <w:r>
        <w:rPr>
          <w:color w:val="000000"/>
        </w:rPr>
        <w:t xml:space="preserve"> </w:t>
      </w:r>
      <w:r>
        <w:rPr>
          <w:rFonts w:ascii="sans-serif" w:hAnsi="sans-serif"/>
          <w:b w:val="false"/>
          <w:color w:val="000000"/>
          <w:sz w:val="20"/>
        </w:rPr>
        <w:t>outlooks to be higher than 2025, consistent with our 2025 Annual Report</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Comparable EBITDA</w:t>
      </w:r>
      <w:r>
        <w:rPr>
          <w:color w:val="000000"/>
        </w:rPr>
        <w:t xml:space="preserve"> </w:t>
      </w:r>
      <w:r>
        <w:rPr>
          <w:rFonts w:ascii="sans-serif" w:hAnsi="sans-serif"/>
          <w:b w:val="false"/>
          <w:color w:val="000000"/>
          <w:sz w:val="20"/>
        </w:rPr>
        <w:t xml:space="preserve">is expected to be $11.6 to $11.8 billion </w:t>
      </w:r>
    </w:p>
    <w:p>
      <w:pPr>
        <w:pStyle w:val="TextBody"/>
        <w:bidi w:val="0"/>
        <w:spacing w:lineRule="auto" w:line="348" w:before="0" w:after="0"/>
        <w:ind w:left="0" w:right="0" w:hanging="180"/>
        <w:jc w:val="left"/>
        <w:rPr/>
      </w:pPr>
      <w:r>
        <w:rPr>
          <w:color w:val="000000"/>
        </w:rPr>
        <w:t>◦</w:t>
      </w:r>
      <w:r>
        <w:rPr>
          <w:rFonts w:ascii="sans-serif" w:hAnsi="sans-serif"/>
          <w:b/>
          <w:color w:val="000000"/>
          <w:sz w:val="20"/>
          <w:shd w:fill="FFFFFF" w:val="clear"/>
        </w:rPr>
        <w:t>Capital expenditures</w:t>
      </w:r>
      <w:r>
        <w:rPr>
          <w:color w:val="000000"/>
          <w:shd w:fill="FFFFFF" w:val="clear"/>
        </w:rPr>
        <w:t xml:space="preserve"> </w:t>
      </w:r>
      <w:r>
        <w:rPr>
          <w:rFonts w:ascii="sans-serif" w:hAnsi="sans-serif"/>
          <w:b w:val="false"/>
          <w:color w:val="000000"/>
          <w:sz w:val="20"/>
          <w:shd w:fill="FFFFFF" w:val="clear"/>
        </w:rPr>
        <w:t>are anticipated to be $6.0 to $6.5 billion prior to adjustments for non-controlling interests, or $5.5 to $6.0 billion of net capital expenditures.</w:t>
      </w:r>
      <w:r>
        <w:rPr>
          <w:rFonts w:ascii="sans-serif" w:hAnsi="sans-serif"/>
          <w:b w:val="false"/>
          <w:color w:val="000000"/>
          <w:sz w:val="13"/>
          <w:shd w:fill="FFFFFF" w:val="clear"/>
        </w:rPr>
        <w:t>2</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34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Comparable EBITDA, comparable earnings and comparable earnings per common share are non-GAAP measures used throughout this news release. These measures do not have any standardized meaning under GAAP and therefore are unlikely to be comparable to similar measures presented by other companies. The most directly comparable GAAP measures are Segmented earnings, Net income attributable to common shares and Net income per common share, respectively. We do not forecast Segmented earnings. For more information on non-GAAP measures, refer to the Non-GAAP and Supplementary financial measure section of this news release. </w:t>
      </w:r>
    </w:p>
    <w:p>
      <w:pPr>
        <w:pStyle w:val="TextBody"/>
        <w:bidi w:val="0"/>
        <w:spacing w:lineRule="auto" w:line="348"/>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Net capital expenditures are adjusted for the portion attributed to non-controlling interests and is a supplementary financial measure used throughout this news release. For more information on non-GAAP measures and the supplementary financial measure, refer to the Non-GAAP and Supplementary financial measure section of this news release.</w:t>
      </w:r>
    </w:p>
    <w:p>
      <w:pPr>
        <w:pStyle w:val="TextBody"/>
        <w:bidi w:val="0"/>
        <w:spacing w:before="0" w:after="10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Operational Highlights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Canadian Natural Gas Pipelines deliveries averaged 29.7 Bcf/d, up three per cent compared to first quarter 2025 and set a new all-time delivery record of 33.2 Bcf on Jan. 22, 2026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Total NGTL system receipts averaged 14.6 Bcf/d, comparable to first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NGTL System deliveries set a new all-time delivery record of 18.3 Bcf on Jan. 22,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Canadian Mainline Western receipts averaged 5.0 Bcf/d, in line with first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U.S. Natural Gas Pipelines daily average flows were 32.6 Bcf/d, up five per cent compared to first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U.S. Natural Gas Pipelines achieved an all-time delivery record of 39.9 Bcf on Jan. 29,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ANR System deliveries set a new all-time delivery record of 10.6 Bcf on Jan. 29,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Six individual pipelines set new all-time delivery records in first quarter 2026</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Deliveries to LNG facilities averaged 3.9 Bcf/d, up 12 per cent compared to first quarter 2025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Mexico Natural Gas Pipelines flows averaged 2.8 Bcf/d, lower than first quarter 2025 primarily attributed to adjustments to pipeline flows</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Deliveries to power generation facilities averaged 1.2 Bcf/d in first quarter 2026, in line with first quarter 2025</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Bruce Power achieved 88.2 per cent availability in first quarter 2026, primarily reflecting a planned outage on Unit 8</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rPr>
        <w:t xml:space="preserve">Cogeneration power plant fleet achieved 99.5 per cent availability in first quarter 2026. </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Project Highlights</w:t>
      </w:r>
    </w:p>
    <w:p>
      <w:pPr>
        <w:pStyle w:val="TextBody"/>
        <w:bidi w:val="0"/>
        <w:spacing w:lineRule="auto" w:line="348" w:before="0" w:after="0"/>
        <w:ind w:left="0" w:right="0" w:hanging="180"/>
        <w:jc w:val="left"/>
        <w:rPr/>
      </w:pPr>
      <w:r>
        <w:rPr>
          <w:color w:val="000000"/>
        </w:rPr>
        <w:t>•</w:t>
      </w:r>
      <w:r>
        <w:rPr>
          <w:rFonts w:ascii="sans-serif" w:hAnsi="sans-serif"/>
          <w:b/>
          <w:color w:val="000000"/>
          <w:sz w:val="20"/>
          <w:shd w:fill="FFFFFF" w:val="clear"/>
        </w:rPr>
        <w:t>Approved the Ap</w:t>
      </w:r>
      <w:r>
        <w:rPr>
          <w:rFonts w:ascii="sans-serif" w:hAnsi="sans-serif"/>
          <w:b/>
          <w:color w:val="000000"/>
          <w:sz w:val="20"/>
        </w:rPr>
        <w:t xml:space="preserve">palachia Supply Project </w:t>
      </w:r>
      <w:r>
        <w:rPr>
          <w:rFonts w:ascii="sans-serif" w:hAnsi="sans-serif"/>
          <w:b w:val="false"/>
          <w:color w:val="000000"/>
          <w:sz w:val="20"/>
        </w:rPr>
        <w:t xml:space="preserve">with an expected </w:t>
      </w:r>
      <w:r>
        <w:rPr>
          <w:rFonts w:ascii="sans-serif" w:hAnsi="sans-serif"/>
          <w:b w:val="false"/>
          <w:color w:val="000000"/>
          <w:sz w:val="20"/>
          <w:shd w:fill="FFFFFF" w:val="clear"/>
        </w:rPr>
        <w:t>build multiple</w:t>
      </w:r>
      <w:r>
        <w:rPr>
          <w:rFonts w:ascii="sans-serif" w:hAnsi="sans-serif"/>
          <w:b w:val="false"/>
          <w:color w:val="000000"/>
          <w:sz w:val="13"/>
          <w:shd w:fill="FFFFFF" w:val="clear"/>
        </w:rPr>
        <w:t>1</w:t>
      </w:r>
      <w:r>
        <w:rPr>
          <w:color w:val="000000"/>
          <w:shd w:fill="FFFFFF" w:val="clear"/>
        </w:rPr>
        <w:t xml:space="preserve"> </w:t>
      </w:r>
      <w:r>
        <w:rPr>
          <w:rFonts w:ascii="sans-serif" w:hAnsi="sans-serif"/>
          <w:b w:val="false"/>
          <w:color w:val="000000"/>
          <w:sz w:val="20"/>
          <w:shd w:fill="FFFFFF" w:val="clear"/>
        </w:rPr>
        <w:t xml:space="preserve">of 7.3x: </w:t>
      </w:r>
      <w:r>
        <w:rPr>
          <w:rFonts w:ascii="sans-serif" w:hAnsi="sans-serif"/>
          <w:b w:val="false"/>
          <w:color w:val="000000"/>
          <w:sz w:val="20"/>
        </w:rPr>
        <w:t>an expansion project of our Columbia Gas system designed to provide up to 0.8 Bcf/d of capacity to facilitate expanded new natural gas-fired power generation. The project has an anticipated in-service date of 2030 and an estimated project cost of approximately US$1.5 billion.</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Coastal GasLink Limited Partnership (Coastal GasLink LP) entered into commercial agreements with LNG Canada</w:t>
      </w:r>
      <w:r>
        <w:rPr>
          <w:rFonts w:ascii="sans-serif" w:hAnsi="sans-serif"/>
          <w:b w:val="false"/>
          <w:color w:val="000000"/>
          <w:sz w:val="20"/>
        </w:rPr>
        <w:t>, establishing a framework for advancing a proposed CGL Phase 2 Expansion. The commercial structure of the agreements includes limits on CGL’s capital commitments and overall liability for construction cost and schedule risks.</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 xml:space="preserve">Reached settlement agreements with customers on Canadian Mainline, ANR and Great Lakes: </w:t>
      </w:r>
    </w:p>
    <w:p>
      <w:pPr>
        <w:pStyle w:val="TextBody"/>
        <w:bidi w:val="0"/>
        <w:spacing w:lineRule="auto" w:line="348" w:before="0" w:after="0"/>
        <w:ind w:left="0" w:right="0" w:hanging="180"/>
        <w:jc w:val="left"/>
        <w:rPr/>
      </w:pPr>
      <w:r>
        <w:rPr>
          <w:color w:val="000000"/>
          <w:shd w:fill="FFFFFF" w:val="clear"/>
        </w:rPr>
        <w:t>◦</w:t>
      </w:r>
      <w:r>
        <w:rPr>
          <w:rFonts w:ascii="sans-serif" w:hAnsi="sans-serif"/>
          <w:b/>
          <w:color w:val="000000"/>
          <w:sz w:val="20"/>
          <w:shd w:fill="FFFFFF" w:val="clear"/>
        </w:rPr>
        <w:t>Canadian Mainline</w:t>
      </w:r>
      <w:r>
        <w:rPr>
          <w:rFonts w:ascii="sans-serif" w:hAnsi="sans-serif"/>
          <w:b w:val="false"/>
          <w:color w:val="000000"/>
          <w:sz w:val="20"/>
          <w:shd w:fill="FFFFFF" w:val="clear"/>
        </w:rPr>
        <w:t>: filed an application with the Canada Energy Regulator seeking approval of a four</w:t>
        <w:noBreakHyphen/>
        <w:t>year negotiated settlement for the period from January 2027 through December 2030. The proposed settlement maintains a return on equity of 10.1 per cent on 40 per cent deemed common equity and includes an incentive mechanism which provides the ability to outperform the approved rate of return. In addition, TC Energy has committed up to $200 million of capital to support incremental capacity, with targeted returns that exceed the approved return on equity.</w:t>
      </w:r>
    </w:p>
    <w:p>
      <w:pPr>
        <w:pStyle w:val="TextBody"/>
        <w:bidi w:val="0"/>
        <w:spacing w:lineRule="auto" w:line="348" w:before="0" w:after="0"/>
        <w:ind w:left="0" w:right="0" w:hanging="180"/>
        <w:jc w:val="left"/>
        <w:rPr/>
      </w:pPr>
      <w:r>
        <w:rPr>
          <w:color w:val="000000"/>
          <w:shd w:fill="FFFFFF" w:val="clear"/>
        </w:rPr>
        <w:t>◦</w:t>
      </w:r>
      <w:r>
        <w:rPr>
          <w:rFonts w:ascii="sans-serif" w:hAnsi="sans-serif"/>
          <w:b/>
          <w:color w:val="000000"/>
          <w:sz w:val="20"/>
          <w:shd w:fill="FFFFFF" w:val="clear"/>
        </w:rPr>
        <w:t>ANR:</w:t>
      </w:r>
      <w:r>
        <w:rPr>
          <w:color w:val="000000"/>
          <w:shd w:fill="FFFFFF" w:val="clear"/>
        </w:rPr>
        <w:t xml:space="preserve"> </w:t>
      </w:r>
      <w:r>
        <w:rPr>
          <w:rFonts w:ascii="sans-serif" w:hAnsi="sans-serif"/>
          <w:b w:val="false"/>
          <w:color w:val="000000"/>
          <w:sz w:val="20"/>
          <w:shd w:fill="FFFFFF" w:val="clear"/>
        </w:rPr>
        <w:t>on Mar. 18, 2026, ANR notified FERC that it has reached a settlement-in-principle with its customers on the ANR Section 4 Rate Case. The final settlement is expected to include an increase relative to pre-filed rates, subject to revision following completion and approval of settlement terms, which is anticipated in third quarter 2026.</w:t>
      </w:r>
    </w:p>
    <w:p>
      <w:pPr>
        <w:pStyle w:val="TextBody"/>
        <w:bidi w:val="0"/>
        <w:spacing w:lineRule="auto" w:line="348" w:before="0" w:after="0"/>
        <w:ind w:left="0" w:right="0" w:hanging="180"/>
        <w:jc w:val="left"/>
        <w:rPr/>
      </w:pPr>
      <w:r>
        <w:rPr>
          <w:color w:val="000000"/>
          <w:shd w:fill="FFFFFF" w:val="clear"/>
        </w:rPr>
        <w:t>◦</w:t>
      </w:r>
      <w:r>
        <w:rPr>
          <w:rFonts w:ascii="sans-serif" w:hAnsi="sans-serif"/>
          <w:b/>
          <w:color w:val="000000"/>
          <w:sz w:val="20"/>
          <w:shd w:fill="FFFFFF" w:val="clear"/>
        </w:rPr>
        <w:t xml:space="preserve">Great Lakes: </w:t>
      </w:r>
      <w:r>
        <w:rPr>
          <w:rFonts w:ascii="sans-serif" w:hAnsi="sans-serif"/>
          <w:b w:val="false"/>
          <w:color w:val="000000"/>
          <w:sz w:val="20"/>
          <w:shd w:fill="FFFFFF" w:val="clear"/>
        </w:rPr>
        <w:t>o</w:t>
      </w:r>
      <w:r>
        <w:rPr>
          <w:rFonts w:ascii="sans-serif" w:hAnsi="sans-serif"/>
          <w:b w:val="false"/>
          <w:color w:val="000000"/>
          <w:sz w:val="20"/>
        </w:rPr>
        <w:t>n April 28, 2026, Great Lakes notified FERC that it has reached a settlement-in-principle with its customers, subject to revision following completion and approval of settlement terms, which we anticipate in fourth quarter 2026.</w:t>
      </w:r>
    </w:p>
    <w:p>
      <w:pPr>
        <w:pStyle w:val="TextBody"/>
        <w:bidi w:val="0"/>
        <w:spacing w:lineRule="auto" w:line="348" w:before="0" w:after="0"/>
        <w:ind w:left="0" w:right="0" w:hanging="180"/>
        <w:jc w:val="left"/>
        <w:rPr/>
      </w:pPr>
      <w:r>
        <w:rPr>
          <w:color w:val="000000"/>
        </w:rPr>
        <w:t>•</w:t>
      </w:r>
      <w:r>
        <w:rPr>
          <w:rFonts w:ascii="sans-serif" w:hAnsi="sans-serif"/>
          <w:b/>
          <w:color w:val="000000"/>
          <w:sz w:val="20"/>
        </w:rPr>
        <w:t xml:space="preserve">Advanced key projects and placed projects into service: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shd w:fill="FFFFFF" w:val="clear"/>
        </w:rPr>
        <w:t xml:space="preserve">Placed $0.4 billion of capacity projects in service on the NGTL System, including $0.1 billion of Multi-Year Growth (MYGP) projects </w:t>
      </w:r>
    </w:p>
    <w:p>
      <w:pPr>
        <w:pStyle w:val="TextBody"/>
        <w:bidi w:val="0"/>
        <w:spacing w:lineRule="auto" w:line="348" w:before="0" w:after="0"/>
        <w:ind w:left="0" w:right="0" w:hanging="180"/>
        <w:jc w:val="left"/>
        <w:rPr/>
      </w:pPr>
      <w:r>
        <w:rPr>
          <w:color w:val="000000"/>
        </w:rPr>
        <w:t>▪</w:t>
      </w:r>
      <w:r>
        <w:rPr>
          <w:rFonts w:ascii="sans-serif" w:hAnsi="sans-serif"/>
          <w:b w:val="false"/>
          <w:color w:val="000000"/>
          <w:sz w:val="20"/>
          <w:shd w:fill="FFFFFF" w:val="clear"/>
        </w:rPr>
        <w:t>Completed construction of the Berland River non</w:t>
        <w:noBreakHyphen/>
        <w:t>emitting electric compressor unit on the Valhalla North and Berland River project with a capital cost of approximately $0.3 billion. The unit is expected to be operational in the second half of 2026.</w:t>
      </w:r>
    </w:p>
    <w:p>
      <w:pPr>
        <w:pStyle w:val="TextBody"/>
        <w:bidi w:val="0"/>
        <w:spacing w:before="0" w:after="0"/>
        <w:ind w:left="0" w:right="0" w:hanging="180"/>
        <w:jc w:val="left"/>
        <w:rPr/>
      </w:pPr>
      <w:r>
        <w:rPr/>
      </w:r>
    </w:p>
    <w:p>
      <w:pPr>
        <w:pStyle w:val="TextBody"/>
        <w:bidi w:val="0"/>
        <w:spacing w:lineRule="auto" w:line="348" w:before="0" w:after="100"/>
        <w:jc w:val="left"/>
        <w:rPr/>
      </w:pPr>
      <w:r>
        <w:rPr>
          <w:rFonts w:ascii="sans-serif" w:hAnsi="sans-serif"/>
          <w:b w:val="false"/>
          <w:color w:val="000000"/>
          <w:sz w:val="13"/>
        </w:rPr>
        <w:t>1</w:t>
      </w:r>
      <w:r>
        <w:rPr>
          <w:color w:val="000000"/>
        </w:rPr>
        <w:t xml:space="preserve"> </w:t>
      </w:r>
      <w:r>
        <w:rPr>
          <w:rFonts w:ascii="sans-serif" w:hAnsi="sans-serif"/>
          <w:b w:val="false"/>
          <w:color w:val="000000"/>
          <w:sz w:val="16"/>
        </w:rPr>
        <w:t>Build multiple is a non-GAAP ratio calculated by dividing capital expenditures by comparable EBITDA. Please note our method for calculating build multiple may differ from methods used by other entities. Therefore, it may not be comparable to similar measures presented by other entities. For more information on non-GAAP measures and the supplementary financial measure, refer to the Non-GAAP and Supplementary financial measure section of this news release.</w:t>
      </w:r>
    </w:p>
    <w:p>
      <w:pPr>
        <w:pStyle w:val="TextBody"/>
        <w:bidi w:val="0"/>
        <w:spacing w:before="0" w:after="10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96"/>
        <w:gridCol w:w="1982"/>
        <w:gridCol w:w="1988"/>
        <w:gridCol w:w="109"/>
        <w:gridCol w:w="109"/>
        <w:gridCol w:w="109"/>
        <w:gridCol w:w="109"/>
        <w:gridCol w:w="109"/>
        <w:gridCol w:w="381"/>
        <w:gridCol w:w="381"/>
        <w:gridCol w:w="452"/>
        <w:gridCol w:w="399"/>
        <w:gridCol w:w="382"/>
        <w:gridCol w:w="109"/>
        <w:gridCol w:w="109"/>
        <w:gridCol w:w="109"/>
        <w:gridCol w:w="353"/>
        <w:gridCol w:w="353"/>
        <w:gridCol w:w="266"/>
      </w:tblGrid>
      <w:tr>
        <w:trPr/>
        <w:tc>
          <w:tcPr>
            <w:tcW w:w="239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9" w:type="dxa"/>
            <w:gridSpan w:val="6"/>
            <w:tcBorders/>
          </w:tcPr>
          <w:p>
            <w:pPr>
              <w:pStyle w:val="TableContents"/>
              <w:bidi w:val="0"/>
              <w:spacing w:before="0" w:after="283"/>
              <w:jc w:val="left"/>
              <w:rPr>
                <w:sz w:val="4"/>
                <w:szCs w:val="4"/>
              </w:rPr>
            </w:pPr>
            <w:r>
              <w:rPr>
                <w:sz w:val="4"/>
                <w:szCs w:val="4"/>
              </w:rPr>
            </w:r>
          </w:p>
        </w:tc>
      </w:tr>
      <w:tr>
        <w:trPr/>
        <w:tc>
          <w:tcPr>
            <w:tcW w:w="6366"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6366"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899</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978 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common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$0.86</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Segmented 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509</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1,075</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1,109 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389</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211 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201</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Total segmented earnings (losses)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2,171</w:t>
            </w:r>
            <w:r>
              <w:rPr>
                <w:color w:val="000000"/>
              </w:rPr>
              <w:t> </w:t>
            </w:r>
          </w:p>
        </w:tc>
        <w:tc>
          <w:tcPr>
            <w:tcW w:w="3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1,966 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Canadian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919</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890 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U.S.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1,497</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1,367 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Mexico Natural Gas Pipelines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432</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233 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Power and 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243</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224 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EBITDA</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3,088</w:t>
            </w:r>
            <w:r>
              <w:rPr>
                <w:color w:val="000000"/>
              </w:rPr>
              <w:t> </w:t>
            </w:r>
          </w:p>
        </w:tc>
        <w:tc>
          <w:tcPr>
            <w:tcW w:w="38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2,709 </w:t>
            </w:r>
          </w:p>
        </w:tc>
        <w:tc>
          <w:tcPr>
            <w:tcW w:w="26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(723)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(838)</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(840)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Allowance for funds used during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39</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248 </w:t>
            </w:r>
          </w:p>
        </w:tc>
        <w:tc>
          <w:tcPr>
            <w:tcW w:w="2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Foreign exchange gains (losses), net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w:t>
            </w:r>
            <w:r>
              <w:rPr>
                <w:color w:val="000000"/>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33</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Income tax (expense) recovery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(316)</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(292)</w:t>
            </w:r>
          </w:p>
        </w:tc>
        <w:tc>
          <w:tcPr>
            <w:tcW w:w="2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(income) loss attributable to non-controlling interests included in comparable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(225)</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(177)</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Preferred share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(28)</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(28)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1,031</w:t>
            </w:r>
            <w:r>
              <w:rPr>
                <w:color w:val="000000"/>
              </w:rPr>
              <w:t> </w:t>
            </w:r>
          </w:p>
        </w:tc>
        <w:tc>
          <w:tcPr>
            <w:tcW w:w="38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983 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Comparable earnings per common share</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$0.99</w:t>
            </w:r>
            <w:r>
              <w:rPr>
                <w:color w:val="000000"/>
              </w:rPr>
              <w:t> </w:t>
            </w:r>
          </w:p>
        </w:tc>
        <w:tc>
          <w:tcPr>
            <w:tcW w:w="38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$0.95 </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100"/>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tbl>
      <w:tblPr>
        <w:tblW w:w="8658" w:type="dxa"/>
        <w:jc w:val="left"/>
        <w:tblInd w:w="0" w:type="dxa"/>
        <w:tblLayout w:type="fixed"/>
        <w:tblCellMar>
          <w:top w:w="28" w:type="dxa"/>
          <w:left w:w="28" w:type="dxa"/>
          <w:bottom w:w="28" w:type="dxa"/>
          <w:right w:w="28" w:type="dxa"/>
        </w:tblCellMar>
      </w:tblPr>
      <w:tblGrid>
        <w:gridCol w:w="1633"/>
        <w:gridCol w:w="1438"/>
        <w:gridCol w:w="1443"/>
        <w:gridCol w:w="109"/>
        <w:gridCol w:w="109"/>
        <w:gridCol w:w="109"/>
        <w:gridCol w:w="109"/>
        <w:gridCol w:w="452"/>
        <w:gridCol w:w="452"/>
        <w:gridCol w:w="602"/>
        <w:gridCol w:w="452"/>
        <w:gridCol w:w="454"/>
        <w:gridCol w:w="109"/>
        <w:gridCol w:w="109"/>
        <w:gridCol w:w="109"/>
        <w:gridCol w:w="353"/>
        <w:gridCol w:w="353"/>
        <w:gridCol w:w="263"/>
      </w:tblGrid>
      <w:tr>
        <w:trPr/>
        <w:tc>
          <w:tcPr>
            <w:tcW w:w="16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gridSpan w:val="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 xml:space="preserve">three months ended </w:t>
              <w:br/>
              <w:t>March 31</w:t>
            </w:r>
          </w:p>
        </w:tc>
        <w:tc>
          <w:tcPr>
            <w:tcW w:w="1296" w:type="dxa"/>
            <w:gridSpan w:val="6"/>
            <w:tcBorders/>
          </w:tcPr>
          <w:p>
            <w:pPr>
              <w:pStyle w:val="TableContents"/>
              <w:bidi w:val="0"/>
              <w:spacing w:before="0" w:after="283"/>
              <w:jc w:val="left"/>
              <w:rPr>
                <w:sz w:val="4"/>
                <w:szCs w:val="4"/>
              </w:rPr>
            </w:pPr>
            <w:r>
              <w:rPr>
                <w:sz w:val="4"/>
                <w:szCs w:val="4"/>
              </w:rPr>
            </w:r>
          </w:p>
        </w:tc>
      </w:tr>
      <w:tr>
        <w:trPr/>
        <w:tc>
          <w:tcPr>
            <w:tcW w:w="4514" w:type="dxa"/>
            <w:gridSpan w:val="3"/>
            <w:tcBorders/>
            <w:shd w:fill="D1D0C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(millions of $, except per share amounts)</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08"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2026</w:t>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r>
      <w:tr>
        <w:trPr/>
        <w:tc>
          <w:tcPr>
            <w:tcW w:w="451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08"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Net cash provided by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2,603</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1,359 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funds generated from operations</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2,336</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1,949 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Capital spending</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1,307</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1,809 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$0.8775</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$0.85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color w:val="0D64EF"/>
                <w:sz w:val="18"/>
              </w:rPr>
              <w:t>Basic common shares outstanding</w:t>
            </w:r>
            <w:r>
              <w:rPr>
                <w:color w:val="000000"/>
              </w:rPr>
              <w:t xml:space="preserve"> </w:t>
            </w:r>
            <w:r>
              <w:rPr>
                <w:rFonts w:ascii="sans-serif" w:hAnsi="sans-serif"/>
                <w:b w:val="false"/>
                <w:color w:val="000000"/>
                <w:sz w:val="18"/>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weighted average 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64" w:before="0" w:after="283"/>
              <w:jc w:val="right"/>
              <w:rPr/>
            </w:pPr>
            <w:r>
              <w:rPr>
                <w:rFonts w:ascii="sans-serif" w:hAnsi="sans-serif"/>
                <w:b/>
                <w:color w:val="000000"/>
                <w:sz w:val="18"/>
              </w:rPr>
              <w:t>1,041</w:t>
            </w:r>
            <w:r>
              <w:rPr>
                <w:color w:val="000000"/>
              </w:rPr>
              <w:t>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1,039 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left"/>
              <w:rPr>
                <w:color w:val="000000"/>
              </w:rPr>
            </w:pPr>
            <w:r>
              <w:rPr>
                <w:color w:val="000000"/>
              </w:rPr>
              <w:t xml:space="preserve">– </w:t>
            </w:r>
            <w:r>
              <w:rPr>
                <w:rFonts w:ascii="sans-serif" w:hAnsi="sans-serif"/>
                <w:b w:val="false"/>
                <w:color w:val="000000"/>
                <w:sz w:val="18"/>
              </w:rPr>
              <w:t>issued and outstanding at end of period</w:t>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5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pPr>
            <w:r>
              <w:rPr>
                <w:rFonts w:ascii="sans-serif" w:hAnsi="sans-serif"/>
                <w:b/>
                <w:color w:val="000000"/>
                <w:sz w:val="18"/>
              </w:rPr>
              <w:t>1,042</w:t>
            </w:r>
            <w:r>
              <w:rPr>
                <w:color w:val="000000"/>
              </w:rPr>
              <w:t> </w:t>
            </w:r>
          </w:p>
        </w:tc>
        <w:tc>
          <w:tcPr>
            <w:tcW w:w="45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1,040 </w:t>
            </w:r>
          </w:p>
        </w:tc>
        <w:tc>
          <w:tcPr>
            <w:tcW w:w="26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1Comparable funds generated from operations is a non-GAAP measure used throughout this news release. This measure does not have any standardized meaning under GAAP and therefore is unlikely to be comparable to similar measures presented by other companies. The most directly comparable GAAP measure is net cash provided by operations. For more information on non-GAAP measures, refer to the Non-GAAP and Supplementary financial measure section of this news release.</w:t>
      </w:r>
    </w:p>
    <w:p>
      <w:pPr>
        <w:pStyle w:val="TextBody"/>
        <w:bidi w:val="0"/>
        <w:spacing w:lineRule="auto" w:line="348"/>
        <w:ind w:left="0" w:right="0" w:hanging="360"/>
        <w:jc w:val="left"/>
        <w:rPr>
          <w:rFonts w:ascii="sans-serif" w:hAnsi="sans-serif"/>
          <w:b w:val="false"/>
          <w:color w:val="000000"/>
          <w:sz w:val="16"/>
        </w:rPr>
      </w:pPr>
      <w:r>
        <w:rPr>
          <w:rFonts w:ascii="sans-serif" w:hAnsi="sans-serif"/>
          <w:b w:val="false"/>
          <w:color w:val="000000"/>
          <w:sz w:val="16"/>
        </w:rPr>
        <w:t>2Capital spending reflects cash flows associated with our Capital expenditures, Capital projects in development and Contributions to equity investments. Refer to Note 4, Segmented information of our Condensed consolidated financial statements for additional information.</w:t>
      </w:r>
    </w:p>
    <w:p>
      <w:pPr>
        <w:pStyle w:val="TextBody"/>
        <w:bidi w:val="0"/>
        <w:spacing w:before="0" w:after="10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CEO Message</w:t>
      </w:r>
    </w:p>
    <w:p>
      <w:pPr>
        <w:pStyle w:val="TextBody"/>
        <w:bidi w:val="0"/>
        <w:spacing w:lineRule="auto" w:line="348" w:before="0" w:after="100"/>
        <w:jc w:val="left"/>
        <w:rPr/>
      </w:pPr>
      <w:r>
        <w:rPr>
          <w:rFonts w:ascii="sans-serif" w:hAnsi="sans-serif"/>
          <w:b w:val="false"/>
          <w:color w:val="000000"/>
          <w:sz w:val="20"/>
        </w:rPr>
        <w:t xml:space="preserve">Throughout the first quarter of 2026, TC Energy continued to build on momentum and demonstrate strong execution against a clear set of strategic priorities. Our unwavering focus on safety and operational excellence continues to support the availability and reliability of our assets that continue to drive strong operational and financial results. For the three months ended Mar. 31, 2026, </w:t>
      </w:r>
      <w:r>
        <w:rPr>
          <w:rFonts w:ascii="sans-serif" w:hAnsi="sans-serif"/>
          <w:b/>
          <w:color w:val="000000"/>
          <w:sz w:val="20"/>
        </w:rPr>
        <w:t>comparable EBITDA increased 14 per cent and segmented earnings increased 10 per cent compared to first quarter 2025</w:t>
      </w:r>
      <w:r>
        <w:rPr>
          <w:rFonts w:ascii="sans-serif" w:hAnsi="sans-serif"/>
          <w:b w:val="false"/>
          <w:color w:val="000000"/>
          <w:sz w:val="20"/>
        </w:rPr>
        <w:t xml:space="preserve">. Our consistent results reinforce the strength and resilience of our low-risk business model and our ability to deliver solid growth and repeatable performance despite ongoing macroeconomic volatility. Additionally, during Winter Storm Fern, our team continued to deliver exceptional reliability that contributed in part to the seven delivery records we achieved on our system during the quarter. We remain focused on maximizing the value of our assets through safety and operational excellence, executing our selective portfolio of growth projects, and ensuring financial strength and agility. </w:t>
      </w:r>
    </w:p>
    <w:p>
      <w:pPr>
        <w:pStyle w:val="TextBody"/>
        <w:bidi w:val="0"/>
        <w:spacing w:lineRule="auto" w:line="348" w:before="0" w:after="100"/>
        <w:jc w:val="left"/>
        <w:rPr/>
      </w:pPr>
      <w:r>
        <w:rPr>
          <w:rFonts w:ascii="sans-serif" w:hAnsi="sans-serif"/>
          <w:b w:val="false"/>
          <w:color w:val="000000"/>
          <w:sz w:val="20"/>
        </w:rPr>
        <w:t>Sustained growth in natural gas and power demand in the U.S. continues to translate into attractive investment opportunities across our diversified portfolio. Consistent with our capital allocation priorities, we have announced a strategic expansion project on our Columbia Gas system that reinforces visibility to incremental growth into the next decade. The US$1.5 billion</w:t>
      </w:r>
      <w:r>
        <w:rPr>
          <w:color w:val="000000"/>
        </w:rPr>
        <w:t xml:space="preserve"> </w:t>
      </w:r>
      <w:r>
        <w:rPr>
          <w:rFonts w:ascii="sans-serif" w:hAnsi="sans-serif"/>
          <w:b/>
          <w:color w:val="000000"/>
          <w:sz w:val="20"/>
        </w:rPr>
        <w:t>Appalachia Supply Project</w:t>
      </w:r>
      <w:r>
        <w:rPr>
          <w:color w:val="000000"/>
        </w:rPr>
        <w:t xml:space="preserve"> </w:t>
      </w:r>
      <w:r>
        <w:rPr>
          <w:rFonts w:ascii="sans-serif" w:hAnsi="sans-serif"/>
          <w:b w:val="false"/>
          <w:color w:val="000000"/>
          <w:sz w:val="20"/>
        </w:rPr>
        <w:t>on our Columbia Gas system extends our reach into a corridor that serves multiple high</w:t>
        <w:noBreakHyphen/>
        <w:t>growth power and industrial markets. The expansion project is supported by a 20</w:t>
        <w:noBreakHyphen/>
        <w:t>year take</w:t>
        <w:noBreakHyphen/>
        <w:t>or</w:t>
        <w:noBreakHyphen/>
        <w:t>pay contract backed by an investment</w:t>
        <w:noBreakHyphen/>
        <w:t>grade utility and is expected to deliver a 7.3x build multiple. The project is designed to provide up to 0.8 Bcf/d of capacity to facilitate expanded new natural gas-fired power generation and has an anticipated in-service date in 2030. The project is capable of up to 2.0 Bcf/d through future expansions, creating additional opportunities to pursue capital</w:t>
        <w:noBreakHyphen/>
        <w:t>efficient, high</w:t>
        <w:noBreakHyphen/>
        <w:t>value growth projects as diversified demand from electrification, economic development, and data centres is anticipated to accelerate long</w:t>
        <w:noBreakHyphen/>
        <w:t>duration load growth in the U.S. Heartland market. The project represents a deliberate investment in a strategic, high</w:t>
        <w:noBreakHyphen/>
        <w:t>growth corridor that further strengthens the long</w:t>
        <w:noBreakHyphen/>
        <w:t>term competitive positioning of the Columbia Gas Transmission system and establishes a durable platform for repeatable value creation into the next decade.</w:t>
      </w:r>
    </w:p>
    <w:p>
      <w:pPr>
        <w:pStyle w:val="TextBody"/>
        <w:bidi w:val="0"/>
        <w:spacing w:lineRule="auto" w:line="348" w:before="0" w:after="100"/>
        <w:jc w:val="left"/>
        <w:rPr/>
      </w:pPr>
      <w:r>
        <w:rPr>
          <w:rFonts w:ascii="sans-serif" w:hAnsi="sans-serif"/>
          <w:b w:val="false"/>
          <w:color w:val="000000"/>
          <w:sz w:val="20"/>
        </w:rPr>
        <w:t xml:space="preserve">Supported by strong customer demand, on Feb. 9, 2026, we launched a non-binding expansion project open season on our Crossroads Pipeline system for up to 1.5 Bcf/d of capacity to serve growing markets in Northern Indiana, Illinois, Iowa, and South Dakota. </w:t>
      </w:r>
      <w:r>
        <w:rPr>
          <w:rFonts w:ascii="sans-serif" w:hAnsi="sans-serif"/>
          <w:b/>
          <w:color w:val="000000"/>
          <w:sz w:val="20"/>
        </w:rPr>
        <w:t>The open season was 2.5 times oversubscribed</w:t>
      </w:r>
      <w:r>
        <w:rPr>
          <w:rFonts w:ascii="sans-serif" w:hAnsi="sans-serif"/>
          <w:b w:val="false"/>
          <w:color w:val="000000"/>
          <w:sz w:val="20"/>
        </w:rPr>
        <w:t>, reflecting the asset’s unique connectivity and bi-directional flexibility. By linking multiple major pipeline systems, the Crossroads pipeline is well positioned to support the anticipated substantial growth in Midwest power demand, and our established footprint enables capital</w:t>
        <w:noBreakHyphen/>
        <w:t>efficient expansion and reduced execution risk. The Crossroads open season builds off the momentum of the non-binding expansion project open season on our Columbia Gas Transmission system that closed on Jan. 9 , 2026 and received bids at three times the proposed project capacity. These developments illustrate how connectivity between our systems enables highly competitive pathways from premium supply to high</w:t>
        <w:noBreakHyphen/>
        <w:t xml:space="preserve">quality demand markets and reinforces the value and scalability of our integrated footprint. </w:t>
      </w:r>
    </w:p>
    <w:p>
      <w:pPr>
        <w:pStyle w:val="TextBody"/>
        <w:bidi w:val="0"/>
        <w:spacing w:lineRule="auto" w:line="348" w:before="0" w:after="100"/>
        <w:jc w:val="left"/>
        <w:rPr/>
      </w:pPr>
      <w:r>
        <w:rPr>
          <w:rFonts w:ascii="sans-serif" w:hAnsi="sans-serif"/>
          <w:b w:val="false"/>
          <w:color w:val="000000"/>
          <w:sz w:val="20"/>
        </w:rPr>
        <w:t>Broader market dynamics, including volatility and structural change in the global LNG market, continue to underscore our role as a critical conduit for North American supply to global markets. As the only company serving every major LNG export shoreline in North America, transporting approximately 30 per cent of feedgas bound for export, we continue to see strong demand across our system. Deliveries to U.S. LNG facilities increased 12 per cent year</w:t>
        <w:noBreakHyphen/>
        <w:t>over</w:t>
        <w:noBreakHyphen/>
        <w:t xml:space="preserve">year, averaging 3.9 Bcf/d in the first quarter 2026. Against this backdrop, we reached an important milestone as </w:t>
      </w:r>
      <w:r>
        <w:rPr>
          <w:rFonts w:ascii="sans-serif" w:hAnsi="sans-serif"/>
          <w:b/>
          <w:color w:val="000000"/>
          <w:sz w:val="20"/>
        </w:rPr>
        <w:t>Coastal GasLink LP entered into commercial agreements with LNG Canada</w:t>
      </w:r>
      <w:r>
        <w:rPr>
          <w:rFonts w:ascii="sans-serif" w:hAnsi="sans-serif"/>
          <w:b w:val="false"/>
          <w:color w:val="000000"/>
          <w:sz w:val="20"/>
        </w:rPr>
        <w:t xml:space="preserve">, </w:t>
      </w:r>
      <w:r>
        <w:rPr>
          <w:rFonts w:ascii="sans-serif" w:hAnsi="sans-serif"/>
          <w:b/>
          <w:color w:val="000000"/>
          <w:sz w:val="20"/>
        </w:rPr>
        <w:t>establishing a framework to advance a proposed</w:t>
      </w:r>
      <w:r>
        <w:rPr>
          <w:color w:val="000000"/>
        </w:rPr>
        <w:t xml:space="preserve"> </w:t>
      </w:r>
      <w:r>
        <w:rPr>
          <w:rFonts w:ascii="sans-serif" w:hAnsi="sans-serif"/>
          <w:b/>
          <w:color w:val="000000"/>
          <w:sz w:val="20"/>
        </w:rPr>
        <w:t>CGL Phase 2 Expansion</w:t>
      </w:r>
      <w:r>
        <w:rPr>
          <w:rFonts w:ascii="sans-serif" w:hAnsi="sans-serif"/>
          <w:b w:val="false"/>
          <w:color w:val="000000"/>
          <w:sz w:val="20"/>
        </w:rPr>
        <w:t xml:space="preserve">. The commercial structure of the agreements includes limits on CGL’s capital commitments and overall liability for construction cost and schedule risks, reflecting our disciplined approach to risk allocation as we advance critical infrastructure projects across North America. </w:t>
      </w:r>
    </w:p>
    <w:p>
      <w:pPr>
        <w:pStyle w:val="TextBody"/>
        <w:bidi w:val="0"/>
        <w:spacing w:lineRule="auto" w:line="348" w:before="0" w:after="100"/>
        <w:jc w:val="left"/>
        <w:rPr/>
      </w:pPr>
      <w:r>
        <w:rPr>
          <w:rFonts w:ascii="sans-serif" w:hAnsi="sans-serif"/>
          <w:b w:val="false"/>
          <w:color w:val="000000"/>
          <w:sz w:val="20"/>
        </w:rPr>
        <w:t xml:space="preserve">In both Canada and the U.S., we made meaningful progress </w:t>
      </w:r>
      <w:r>
        <w:rPr>
          <w:rFonts w:ascii="sans-serif" w:hAnsi="sans-serif"/>
          <w:b/>
          <w:color w:val="000000"/>
          <w:sz w:val="20"/>
        </w:rPr>
        <w:t>reaching settlement agreements with customers on the Canadian Mainline, ANR and Great Lakes</w:t>
      </w:r>
      <w:r>
        <w:rPr>
          <w:rFonts w:ascii="sans-serif" w:hAnsi="sans-serif"/>
          <w:b w:val="false"/>
          <w:color w:val="000000"/>
          <w:sz w:val="20"/>
        </w:rPr>
        <w:t>. On the Canadian Mainline, we filed an application with the CER seeking approval of a four</w:t>
        <w:noBreakHyphen/>
        <w:t xml:space="preserve">year negotiated settlement covering the period from January 2027 through December 2030, maintaining a return on equity of 10.1 per cent on 40 per cent deemed common equity, with an incentive mechanism designed to encourage cost management and revenue optimization and provides the opportunity to outperform the approved rate of return. In addition, TC Energy has committed up to $200 million of capital to support incremental capacity, with targeted returns that exceed the </w:t>
      </w:r>
    </w:p>
    <w:p>
      <w:pPr>
        <w:pStyle w:val="TextBody"/>
        <w:bidi w:val="0"/>
        <w:spacing w:before="0" w:after="10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approved return on equity. On ANR, we reached a settlement</w:t>
        <w:noBreakHyphen/>
        <w:t>in</w:t>
        <w:noBreakHyphen/>
        <w:t>principle with customers in the Section 4 rate case, which is expected to include an increase relative to pre-filed rates, subject to revision following completion and approval of settlement terms, which we anticipate in third quarter of 2026. On Great Lakes, we reached a settlement-in-principle with customers, subject to revision following completion and approval of settlement terms, which we anticipate in fourth quarter 2026. Together, these developments reinforce the stability and long</w:t>
        <w:noBreakHyphen/>
        <w:t>term strength of our regulated earnings profile.</w:t>
      </w:r>
    </w:p>
    <w:p>
      <w:pPr>
        <w:pStyle w:val="TextBody"/>
        <w:bidi w:val="0"/>
        <w:spacing w:lineRule="auto" w:line="348" w:before="0" w:after="100"/>
        <w:jc w:val="left"/>
        <w:rPr/>
      </w:pPr>
      <w:r>
        <w:rPr>
          <w:rFonts w:ascii="sans-serif" w:hAnsi="sans-serif"/>
          <w:b/>
          <w:color w:val="000000"/>
          <w:sz w:val="20"/>
        </w:rPr>
        <w:t xml:space="preserve">Execution remained strong across the portfolio. </w:t>
      </w:r>
      <w:r>
        <w:rPr>
          <w:rFonts w:ascii="sans-serif" w:hAnsi="sans-serif"/>
          <w:b w:val="false"/>
          <w:color w:val="000000"/>
          <w:sz w:val="20"/>
        </w:rPr>
        <w:t>During the quarter, we placed approximately $0.4 billion of capacity projects into service on the NGTL System, including $0.1 billion of MYGP projects, on time and on budget. We completed construction of the approximately $0.3 billion Berland River unit, a non</w:t>
        <w:noBreakHyphen/>
        <w:t xml:space="preserve">emitting electric compressor on the Valhalla North and Berland River project which is expected to be operational in the second half of 2026. At Bruce Power, we continue to track to cost and schedule on the Major Component Replacement (MCR) Unit 3 and 4. </w:t>
      </w:r>
    </w:p>
    <w:p>
      <w:pPr>
        <w:pStyle w:val="TextBody"/>
        <w:bidi w:val="0"/>
        <w:spacing w:lineRule="auto" w:line="348" w:before="0" w:after="100"/>
        <w:jc w:val="left"/>
        <w:rPr/>
      </w:pPr>
      <w:r>
        <w:rPr>
          <w:rFonts w:ascii="sans-serif" w:hAnsi="sans-serif"/>
          <w:b w:val="false"/>
          <w:color w:val="000000"/>
          <w:sz w:val="20"/>
        </w:rPr>
        <w:t xml:space="preserve">Disciplined execution and prudent capital spending continue to strengthen the balance sheet and advance our strategic priorities, while keeping us </w:t>
      </w:r>
      <w:r>
        <w:rPr>
          <w:rFonts w:ascii="sans-serif" w:hAnsi="sans-serif"/>
          <w:b/>
          <w:color w:val="000000"/>
          <w:sz w:val="20"/>
        </w:rPr>
        <w:t>on track to achieve our long</w:t>
        <w:noBreakHyphen/>
        <w:t>term target of 4.75x debt-to-EBITDA.</w:t>
      </w:r>
      <w:r>
        <w:rPr>
          <w:rFonts w:ascii="sans-serif" w:hAnsi="sans-serif"/>
          <w:b w:val="false"/>
          <w:color w:val="000000"/>
          <w:sz w:val="13"/>
        </w:rPr>
        <w:t>1</w:t>
      </w:r>
      <w:r>
        <w:rPr>
          <w:color w:val="000000"/>
        </w:rPr>
        <w:t xml:space="preserve"> </w:t>
      </w:r>
      <w:r>
        <w:rPr>
          <w:rFonts w:ascii="sans-serif" w:hAnsi="sans-serif"/>
          <w:b w:val="false"/>
          <w:color w:val="000000"/>
          <w:sz w:val="20"/>
        </w:rPr>
        <w:t>Together, these milestones reflect the strength and resilience of our asset base, our ability to execute reliably at scale, and our focused, capital</w:t>
        <w:noBreakHyphen/>
        <w:t>efficient approach to growth that enhances long</w:t>
        <w:noBreakHyphen/>
        <w:t>term value for TC Energy shareholders.</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Dividends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TC Energy’s Board of Directors declared a quarterly dividend of $0.8775 per common share for the quarter ending June 30, 2026, equivalent to $3.51 on an annualized basis. The common share dividend is payable on July 31, 2026, to shareholders of record at the close of business on June 30, 2026.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The Board of Directors also declared dividends on the outstanding Cumulative First Preferred Shares (preferred shares). Information related to the preferred shares dividends are available on our website under TC Energy – Shareholder Information.</w:t>
      </w:r>
    </w:p>
    <w:p>
      <w:pPr>
        <w:pStyle w:val="TextBody"/>
        <w:bidi w:val="0"/>
        <w:spacing w:lineRule="auto" w:line="348" w:before="0" w:after="100"/>
        <w:jc w:val="left"/>
        <w:rPr/>
      </w:pPr>
      <w:r>
        <w:rPr>
          <w:rFonts w:ascii="sans-serif" w:hAnsi="sans-serif"/>
          <w:b w:val="false"/>
          <w:color w:val="000000"/>
          <w:sz w:val="13"/>
        </w:rPr>
        <w:t>1</w:t>
      </w:r>
      <w:r>
        <w:rPr>
          <w:color w:val="000000"/>
        </w:rPr>
        <w:t xml:space="preserve"> </w:t>
      </w:r>
      <w:r>
        <w:rPr>
          <w:rFonts w:ascii="sans-serif" w:hAnsi="sans-serif"/>
          <w:b w:val="false"/>
          <w:color w:val="000000"/>
          <w:sz w:val="16"/>
        </w:rPr>
        <w:t>Debt-to-EBITDA is a non-GAAP ratio. Adjusted debt and adjusted comparable EBITDA are non-GAAP measures used to calculate debt-to-EBITDA. For more information on non-GAAP measures, refer to the non-GAAP measures of this news release. These measures do not have any standardized meaning under GAAP and therefore are unlikely to be comparable to similar measures presented by other companies.</w:t>
      </w:r>
    </w:p>
    <w:p>
      <w:pPr>
        <w:pStyle w:val="TextBody"/>
        <w:bidi w:val="0"/>
        <w:spacing w:before="0" w:after="10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Teleconference and Webcast</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will hold a teleconference and webcast on Friday, May 1 at 6:30 a.m. (MT) / 8:30 a.m. (ET) to discuss our first quarter 2026 financial results. Presenters will include François Poirier, President and Chief Executive Officer; Sean O'Donnell, Executive Vice-President and Chief Financial Officer; and other members of the executive leadership team.</w:t>
      </w:r>
    </w:p>
    <w:p>
      <w:pPr>
        <w:pStyle w:val="TextBody"/>
        <w:bidi w:val="0"/>
        <w:spacing w:lineRule="auto" w:line="348" w:before="0" w:after="100"/>
        <w:jc w:val="left"/>
        <w:rPr/>
      </w:pPr>
      <w:r>
        <w:rPr>
          <w:rFonts w:ascii="sans-serif" w:hAnsi="sans-serif"/>
          <w:b w:val="false"/>
          <w:color w:val="000000"/>
          <w:sz w:val="20"/>
        </w:rPr>
        <w:t xml:space="preserve">Members of the investment community and other interested parties are invited to participate by calling </w:t>
      </w:r>
      <w:r>
        <w:rPr>
          <w:rFonts w:ascii="sans-serif" w:hAnsi="sans-serif"/>
          <w:b/>
          <w:color w:val="000000"/>
          <w:sz w:val="20"/>
        </w:rPr>
        <w:t>1-833-752-3826 (Canada/U.S. toll free) or 1-647-846-8864 (International toll)</w:t>
      </w:r>
      <w:r>
        <w:rPr>
          <w:rFonts w:ascii="sans-serif" w:hAnsi="sans-serif"/>
          <w:b w:val="false"/>
          <w:color w:val="000000"/>
          <w:sz w:val="20"/>
        </w:rPr>
        <w:t xml:space="preserve">. No passcode is required. Please dial in 15 minutes prior to the start of the call. Alternatively, participants may pre-register for the call here. Upon registering, you will receive a calendar booking by email with dial in details and a unique PIN. This process will bypass the operator and avoid the queue. Registration will remain open until the end of the conference call.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 xml:space="preserve">A live webcast of the teleconference will be available on TC Energy's website at TC Energy — Events and presentations or via the following URL: https://www.gowebcasting.com/14393. The webcast will be available for replay following the meeting.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A replay of the teleconference will be available two hours after the conclusion of the call until midnight ET on Friday, May 8, 2026. Please call 1-855-669-9658 (Canada/U.S. toll free) or 1-412-317-0088 (International toll) and enter passcode 4884355.</w:t>
      </w:r>
    </w:p>
    <w:p>
      <w:pPr>
        <w:pStyle w:val="TextBody"/>
        <w:bidi w:val="0"/>
        <w:spacing w:lineRule="auto" w:line="348" w:before="0" w:after="100"/>
        <w:jc w:val="left"/>
        <w:rPr/>
      </w:pPr>
      <w:r>
        <w:rPr>
          <w:rFonts w:ascii="sans-serif" w:hAnsi="sans-serif"/>
          <w:b/>
          <w:color w:val="000000"/>
          <w:sz w:val="20"/>
        </w:rPr>
        <w:t>The unaudited interim Condensed consolidated financial statements and Management’s Discussion and Analysis (MD&amp;A) are available on our website at www.TCEnergy.com and will be filed today under TC Energy's profile on SEDAR+ at www.sedarplus.ca</w:t>
      </w:r>
      <w:r>
        <w:rPr>
          <w:color w:val="000000"/>
        </w:rPr>
        <w:t xml:space="preserve"> </w:t>
      </w:r>
      <w:r>
        <w:rPr>
          <w:rFonts w:ascii="sans-serif" w:hAnsi="sans-serif"/>
          <w:b/>
          <w:color w:val="000000"/>
          <w:sz w:val="20"/>
        </w:rPr>
        <w:t>and with the U.S. Securities and Exchange Commission on EDGAR at www.sec.gov</w:t>
      </w:r>
      <w:r>
        <w:rPr>
          <w:rFonts w:ascii="sans-serif" w:hAnsi="sans-serif"/>
          <w:b w:val="false"/>
          <w:color w:val="000000"/>
          <w:sz w:val="20"/>
        </w:rPr>
        <w:t>.</w: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About TC Energy</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We are a leader in North American energy infrastructure, spanning Canada, the U.S. and Mexico. Every day, our dedicated team proudly connects the world to the energy it needs, moving over 30 per cent of the cleaner-burning natural gas used across the continent. Complemented by strategic ownership and low-risk investments in power generation, our infrastructure fuels industries and generates affordable, reliable and sustainable power across North America, while enabling LNG exports to global markets.</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Our business is based on the connections we make. By partnering with communities, businesses and leaders across our extensive energy network, we unlock opportunity today and for generations to come.</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TC Energy’s common shares trade on the Toronto (TSX) and New York (NYSE) stock exchanges under the symbol TRP. To learn more, visit us at TCEnergy.com.</w:t>
      </w:r>
    </w:p>
    <w:p>
      <w:pPr>
        <w:pStyle w:val="TextBody"/>
        <w:bidi w:val="0"/>
        <w:spacing w:before="0" w:after="10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Forward-Looking Information</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release contains certain information that is forward-looking and is subject to important risks and uncertainties and is based on certain key assumptions. Forward-looking statements are usually accompanied by words such as "anticipate", "expect", "believe", "may", "will", "should", "estimate" or other similar words. Forward-looking statements in this document may include, but are not limited to, statements related to expectations with respect to expected comparable EBITDA, comparable earnings in total and per common share and the sources and drivers thereof, expectations with respect to anticipated capital expenditures and net capital expenditures and the timing thereof, expectations with respect to identified approved and future projects, including associated capital expenditures, timelines, in-service dates, and outcomes, expectations with respect to completed projects and expected impacts thereof, expectations on rate case settlements and timing of approved settlement terms, expectations with respect to our ability to deploy capital at targeted build multiples and achieve expected returns on invested capital, expectations with respect to the approximate value of projects to be placed in-service in subsequent years, expectations with respect to our strategic priorities, and the execution thereof, expectation on the value of and risk profile of our incremental growth projects, expectations with respect to our ability to maximize the value of our assets through safety and operational excellence, expectations regarding financial ratio targets such as debt-to-EBITDA, expectations on repeatable value creation through the next decade, expected cost and schedules for planned projects, including projects under construction and in development, expectations about energy demand levels and drivers thereof, expectations regarding the competitive positioning and long-term value contribution of specific assets and our ability to capture growth opportunities, expectations about our ability to execute our identified portfolio of growth projects and ensure financial strength and agility, our ability to deliver low-risk, solid growth and repeatable performance, expected industry, market and economic conditions, and ongoing trade negotiations, including their expected impact on our business, customers and suppliers. Our forward-looking information is subject to important risks and uncertainties and is based on certain key assumptions. Forward-looking statements and future-oriented financial information in this document are intended to provide TC Energy security holders and potential investors with information regarding TC Energy and its subsidiaries, including management's assessment of TC Energy's and its subsidiaries' future plans and financial outlook. All forward-looking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the 2025 Annual Report filed under TC Energy's profile on SEDAR+ at www.sedarplus.ca and with the U.S. Securities and Exchange Commission at www.sec.gov and the "Forward-looking information" section of our Report on Sustainability which is available on our website at www.TCEnergy.com.</w:t>
      </w:r>
    </w:p>
    <w:p>
      <w:pPr>
        <w:pStyle w:val="TextBody"/>
        <w:bidi w:val="0"/>
        <w:spacing w:before="0" w:after="10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Non-GAAP and Supplementary Financial Measure</w:t>
      </w:r>
    </w:p>
    <w:p>
      <w:pPr>
        <w:pStyle w:val="TextBody"/>
        <w:bidi w:val="0"/>
        <w:spacing w:lineRule="auto" w:line="348" w:before="0" w:after="100"/>
        <w:jc w:val="left"/>
        <w:rPr/>
      </w:pPr>
      <w:r>
        <w:rPr>
          <w:rFonts w:ascii="sans-serif" w:hAnsi="sans-serif"/>
          <w:b w:val="false"/>
          <w:color w:val="000000"/>
          <w:sz w:val="20"/>
        </w:rPr>
        <w:t>This release contains references to the following non-GAAP measures: comparable EBITDA, comparable earnings, comparable ear</w:t>
      </w:r>
      <w:r>
        <w:rPr>
          <w:rFonts w:ascii="sans-serif" w:hAnsi="sans-serif"/>
          <w:b w:val="false"/>
          <w:color w:val="000000"/>
          <w:sz w:val="20"/>
          <w:shd w:fill="FFFFFF" w:val="clear"/>
        </w:rPr>
        <w:t>nings per common share and comparable funds generated from operations. It also contains references to debt-to-EBITDA, a non-GAAP ratio, which is calculated using adjusted debt and adjusted comparable EBITDA, each of which are non-GAAP measures.</w:t>
      </w:r>
      <w:r>
        <w:rPr>
          <w:color w:val="000000"/>
        </w:rPr>
        <w:t xml:space="preserve"> </w:t>
      </w:r>
      <w:r>
        <w:rPr>
          <w:rFonts w:ascii="sans-serif" w:hAnsi="sans-serif"/>
          <w:b w:val="false"/>
          <w:color w:val="000000"/>
          <w:sz w:val="20"/>
        </w:rPr>
        <w:t xml:space="preserve">These non-GAAP measures do not have any standardized meaning as prescribed by GAAP and therefore may not be comparable to similar measures presented by other entities. These non-GAAP measures are calculated by adjusting certain GAAP measures for specific items we believe are significant but not reflective of our underlying operations in the period. These comparable measures are calculated on a consistent basis from period to period and are adjusted for specific items in each period, as applicable except as otherwise described in the Condensed consolidated financial statements and MD&amp;A. Refer to: (i) each business segment for a reconciliation of comparable EBITDA to segmented earnings (losses); (ii) Consolidated results section for reconciliations of comparable earnings and comparable earnings per common share to Net income attributable to common shares and Net income per common share, respectively; and (iii) Financial condition section for a reconciliation of comparable funds generated from operations to Net cash provided by operations. Refer to the Non-GAAP Measures section of the MD&amp;A in our most recent quarterly report for more information about the non-GAAP measures we use. The MD&amp;A is included with, and forms part of, this release. The MD&amp;A can be found on SEDAR+ at www.sedarplus.ca under TC Energy's profile. </w:t>
      </w:r>
    </w:p>
    <w:p>
      <w:pPr>
        <w:pStyle w:val="TextBody"/>
        <w:bidi w:val="0"/>
        <w:spacing w:lineRule="auto" w:line="348" w:before="0" w:after="10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With respect to non-GAAP measures used in the calculation of debt-to-EBITDA, adjusted debt is defined as the sum of Reported total debt, including Notes payable, Long-term debt, Current portion of long-term debt and Junior subordinated notes, as reported on our Consolidated balance sheet as well as Operating lease liabilities recognized on our Consolidated balance sheet and 50 per cent of Preferred shares as reported on our Consolidated balance sheet due to the debt-like nature of their contractual and financial obligations, less Cash and cash equivalents as reported on our Consolidated balance sheet and 50 per cent of Junior subordinated notes as reported on our Consolidated balance sheet due to the equity-like nature of their contractual and financial obligations. Adjusted comparable EBITDA is calculated as the sum of comparable EBITDA from continuing operations and comparable EBITDA from discontinued operations excluding Operating lease costs recorded in Plant operating costs and other in our Consolidated statement of income and adjusted for Distributions received in excess of (income) loss from equity investments and a Loan from affiliate as reported in our Consolidated statement of cash flows which we believe is more reflective of the cash flows available to TC Energy to service our debt and other long-term commitments. Beginning in 2025, we entered into a subordinated demand revolving credit facility to borrow funds from the Sur de Texas joint venture and received proceeds totaling $111 million during the year. We believe that debt-to-EBITDA provides investors with useful information as it reflects our ability to service our debt and other long-term commitments. See the Reconciliation section for reconciliations of adjusted debt and adjusted comparable EBITDA for the years ended Dec. 31, 2023, 2024 and 2025. </w:t>
      </w:r>
    </w:p>
    <w:p>
      <w:pPr>
        <w:pStyle w:val="TextBody"/>
        <w:bidi w:val="0"/>
        <w:spacing w:lineRule="auto" w:line="348" w:before="0" w:after="100"/>
        <w:jc w:val="left"/>
        <w:rPr>
          <w:rFonts w:ascii="sans-serif" w:hAnsi="sans-serif"/>
          <w:b w:val="false"/>
          <w:color w:val="000000"/>
          <w:sz w:val="20"/>
        </w:rPr>
      </w:pPr>
      <w:r>
        <w:rPr>
          <w:rFonts w:ascii="sans-serif" w:hAnsi="sans-serif"/>
          <w:b w:val="false"/>
          <w:color w:val="000000"/>
          <w:sz w:val="20"/>
        </w:rPr>
        <w:t>This release contains references to build multiple, which is non-GAAP ratio which is calculated using capital expenditures and comparable EBITDA, of which comparable EBITDA is a non-GAAP measure. We believe build multiple provides investors with a useful measure to evaluate capital projects.</w:t>
      </w:r>
    </w:p>
    <w:p>
      <w:pPr>
        <w:pStyle w:val="TextBody"/>
        <w:bidi w:val="0"/>
        <w:spacing w:lineRule="auto" w:line="348" w:before="0" w:after="0"/>
        <w:jc w:val="left"/>
        <w:rPr>
          <w:rFonts w:ascii="sans-serif" w:hAnsi="sans-serif"/>
          <w:b w:val="false"/>
          <w:color w:val="000000"/>
          <w:sz w:val="20"/>
        </w:rPr>
      </w:pPr>
      <w:r>
        <w:rPr>
          <w:rFonts w:ascii="sans-serif" w:hAnsi="sans-serif"/>
          <w:b w:val="false"/>
          <w:color w:val="000000"/>
          <w:sz w:val="20"/>
        </w:rPr>
        <w:t>This release also contains references to net capital expenditures, which is a supplementary financial measure. Net capital expenditures represent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pStyle w:val="TextBody"/>
        <w:bidi w:val="0"/>
        <w:spacing w:before="0" w:after="283"/>
        <w:jc w:val="left"/>
        <w:rPr/>
      </w:pPr>
      <w:r>
        <w:rPr/>
      </w:r>
    </w:p>
    <w:p>
      <w:pPr>
        <w:pStyle w:val="TextBody"/>
        <w:bidi w:val="0"/>
        <w:spacing w:before="0" w:after="10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p>
      <w:pPr>
        <w:pStyle w:val="TextBody"/>
        <w:bidi w:val="0"/>
        <w:spacing w:lineRule="auto" w:line="348" w:before="120" w:after="283"/>
        <w:jc w:val="left"/>
        <w:rPr>
          <w:rFonts w:ascii="sans-serif" w:hAnsi="sans-serif"/>
          <w:b/>
          <w:color w:val="0D64EF"/>
          <w:sz w:val="22"/>
        </w:rPr>
      </w:pPr>
      <w:r>
        <w:rPr>
          <w:rFonts w:ascii="sans-serif" w:hAnsi="sans-serif"/>
          <w:b/>
          <w:color w:val="0D64EF"/>
          <w:sz w:val="22"/>
        </w:rPr>
        <w:t>Reconciliation</w:t>
      </w:r>
    </w:p>
    <w:p>
      <w:pPr>
        <w:pStyle w:val="TextBody"/>
        <w:bidi w:val="0"/>
        <w:spacing w:lineRule="auto" w:line="348" w:before="0" w:after="100"/>
        <w:jc w:val="left"/>
        <w:rPr/>
      </w:pPr>
      <w:r>
        <w:rPr>
          <w:rFonts w:ascii="sans-serif" w:hAnsi="sans-serif"/>
          <w:b w:val="false"/>
          <w:color w:val="000000"/>
          <w:sz w:val="20"/>
        </w:rPr>
        <w:t>The following is a reconciliation of adjusted debt and adjusted comparable EBITDA</w:t>
      </w:r>
      <w:r>
        <w:rPr>
          <w:rFonts w:ascii="sans-serif" w:hAnsi="sans-serif"/>
          <w:b w:val="false"/>
          <w:color w:val="000000"/>
          <w:sz w:val="13"/>
        </w:rPr>
        <w:t>1</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135"/>
        <w:gridCol w:w="1811"/>
        <w:gridCol w:w="1818"/>
        <w:gridCol w:w="109"/>
        <w:gridCol w:w="109"/>
        <w:gridCol w:w="109"/>
        <w:gridCol w:w="413"/>
        <w:gridCol w:w="413"/>
        <w:gridCol w:w="196"/>
        <w:gridCol w:w="163"/>
        <w:gridCol w:w="163"/>
        <w:gridCol w:w="163"/>
        <w:gridCol w:w="413"/>
        <w:gridCol w:w="413"/>
        <w:gridCol w:w="196"/>
        <w:gridCol w:w="163"/>
        <w:gridCol w:w="163"/>
        <w:gridCol w:w="163"/>
        <w:gridCol w:w="413"/>
        <w:gridCol w:w="413"/>
        <w:gridCol w:w="266"/>
      </w:tblGrid>
      <w:tr>
        <w:trPr/>
        <w:tc>
          <w:tcPr>
            <w:tcW w:w="213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center"/>
              <w:rPr>
                <w:rFonts w:ascii="sans-serif" w:hAnsi="sans-serif"/>
                <w:b/>
                <w:color w:val="000000"/>
                <w:sz w:val="18"/>
              </w:rPr>
            </w:pPr>
            <w:r>
              <w:rPr>
                <w:rFonts w:ascii="sans-serif" w:hAnsi="sans-serif"/>
                <w:b/>
                <w:color w:val="000000"/>
                <w:sz w:val="18"/>
              </w:rPr>
              <w:t>year ended December 31</w:t>
            </w:r>
          </w:p>
        </w:tc>
      </w:tr>
      <w:tr>
        <w:trPr/>
        <w:tc>
          <w:tcPr>
            <w:tcW w:w="5764" w:type="dxa"/>
            <w:gridSpan w:val="3"/>
            <w:tcBorders/>
            <w:shd w:fill="D1D0C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(millions of Canadian $)</w:t>
            </w:r>
          </w:p>
        </w:tc>
        <w:tc>
          <w:tcPr>
            <w:tcW w:w="327" w:type="dxa"/>
            <w:gridSpan w:val="3"/>
            <w:tcBorders/>
            <w:shd w:fill="D1D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2025</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2024</w:t>
            </w:r>
          </w:p>
        </w:tc>
        <w:tc>
          <w:tcPr>
            <w:tcW w:w="489" w:type="dxa"/>
            <w:gridSpan w:val="3"/>
            <w:tcBorders>
              <w:top w:val="single" w:sz="2" w:space="0" w:color="0D64EF"/>
            </w:tcBorders>
            <w:shd w:fill="D1D0C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D64EF"/>
            </w:tcBorders>
            <w:shd w:fill="D1D0CF" w:val="clear"/>
            <w:tcMar>
              <w:top w:w="30" w:type="dxa"/>
              <w:left w:w="0" w:type="dxa"/>
              <w:bottom w:w="0" w:type="dxa"/>
              <w:right w:w="0" w:type="dxa"/>
            </w:tcMar>
            <w:vAlign w:val="center"/>
          </w:tcPr>
          <w:p>
            <w:pPr>
              <w:pStyle w:val="TableContents"/>
              <w:bidi w:val="0"/>
              <w:spacing w:lineRule="auto" w:line="264" w:before="0" w:after="283"/>
              <w:jc w:val="right"/>
              <w:rPr>
                <w:rFonts w:ascii="sans-serif" w:hAnsi="sans-serif"/>
                <w:b/>
                <w:color w:val="000000"/>
                <w:sz w:val="18"/>
              </w:rPr>
            </w:pPr>
            <w:r>
              <w:rPr>
                <w:rFonts w:ascii="sans-serif" w:hAnsi="sans-serif"/>
                <w:b/>
                <w:color w:val="000000"/>
                <w:sz w:val="18"/>
              </w:rPr>
              <w:t>2023</w:t>
            </w:r>
          </w:p>
        </w:tc>
      </w:tr>
      <w:tr>
        <w:trPr/>
        <w:tc>
          <w:tcPr>
            <w:tcW w:w="5764"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D64E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Reported 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60,086 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59,366 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63,201 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Management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Debt treatment of preferred shares</w:t>
            </w:r>
            <w:r>
              <w:rPr>
                <w:rFonts w:ascii="sans-serif" w:hAnsi="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1,250 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Equity treatment of junior subordinated notes</w:t>
            </w:r>
            <w:r>
              <w:rPr>
                <w:rFonts w:ascii="sans-serif" w:hAnsi="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(6,047)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(5,524)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(5,144)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(168)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(801)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(3,678)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431 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457 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Adjusted debt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55,430 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54,802 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56,086 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 from continuing operations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10,952 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10,049 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9,472 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sans-serif" w:hAnsi="sans-serif"/>
                <w:b w:val="false"/>
                <w:color w:val="000000"/>
                <w:sz w:val="18"/>
              </w:rPr>
              <w:t>Comparable EBITDA from discontinued operations</w:t>
            </w:r>
            <w:r>
              <w:rPr>
                <w:rFonts w:ascii="sans-serif" w:hAnsi="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1,145 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1,516 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Operating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18"/>
              </w:rPr>
            </w:pPr>
            <w:r>
              <w:rPr>
                <w:rFonts w:ascii="sans-serif" w:hAnsi="sans-serif"/>
                <w:b w:val="false"/>
                <w:color w:val="000000"/>
                <w:sz w:val="18"/>
              </w:rPr>
              <w:t>Distributions received in excess of (income) loss from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342 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67 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(123)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18"/>
              </w:rPr>
            </w:pPr>
            <w:r>
              <w:rPr>
                <w:rFonts w:ascii="sans-serif" w:hAnsi="sans-serif"/>
                <w:b w:val="false"/>
                <w:color w:val="000000"/>
                <w:sz w:val="18"/>
              </w:rPr>
              <w:t>Loan from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64"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sans-serif" w:hAnsi="sans-serif"/>
                <w:b/>
                <w:color w:val="0D64EF"/>
                <w:sz w:val="18"/>
              </w:rPr>
            </w:pPr>
            <w:r>
              <w:rPr>
                <w:rFonts w:ascii="sans-serif" w:hAnsi="sans-serif"/>
                <w:b/>
                <w:color w:val="0D64EF"/>
                <w:sz w:val="18"/>
              </w:rPr>
              <w:t>Adjusted Comparable EBITDA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11,517 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11,378 </w:t>
            </w:r>
          </w:p>
        </w:tc>
        <w:tc>
          <w:tcPr>
            <w:tcW w:w="19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10,970 </w:t>
            </w:r>
          </w:p>
        </w:tc>
        <w:tc>
          <w:tcPr>
            <w:tcW w:w="2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0"/>
              <w:jc w:val="left"/>
              <w:rPr/>
            </w:pPr>
            <w:r>
              <w:rPr>
                <w:rFonts w:ascii="sans-serif" w:hAnsi="sans-serif"/>
                <w:b/>
                <w:color w:val="0D64EF"/>
                <w:sz w:val="18"/>
              </w:rPr>
              <w:t>Adjusted Debt/Adjusted Comparable EBITDA</w:t>
            </w:r>
            <w:r>
              <w:rPr>
                <w:rFonts w:ascii="sans-serif" w:hAnsi="sans-serif"/>
                <w:b w:val="false"/>
                <w:color w:val="000000"/>
                <w:sz w:val="12"/>
              </w:rPr>
              <w:t>1</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4.8 </w:t>
            </w:r>
          </w:p>
        </w:tc>
        <w:tc>
          <w:tcPr>
            <w:tcW w:w="1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4.8 </w:t>
            </w:r>
          </w:p>
        </w:tc>
        <w:tc>
          <w:tcPr>
            <w:tcW w:w="19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64" w:before="0" w:after="283"/>
              <w:jc w:val="right"/>
              <w:rPr>
                <w:rFonts w:ascii="sans-serif" w:hAnsi="sans-serif"/>
                <w:b w:val="false"/>
                <w:color w:val="000000"/>
                <w:sz w:val="18"/>
              </w:rPr>
            </w:pPr>
            <w:r>
              <w:rPr>
                <w:rFonts w:ascii="sans-serif" w:hAnsi="sans-serif"/>
                <w:b w:val="false"/>
                <w:color w:val="000000"/>
                <w:sz w:val="18"/>
              </w:rPr>
              <w:t>5.1 </w:t>
            </w:r>
          </w:p>
        </w:tc>
        <w:tc>
          <w:tcPr>
            <w:tcW w:w="26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1Adjusted debt and adjusted comparable EBITDA are non-GAAP measures. The calculations are based on management methodology. Individual rating agency calculations will differ.</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250 per cent debt treatment on $2.3 billion of preferred shares as of Dec. 31, 2025.</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350 per cent equity treatment on $12.1 billion of junior subordinated notes as of Dec. 31, 2025. U.S. dollar-denominated notes translated at         Dec. 31, 2025, USD/CAD foreign exchange rate of 1.37.</w:t>
      </w:r>
    </w:p>
    <w:p>
      <w:pPr>
        <w:pStyle w:val="TextBody"/>
        <w:bidi w:val="0"/>
        <w:spacing w:lineRule="auto" w:line="348" w:before="0" w:after="0"/>
        <w:ind w:left="0" w:right="0" w:hanging="360"/>
        <w:jc w:val="left"/>
        <w:rPr>
          <w:rFonts w:ascii="sans-serif" w:hAnsi="sans-serif"/>
          <w:b w:val="false"/>
          <w:color w:val="000000"/>
          <w:sz w:val="16"/>
        </w:rPr>
      </w:pPr>
      <w:r>
        <w:rPr>
          <w:rFonts w:ascii="sans-serif" w:hAnsi="sans-serif"/>
          <w:b w:val="false"/>
          <w:color w:val="000000"/>
          <w:sz w:val="16"/>
        </w:rPr>
        <w:t>4Comparable EBITDA from continuing operations and Comparable EBITDA from discontinued operations are non-GAAP financial measures. See the Forward-looking information and Non-GAAP measures sections in our 2025 Annual Report for more information. Comparable EBITDA from discontinued operations represents nine months of Liquids Pipelines earnings in 2024 compared to a full year of earnings in 2023. Refer to the Discontinued operations section in our 2024 Annual Report for additional information.</w:t>
      </w:r>
    </w:p>
    <w:p>
      <w:pPr>
        <w:pStyle w:val="TextBody"/>
        <w:bidi w:val="0"/>
        <w:spacing w:before="0" w:after="0"/>
        <w:ind w:left="0" w:right="0" w:hanging="36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Media Inquiries:</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Media Relations</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media@tcenergy.com</w:t>
      </w:r>
    </w:p>
    <w:p>
      <w:pPr>
        <w:pStyle w:val="TextBody"/>
        <w:bidi w:val="0"/>
        <w:spacing w:lineRule="auto" w:line="348" w:before="0" w:after="160"/>
        <w:jc w:val="left"/>
        <w:rPr>
          <w:rFonts w:ascii="sans-serif" w:hAnsi="sans-serif"/>
          <w:b w:val="false"/>
          <w:color w:val="000000"/>
          <w:sz w:val="20"/>
        </w:rPr>
      </w:pPr>
      <w:r>
        <w:rPr>
          <w:rFonts w:ascii="sans-serif" w:hAnsi="sans-serif"/>
          <w:b w:val="false"/>
          <w:color w:val="000000"/>
          <w:sz w:val="20"/>
        </w:rPr>
        <w:t>403.920.7859 or 800.608.7859</w:t>
      </w:r>
    </w:p>
    <w:p>
      <w:pPr>
        <w:pStyle w:val="TextBody"/>
        <w:bidi w:val="0"/>
        <w:spacing w:lineRule="auto" w:line="348" w:before="60" w:after="283"/>
        <w:jc w:val="left"/>
        <w:rPr>
          <w:rFonts w:ascii="sans-serif" w:hAnsi="sans-serif"/>
          <w:b/>
          <w:color w:val="000000"/>
          <w:sz w:val="20"/>
        </w:rPr>
      </w:pPr>
      <w:r>
        <w:rPr>
          <w:rFonts w:ascii="sans-serif" w:hAnsi="sans-serif"/>
          <w:b/>
          <w:color w:val="000000"/>
          <w:sz w:val="20"/>
        </w:rPr>
        <w:t>Investor &amp; Analyst Inquiries:    </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Investor Relations</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investor_relations@tcenergy.com</w:t>
      </w:r>
    </w:p>
    <w:p>
      <w:pPr>
        <w:pStyle w:val="TextBody"/>
        <w:bidi w:val="0"/>
        <w:spacing w:lineRule="auto" w:line="348" w:before="0" w:after="40"/>
        <w:jc w:val="left"/>
        <w:rPr>
          <w:rFonts w:ascii="sans-serif" w:hAnsi="sans-serif"/>
          <w:b w:val="false"/>
          <w:color w:val="000000"/>
          <w:sz w:val="20"/>
        </w:rPr>
      </w:pPr>
      <w:r>
        <w:rPr>
          <w:rFonts w:ascii="sans-serif" w:hAnsi="sans-serif"/>
          <w:b w:val="false"/>
          <w:color w:val="000000"/>
          <w:sz w:val="20"/>
        </w:rPr>
        <w:t>403.920.7911 or 800.361.6522</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30128</Words>
  <Characters>171235</Characters>
  <CharactersWithSpaces>199600</CharactersWithSpaces>
  <Paragraphs>4093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