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0"/>
          <w:szCs w:val="20"/>
          <w:b w:val="1"/>
          <w:bCs w:val="1"/>
          <w:color w:val="auto"/>
        </w:rPr>
        <w:t>SECURITIES AND EXCHANGE COMMISSION</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223"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FORM 6-K</w:t>
      </w:r>
    </w:p>
    <w:p>
      <w:pPr>
        <w:spacing w:after="0" w:line="258"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Report of Foreign Private Issuer</w:t>
      </w:r>
    </w:p>
    <w:p>
      <w:pPr>
        <w:spacing w:after="0" w:line="243" w:lineRule="exact"/>
        <w:rPr>
          <w:sz w:val="24"/>
          <w:szCs w:val="24"/>
          <w:color w:val="auto"/>
        </w:rPr>
      </w:pPr>
    </w:p>
    <w:p>
      <w:pPr>
        <w:ind w:left="4000"/>
        <w:spacing w:after="0"/>
        <w:rPr>
          <w:sz w:val="20"/>
          <w:szCs w:val="20"/>
          <w:color w:val="auto"/>
        </w:rPr>
      </w:pPr>
      <w:r>
        <w:rPr>
          <w:rFonts w:ascii="Arial" w:cs="Arial" w:eastAsia="Arial" w:hAnsi="Arial"/>
          <w:sz w:val="20"/>
          <w:szCs w:val="20"/>
          <w:color w:val="auto"/>
        </w:rPr>
        <w:t>Pursuant to Rule 13a-16 or 15d-16 of</w:t>
      </w:r>
    </w:p>
    <w:p>
      <w:pPr>
        <w:spacing w:after="0" w:line="31" w:lineRule="exact"/>
        <w:rPr>
          <w:sz w:val="24"/>
          <w:szCs w:val="24"/>
          <w:color w:val="auto"/>
        </w:rPr>
      </w:pPr>
    </w:p>
    <w:p>
      <w:pPr>
        <w:ind w:left="4020"/>
        <w:spacing w:after="0"/>
        <w:rPr>
          <w:sz w:val="20"/>
          <w:szCs w:val="20"/>
          <w:color w:val="auto"/>
        </w:rPr>
      </w:pPr>
      <w:r>
        <w:rPr>
          <w:rFonts w:ascii="Arial" w:cs="Arial" w:eastAsia="Arial" w:hAnsi="Arial"/>
          <w:sz w:val="20"/>
          <w:szCs w:val="20"/>
          <w:color w:val="auto"/>
        </w:rPr>
        <w:t>the Securities Exchange Act of 1934</w:t>
      </w:r>
    </w:p>
    <w:p>
      <w:pPr>
        <w:spacing w:after="0" w:line="238"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For the month of February 2026</w:t>
      </w:r>
    </w:p>
    <w:p>
      <w:pPr>
        <w:spacing w:after="0" w:line="24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TC Energy Corporation</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(Commission File No. 1-31690)</w:t>
      </w:r>
    </w:p>
    <w:p>
      <w:pPr>
        <w:spacing w:after="0" w:line="236"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(Translation of Registrant's Name into English)</w:t>
      </w:r>
    </w:p>
    <w:p>
      <w:pPr>
        <w:spacing w:after="0" w:line="24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450 - 1 Street S.W., Calgary, Alberta, T2P 5H1, Canada</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(Address of Principal Executive Offices)</w:t>
      </w:r>
    </w:p>
    <w:p>
      <w:pPr>
        <w:spacing w:after="0" w:line="231" w:lineRule="exact"/>
        <w:rPr>
          <w:sz w:val="24"/>
          <w:szCs w:val="24"/>
          <w:color w:val="auto"/>
        </w:rPr>
      </w:pPr>
    </w:p>
    <w:p>
      <w:pPr>
        <w:spacing w:after="0"/>
        <w:rPr>
          <w:sz w:val="20"/>
          <w:szCs w:val="20"/>
          <w:color w:val="auto"/>
        </w:rPr>
      </w:pPr>
      <w:r>
        <w:rPr>
          <w:rFonts w:ascii="Arial" w:cs="Arial" w:eastAsia="Arial" w:hAnsi="Arial"/>
          <w:sz w:val="20"/>
          <w:szCs w:val="20"/>
          <w:color w:val="auto"/>
        </w:rPr>
        <w:t>Indicate by check mark whether the registrant files or will file annual reports under cover of Form 20-F or Form 40-F:</w:t>
      </w:r>
    </w:p>
    <w:p>
      <w:pPr>
        <w:spacing w:after="0" w:line="205" w:lineRule="exact"/>
        <w:rPr>
          <w:sz w:val="24"/>
          <w:szCs w:val="24"/>
          <w:color w:val="auto"/>
        </w:rPr>
      </w:pPr>
    </w:p>
    <w:p>
      <w:pPr>
        <w:ind w:left="2720"/>
        <w:spacing w:after="0" w:line="235" w:lineRule="exact"/>
        <w:tabs>
          <w:tab w:leader="none" w:pos="4820" w:val="left"/>
          <w:tab w:leader="none" w:pos="6220" w:val="left"/>
          <w:tab w:leader="none" w:pos="8340" w:val="left"/>
        </w:tabs>
        <w:rPr>
          <w:sz w:val="20"/>
          <w:szCs w:val="20"/>
          <w:color w:val="auto"/>
        </w:rPr>
      </w:pPr>
      <w:r>
        <w:rPr>
          <w:rFonts w:ascii="Arial" w:cs="Arial" w:eastAsia="Arial" w:hAnsi="Arial"/>
          <w:sz w:val="20"/>
          <w:szCs w:val="20"/>
          <w:color w:val="auto"/>
        </w:rPr>
        <w:t>Form 20-F</w:t>
      </w:r>
      <w:r>
        <w:rPr>
          <w:sz w:val="20"/>
          <w:szCs w:val="20"/>
          <w:color w:val="auto"/>
        </w:rPr>
        <w:tab/>
      </w:r>
      <w:r>
        <w:rPr>
          <w:rFonts w:ascii="Wingdings" w:cs="Wingdings" w:eastAsia="Wingdings" w:hAnsi="Wingdings"/>
          <w:sz w:val="20"/>
          <w:szCs w:val="20"/>
          <w:b w:val="1"/>
          <w:bCs w:val="1"/>
          <w:color w:val="auto"/>
        </w:rPr>
        <w:t>o</w:t>
      </w:r>
      <w:r>
        <w:rPr>
          <w:sz w:val="20"/>
          <w:szCs w:val="20"/>
          <w:color w:val="auto"/>
        </w:rPr>
        <w:tab/>
      </w:r>
      <w:r>
        <w:rPr>
          <w:rFonts w:ascii="Arial" w:cs="Arial" w:eastAsia="Arial" w:hAnsi="Arial"/>
          <w:sz w:val="20"/>
          <w:szCs w:val="20"/>
          <w:color w:val="auto"/>
        </w:rPr>
        <w:t>Form 40-F</w:t>
      </w:r>
      <w:r>
        <w:rPr>
          <w:sz w:val="20"/>
          <w:szCs w:val="20"/>
          <w:color w:val="auto"/>
        </w:rPr>
        <w:tab/>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332" w:lineRule="exact"/>
        <w:rPr>
          <w:sz w:val="24"/>
          <w:szCs w:val="24"/>
          <w:color w:val="auto"/>
        </w:rPr>
      </w:pPr>
    </w:p>
    <w:p>
      <w:pPr>
        <w:spacing w:after="0" w:line="286" w:lineRule="auto"/>
        <w:rPr>
          <w:sz w:val="20"/>
          <w:szCs w:val="20"/>
          <w:color w:val="auto"/>
        </w:rPr>
      </w:pPr>
      <w:r>
        <w:rPr>
          <w:rFonts w:ascii="Arial" w:cs="Arial" w:eastAsia="Arial" w:hAnsi="Arial"/>
          <w:sz w:val="20"/>
          <w:szCs w:val="20"/>
          <w:color w:val="auto"/>
        </w:rPr>
        <w:t>Exhibit 99.1 to this report, furnished on Form 6-K, is furnished, not filed, and will not be incorporated by reference into any registration statement filed by the registrant under the Securities Act of 1933, as amended.</w:t>
      </w:r>
    </w:p>
    <w:p>
      <w:pPr>
        <w:sectPr>
          <w:pgSz w:w="11900" w:h="16838" w:orient="portrait"/>
          <w:cols w:equalWidth="0" w:num="1">
            <w:col w:w="11240"/>
          </w:cols>
          <w:pgMar w:left="320" w:top="1277" w:right="339" w:bottom="1440" w:gutter="0" w:footer="0" w:header="0"/>
        </w:sectPr>
      </w:pPr>
    </w:p>
    <w:bookmarkStart w:id="1" w:name="page2"/>
    <w:bookmarkEnd w:id="1"/>
    <w:p>
      <w:pPr>
        <w:jc w:val="center"/>
        <w:ind w:right="-20"/>
        <w:spacing w:after="0"/>
        <w:rPr>
          <w:sz w:val="20"/>
          <w:szCs w:val="20"/>
          <w:color w:val="auto"/>
        </w:rPr>
      </w:pPr>
      <w:r>
        <w:rPr>
          <w:rFonts w:ascii="Arial" w:cs="Arial" w:eastAsia="Arial" w:hAnsi="Arial"/>
          <w:sz w:val="20"/>
          <w:szCs w:val="20"/>
          <w:b w:val="1"/>
          <w:bCs w:val="1"/>
          <w:color w:val="auto"/>
        </w:rPr>
        <w:t>EXHIBIT INDEX</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tabs>
          <w:tab w:leader="none" w:pos="960" w:val="left"/>
        </w:tabs>
        <w:rPr>
          <w:sz w:val="20"/>
          <w:szCs w:val="20"/>
          <w:color w:val="auto"/>
        </w:rPr>
      </w:pPr>
      <w:r>
        <w:rPr>
          <w:rFonts w:ascii="Arial" w:cs="Arial" w:eastAsia="Arial" w:hAnsi="Arial"/>
          <w:sz w:val="20"/>
          <w:szCs w:val="20"/>
          <w:color w:val="auto"/>
        </w:rPr>
        <w:t>99.1</w:t>
      </w:r>
      <w:r>
        <w:rPr>
          <w:sz w:val="20"/>
          <w:szCs w:val="20"/>
          <w:color w:val="auto"/>
        </w:rPr>
        <w:tab/>
      </w:r>
      <w:r>
        <w:rPr>
          <w:rFonts w:ascii="Arial" w:cs="Arial" w:eastAsia="Arial" w:hAnsi="Arial"/>
          <w:sz w:val="19"/>
          <w:szCs w:val="19"/>
          <w:color w:val="auto"/>
        </w:rPr>
        <w:t>A copy of the registrant's news release of February 13, 2026.</w:t>
      </w:r>
    </w:p>
    <w:p>
      <w:pPr>
        <w:sectPr>
          <w:pgSz w:w="11900" w:h="16838" w:orient="portrait"/>
          <w:cols w:equalWidth="0" w:num="1">
            <w:col w:w="9699"/>
          </w:cols>
          <w:pgMar w:left="760" w:top="1371" w:right="1440"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20"/>
          <w:szCs w:val="20"/>
          <w:b w:val="1"/>
          <w:bCs w:val="1"/>
          <w:color w:val="auto"/>
        </w:rPr>
        <w:t>SIGNATURES</w:t>
      </w:r>
    </w:p>
    <w:p>
      <w:pPr>
        <w:spacing w:after="0" w:line="258" w:lineRule="exact"/>
        <w:rPr>
          <w:sz w:val="20"/>
          <w:szCs w:val="20"/>
          <w:color w:val="auto"/>
        </w:rPr>
      </w:pPr>
    </w:p>
    <w:p>
      <w:pPr>
        <w:spacing w:after="0" w:line="271" w:lineRule="auto"/>
        <w:rPr>
          <w:sz w:val="20"/>
          <w:szCs w:val="20"/>
          <w:color w:val="auto"/>
        </w:rPr>
      </w:pPr>
      <w:r>
        <w:rPr>
          <w:rFonts w:ascii="Arial" w:cs="Arial" w:eastAsia="Arial" w:hAnsi="Arial"/>
          <w:sz w:val="20"/>
          <w:szCs w:val="20"/>
          <w:color w:val="auto"/>
        </w:rPr>
        <w:t>Pursuant to the requirements of the Securities Exchange Act of 1934, each Registrant has duly caused this report to be signed on its behalf by the undersigned, thereunto duly authorized.</w:t>
      </w:r>
    </w:p>
    <w:p>
      <w:pPr>
        <w:spacing w:after="0" w:line="200" w:lineRule="exact"/>
        <w:rPr>
          <w:sz w:val="20"/>
          <w:szCs w:val="20"/>
          <w:color w:val="auto"/>
        </w:rPr>
      </w:pPr>
    </w:p>
    <w:p>
      <w:pPr>
        <w:spacing w:after="0" w:line="359" w:lineRule="exact"/>
        <w:rPr>
          <w:sz w:val="20"/>
          <w:szCs w:val="20"/>
          <w:color w:val="auto"/>
        </w:rPr>
      </w:pPr>
    </w:p>
    <w:p>
      <w:pPr>
        <w:ind w:left="20"/>
        <w:spacing w:after="0"/>
        <w:tabs>
          <w:tab w:leader="none" w:pos="4660" w:val="left"/>
        </w:tabs>
        <w:rPr>
          <w:sz w:val="20"/>
          <w:szCs w:val="20"/>
          <w:color w:val="auto"/>
        </w:rPr>
      </w:pPr>
      <w:r>
        <w:rPr>
          <w:rFonts w:ascii="Arial" w:cs="Arial" w:eastAsia="Arial" w:hAnsi="Arial"/>
          <w:sz w:val="20"/>
          <w:szCs w:val="20"/>
          <w:color w:val="auto"/>
        </w:rPr>
        <w:t>Date: February 13, 2026</w:t>
      </w:r>
      <w:r>
        <w:rPr>
          <w:sz w:val="20"/>
          <w:szCs w:val="20"/>
          <w:color w:val="auto"/>
        </w:rPr>
        <w:tab/>
      </w:r>
      <w:r>
        <w:rPr>
          <w:rFonts w:ascii="Arial" w:cs="Arial" w:eastAsia="Arial" w:hAnsi="Arial"/>
          <w:sz w:val="19"/>
          <w:szCs w:val="19"/>
          <w:b w:val="1"/>
          <w:bCs w:val="1"/>
          <w:color w:val="auto"/>
        </w:rPr>
        <w:t>TC ENERGY CORPORATION</w:t>
      </w:r>
    </w:p>
    <w:p>
      <w:pPr>
        <w:spacing w:after="0" w:line="200" w:lineRule="exact"/>
        <w:rPr>
          <w:sz w:val="20"/>
          <w:szCs w:val="20"/>
          <w:color w:val="auto"/>
        </w:rPr>
      </w:pPr>
    </w:p>
    <w:p>
      <w:pPr>
        <w:spacing w:after="0" w:line="369" w:lineRule="exact"/>
        <w:rPr>
          <w:sz w:val="20"/>
          <w:szCs w:val="20"/>
          <w:color w:val="auto"/>
        </w:rPr>
      </w:pPr>
    </w:p>
    <w:p>
      <w:pPr>
        <w:ind w:left="4680"/>
        <w:spacing w:after="0"/>
        <w:tabs>
          <w:tab w:leader="none" w:pos="518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u w:val="single" w:color="auto"/>
          <w:color w:val="auto"/>
        </w:rPr>
        <w:t>/s/ Sean P. O'Donnell</w:t>
      </w:r>
    </w:p>
    <w:p>
      <w:pPr>
        <w:spacing w:after="0" w:line="31" w:lineRule="exact"/>
        <w:rPr>
          <w:sz w:val="20"/>
          <w:szCs w:val="20"/>
          <w:color w:val="auto"/>
        </w:rPr>
      </w:pPr>
    </w:p>
    <w:p>
      <w:pPr>
        <w:ind w:left="5200"/>
        <w:spacing w:after="0"/>
        <w:rPr>
          <w:sz w:val="20"/>
          <w:szCs w:val="20"/>
          <w:color w:val="auto"/>
        </w:rPr>
      </w:pPr>
      <w:r>
        <w:rPr>
          <w:rFonts w:ascii="Arial" w:cs="Arial" w:eastAsia="Arial" w:hAnsi="Arial"/>
          <w:sz w:val="20"/>
          <w:szCs w:val="20"/>
          <w:color w:val="auto"/>
        </w:rPr>
        <w:t>Sean P. O'Donnell</w:t>
      </w:r>
    </w:p>
    <w:p>
      <w:pPr>
        <w:spacing w:after="0" w:line="12" w:lineRule="exact"/>
        <w:rPr>
          <w:sz w:val="20"/>
          <w:szCs w:val="20"/>
          <w:color w:val="auto"/>
        </w:rPr>
      </w:pPr>
    </w:p>
    <w:p>
      <w:pPr>
        <w:ind w:left="5200"/>
        <w:spacing w:after="0"/>
        <w:rPr>
          <w:sz w:val="20"/>
          <w:szCs w:val="20"/>
          <w:color w:val="auto"/>
        </w:rPr>
      </w:pPr>
      <w:r>
        <w:rPr>
          <w:rFonts w:ascii="Arial" w:cs="Arial" w:eastAsia="Arial" w:hAnsi="Arial"/>
          <w:sz w:val="20"/>
          <w:szCs w:val="20"/>
          <w:color w:val="auto"/>
        </w:rPr>
        <w:t>Executive Vice-President, Strategy and Corporate Development and</w:t>
      </w:r>
    </w:p>
    <w:p>
      <w:pPr>
        <w:ind w:left="5200"/>
        <w:spacing w:after="0"/>
        <w:rPr>
          <w:sz w:val="20"/>
          <w:szCs w:val="20"/>
          <w:color w:val="auto"/>
        </w:rPr>
      </w:pPr>
      <w:r>
        <w:rPr>
          <w:rFonts w:ascii="Arial" w:cs="Arial" w:eastAsia="Arial" w:hAnsi="Arial"/>
          <w:sz w:val="20"/>
          <w:szCs w:val="20"/>
          <w:color w:val="auto"/>
        </w:rPr>
        <w:t>Chief Financial Officer</w:t>
      </w:r>
    </w:p>
    <w:p>
      <w:pPr>
        <w:spacing w:after="0" w:line="200" w:lineRule="exact"/>
        <w:rPr>
          <w:sz w:val="20"/>
          <w:szCs w:val="20"/>
          <w:color w:val="auto"/>
        </w:rPr>
      </w:pPr>
    </w:p>
    <w:p>
      <w:pPr>
        <w:spacing w:after="0" w:line="281" w:lineRule="exact"/>
        <w:rPr>
          <w:sz w:val="20"/>
          <w:szCs w:val="20"/>
          <w:color w:val="auto"/>
        </w:rPr>
      </w:pPr>
    </w:p>
    <w:p>
      <w:pPr>
        <w:ind w:left="4680"/>
        <w:spacing w:after="0"/>
        <w:tabs>
          <w:tab w:leader="none" w:pos="518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u w:val="single" w:color="auto"/>
          <w:color w:val="auto"/>
        </w:rPr>
        <w:t>/s/ Yvonne Frame-Zawalykut</w:t>
      </w:r>
    </w:p>
    <w:p>
      <w:pPr>
        <w:spacing w:after="0" w:line="31" w:lineRule="exact"/>
        <w:rPr>
          <w:sz w:val="20"/>
          <w:szCs w:val="20"/>
          <w:color w:val="auto"/>
        </w:rPr>
      </w:pPr>
    </w:p>
    <w:p>
      <w:pPr>
        <w:ind w:left="5200"/>
        <w:spacing w:after="0"/>
        <w:rPr>
          <w:sz w:val="20"/>
          <w:szCs w:val="20"/>
          <w:color w:val="auto"/>
        </w:rPr>
      </w:pPr>
      <w:r>
        <w:rPr>
          <w:rFonts w:ascii="Arial" w:cs="Arial" w:eastAsia="Arial" w:hAnsi="Arial"/>
          <w:sz w:val="20"/>
          <w:szCs w:val="20"/>
          <w:color w:val="auto"/>
        </w:rPr>
        <w:t>Yvonne Frame-Zawalykut</w:t>
      </w:r>
    </w:p>
    <w:p>
      <w:pPr>
        <w:spacing w:after="0" w:line="27" w:lineRule="exact"/>
        <w:rPr>
          <w:sz w:val="20"/>
          <w:szCs w:val="20"/>
          <w:color w:val="auto"/>
        </w:rPr>
      </w:pPr>
    </w:p>
    <w:p>
      <w:pPr>
        <w:ind w:left="5200"/>
        <w:spacing w:after="0"/>
        <w:rPr>
          <w:sz w:val="20"/>
          <w:szCs w:val="20"/>
          <w:color w:val="auto"/>
        </w:rPr>
      </w:pPr>
      <w:r>
        <w:rPr>
          <w:rFonts w:ascii="Arial" w:cs="Arial" w:eastAsia="Arial" w:hAnsi="Arial"/>
          <w:sz w:val="20"/>
          <w:szCs w:val="20"/>
          <w:color w:val="auto"/>
        </w:rPr>
        <w:t>Vice-President and Corporate Controller</w:t>
      </w:r>
    </w:p>
    <w:p>
      <w:pPr>
        <w:sectPr>
          <w:pgSz w:w="11900" w:h="16838" w:orient="portrait"/>
          <w:cols w:equalWidth="0" w:num="1">
            <w:col w:w="11240"/>
          </w:cols>
          <w:pgMar w:left="320" w:top="926"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5748655</wp:posOffset>
            </wp:positionH>
            <wp:positionV relativeFrom="paragraph">
              <wp:posOffset>608965</wp:posOffset>
            </wp:positionV>
            <wp:extent cx="1379855" cy="2743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9855" cy="27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20"/>
        <w:spacing w:after="0"/>
        <w:rPr>
          <w:sz w:val="20"/>
          <w:szCs w:val="20"/>
          <w:color w:val="auto"/>
        </w:rPr>
      </w:pPr>
      <w:r>
        <w:rPr>
          <w:rFonts w:ascii="Arial" w:cs="Arial" w:eastAsia="Arial" w:hAnsi="Arial"/>
          <w:sz w:val="29"/>
          <w:szCs w:val="29"/>
          <w:b w:val="1"/>
          <w:bCs w:val="1"/>
          <w:color w:val="auto"/>
        </w:rPr>
        <w:t xml:space="preserve">Quarterly </w:t>
      </w:r>
      <w:r>
        <w:rPr>
          <w:rFonts w:ascii="Arial" w:cs="Arial" w:eastAsia="Arial" w:hAnsi="Arial"/>
          <w:sz w:val="29"/>
          <w:szCs w:val="29"/>
          <w:color w:val="auto"/>
        </w:rPr>
        <w:t>Report to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TC Energy reports fourth quarter and full-year 2025 results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Strongest safety performance in five years drives 15 flow records and solid financial results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Progress in commercial discussions strengthens line of sight to incremental project announcements in 2026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Raises dividend for 26th consecutive year</w:t>
      </w:r>
    </w:p>
    <w:p>
      <w:pPr>
        <w:spacing w:after="0" w:line="248" w:lineRule="exact"/>
        <w:rPr>
          <w:sz w:val="20"/>
          <w:szCs w:val="20"/>
          <w:color w:val="auto"/>
        </w:rPr>
      </w:pPr>
    </w:p>
    <w:p>
      <w:pPr>
        <w:ind w:right="160"/>
        <w:spacing w:after="0" w:line="276" w:lineRule="auto"/>
        <w:rPr>
          <w:sz w:val="20"/>
          <w:szCs w:val="20"/>
          <w:color w:val="auto"/>
        </w:rPr>
      </w:pPr>
      <w:r>
        <w:rPr>
          <w:rFonts w:ascii="Arial" w:cs="Arial" w:eastAsia="Arial" w:hAnsi="Arial"/>
          <w:sz w:val="18"/>
          <w:szCs w:val="18"/>
          <w:color w:val="auto"/>
        </w:rPr>
        <w:t xml:space="preserve">CALGARY, Alberta – </w:t>
      </w:r>
      <w:r>
        <w:rPr>
          <w:rFonts w:ascii="Arial" w:cs="Arial" w:eastAsia="Arial" w:hAnsi="Arial"/>
          <w:sz w:val="18"/>
          <w:szCs w:val="18"/>
          <w:b w:val="1"/>
          <w:bCs w:val="1"/>
          <w:color w:val="auto"/>
        </w:rPr>
        <w:t>Feb. 13, 2026</w:t>
      </w:r>
      <w:r>
        <w:rPr>
          <w:rFonts w:ascii="Arial" w:cs="Arial" w:eastAsia="Arial" w:hAnsi="Arial"/>
          <w:sz w:val="18"/>
          <w:szCs w:val="18"/>
          <w:color w:val="auto"/>
        </w:rPr>
        <w:t xml:space="preserve"> – TC Energy Corporation (TSX, NYSE: TRP) (TC Energy or the Company) released its fourth quarter and full-year 2025 results today. François Poirier, TC Energy’s President and Chief Executive Officer commented, </w:t>
      </w:r>
      <w:r>
        <w:rPr>
          <w:rFonts w:ascii="Arial" w:cs="Arial" w:eastAsia="Arial" w:hAnsi="Arial"/>
          <w:sz w:val="18"/>
          <w:szCs w:val="18"/>
          <w:i w:val="1"/>
          <w:iCs w:val="1"/>
          <w:color w:val="auto"/>
        </w:rPr>
        <w:t>"</w:t>
      </w:r>
      <w:r>
        <w:rPr>
          <w:rFonts w:ascii="Arial" w:cs="Arial" w:eastAsia="Arial" w:hAnsi="Arial"/>
          <w:sz w:val="18"/>
          <w:szCs w:val="18"/>
          <w:color w:val="auto"/>
        </w:rPr>
        <w:t>Our safety-first culture is driving exceptional operational performance, leading to 15 flow records across our systems in 2025. Strong asset availability and reliability drove a 13 per cent year-over-year increase in fourth quarter comparable EBITDA</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and a 15 per cent increase in segmented earnings over the same period." Poirier continued, "As commercial discussions advance across a diverse set of high-quality opportunities, we remain confident in our ability in 2026 to fully allocate $6 billion of net annual capital expenditures through 2030 and have greater visibility to potentially surpass this level of investment in the latter part of the decade. Aligned with this momentum and clear line of sight to sustained growth, our Board of Directors approved a 3.2 per cent increase in quarterly common share dividend, marking our 26th consecutive year of dividend growth."</w:t>
      </w:r>
    </w:p>
    <w:p>
      <w:pPr>
        <w:spacing w:after="0" w:line="95" w:lineRule="exact"/>
        <w:rPr>
          <w:sz w:val="20"/>
          <w:szCs w:val="20"/>
          <w:color w:val="auto"/>
        </w:rPr>
      </w:pPr>
    </w:p>
    <w:p>
      <w:pPr>
        <w:spacing w:after="0"/>
        <w:rPr>
          <w:sz w:val="20"/>
          <w:szCs w:val="20"/>
          <w:color w:val="auto"/>
        </w:rPr>
      </w:pPr>
      <w:r>
        <w:rPr>
          <w:rFonts w:ascii="Arial" w:cs="Arial" w:eastAsia="Arial" w:hAnsi="Arial"/>
          <w:sz w:val="20"/>
          <w:szCs w:val="20"/>
          <w:b w:val="1"/>
          <w:bCs w:val="1"/>
          <w:color w:val="0D64EF"/>
        </w:rPr>
        <w:t>Financial Highlights</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 financial figures are unaudited and in Canadian dollars unless otherwise noted)</w:t>
      </w:r>
    </w:p>
    <w:p>
      <w:pPr>
        <w:spacing w:after="0" w:line="140" w:lineRule="exact"/>
        <w:rPr>
          <w:sz w:val="20"/>
          <w:szCs w:val="20"/>
          <w:color w:val="auto"/>
        </w:rPr>
      </w:pPr>
    </w:p>
    <w:p>
      <w:pPr>
        <w:ind w:left="140" w:hanging="132"/>
        <w:spacing w:after="0"/>
        <w:tabs>
          <w:tab w:leader="none" w:pos="140" w:val="left"/>
        </w:tabs>
        <w:numPr>
          <w:ilvl w:val="0"/>
          <w:numId w:val="1"/>
        </w:numPr>
        <w:rPr>
          <w:rFonts w:ascii="Arial" w:cs="Arial" w:eastAsia="Arial" w:hAnsi="Arial"/>
          <w:sz w:val="18"/>
          <w:szCs w:val="18"/>
          <w:color w:val="auto"/>
        </w:rPr>
      </w:pPr>
      <w:r>
        <w:rPr>
          <w:rFonts w:ascii="Arial" w:cs="Arial" w:eastAsia="Arial" w:hAnsi="Arial"/>
          <w:sz w:val="18"/>
          <w:szCs w:val="18"/>
          <w:color w:val="auto"/>
        </w:rPr>
        <w:t>Fourth quarter 2025 financial results from continuing operations</w:t>
      </w:r>
      <w:r>
        <w:rPr>
          <w:rFonts w:ascii="Arial" w:cs="Arial" w:eastAsia="Arial" w:hAnsi="Arial"/>
          <w:sz w:val="23"/>
          <w:szCs w:val="23"/>
          <w:color w:val="auto"/>
          <w:vertAlign w:val="superscript"/>
        </w:rPr>
        <w:t>2</w:t>
      </w:r>
      <w:r>
        <w:rPr>
          <w:rFonts w:ascii="Arial" w:cs="Arial" w:eastAsia="Arial" w:hAnsi="Arial"/>
          <w:sz w:val="18"/>
          <w:szCs w:val="18"/>
          <w:color w:val="auto"/>
        </w:rPr>
        <w:t>:</w:t>
      </w:r>
    </w:p>
    <w:p>
      <w:pPr>
        <w:spacing w:after="0" w:line="12" w:lineRule="exact"/>
        <w:rPr>
          <w:rFonts w:ascii="Arial" w:cs="Arial" w:eastAsia="Arial" w:hAnsi="Arial"/>
          <w:sz w:val="18"/>
          <w:szCs w:val="18"/>
          <w:color w:val="auto"/>
        </w:rPr>
      </w:pPr>
    </w:p>
    <w:p>
      <w:pPr>
        <w:ind w:left="340" w:right="40" w:hanging="170"/>
        <w:spacing w:after="0" w:line="258" w:lineRule="auto"/>
        <w:tabs>
          <w:tab w:leader="none" w:pos="336" w:val="left"/>
        </w:tabs>
        <w:numPr>
          <w:ilvl w:val="1"/>
          <w:numId w:val="1"/>
        </w:numPr>
        <w:rPr>
          <w:rFonts w:ascii="Arial" w:cs="Arial" w:eastAsia="Arial" w:hAnsi="Arial"/>
          <w:sz w:val="18"/>
          <w:szCs w:val="18"/>
          <w:color w:val="auto"/>
        </w:rPr>
      </w:pPr>
      <w:r>
        <w:rPr>
          <w:rFonts w:ascii="Arial" w:cs="Arial" w:eastAsia="Arial" w:hAnsi="Arial"/>
          <w:sz w:val="18"/>
          <w:szCs w:val="18"/>
          <w:b w:val="1"/>
          <w:bCs w:val="1"/>
          <w:color w:val="auto"/>
        </w:rPr>
        <w:t>Comparable earnings</w:t>
      </w:r>
      <w:r>
        <w:rPr>
          <w:rFonts w:ascii="Arial" w:cs="Arial" w:eastAsia="Arial" w:hAnsi="Arial"/>
          <w:sz w:val="23"/>
          <w:szCs w:val="23"/>
          <w:color w:val="auto"/>
          <w:vertAlign w:val="superscript"/>
        </w:rPr>
        <w:t>1</w:t>
      </w:r>
      <w:r>
        <w:rPr>
          <w:rFonts w:ascii="Arial" w:cs="Arial" w:eastAsia="Arial" w:hAnsi="Arial"/>
          <w:sz w:val="18"/>
          <w:szCs w:val="18"/>
          <w:b w:val="1"/>
          <w:bCs w:val="1"/>
          <w:color w:val="auto"/>
        </w:rPr>
        <w:t xml:space="preserve"> </w:t>
      </w:r>
      <w:r>
        <w:rPr>
          <w:rFonts w:ascii="Arial" w:cs="Arial" w:eastAsia="Arial" w:hAnsi="Arial"/>
          <w:sz w:val="18"/>
          <w:szCs w:val="18"/>
          <w:color w:val="auto"/>
        </w:rPr>
        <w:t>of $1.0 billion or $0.98 per common share</w:t>
      </w:r>
      <w:r>
        <w:rPr>
          <w:rFonts w:ascii="Arial" w:cs="Arial" w:eastAsia="Arial" w:hAnsi="Arial"/>
          <w:sz w:val="23"/>
          <w:szCs w:val="23"/>
          <w:color w:val="auto"/>
          <w:vertAlign w:val="superscript"/>
        </w:rPr>
        <w:t>1</w:t>
      </w:r>
      <w:r>
        <w:rPr>
          <w:rFonts w:ascii="Arial" w:cs="Arial" w:eastAsia="Arial" w:hAnsi="Arial"/>
          <w:sz w:val="18"/>
          <w:szCs w:val="18"/>
          <w:b w:val="1"/>
          <w:bCs w:val="1"/>
          <w:color w:val="auto"/>
        </w:rPr>
        <w:t xml:space="preserve"> </w:t>
      </w:r>
      <w:r>
        <w:rPr>
          <w:rFonts w:ascii="Arial" w:cs="Arial" w:eastAsia="Arial" w:hAnsi="Arial"/>
          <w:sz w:val="18"/>
          <w:szCs w:val="18"/>
          <w:color w:val="auto"/>
        </w:rPr>
        <w:t>compared to $1.1 billion or $1.05 per common share in fourth quarter</w:t>
      </w:r>
      <w:r>
        <w:rPr>
          <w:rFonts w:ascii="Arial" w:cs="Arial" w:eastAsia="Arial" w:hAnsi="Arial"/>
          <w:sz w:val="18"/>
          <w:szCs w:val="18"/>
          <w:b w:val="1"/>
          <w:bCs w:val="1"/>
          <w:color w:val="auto"/>
        </w:rPr>
        <w:t xml:space="preserve"> </w:t>
      </w:r>
      <w:r>
        <w:rPr>
          <w:rFonts w:ascii="Arial" w:cs="Arial" w:eastAsia="Arial" w:hAnsi="Arial"/>
          <w:sz w:val="18"/>
          <w:szCs w:val="18"/>
          <w:color w:val="auto"/>
        </w:rPr>
        <w:t>2024</w:t>
      </w:r>
    </w:p>
    <w:p>
      <w:pPr>
        <w:spacing w:after="0" w:line="1" w:lineRule="exact"/>
        <w:rPr>
          <w:rFonts w:ascii="Arial" w:cs="Arial" w:eastAsia="Arial" w:hAnsi="Arial"/>
          <w:sz w:val="18"/>
          <w:szCs w:val="18"/>
          <w:color w:val="auto"/>
        </w:rPr>
      </w:pPr>
    </w:p>
    <w:p>
      <w:pPr>
        <w:ind w:left="340" w:right="180" w:hanging="170"/>
        <w:spacing w:after="0" w:line="305" w:lineRule="auto"/>
        <w:tabs>
          <w:tab w:leader="none" w:pos="336" w:val="left"/>
        </w:tabs>
        <w:numPr>
          <w:ilvl w:val="1"/>
          <w:numId w:val="1"/>
        </w:numPr>
        <w:rPr>
          <w:rFonts w:ascii="Arial" w:cs="Arial" w:eastAsia="Arial" w:hAnsi="Arial"/>
          <w:sz w:val="18"/>
          <w:szCs w:val="18"/>
          <w:color w:val="auto"/>
        </w:rPr>
      </w:pPr>
      <w:r>
        <w:rPr>
          <w:rFonts w:ascii="Arial" w:cs="Arial" w:eastAsia="Arial" w:hAnsi="Arial"/>
          <w:sz w:val="18"/>
          <w:szCs w:val="18"/>
          <w:b w:val="1"/>
          <w:bCs w:val="1"/>
          <w:color w:val="auto"/>
        </w:rPr>
        <w:t xml:space="preserve">Net income attributable to common shares </w:t>
      </w:r>
      <w:r>
        <w:rPr>
          <w:rFonts w:ascii="Arial" w:cs="Arial" w:eastAsia="Arial" w:hAnsi="Arial"/>
          <w:sz w:val="18"/>
          <w:szCs w:val="18"/>
          <w:color w:val="auto"/>
        </w:rPr>
        <w:t>of $1.0 billion or $0.92 per common share compared to $1.1 billion or $1.03 per common</w:t>
      </w:r>
      <w:r>
        <w:rPr>
          <w:rFonts w:ascii="Arial" w:cs="Arial" w:eastAsia="Arial" w:hAnsi="Arial"/>
          <w:sz w:val="18"/>
          <w:szCs w:val="18"/>
          <w:b w:val="1"/>
          <w:bCs w:val="1"/>
          <w:color w:val="auto"/>
        </w:rPr>
        <w:t xml:space="preserve"> </w:t>
      </w:r>
      <w:r>
        <w:rPr>
          <w:rFonts w:ascii="Arial" w:cs="Arial" w:eastAsia="Arial" w:hAnsi="Arial"/>
          <w:sz w:val="18"/>
          <w:szCs w:val="18"/>
          <w:color w:val="auto"/>
        </w:rPr>
        <w:t>share in fourth quarter 2024</w:t>
      </w:r>
    </w:p>
    <w:p>
      <w:pPr>
        <w:ind w:left="320" w:hanging="150"/>
        <w:spacing w:after="0"/>
        <w:tabs>
          <w:tab w:leader="none" w:pos="320" w:val="left"/>
        </w:tabs>
        <w:numPr>
          <w:ilvl w:val="1"/>
          <w:numId w:val="1"/>
        </w:numPr>
        <w:rPr>
          <w:rFonts w:ascii="Arial" w:cs="Arial" w:eastAsia="Arial" w:hAnsi="Arial"/>
          <w:sz w:val="18"/>
          <w:szCs w:val="18"/>
          <w:color w:val="auto"/>
        </w:rPr>
      </w:pPr>
      <w:r>
        <w:rPr>
          <w:rFonts w:ascii="Arial" w:cs="Arial" w:eastAsia="Arial" w:hAnsi="Arial"/>
          <w:sz w:val="18"/>
          <w:szCs w:val="18"/>
          <w:b w:val="1"/>
          <w:bCs w:val="1"/>
          <w:color w:val="auto"/>
        </w:rPr>
        <w:t xml:space="preserve">Comparable EBITDA </w:t>
      </w:r>
      <w:r>
        <w:rPr>
          <w:rFonts w:ascii="Arial" w:cs="Arial" w:eastAsia="Arial" w:hAnsi="Arial"/>
          <w:sz w:val="18"/>
          <w:szCs w:val="18"/>
          <w:color w:val="auto"/>
        </w:rPr>
        <w:t>of $3.0 billion compared to $2.6 billion in fourth quarter 2024</w:t>
      </w:r>
    </w:p>
    <w:p>
      <w:pPr>
        <w:spacing w:after="0" w:line="49" w:lineRule="exact"/>
        <w:rPr>
          <w:rFonts w:ascii="Arial" w:cs="Arial" w:eastAsia="Arial" w:hAnsi="Arial"/>
          <w:sz w:val="18"/>
          <w:szCs w:val="18"/>
          <w:color w:val="auto"/>
        </w:rPr>
      </w:pPr>
    </w:p>
    <w:p>
      <w:pPr>
        <w:ind w:left="320" w:hanging="150"/>
        <w:spacing w:after="0"/>
        <w:tabs>
          <w:tab w:leader="none" w:pos="320" w:val="left"/>
        </w:tabs>
        <w:numPr>
          <w:ilvl w:val="1"/>
          <w:numId w:val="1"/>
        </w:numPr>
        <w:rPr>
          <w:rFonts w:ascii="Arial" w:cs="Arial" w:eastAsia="Arial" w:hAnsi="Arial"/>
          <w:sz w:val="18"/>
          <w:szCs w:val="18"/>
          <w:color w:val="auto"/>
        </w:rPr>
      </w:pPr>
      <w:r>
        <w:rPr>
          <w:rFonts w:ascii="Arial" w:cs="Arial" w:eastAsia="Arial" w:hAnsi="Arial"/>
          <w:sz w:val="18"/>
          <w:szCs w:val="18"/>
          <w:b w:val="1"/>
          <w:bCs w:val="1"/>
          <w:color w:val="auto"/>
        </w:rPr>
        <w:t xml:space="preserve">Segmented earnings </w:t>
      </w:r>
      <w:r>
        <w:rPr>
          <w:rFonts w:ascii="Arial" w:cs="Arial" w:eastAsia="Arial" w:hAnsi="Arial"/>
          <w:sz w:val="18"/>
          <w:szCs w:val="18"/>
          <w:color w:val="auto"/>
        </w:rPr>
        <w:t>of $2.2 billion compared to $1.9 billion in fourth quarter 2024</w:t>
      </w:r>
    </w:p>
    <w:p>
      <w:pPr>
        <w:spacing w:after="0" w:line="49" w:lineRule="exact"/>
        <w:rPr>
          <w:rFonts w:ascii="Arial" w:cs="Arial" w:eastAsia="Arial" w:hAnsi="Arial"/>
          <w:sz w:val="18"/>
          <w:szCs w:val="18"/>
          <w:color w:val="auto"/>
        </w:rPr>
      </w:pPr>
    </w:p>
    <w:p>
      <w:pPr>
        <w:ind w:left="140" w:hanging="132"/>
        <w:spacing w:after="0"/>
        <w:tabs>
          <w:tab w:leader="none" w:pos="140" w:val="left"/>
        </w:tabs>
        <w:numPr>
          <w:ilvl w:val="0"/>
          <w:numId w:val="1"/>
        </w:numPr>
        <w:rPr>
          <w:rFonts w:ascii="Arial" w:cs="Arial" w:eastAsia="Arial" w:hAnsi="Arial"/>
          <w:sz w:val="18"/>
          <w:szCs w:val="18"/>
          <w:color w:val="auto"/>
        </w:rPr>
      </w:pPr>
      <w:r>
        <w:rPr>
          <w:rFonts w:ascii="Arial" w:cs="Arial" w:eastAsia="Arial" w:hAnsi="Arial"/>
          <w:sz w:val="18"/>
          <w:szCs w:val="18"/>
          <w:color w:val="auto"/>
        </w:rPr>
        <w:t>Year ended Dec. 31, 2025 financial results from continuing operations</w:t>
      </w:r>
    </w:p>
    <w:p>
      <w:pPr>
        <w:spacing w:after="0" w:line="63" w:lineRule="exact"/>
        <w:rPr>
          <w:rFonts w:ascii="Arial" w:cs="Arial" w:eastAsia="Arial" w:hAnsi="Arial"/>
          <w:sz w:val="18"/>
          <w:szCs w:val="18"/>
          <w:color w:val="auto"/>
        </w:rPr>
      </w:pPr>
    </w:p>
    <w:p>
      <w:pPr>
        <w:ind w:left="320" w:hanging="150"/>
        <w:spacing w:after="0"/>
        <w:tabs>
          <w:tab w:leader="none" w:pos="320" w:val="left"/>
        </w:tabs>
        <w:numPr>
          <w:ilvl w:val="1"/>
          <w:numId w:val="1"/>
        </w:numPr>
        <w:rPr>
          <w:rFonts w:ascii="Arial" w:cs="Arial" w:eastAsia="Arial" w:hAnsi="Arial"/>
          <w:sz w:val="18"/>
          <w:szCs w:val="18"/>
          <w:color w:val="auto"/>
        </w:rPr>
      </w:pPr>
      <w:r>
        <w:rPr>
          <w:rFonts w:ascii="Arial" w:cs="Arial" w:eastAsia="Arial" w:hAnsi="Arial"/>
          <w:sz w:val="18"/>
          <w:szCs w:val="18"/>
          <w:b w:val="1"/>
          <w:bCs w:val="1"/>
          <w:color w:val="auto"/>
        </w:rPr>
        <w:t xml:space="preserve">Comparable EBITDA </w:t>
      </w:r>
      <w:r>
        <w:rPr>
          <w:rFonts w:ascii="Arial" w:cs="Arial" w:eastAsia="Arial" w:hAnsi="Arial"/>
          <w:sz w:val="18"/>
          <w:szCs w:val="18"/>
          <w:color w:val="auto"/>
        </w:rPr>
        <w:t>of $11.0 billion compared to $10.0 billion in 2024</w:t>
      </w:r>
    </w:p>
    <w:p>
      <w:pPr>
        <w:spacing w:after="0" w:line="49" w:lineRule="exact"/>
        <w:rPr>
          <w:rFonts w:ascii="Arial" w:cs="Arial" w:eastAsia="Arial" w:hAnsi="Arial"/>
          <w:sz w:val="18"/>
          <w:szCs w:val="18"/>
          <w:color w:val="auto"/>
        </w:rPr>
      </w:pPr>
    </w:p>
    <w:p>
      <w:pPr>
        <w:ind w:left="320" w:hanging="150"/>
        <w:spacing w:after="0"/>
        <w:tabs>
          <w:tab w:leader="none" w:pos="320" w:val="left"/>
        </w:tabs>
        <w:numPr>
          <w:ilvl w:val="1"/>
          <w:numId w:val="1"/>
        </w:numPr>
        <w:rPr>
          <w:rFonts w:ascii="Arial" w:cs="Arial" w:eastAsia="Arial" w:hAnsi="Arial"/>
          <w:sz w:val="18"/>
          <w:szCs w:val="18"/>
          <w:color w:val="auto"/>
        </w:rPr>
      </w:pPr>
      <w:r>
        <w:rPr>
          <w:rFonts w:ascii="Arial" w:cs="Arial" w:eastAsia="Arial" w:hAnsi="Arial"/>
          <w:sz w:val="18"/>
          <w:szCs w:val="18"/>
          <w:b w:val="1"/>
          <w:bCs w:val="1"/>
          <w:color w:val="auto"/>
        </w:rPr>
        <w:t>Segmented earning</w:t>
      </w:r>
      <w:r>
        <w:rPr>
          <w:rFonts w:ascii="Arial" w:cs="Arial" w:eastAsia="Arial" w:hAnsi="Arial"/>
          <w:sz w:val="18"/>
          <w:szCs w:val="18"/>
          <w:color w:val="auto"/>
        </w:rPr>
        <w:t>s of $8.0 billion compared to $8.0 billion in 2024</w:t>
      </w:r>
    </w:p>
    <w:p>
      <w:pPr>
        <w:spacing w:after="0" w:line="49" w:lineRule="exact"/>
        <w:rPr>
          <w:rFonts w:ascii="Arial" w:cs="Arial" w:eastAsia="Arial" w:hAnsi="Arial"/>
          <w:sz w:val="18"/>
          <w:szCs w:val="18"/>
          <w:color w:val="auto"/>
        </w:rPr>
      </w:pPr>
    </w:p>
    <w:p>
      <w:pPr>
        <w:ind w:left="180" w:right="20" w:hanging="172"/>
        <w:spacing w:after="0" w:line="305" w:lineRule="auto"/>
        <w:tabs>
          <w:tab w:leader="none" w:pos="148" w:val="left"/>
        </w:tabs>
        <w:numPr>
          <w:ilvl w:val="0"/>
          <w:numId w:val="1"/>
        </w:numPr>
        <w:rPr>
          <w:rFonts w:ascii="Arial" w:cs="Arial" w:eastAsia="Arial" w:hAnsi="Arial"/>
          <w:sz w:val="18"/>
          <w:szCs w:val="18"/>
          <w:color w:val="auto"/>
        </w:rPr>
      </w:pPr>
      <w:r>
        <w:rPr>
          <w:rFonts w:ascii="Arial" w:cs="Arial" w:eastAsia="Arial" w:hAnsi="Arial"/>
          <w:sz w:val="18"/>
          <w:szCs w:val="18"/>
          <w:color w:val="auto"/>
        </w:rPr>
        <w:t>TC Energy’s Board of Directors approved a 3.2 per cent increase in the quarterly common share dividend of $0.8775 per common share for the quarter ending March 31, 2026, equivalent to $3.51 on an annualized basis. This is the 26th consecutive year of dividend increase</w:t>
      </w:r>
    </w:p>
    <w:p>
      <w:pPr>
        <w:ind w:left="140" w:hanging="132"/>
        <w:spacing w:after="0"/>
        <w:tabs>
          <w:tab w:leader="none" w:pos="140" w:val="left"/>
        </w:tabs>
        <w:numPr>
          <w:ilvl w:val="0"/>
          <w:numId w:val="1"/>
        </w:numPr>
        <w:rPr>
          <w:rFonts w:ascii="Arial" w:cs="Arial" w:eastAsia="Arial" w:hAnsi="Arial"/>
          <w:sz w:val="18"/>
          <w:szCs w:val="18"/>
          <w:color w:val="auto"/>
        </w:rPr>
      </w:pPr>
      <w:r>
        <w:rPr>
          <w:rFonts w:ascii="Arial" w:cs="Arial" w:eastAsia="Arial" w:hAnsi="Arial"/>
          <w:sz w:val="18"/>
          <w:szCs w:val="18"/>
          <w:color w:val="auto"/>
        </w:rPr>
        <w:t>2026 outlook:</w:t>
      </w:r>
    </w:p>
    <w:p>
      <w:pPr>
        <w:spacing w:after="0" w:line="49" w:lineRule="exact"/>
        <w:rPr>
          <w:rFonts w:ascii="Arial" w:cs="Arial" w:eastAsia="Arial" w:hAnsi="Arial"/>
          <w:sz w:val="18"/>
          <w:szCs w:val="18"/>
          <w:color w:val="auto"/>
        </w:rPr>
      </w:pPr>
    </w:p>
    <w:p>
      <w:pPr>
        <w:ind w:left="320" w:hanging="150"/>
        <w:spacing w:after="0"/>
        <w:tabs>
          <w:tab w:leader="none" w:pos="320" w:val="left"/>
        </w:tabs>
        <w:numPr>
          <w:ilvl w:val="1"/>
          <w:numId w:val="1"/>
        </w:numPr>
        <w:rPr>
          <w:rFonts w:ascii="Arial" w:cs="Arial" w:eastAsia="Arial" w:hAnsi="Arial"/>
          <w:sz w:val="18"/>
          <w:szCs w:val="18"/>
          <w:color w:val="auto"/>
        </w:rPr>
      </w:pPr>
      <w:r>
        <w:rPr>
          <w:rFonts w:ascii="Arial" w:cs="Arial" w:eastAsia="Arial" w:hAnsi="Arial"/>
          <w:sz w:val="18"/>
          <w:szCs w:val="18"/>
          <w:color w:val="auto"/>
        </w:rPr>
        <w:t xml:space="preserve">We expect our </w:t>
      </w:r>
      <w:r>
        <w:rPr>
          <w:rFonts w:ascii="Arial" w:cs="Arial" w:eastAsia="Arial" w:hAnsi="Arial"/>
          <w:sz w:val="18"/>
          <w:szCs w:val="18"/>
          <w:b w:val="1"/>
          <w:bCs w:val="1"/>
          <w:color w:val="auto"/>
        </w:rPr>
        <w:t>2026 comparable EBITDA and comparable earnings per common share (EPS)</w:t>
      </w:r>
      <w:r>
        <w:rPr>
          <w:rFonts w:ascii="Arial" w:cs="Arial" w:eastAsia="Arial" w:hAnsi="Arial"/>
          <w:sz w:val="18"/>
          <w:szCs w:val="18"/>
          <w:color w:val="auto"/>
        </w:rPr>
        <w:t xml:space="preserve"> outlooks to be higher than 2025</w:t>
      </w:r>
    </w:p>
    <w:p>
      <w:pPr>
        <w:spacing w:after="0" w:line="63" w:lineRule="exact"/>
        <w:rPr>
          <w:rFonts w:ascii="Arial" w:cs="Arial" w:eastAsia="Arial" w:hAnsi="Arial"/>
          <w:sz w:val="18"/>
          <w:szCs w:val="18"/>
          <w:color w:val="auto"/>
        </w:rPr>
      </w:pPr>
    </w:p>
    <w:p>
      <w:pPr>
        <w:ind w:left="320" w:hanging="150"/>
        <w:spacing w:after="0"/>
        <w:tabs>
          <w:tab w:leader="none" w:pos="320" w:val="left"/>
        </w:tabs>
        <w:numPr>
          <w:ilvl w:val="1"/>
          <w:numId w:val="1"/>
        </w:numPr>
        <w:rPr>
          <w:rFonts w:ascii="Arial" w:cs="Arial" w:eastAsia="Arial" w:hAnsi="Arial"/>
          <w:sz w:val="18"/>
          <w:szCs w:val="18"/>
          <w:color w:val="auto"/>
        </w:rPr>
      </w:pPr>
      <w:r>
        <w:rPr>
          <w:rFonts w:ascii="Arial" w:cs="Arial" w:eastAsia="Arial" w:hAnsi="Arial"/>
          <w:sz w:val="18"/>
          <w:szCs w:val="18"/>
          <w:b w:val="1"/>
          <w:bCs w:val="1"/>
          <w:color w:val="auto"/>
        </w:rPr>
        <w:t xml:space="preserve">Comparable EBITDA </w:t>
      </w:r>
      <w:r>
        <w:rPr>
          <w:rFonts w:ascii="Arial" w:cs="Arial" w:eastAsia="Arial" w:hAnsi="Arial"/>
          <w:sz w:val="18"/>
          <w:szCs w:val="18"/>
          <w:color w:val="auto"/>
        </w:rPr>
        <w:t>is expected to be $11.6 to $11.8 billion</w:t>
      </w:r>
    </w:p>
    <w:p>
      <w:pPr>
        <w:spacing w:after="0" w:line="49" w:lineRule="exact"/>
        <w:rPr>
          <w:rFonts w:ascii="Arial" w:cs="Arial" w:eastAsia="Arial" w:hAnsi="Arial"/>
          <w:sz w:val="18"/>
          <w:szCs w:val="18"/>
          <w:color w:val="auto"/>
        </w:rPr>
      </w:pPr>
    </w:p>
    <w:p>
      <w:pPr>
        <w:ind w:left="340" w:right="140" w:hanging="170"/>
        <w:spacing w:after="0" w:line="336" w:lineRule="auto"/>
        <w:tabs>
          <w:tab w:leader="none" w:pos="336" w:val="left"/>
        </w:tabs>
        <w:numPr>
          <w:ilvl w:val="1"/>
          <w:numId w:val="1"/>
        </w:numPr>
        <w:rPr>
          <w:rFonts w:ascii="Arial" w:cs="Arial" w:eastAsia="Arial" w:hAnsi="Arial"/>
          <w:sz w:val="18"/>
          <w:szCs w:val="18"/>
          <w:color w:val="auto"/>
        </w:rPr>
      </w:pPr>
      <w:r>
        <w:rPr>
          <w:rFonts w:ascii="Arial" w:cs="Arial" w:eastAsia="Arial" w:hAnsi="Arial"/>
          <w:sz w:val="18"/>
          <w:szCs w:val="18"/>
          <w:b w:val="1"/>
          <w:bCs w:val="1"/>
          <w:color w:val="auto"/>
        </w:rPr>
        <w:t xml:space="preserve">Capital expenditures </w:t>
      </w:r>
      <w:r>
        <w:rPr>
          <w:rFonts w:ascii="Arial" w:cs="Arial" w:eastAsia="Arial" w:hAnsi="Arial"/>
          <w:sz w:val="18"/>
          <w:szCs w:val="18"/>
          <w:color w:val="auto"/>
        </w:rPr>
        <w:t>are anticipated to be $6.0 to $6.5 billion prior to adjustments for non-controlling interests, or $5.5 to $6.0 billion of</w:t>
      </w:r>
      <w:r>
        <w:rPr>
          <w:rFonts w:ascii="Arial" w:cs="Arial" w:eastAsia="Arial" w:hAnsi="Arial"/>
          <w:sz w:val="18"/>
          <w:szCs w:val="18"/>
          <w:b w:val="1"/>
          <w:bCs w:val="1"/>
          <w:color w:val="auto"/>
        </w:rPr>
        <w:t xml:space="preserve"> </w:t>
      </w:r>
      <w:r>
        <w:rPr>
          <w:rFonts w:ascii="Arial" w:cs="Arial" w:eastAsia="Arial" w:hAnsi="Arial"/>
          <w:sz w:val="18"/>
          <w:szCs w:val="18"/>
          <w:color w:val="auto"/>
        </w:rPr>
        <w:t>net capital expenditures.</w:t>
      </w:r>
      <w:r>
        <w:rPr>
          <w:rFonts w:ascii="Arial" w:cs="Arial" w:eastAsia="Arial" w:hAnsi="Arial"/>
          <w:sz w:val="23"/>
          <w:szCs w:val="23"/>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244475</wp:posOffset>
            </wp:positionV>
            <wp:extent cx="17145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00" w:lineRule="exact"/>
        <w:rPr>
          <w:sz w:val="20"/>
          <w:szCs w:val="20"/>
          <w:color w:val="auto"/>
        </w:rPr>
      </w:pPr>
    </w:p>
    <w:p>
      <w:pPr>
        <w:spacing w:after="0" w:line="318" w:lineRule="exact"/>
        <w:rPr>
          <w:sz w:val="20"/>
          <w:szCs w:val="20"/>
          <w:color w:val="auto"/>
        </w:rPr>
      </w:pPr>
    </w:p>
    <w:p>
      <w:pPr>
        <w:ind w:right="60" w:firstLine="8"/>
        <w:spacing w:after="0" w:line="273" w:lineRule="auto"/>
        <w:tabs>
          <w:tab w:leader="none" w:pos="102" w:val="left"/>
        </w:tabs>
        <w:numPr>
          <w:ilvl w:val="0"/>
          <w:numId w:val="2"/>
        </w:numPr>
        <w:rPr>
          <w:rFonts w:ascii="Arial" w:cs="Arial" w:eastAsia="Arial" w:hAnsi="Arial"/>
          <w:sz w:val="19"/>
          <w:szCs w:val="19"/>
          <w:color w:val="auto"/>
          <w:vertAlign w:val="superscript"/>
        </w:rPr>
      </w:pPr>
      <w:r>
        <w:rPr>
          <w:rFonts w:ascii="Arial" w:cs="Arial" w:eastAsia="Arial" w:hAnsi="Arial"/>
          <w:sz w:val="14"/>
          <w:szCs w:val="14"/>
          <w:color w:val="auto"/>
        </w:rPr>
        <w:t>Comparable EBITDA, comparable earnings and comparable earnings per common share are non-GAAP measures used throughout this news release. These measures do not have any standardized meaning under GAAP and therefore are unlikely to be comparable to similar measures presented by other companies. The most directly comparable</w:t>
      </w:r>
    </w:p>
    <w:p>
      <w:pPr>
        <w:ind w:right="580"/>
        <w:spacing w:after="0" w:line="310" w:lineRule="auto"/>
        <w:rPr>
          <w:rFonts w:ascii="Arial" w:cs="Arial" w:eastAsia="Arial" w:hAnsi="Arial"/>
          <w:sz w:val="19"/>
          <w:szCs w:val="19"/>
          <w:color w:val="auto"/>
          <w:vertAlign w:val="superscript"/>
        </w:rPr>
      </w:pPr>
      <w:r>
        <w:rPr>
          <w:rFonts w:ascii="Arial" w:cs="Arial" w:eastAsia="Arial" w:hAnsi="Arial"/>
          <w:sz w:val="14"/>
          <w:szCs w:val="14"/>
          <w:color w:val="auto"/>
        </w:rPr>
        <w:t>GAAP measures are Segmented earnings, Net income attributable to common shares and Net income per common share, respectively. We do not forecast Segmented earnings. For more information on non-GAAP measures, refer to the Non-GAAP and Supplementary financial measure section of this news release.</w:t>
      </w:r>
    </w:p>
    <w:p>
      <w:pPr>
        <w:spacing w:after="0"/>
        <w:rPr>
          <w:rFonts w:ascii="Arial" w:cs="Arial" w:eastAsia="Arial" w:hAnsi="Arial"/>
          <w:sz w:val="19"/>
          <w:szCs w:val="19"/>
          <w:color w:val="auto"/>
          <w:vertAlign w:val="superscript"/>
        </w:rPr>
      </w:pPr>
      <w:r>
        <w:rPr>
          <w:rFonts w:ascii="Arial" w:cs="Arial" w:eastAsia="Arial" w:hAnsi="Arial"/>
          <w:sz w:val="18"/>
          <w:szCs w:val="18"/>
          <w:color w:val="auto"/>
          <w:vertAlign w:val="superscript"/>
        </w:rPr>
        <w:t>2</w:t>
      </w:r>
      <w:r>
        <w:rPr>
          <w:rFonts w:ascii="Arial" w:cs="Arial" w:eastAsia="Arial" w:hAnsi="Arial"/>
          <w:sz w:val="14"/>
          <w:szCs w:val="14"/>
          <w:color w:val="auto"/>
        </w:rPr>
        <w:t xml:space="preserve"> Prior year results have been recast to reflect the Liquids Pipelines business as a discontinued operation as a result of the Spinoff Transaction.</w:t>
      </w:r>
    </w:p>
    <w:p>
      <w:pPr>
        <w:spacing w:after="0" w:line="11" w:lineRule="exact"/>
        <w:rPr>
          <w:rFonts w:ascii="Arial" w:cs="Arial" w:eastAsia="Arial" w:hAnsi="Arial"/>
          <w:sz w:val="19"/>
          <w:szCs w:val="19"/>
          <w:color w:val="auto"/>
          <w:vertAlign w:val="superscript"/>
        </w:rPr>
      </w:pPr>
    </w:p>
    <w:p>
      <w:pPr>
        <w:ind w:right="60"/>
        <w:spacing w:after="0" w:line="276" w:lineRule="auto"/>
        <w:rPr>
          <w:rFonts w:ascii="Arial" w:cs="Arial" w:eastAsia="Arial" w:hAnsi="Arial"/>
          <w:sz w:val="19"/>
          <w:szCs w:val="19"/>
          <w:color w:val="auto"/>
          <w:vertAlign w:val="superscript"/>
        </w:rPr>
      </w:pPr>
      <w:r>
        <w:rPr>
          <w:rFonts w:ascii="Arial" w:cs="Arial" w:eastAsia="Arial" w:hAnsi="Arial"/>
          <w:sz w:val="18"/>
          <w:szCs w:val="18"/>
          <w:color w:val="auto"/>
          <w:vertAlign w:val="superscript"/>
        </w:rPr>
        <w:t>3</w:t>
      </w:r>
      <w:r>
        <w:rPr>
          <w:rFonts w:ascii="Arial" w:cs="Arial" w:eastAsia="Arial" w:hAnsi="Arial"/>
          <w:sz w:val="14"/>
          <w:szCs w:val="14"/>
          <w:color w:val="auto"/>
        </w:rPr>
        <w:t xml:space="preserve"> Net capital expenditures are adjusted for the portion attributed to non-controlling interests and is a supplementary financial measure used throughout this news release. For more information on non-GAAP measures and the supplementary financial measure, refer to the Non-GAAP and Supplementary financial measure section of this news release.</w:t>
      </w:r>
    </w:p>
    <w:p>
      <w:pPr>
        <w:sectPr>
          <w:pgSz w:w="11900" w:h="16838" w:orient="portrait"/>
          <w:cols w:equalWidth="0" w:num="1">
            <w:col w:w="11240"/>
          </w:cols>
          <w:pgMar w:left="320" w:top="148" w:right="339" w:bottom="1440" w:gutter="0" w:footer="0" w:header="0"/>
        </w:sectPr>
      </w:pPr>
    </w:p>
    <w:bookmarkStart w:id="4" w:name="page5"/>
    <w:bookmarkEnd w:id="4"/>
    <w:p>
      <w:pPr>
        <w:spacing w:after="0"/>
        <w:rPr>
          <w:sz w:val="20"/>
          <w:szCs w:val="20"/>
          <w:color w:val="auto"/>
        </w:rPr>
      </w:pPr>
      <w:r>
        <w:rPr>
          <w:rFonts w:ascii="Arial" w:cs="Arial" w:eastAsia="Arial" w:hAnsi="Arial"/>
          <w:sz w:val="20"/>
          <w:szCs w:val="20"/>
          <w:b w:val="1"/>
          <w:bCs w:val="1"/>
          <w:color w:val="0D64EF"/>
        </w:rPr>
        <w:t>Operational Highlights</w:t>
      </w:r>
    </w:p>
    <w:p>
      <w:pPr>
        <w:spacing w:after="0" w:line="58" w:lineRule="exact"/>
        <w:rPr>
          <w:sz w:val="20"/>
          <w:szCs w:val="20"/>
          <w:color w:val="auto"/>
        </w:rPr>
      </w:pPr>
    </w:p>
    <w:p>
      <w:pPr>
        <w:ind w:left="180" w:right="280" w:hanging="172"/>
        <w:spacing w:after="0" w:line="305" w:lineRule="auto"/>
        <w:tabs>
          <w:tab w:leader="none" w:pos="148" w:val="left"/>
        </w:tabs>
        <w:numPr>
          <w:ilvl w:val="0"/>
          <w:numId w:val="3"/>
        </w:numPr>
        <w:rPr>
          <w:rFonts w:ascii="Arial" w:cs="Arial" w:eastAsia="Arial" w:hAnsi="Arial"/>
          <w:sz w:val="18"/>
          <w:szCs w:val="18"/>
          <w:color w:val="auto"/>
        </w:rPr>
      </w:pPr>
      <w:r>
        <w:rPr>
          <w:rFonts w:ascii="Arial" w:cs="Arial" w:eastAsia="Arial" w:hAnsi="Arial"/>
          <w:sz w:val="18"/>
          <w:szCs w:val="18"/>
          <w:color w:val="auto"/>
        </w:rPr>
        <w:t>Canadian Natural Gas Pipelines deliveries averaged 27.2 Bcf/d, up five per cent compared to fourth quarter 2024 and set a new all-time delivery record of 33.2 Bcf on Jan. 22, 2026</w:t>
      </w:r>
    </w:p>
    <w:p>
      <w:pPr>
        <w:ind w:left="320" w:hanging="150"/>
        <w:spacing w:after="0"/>
        <w:tabs>
          <w:tab w:leader="none" w:pos="32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NGTL system receipts averaged 15.5 Bcf/d, up two per cent compared to fourth quarter 2024</w:t>
      </w:r>
    </w:p>
    <w:p>
      <w:pPr>
        <w:spacing w:after="0" w:line="49" w:lineRule="exact"/>
        <w:rPr>
          <w:rFonts w:ascii="Arial" w:cs="Arial" w:eastAsia="Arial" w:hAnsi="Arial"/>
          <w:sz w:val="18"/>
          <w:szCs w:val="18"/>
          <w:color w:val="auto"/>
        </w:rPr>
      </w:pPr>
    </w:p>
    <w:p>
      <w:pPr>
        <w:ind w:left="320" w:hanging="150"/>
        <w:spacing w:after="0"/>
        <w:tabs>
          <w:tab w:leader="none" w:pos="320" w:val="left"/>
        </w:tabs>
        <w:numPr>
          <w:ilvl w:val="1"/>
          <w:numId w:val="3"/>
        </w:numPr>
        <w:rPr>
          <w:rFonts w:ascii="Arial" w:cs="Arial" w:eastAsia="Arial" w:hAnsi="Arial"/>
          <w:sz w:val="18"/>
          <w:szCs w:val="18"/>
          <w:color w:val="auto"/>
        </w:rPr>
      </w:pPr>
      <w:r>
        <w:rPr>
          <w:rFonts w:ascii="Arial" w:cs="Arial" w:eastAsia="Arial" w:hAnsi="Arial"/>
          <w:sz w:val="18"/>
          <w:szCs w:val="18"/>
          <w:color w:val="auto"/>
        </w:rPr>
        <w:t>NGTL System deliveries set a new all-time delivery record of 18.3 Bcf on Jan. 22, 2026</w:t>
      </w:r>
    </w:p>
    <w:p>
      <w:pPr>
        <w:spacing w:after="0" w:line="63" w:lineRule="exact"/>
        <w:rPr>
          <w:rFonts w:ascii="Arial" w:cs="Arial" w:eastAsia="Arial" w:hAnsi="Arial"/>
          <w:sz w:val="18"/>
          <w:szCs w:val="18"/>
          <w:color w:val="auto"/>
        </w:rPr>
      </w:pPr>
    </w:p>
    <w:p>
      <w:pPr>
        <w:ind w:left="320" w:hanging="150"/>
        <w:spacing w:after="0"/>
        <w:tabs>
          <w:tab w:leader="none" w:pos="320" w:val="left"/>
        </w:tabs>
        <w:numPr>
          <w:ilvl w:val="1"/>
          <w:numId w:val="3"/>
        </w:numPr>
        <w:rPr>
          <w:rFonts w:ascii="Arial" w:cs="Arial" w:eastAsia="Arial" w:hAnsi="Arial"/>
          <w:sz w:val="18"/>
          <w:szCs w:val="18"/>
          <w:color w:val="auto"/>
        </w:rPr>
      </w:pPr>
      <w:r>
        <w:rPr>
          <w:rFonts w:ascii="Arial" w:cs="Arial" w:eastAsia="Arial" w:hAnsi="Arial"/>
          <w:sz w:val="18"/>
          <w:szCs w:val="18"/>
          <w:color w:val="auto"/>
        </w:rPr>
        <w:t>Canadian Mainline Western receipts averaged 4.8 Bcf/d, up three per cent compared to fourth quarter 2024</w:t>
      </w:r>
    </w:p>
    <w:p>
      <w:pPr>
        <w:spacing w:after="0" w:line="49" w:lineRule="exact"/>
        <w:rPr>
          <w:rFonts w:ascii="Arial" w:cs="Arial" w:eastAsia="Arial" w:hAnsi="Arial"/>
          <w:sz w:val="18"/>
          <w:szCs w:val="18"/>
          <w:color w:val="auto"/>
        </w:rPr>
      </w:pPr>
    </w:p>
    <w:p>
      <w:pPr>
        <w:ind w:left="140" w:hanging="132"/>
        <w:spacing w:after="0"/>
        <w:tabs>
          <w:tab w:leader="none" w:pos="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U.S. Natural Gas Pipelines daily average flows were 29.6 Bcf/d, up 9.5 per cent compared to fourth quarter 2024</w:t>
      </w:r>
    </w:p>
    <w:p>
      <w:pPr>
        <w:spacing w:after="0" w:line="49" w:lineRule="exact"/>
        <w:rPr>
          <w:rFonts w:ascii="Arial" w:cs="Arial" w:eastAsia="Arial" w:hAnsi="Arial"/>
          <w:sz w:val="18"/>
          <w:szCs w:val="18"/>
          <w:color w:val="auto"/>
        </w:rPr>
      </w:pPr>
    </w:p>
    <w:p>
      <w:pPr>
        <w:ind w:left="320" w:hanging="150"/>
        <w:spacing w:after="0"/>
        <w:tabs>
          <w:tab w:leader="none" w:pos="320" w:val="left"/>
        </w:tabs>
        <w:numPr>
          <w:ilvl w:val="1"/>
          <w:numId w:val="3"/>
        </w:numPr>
        <w:rPr>
          <w:rFonts w:ascii="Arial" w:cs="Arial" w:eastAsia="Arial" w:hAnsi="Arial"/>
          <w:sz w:val="18"/>
          <w:szCs w:val="18"/>
          <w:color w:val="auto"/>
        </w:rPr>
      </w:pPr>
      <w:r>
        <w:rPr>
          <w:rFonts w:ascii="Arial" w:cs="Arial" w:eastAsia="Arial" w:hAnsi="Arial"/>
          <w:sz w:val="18"/>
          <w:szCs w:val="18"/>
          <w:color w:val="auto"/>
        </w:rPr>
        <w:t>U.S. Natural Gas Pipelines achieved an all-time delivery record of 39.9 Bcf on Jan. 29, 2026</w:t>
      </w:r>
    </w:p>
    <w:p>
      <w:pPr>
        <w:spacing w:after="0" w:line="63" w:lineRule="exact"/>
        <w:rPr>
          <w:rFonts w:ascii="Arial" w:cs="Arial" w:eastAsia="Arial" w:hAnsi="Arial"/>
          <w:sz w:val="18"/>
          <w:szCs w:val="18"/>
          <w:color w:val="auto"/>
        </w:rPr>
      </w:pPr>
    </w:p>
    <w:p>
      <w:pPr>
        <w:ind w:left="340" w:right="100" w:hanging="170"/>
        <w:spacing w:after="0" w:line="297" w:lineRule="auto"/>
        <w:tabs>
          <w:tab w:leader="none" w:pos="336" w:val="left"/>
        </w:tabs>
        <w:numPr>
          <w:ilvl w:val="1"/>
          <w:numId w:val="3"/>
        </w:numPr>
        <w:rPr>
          <w:rFonts w:ascii="Arial" w:cs="Arial" w:eastAsia="Arial" w:hAnsi="Arial"/>
          <w:sz w:val="18"/>
          <w:szCs w:val="18"/>
          <w:color w:val="auto"/>
        </w:rPr>
      </w:pPr>
      <w:r>
        <w:rPr>
          <w:rFonts w:ascii="Arial" w:cs="Arial" w:eastAsia="Arial" w:hAnsi="Arial"/>
          <w:sz w:val="18"/>
          <w:szCs w:val="18"/>
          <w:color w:val="auto"/>
        </w:rPr>
        <w:t>Deliveries to LNG facilities averaged 3.9 Bcf/d, up 21 per cent compared to fourth quarter 2024, and set a new daily record of nearly 4.4 Bcf on Dec. 4, 2025</w:t>
      </w:r>
    </w:p>
    <w:p>
      <w:pPr>
        <w:ind w:left="320" w:hanging="150"/>
        <w:spacing w:after="0"/>
        <w:tabs>
          <w:tab w:leader="none" w:pos="320" w:val="left"/>
        </w:tabs>
        <w:numPr>
          <w:ilvl w:val="1"/>
          <w:numId w:val="3"/>
        </w:numPr>
        <w:rPr>
          <w:rFonts w:ascii="Arial" w:cs="Arial" w:eastAsia="Arial" w:hAnsi="Arial"/>
          <w:sz w:val="18"/>
          <w:szCs w:val="18"/>
          <w:color w:val="auto"/>
        </w:rPr>
      </w:pPr>
      <w:r>
        <w:rPr>
          <w:rFonts w:ascii="Arial" w:cs="Arial" w:eastAsia="Arial" w:hAnsi="Arial"/>
          <w:sz w:val="18"/>
          <w:szCs w:val="18"/>
          <w:color w:val="auto"/>
        </w:rPr>
        <w:t>Achieved all-time delivery records on Columbia Gulf, GTN and Gillis Access in December 2025</w:t>
      </w:r>
    </w:p>
    <w:p>
      <w:pPr>
        <w:spacing w:after="0" w:line="63" w:lineRule="exact"/>
        <w:rPr>
          <w:rFonts w:ascii="Arial" w:cs="Arial" w:eastAsia="Arial" w:hAnsi="Arial"/>
          <w:sz w:val="18"/>
          <w:szCs w:val="18"/>
          <w:color w:val="auto"/>
        </w:rPr>
      </w:pPr>
    </w:p>
    <w:p>
      <w:pPr>
        <w:ind w:left="180" w:right="160" w:hanging="172"/>
        <w:spacing w:after="0" w:line="297" w:lineRule="auto"/>
        <w:tabs>
          <w:tab w:leader="none" w:pos="148" w:val="left"/>
        </w:tabs>
        <w:numPr>
          <w:ilvl w:val="0"/>
          <w:numId w:val="3"/>
        </w:numPr>
        <w:rPr>
          <w:rFonts w:ascii="Arial" w:cs="Arial" w:eastAsia="Arial" w:hAnsi="Arial"/>
          <w:sz w:val="18"/>
          <w:szCs w:val="18"/>
          <w:color w:val="auto"/>
        </w:rPr>
      </w:pPr>
      <w:r>
        <w:rPr>
          <w:rFonts w:ascii="Arial" w:cs="Arial" w:eastAsia="Arial" w:hAnsi="Arial"/>
          <w:sz w:val="18"/>
          <w:szCs w:val="18"/>
          <w:color w:val="auto"/>
        </w:rPr>
        <w:t>Mexico Natural Gas Pipelines flows in the fourth quarter averaged 2.7 Bcf/d, which was comparable to fourth quarter 2024 and equivalent to approximately 20 per cent of total Mexico gas demand in the fourth quarter</w:t>
      </w:r>
    </w:p>
    <w:p>
      <w:pPr>
        <w:ind w:left="320" w:hanging="150"/>
        <w:spacing w:after="0"/>
        <w:tabs>
          <w:tab w:leader="none" w:pos="320" w:val="left"/>
        </w:tabs>
        <w:numPr>
          <w:ilvl w:val="1"/>
          <w:numId w:val="3"/>
        </w:numPr>
        <w:rPr>
          <w:rFonts w:ascii="Arial" w:cs="Arial" w:eastAsia="Arial" w:hAnsi="Arial"/>
          <w:sz w:val="18"/>
          <w:szCs w:val="18"/>
          <w:color w:val="auto"/>
        </w:rPr>
      </w:pPr>
      <w:r>
        <w:rPr>
          <w:rFonts w:ascii="Arial" w:cs="Arial" w:eastAsia="Arial" w:hAnsi="Arial"/>
          <w:sz w:val="18"/>
          <w:szCs w:val="18"/>
          <w:color w:val="auto"/>
        </w:rPr>
        <w:t>Deliveries to power generation facilities averaged 1.2 Bcf/d in fourth quarter 2025, up 11 per cent compared to fourth quarter 2024</w:t>
      </w:r>
    </w:p>
    <w:p>
      <w:pPr>
        <w:spacing w:after="0" w:line="63" w:lineRule="exact"/>
        <w:rPr>
          <w:rFonts w:ascii="Arial" w:cs="Arial" w:eastAsia="Arial" w:hAnsi="Arial"/>
          <w:sz w:val="18"/>
          <w:szCs w:val="18"/>
          <w:color w:val="auto"/>
        </w:rPr>
      </w:pPr>
    </w:p>
    <w:p>
      <w:pPr>
        <w:ind w:left="180" w:right="420" w:hanging="172"/>
        <w:spacing w:after="0" w:line="297" w:lineRule="auto"/>
        <w:tabs>
          <w:tab w:leader="none" w:pos="148" w:val="left"/>
        </w:tabs>
        <w:numPr>
          <w:ilvl w:val="0"/>
          <w:numId w:val="3"/>
        </w:numPr>
        <w:rPr>
          <w:rFonts w:ascii="Arial" w:cs="Arial" w:eastAsia="Arial" w:hAnsi="Arial"/>
          <w:sz w:val="18"/>
          <w:szCs w:val="18"/>
          <w:color w:val="auto"/>
        </w:rPr>
      </w:pPr>
      <w:r>
        <w:rPr>
          <w:rFonts w:ascii="Arial" w:cs="Arial" w:eastAsia="Arial" w:hAnsi="Arial"/>
          <w:sz w:val="18"/>
          <w:szCs w:val="18"/>
          <w:color w:val="auto"/>
        </w:rPr>
        <w:t>Bruce Power achieved 85.7 per cent availability in fourth quarter 2025, reflecting an extended planned outage on Unit 2. 2025 full year availability was 91 per cent and availability is expected to be in the low 90 per cent range for full year 2026</w:t>
      </w:r>
    </w:p>
    <w:p>
      <w:pPr>
        <w:ind w:left="140" w:hanging="132"/>
        <w:spacing w:after="0"/>
        <w:tabs>
          <w:tab w:leader="none" w:pos="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Cogeneration power plant fleet achieved 89.5 per cent availability in fourth quarter 2025.</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b w:val="1"/>
          <w:bCs w:val="1"/>
          <w:color w:val="0D64EF"/>
        </w:rPr>
        <w:t>Project Highlights</w:t>
      </w:r>
    </w:p>
    <w:p>
      <w:pPr>
        <w:spacing w:after="0" w:line="58" w:lineRule="exact"/>
        <w:rPr>
          <w:sz w:val="20"/>
          <w:szCs w:val="20"/>
          <w:color w:val="auto"/>
        </w:rPr>
      </w:pPr>
    </w:p>
    <w:p>
      <w:pPr>
        <w:ind w:left="140" w:hanging="132"/>
        <w:spacing w:after="0"/>
        <w:tabs>
          <w:tab w:leader="none" w:pos="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Sanctioned $0.6 billion of low risk, in-corridor expansion projects including:</w:t>
      </w:r>
    </w:p>
    <w:p>
      <w:pPr>
        <w:spacing w:after="0" w:line="49" w:lineRule="exact"/>
        <w:rPr>
          <w:rFonts w:ascii="Arial" w:cs="Arial" w:eastAsia="Arial" w:hAnsi="Arial"/>
          <w:sz w:val="18"/>
          <w:szCs w:val="18"/>
          <w:color w:val="auto"/>
        </w:rPr>
      </w:pPr>
    </w:p>
    <w:p>
      <w:pPr>
        <w:ind w:left="340" w:right="500" w:hanging="170"/>
        <w:spacing w:after="0" w:line="302" w:lineRule="auto"/>
        <w:tabs>
          <w:tab w:leader="none" w:pos="336" w:val="left"/>
        </w:tabs>
        <w:numPr>
          <w:ilvl w:val="1"/>
          <w:numId w:val="4"/>
        </w:numPr>
        <w:rPr>
          <w:rFonts w:ascii="Arial" w:cs="Arial" w:eastAsia="Arial" w:hAnsi="Arial"/>
          <w:sz w:val="18"/>
          <w:szCs w:val="18"/>
          <w:color w:val="auto"/>
        </w:rPr>
      </w:pPr>
      <w:r>
        <w:rPr>
          <w:rFonts w:ascii="Arial" w:cs="Arial" w:eastAsia="Arial" w:hAnsi="Arial"/>
          <w:sz w:val="18"/>
          <w:szCs w:val="18"/>
          <w:color w:val="auto"/>
        </w:rPr>
        <w:t>$0.5 billion of expansion facilities as part of the Multi-Year Growth Plan (MYGP). The $0.5 billion of additional expansion projects is designed to deliver incremental growth on the NGTL System, with an expected in-service date in 2028. As at Dec. 31, 2025, approximately $1.1 billion of MYGP expansion facilities have received FID</w:t>
      </w:r>
    </w:p>
    <w:p>
      <w:pPr>
        <w:spacing w:after="0" w:line="1" w:lineRule="exact"/>
        <w:rPr>
          <w:rFonts w:ascii="Arial" w:cs="Arial" w:eastAsia="Arial" w:hAnsi="Arial"/>
          <w:sz w:val="18"/>
          <w:szCs w:val="18"/>
          <w:color w:val="auto"/>
        </w:rPr>
      </w:pPr>
    </w:p>
    <w:p>
      <w:pPr>
        <w:ind w:left="340" w:right="20" w:hanging="170"/>
        <w:spacing w:after="0" w:line="277" w:lineRule="auto"/>
        <w:tabs>
          <w:tab w:leader="none" w:pos="336" w:val="left"/>
        </w:tabs>
        <w:numPr>
          <w:ilvl w:val="1"/>
          <w:numId w:val="4"/>
        </w:numPr>
        <w:rPr>
          <w:rFonts w:ascii="Arial" w:cs="Arial" w:eastAsia="Arial" w:hAnsi="Arial"/>
          <w:sz w:val="18"/>
          <w:szCs w:val="18"/>
          <w:color w:val="auto"/>
        </w:rPr>
      </w:pPr>
      <w:r>
        <w:rPr>
          <w:rFonts w:ascii="Arial" w:cs="Arial" w:eastAsia="Arial" w:hAnsi="Arial"/>
          <w:sz w:val="18"/>
          <w:szCs w:val="18"/>
          <w:color w:val="auto"/>
        </w:rPr>
        <w:t>A $0.1 billion equity contribution in support of a brownfield compression expansion project in the U.S. The project is expected to deliver a five times build multiple</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and has an anticipated in-service date in 2028</w:t>
      </w:r>
    </w:p>
    <w:p>
      <w:pPr>
        <w:ind w:left="180" w:right="140" w:hanging="172"/>
        <w:spacing w:after="0" w:line="295" w:lineRule="auto"/>
        <w:tabs>
          <w:tab w:leader="none" w:pos="148" w:val="left"/>
        </w:tabs>
        <w:numPr>
          <w:ilvl w:val="0"/>
          <w:numId w:val="4"/>
        </w:numPr>
        <w:rPr>
          <w:rFonts w:ascii="Arial" w:cs="Arial" w:eastAsia="Arial" w:hAnsi="Arial"/>
          <w:sz w:val="18"/>
          <w:szCs w:val="18"/>
          <w:color w:val="auto"/>
        </w:rPr>
      </w:pPr>
      <w:r>
        <w:rPr>
          <w:rFonts w:ascii="Arial" w:cs="Arial" w:eastAsia="Arial" w:hAnsi="Arial"/>
          <w:sz w:val="18"/>
          <w:szCs w:val="18"/>
          <w:color w:val="auto"/>
        </w:rPr>
        <w:t>On Jan. 9, 2026, we closed a successful non-binding expansion project open season on our Columbia Gas Transmission system for up to 0.5 Bcf/d of incremental capacity to serve the Columbus area, including New Albany. Strong market interest, driven by significant power load growth from data centre development, resulted in approximately 1.5 Bcf/d of total bids. We continue to advance commercial</w:t>
      </w:r>
    </w:p>
    <w:p>
      <w:pPr>
        <w:spacing w:after="0" w:line="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discussions with customers</w:t>
      </w:r>
    </w:p>
    <w:p>
      <w:pPr>
        <w:spacing w:after="0" w:line="50" w:lineRule="exact"/>
        <w:rPr>
          <w:sz w:val="20"/>
          <w:szCs w:val="20"/>
          <w:color w:val="auto"/>
        </w:rPr>
      </w:pPr>
    </w:p>
    <w:p>
      <w:pPr>
        <w:ind w:left="180" w:hanging="161"/>
        <w:spacing w:after="0" w:line="324" w:lineRule="auto"/>
        <w:rPr>
          <w:sz w:val="20"/>
          <w:szCs w:val="20"/>
          <w:color w:val="auto"/>
        </w:rPr>
      </w:pPr>
      <w:r>
        <w:rPr>
          <w:rFonts w:ascii="Arial" w:cs="Arial" w:eastAsia="Arial" w:hAnsi="Arial"/>
          <w:sz w:val="18"/>
          <w:szCs w:val="18"/>
          <w:color w:val="auto"/>
        </w:rPr>
        <w:t>• On Feb. 9, 2026, we launched a non-binding expansion project open season on our Crossroads Pipeline system for up to</w:t>
      </w:r>
      <w:r>
        <w:rPr>
          <w:sz w:val="20"/>
          <w:szCs w:val="20"/>
          <w:color w:val="auto"/>
        </w:rPr>
        <w:t xml:space="preserve"> </w:t>
      </w:r>
      <w:r>
        <w:rPr>
          <w:rFonts w:ascii="Arial" w:cs="Arial" w:eastAsia="Arial" w:hAnsi="Arial"/>
          <w:sz w:val="18"/>
          <w:szCs w:val="18"/>
          <w:color w:val="auto"/>
        </w:rPr>
        <w:t>1.5 Bcf/d of capacity. The potential Crossroads Expansion project would serve growing markets in Northern Indiana, Illinois, Iowa, and South Dakota, in response to recently announced power generation and data centre developments in the U.S. Midwest. The open season is expected to close in mid-March 2026</w:t>
      </w:r>
    </w:p>
    <w:p>
      <w:pPr>
        <w:spacing w:after="0" w:line="201" w:lineRule="exact"/>
        <w:rPr>
          <w:sz w:val="20"/>
          <w:szCs w:val="20"/>
          <w:color w:val="auto"/>
        </w:rPr>
      </w:pPr>
    </w:p>
    <w:p>
      <w:pPr>
        <w:ind w:left="180" w:right="180" w:hanging="172"/>
        <w:spacing w:after="0" w:line="305" w:lineRule="auto"/>
        <w:tabs>
          <w:tab w:leader="none" w:pos="148"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Cedar Link project is progressing ahead of schedule and tracking below the Board approved final investment decision budget of $1.2 billion</w:t>
      </w:r>
    </w:p>
    <w:p>
      <w:pPr>
        <w:ind w:left="180" w:right="160" w:hanging="172"/>
        <w:spacing w:after="0" w:line="305" w:lineRule="auto"/>
        <w:tabs>
          <w:tab w:leader="none" w:pos="148"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VR project on our Columbia system was placed in service in November 2025, with total project costs of approximately US$0.5 billion. The project is designed to provide incremental capacity from Greensville County, Virginia to delivery points in Norfolk, Virginia</w:t>
      </w:r>
    </w:p>
    <w:p>
      <w:pPr>
        <w:ind w:left="180" w:right="460" w:hanging="172"/>
        <w:spacing w:after="0" w:line="334" w:lineRule="auto"/>
        <w:tabs>
          <w:tab w:leader="none" w:pos="148"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WR project, providing mainline capacity to multiple points of delivery on our ANR System in Wisconsin, was placed into service in November 2025, with a total project cost of approximately US$0.7 billion.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17145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jc w:val="both"/>
        <w:ind w:right="240" w:firstLine="8"/>
        <w:spacing w:after="0" w:line="252" w:lineRule="auto"/>
        <w:tabs>
          <w:tab w:leader="none" w:pos="115" w:val="left"/>
        </w:tabs>
        <w:numPr>
          <w:ilvl w:val="0"/>
          <w:numId w:val="6"/>
        </w:numPr>
        <w:rPr>
          <w:rFonts w:ascii="Arial" w:cs="Arial" w:eastAsia="Arial" w:hAnsi="Arial"/>
          <w:sz w:val="23"/>
          <w:szCs w:val="23"/>
          <w:color w:val="auto"/>
          <w:vertAlign w:val="superscript"/>
        </w:rPr>
      </w:pPr>
      <w:r>
        <w:rPr>
          <w:rFonts w:ascii="Arial" w:cs="Arial" w:eastAsia="Arial" w:hAnsi="Arial"/>
          <w:sz w:val="14"/>
          <w:szCs w:val="14"/>
          <w:color w:val="auto"/>
        </w:rPr>
        <w:t>Build multiple is a non-GAAP ratio calculated by dividing capital expenditures by comparable EBITDA. Please note our method for calculating build multiple may differ from methods used by other entities. Therefore, it may not be comparable to similar measures presented by other entities. For more information on non-GAAP measures and the supplementary financial measure, refer to the Non-GAAP and Supplementary financial measure section of this news release.</w:t>
      </w:r>
    </w:p>
    <w:p>
      <w:pPr>
        <w:sectPr>
          <w:pgSz w:w="11900" w:h="16838" w:orient="portrait"/>
          <w:cols w:equalWidth="0" w:num="1">
            <w:col w:w="11220"/>
          </w:cols>
          <w:pgMar w:left="320" w:top="1304" w:right="35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88"/>
        </w:trPr>
        <w:tc>
          <w:tcPr>
            <w:tcW w:w="5900" w:type="dxa"/>
            <w:vAlign w:val="bottom"/>
            <w:tcBorders>
              <w:top w:val="single" w:sz="8" w:color="0D64EF"/>
            </w:tcBorders>
            <w:shd w:val="clear" w:color="auto" w:fill="D1D0CF"/>
          </w:tcPr>
          <w:p>
            <w:pPr>
              <w:spacing w:after="0"/>
              <w:rPr>
                <w:sz w:val="16"/>
                <w:szCs w:val="16"/>
                <w:color w:val="auto"/>
              </w:rPr>
            </w:pPr>
          </w:p>
        </w:tc>
        <w:tc>
          <w:tcPr>
            <w:tcW w:w="140" w:type="dxa"/>
            <w:vAlign w:val="bottom"/>
            <w:tcBorders>
              <w:top w:val="single" w:sz="8" w:color="0D64EF"/>
            </w:tcBorders>
            <w:shd w:val="clear" w:color="auto" w:fill="D1D0CF"/>
          </w:tcPr>
          <w:p>
            <w:pPr>
              <w:spacing w:after="0"/>
              <w:rPr>
                <w:sz w:val="16"/>
                <w:szCs w:val="16"/>
                <w:color w:val="auto"/>
              </w:rPr>
            </w:pPr>
          </w:p>
        </w:tc>
        <w:tc>
          <w:tcPr>
            <w:tcW w:w="2060" w:type="dxa"/>
            <w:vAlign w:val="bottom"/>
            <w:tcBorders>
              <w:top w:val="single" w:sz="8" w:color="0D64EF"/>
            </w:tcBorders>
            <w:shd w:val="clear" w:color="auto" w:fill="D1D0CF"/>
          </w:tcPr>
          <w:p>
            <w:pPr>
              <w:jc w:val="right"/>
              <w:spacing w:after="0"/>
              <w:rPr>
                <w:sz w:val="20"/>
                <w:szCs w:val="20"/>
                <w:color w:val="auto"/>
              </w:rPr>
            </w:pPr>
            <w:r>
              <w:rPr>
                <w:rFonts w:ascii="Arial" w:cs="Arial" w:eastAsia="Arial" w:hAnsi="Arial"/>
                <w:sz w:val="16"/>
                <w:szCs w:val="16"/>
                <w:b w:val="1"/>
                <w:bCs w:val="1"/>
                <w:color w:val="auto"/>
              </w:rPr>
              <w:t>three months ended</w:t>
            </w:r>
          </w:p>
        </w:tc>
        <w:tc>
          <w:tcPr>
            <w:tcW w:w="480" w:type="dxa"/>
            <w:vAlign w:val="bottom"/>
            <w:tcBorders>
              <w:top w:val="single" w:sz="8" w:color="0D64EF"/>
            </w:tcBorders>
            <w:shd w:val="clear" w:color="auto" w:fill="D1D0CF"/>
          </w:tcPr>
          <w:p>
            <w:pPr>
              <w:spacing w:after="0"/>
              <w:rPr>
                <w:sz w:val="16"/>
                <w:szCs w:val="16"/>
                <w:color w:val="auto"/>
              </w:rPr>
            </w:pPr>
          </w:p>
        </w:tc>
        <w:tc>
          <w:tcPr>
            <w:tcW w:w="100" w:type="dxa"/>
            <w:vAlign w:val="bottom"/>
            <w:tcBorders>
              <w:top w:val="single" w:sz="8" w:color="0D64EF"/>
            </w:tcBorders>
            <w:shd w:val="clear" w:color="auto" w:fill="D1D0CF"/>
          </w:tcPr>
          <w:p>
            <w:pPr>
              <w:spacing w:after="0"/>
              <w:rPr>
                <w:sz w:val="16"/>
                <w:szCs w:val="16"/>
                <w:color w:val="auto"/>
              </w:rPr>
            </w:pPr>
          </w:p>
        </w:tc>
        <w:tc>
          <w:tcPr>
            <w:tcW w:w="1900" w:type="dxa"/>
            <w:vAlign w:val="bottom"/>
            <w:tcBorders>
              <w:top w:val="single" w:sz="8" w:color="0D64EF"/>
            </w:tcBorders>
            <w:shd w:val="clear" w:color="auto" w:fill="D1D0CF"/>
          </w:tcPr>
          <w:p>
            <w:pPr>
              <w:jc w:val="right"/>
              <w:ind w:right="139"/>
              <w:spacing w:after="0"/>
              <w:rPr>
                <w:sz w:val="20"/>
                <w:szCs w:val="20"/>
                <w:color w:val="auto"/>
              </w:rPr>
            </w:pPr>
            <w:r>
              <w:rPr>
                <w:rFonts w:ascii="Arial" w:cs="Arial" w:eastAsia="Arial" w:hAnsi="Arial"/>
                <w:sz w:val="16"/>
                <w:szCs w:val="16"/>
                <w:b w:val="1"/>
                <w:bCs w:val="1"/>
                <w:color w:val="auto"/>
              </w:rPr>
              <w:t>year ended</w:t>
            </w:r>
          </w:p>
        </w:tc>
        <w:tc>
          <w:tcPr>
            <w:tcW w:w="660" w:type="dxa"/>
            <w:vAlign w:val="bottom"/>
            <w:tcBorders>
              <w:top w:val="single" w:sz="8" w:color="0D64EF"/>
            </w:tcBorders>
            <w:shd w:val="clear" w:color="auto" w:fill="D1D0CF"/>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5900" w:type="dxa"/>
            <w:vAlign w:val="bottom"/>
            <w:tcBorders>
              <w:bottom w:val="single" w:sz="8" w:color="D1D0CF"/>
            </w:tcBorders>
            <w:shd w:val="clear" w:color="auto" w:fill="D1D0CF"/>
          </w:tcPr>
          <w:p>
            <w:pPr>
              <w:spacing w:after="0"/>
              <w:rPr>
                <w:sz w:val="19"/>
                <w:szCs w:val="19"/>
                <w:color w:val="auto"/>
              </w:rPr>
            </w:pPr>
          </w:p>
        </w:tc>
        <w:tc>
          <w:tcPr>
            <w:tcW w:w="140" w:type="dxa"/>
            <w:vAlign w:val="bottom"/>
            <w:tcBorders>
              <w:bottom w:val="single" w:sz="8" w:color="D1D0CF"/>
            </w:tcBorders>
            <w:shd w:val="clear" w:color="auto" w:fill="D1D0CF"/>
          </w:tcPr>
          <w:p>
            <w:pPr>
              <w:spacing w:after="0"/>
              <w:rPr>
                <w:sz w:val="19"/>
                <w:szCs w:val="19"/>
                <w:color w:val="auto"/>
              </w:rPr>
            </w:pPr>
          </w:p>
        </w:tc>
        <w:tc>
          <w:tcPr>
            <w:tcW w:w="2060" w:type="dxa"/>
            <w:vAlign w:val="bottom"/>
            <w:tcBorders>
              <w:bottom w:val="single" w:sz="8" w:color="0D64EF"/>
            </w:tcBorders>
            <w:shd w:val="clear" w:color="auto" w:fill="D1D0CF"/>
          </w:tcPr>
          <w:p>
            <w:pPr>
              <w:jc w:val="right"/>
              <w:ind w:right="199"/>
              <w:spacing w:after="0"/>
              <w:rPr>
                <w:sz w:val="20"/>
                <w:szCs w:val="20"/>
                <w:color w:val="auto"/>
              </w:rPr>
            </w:pPr>
            <w:r>
              <w:rPr>
                <w:rFonts w:ascii="Arial" w:cs="Arial" w:eastAsia="Arial" w:hAnsi="Arial"/>
                <w:sz w:val="16"/>
                <w:szCs w:val="16"/>
                <w:b w:val="1"/>
                <w:bCs w:val="1"/>
                <w:color w:val="auto"/>
              </w:rPr>
              <w:t>December 31</w:t>
            </w:r>
          </w:p>
        </w:tc>
        <w:tc>
          <w:tcPr>
            <w:tcW w:w="480" w:type="dxa"/>
            <w:vAlign w:val="bottom"/>
            <w:tcBorders>
              <w:bottom w:val="single" w:sz="8" w:color="0D64EF"/>
            </w:tcBorders>
            <w:shd w:val="clear" w:color="auto" w:fill="D1D0CF"/>
          </w:tcPr>
          <w:p>
            <w:pPr>
              <w:spacing w:after="0"/>
              <w:rPr>
                <w:sz w:val="19"/>
                <w:szCs w:val="19"/>
                <w:color w:val="auto"/>
              </w:rPr>
            </w:pPr>
          </w:p>
        </w:tc>
        <w:tc>
          <w:tcPr>
            <w:tcW w:w="100" w:type="dxa"/>
            <w:vAlign w:val="bottom"/>
            <w:tcBorders>
              <w:bottom w:val="single" w:sz="8" w:color="D1D0CF"/>
            </w:tcBorders>
            <w:shd w:val="clear" w:color="auto" w:fill="D1D0CF"/>
          </w:tcPr>
          <w:p>
            <w:pPr>
              <w:spacing w:after="0"/>
              <w:rPr>
                <w:sz w:val="19"/>
                <w:szCs w:val="19"/>
                <w:color w:val="auto"/>
              </w:rPr>
            </w:pPr>
          </w:p>
        </w:tc>
        <w:tc>
          <w:tcPr>
            <w:tcW w:w="1900" w:type="dxa"/>
            <w:vAlign w:val="bottom"/>
            <w:tcBorders>
              <w:bottom w:val="single" w:sz="8" w:color="0D64EF"/>
            </w:tcBorders>
            <w:shd w:val="clear" w:color="auto" w:fill="D1D0CF"/>
          </w:tcPr>
          <w:p>
            <w:pPr>
              <w:jc w:val="right"/>
              <w:ind w:right="39"/>
              <w:spacing w:after="0"/>
              <w:rPr>
                <w:sz w:val="20"/>
                <w:szCs w:val="20"/>
                <w:color w:val="auto"/>
              </w:rPr>
            </w:pPr>
            <w:r>
              <w:rPr>
                <w:rFonts w:ascii="Arial" w:cs="Arial" w:eastAsia="Arial" w:hAnsi="Arial"/>
                <w:sz w:val="16"/>
                <w:szCs w:val="16"/>
                <w:b w:val="1"/>
                <w:bCs w:val="1"/>
                <w:color w:val="auto"/>
              </w:rPr>
              <w:t>December 31</w:t>
            </w:r>
          </w:p>
        </w:tc>
        <w:tc>
          <w:tcPr>
            <w:tcW w:w="660" w:type="dxa"/>
            <w:vAlign w:val="bottom"/>
            <w:tcBorders>
              <w:bottom w:val="single" w:sz="8" w:color="0D64EF"/>
            </w:tcBorders>
            <w:shd w:val="clear" w:color="auto" w:fill="D1D0C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900" w:type="dxa"/>
            <w:vAlign w:val="bottom"/>
            <w:tcBorders>
              <w:bottom w:val="single" w:sz="8" w:color="0D64EF"/>
            </w:tcBorders>
            <w:shd w:val="clear" w:color="auto" w:fill="D1D0CF"/>
          </w:tcPr>
          <w:p>
            <w:pPr>
              <w:ind w:left="20"/>
              <w:spacing w:after="0"/>
              <w:rPr>
                <w:sz w:val="20"/>
                <w:szCs w:val="20"/>
                <w:color w:val="auto"/>
              </w:rPr>
            </w:pPr>
            <w:r>
              <w:rPr>
                <w:rFonts w:ascii="Arial" w:cs="Arial" w:eastAsia="Arial" w:hAnsi="Arial"/>
                <w:sz w:val="16"/>
                <w:szCs w:val="16"/>
                <w:color w:val="auto"/>
              </w:rPr>
              <w:t>(millions of $, except per share amounts)</w:t>
            </w:r>
          </w:p>
        </w:tc>
        <w:tc>
          <w:tcPr>
            <w:tcW w:w="140" w:type="dxa"/>
            <w:vAlign w:val="bottom"/>
            <w:tcBorders>
              <w:bottom w:val="single" w:sz="8" w:color="0D64EF"/>
            </w:tcBorders>
            <w:shd w:val="clear" w:color="auto" w:fill="D1D0CF"/>
          </w:tcPr>
          <w:p>
            <w:pPr>
              <w:spacing w:after="0"/>
              <w:rPr>
                <w:sz w:val="19"/>
                <w:szCs w:val="19"/>
                <w:color w:val="auto"/>
              </w:rPr>
            </w:pPr>
          </w:p>
        </w:tc>
        <w:tc>
          <w:tcPr>
            <w:tcW w:w="2060" w:type="dxa"/>
            <w:vAlign w:val="bottom"/>
            <w:tcBorders>
              <w:bottom w:val="single" w:sz="8" w:color="0D64EF"/>
            </w:tcBorders>
            <w:shd w:val="clear" w:color="auto" w:fill="D1D0CF"/>
          </w:tcPr>
          <w:p>
            <w:pPr>
              <w:jc w:val="right"/>
              <w:ind w:right="819"/>
              <w:spacing w:after="0"/>
              <w:rPr>
                <w:sz w:val="20"/>
                <w:szCs w:val="20"/>
                <w:color w:val="auto"/>
              </w:rPr>
            </w:pPr>
            <w:r>
              <w:rPr>
                <w:rFonts w:ascii="Arial" w:cs="Arial" w:eastAsia="Arial" w:hAnsi="Arial"/>
                <w:sz w:val="16"/>
                <w:szCs w:val="16"/>
                <w:b w:val="1"/>
                <w:bCs w:val="1"/>
                <w:color w:val="auto"/>
              </w:rPr>
              <w:t>2025</w:t>
            </w:r>
          </w:p>
        </w:tc>
        <w:tc>
          <w:tcPr>
            <w:tcW w:w="480" w:type="dxa"/>
            <w:vAlign w:val="bottom"/>
            <w:tcBorders>
              <w:bottom w:val="single" w:sz="8" w:color="0D64EF"/>
            </w:tcBorders>
            <w:shd w:val="clear" w:color="auto" w:fill="D1D0CF"/>
          </w:tcPr>
          <w:p>
            <w:pPr>
              <w:jc w:val="right"/>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bottom w:val="single" w:sz="8" w:color="0D64EF"/>
            </w:tcBorders>
            <w:shd w:val="clear" w:color="auto" w:fill="D1D0CF"/>
          </w:tcPr>
          <w:p>
            <w:pPr>
              <w:spacing w:after="0"/>
              <w:rPr>
                <w:sz w:val="19"/>
                <w:szCs w:val="19"/>
                <w:color w:val="auto"/>
              </w:rPr>
            </w:pPr>
          </w:p>
        </w:tc>
        <w:tc>
          <w:tcPr>
            <w:tcW w:w="1900" w:type="dxa"/>
            <w:vAlign w:val="bottom"/>
            <w:tcBorders>
              <w:bottom w:val="single" w:sz="8" w:color="0D64EF"/>
            </w:tcBorders>
            <w:shd w:val="clear" w:color="auto" w:fill="D1D0CF"/>
          </w:tcPr>
          <w:p>
            <w:pPr>
              <w:jc w:val="right"/>
              <w:ind w:right="639"/>
              <w:spacing w:after="0"/>
              <w:rPr>
                <w:sz w:val="20"/>
                <w:szCs w:val="20"/>
                <w:color w:val="auto"/>
              </w:rPr>
            </w:pPr>
            <w:r>
              <w:rPr>
                <w:rFonts w:ascii="Arial" w:cs="Arial" w:eastAsia="Arial" w:hAnsi="Arial"/>
                <w:sz w:val="16"/>
                <w:szCs w:val="16"/>
                <w:b w:val="1"/>
                <w:bCs w:val="1"/>
                <w:color w:val="auto"/>
              </w:rPr>
              <w:t>2025</w:t>
            </w:r>
          </w:p>
        </w:tc>
        <w:tc>
          <w:tcPr>
            <w:tcW w:w="660" w:type="dxa"/>
            <w:vAlign w:val="bottom"/>
            <w:tcBorders>
              <w:bottom w:val="single" w:sz="8" w:color="0D64EF"/>
            </w:tcBorders>
            <w:shd w:val="clear" w:color="auto" w:fill="D1D0CF"/>
          </w:tcPr>
          <w:p>
            <w:pPr>
              <w:jc w:val="right"/>
              <w:spacing w:after="0"/>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259"/>
        </w:trPr>
        <w:tc>
          <w:tcPr>
            <w:tcW w:w="5900" w:type="dxa"/>
            <w:vAlign w:val="bottom"/>
          </w:tcPr>
          <w:p>
            <w:pPr>
              <w:ind w:left="20"/>
              <w:spacing w:after="0"/>
              <w:rPr>
                <w:sz w:val="20"/>
                <w:szCs w:val="20"/>
                <w:color w:val="auto"/>
              </w:rPr>
            </w:pPr>
            <w:r>
              <w:rPr>
                <w:rFonts w:ascii="Arial" w:cs="Arial" w:eastAsia="Arial" w:hAnsi="Arial"/>
                <w:sz w:val="16"/>
                <w:szCs w:val="16"/>
                <w:b w:val="1"/>
                <w:bCs w:val="1"/>
                <w:color w:val="0D64EF"/>
              </w:rPr>
              <w:t>Income</w:t>
            </w:r>
          </w:p>
        </w:tc>
        <w:tc>
          <w:tcPr>
            <w:tcW w:w="140" w:type="dxa"/>
            <w:vAlign w:val="bottom"/>
          </w:tcPr>
          <w:p>
            <w:pPr>
              <w:spacing w:after="0"/>
              <w:rPr>
                <w:sz w:val="22"/>
                <w:szCs w:val="22"/>
                <w:color w:val="auto"/>
              </w:rPr>
            </w:pPr>
          </w:p>
        </w:tc>
        <w:tc>
          <w:tcPr>
            <w:tcW w:w="20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5900" w:type="dxa"/>
            <w:vAlign w:val="bottom"/>
          </w:tcPr>
          <w:p>
            <w:pPr>
              <w:ind w:left="100"/>
              <w:spacing w:after="0"/>
              <w:rPr>
                <w:sz w:val="20"/>
                <w:szCs w:val="20"/>
                <w:color w:val="auto"/>
              </w:rPr>
            </w:pPr>
            <w:r>
              <w:rPr>
                <w:rFonts w:ascii="Arial" w:cs="Arial" w:eastAsia="Arial" w:hAnsi="Arial"/>
                <w:sz w:val="16"/>
                <w:szCs w:val="16"/>
                <w:color w:val="auto"/>
              </w:rPr>
              <w:t>Net income (loss) attributable to common shares from continuing operations</w:t>
            </w:r>
          </w:p>
        </w:tc>
        <w:tc>
          <w:tcPr>
            <w:tcW w:w="2200" w:type="dxa"/>
            <w:vAlign w:val="bottom"/>
            <w:gridSpan w:val="2"/>
          </w:tcPr>
          <w:p>
            <w:pPr>
              <w:jc w:val="right"/>
              <w:ind w:right="879"/>
              <w:spacing w:after="0"/>
              <w:rPr>
                <w:sz w:val="20"/>
                <w:szCs w:val="20"/>
                <w:color w:val="auto"/>
              </w:rPr>
            </w:pPr>
            <w:r>
              <w:rPr>
                <w:rFonts w:ascii="Arial" w:cs="Arial" w:eastAsia="Arial" w:hAnsi="Arial"/>
                <w:sz w:val="16"/>
                <w:szCs w:val="16"/>
                <w:b w:val="1"/>
                <w:bCs w:val="1"/>
                <w:color w:val="auto"/>
              </w:rPr>
              <w:t>959</w:t>
            </w:r>
          </w:p>
        </w:tc>
        <w:tc>
          <w:tcPr>
            <w:tcW w:w="480" w:type="dxa"/>
            <w:vAlign w:val="bottom"/>
          </w:tcPr>
          <w:p>
            <w:pPr>
              <w:jc w:val="right"/>
              <w:spacing w:after="0"/>
              <w:rPr>
                <w:sz w:val="20"/>
                <w:szCs w:val="20"/>
                <w:color w:val="auto"/>
              </w:rPr>
            </w:pPr>
            <w:r>
              <w:rPr>
                <w:rFonts w:ascii="Arial" w:cs="Arial" w:eastAsia="Arial" w:hAnsi="Arial"/>
                <w:sz w:val="16"/>
                <w:szCs w:val="16"/>
                <w:color w:val="auto"/>
                <w:w w:val="94"/>
              </w:rPr>
              <w:t>1,069</w:t>
            </w:r>
          </w:p>
        </w:tc>
        <w:tc>
          <w:tcPr>
            <w:tcW w:w="100" w:type="dxa"/>
            <w:vAlign w:val="bottom"/>
          </w:tcPr>
          <w:p>
            <w:pPr>
              <w:spacing w:after="0"/>
              <w:rPr>
                <w:sz w:val="19"/>
                <w:szCs w:val="19"/>
                <w:color w:val="auto"/>
              </w:rPr>
            </w:pPr>
          </w:p>
        </w:tc>
        <w:tc>
          <w:tcPr>
            <w:tcW w:w="1900" w:type="dxa"/>
            <w:vAlign w:val="bottom"/>
          </w:tcPr>
          <w:p>
            <w:pPr>
              <w:jc w:val="right"/>
              <w:ind w:right="699"/>
              <w:spacing w:after="0"/>
              <w:rPr>
                <w:sz w:val="20"/>
                <w:szCs w:val="20"/>
                <w:color w:val="auto"/>
              </w:rPr>
            </w:pPr>
            <w:r>
              <w:rPr>
                <w:rFonts w:ascii="Arial" w:cs="Arial" w:eastAsia="Arial" w:hAnsi="Arial"/>
                <w:sz w:val="16"/>
                <w:szCs w:val="16"/>
                <w:b w:val="1"/>
                <w:bCs w:val="1"/>
                <w:color w:val="auto"/>
              </w:rPr>
              <w:t>3,612</w:t>
            </w:r>
          </w:p>
        </w:tc>
        <w:tc>
          <w:tcPr>
            <w:tcW w:w="660" w:type="dxa"/>
            <w:vAlign w:val="bottom"/>
          </w:tcPr>
          <w:p>
            <w:pPr>
              <w:jc w:val="right"/>
              <w:spacing w:after="0"/>
              <w:rPr>
                <w:sz w:val="20"/>
                <w:szCs w:val="20"/>
                <w:color w:val="auto"/>
              </w:rPr>
            </w:pPr>
            <w:r>
              <w:rPr>
                <w:rFonts w:ascii="Arial" w:cs="Arial" w:eastAsia="Arial" w:hAnsi="Arial"/>
                <w:sz w:val="16"/>
                <w:szCs w:val="16"/>
                <w:color w:val="auto"/>
              </w:rPr>
              <w:t>4,199</w:t>
            </w:r>
          </w:p>
        </w:tc>
        <w:tc>
          <w:tcPr>
            <w:tcW w:w="0" w:type="dxa"/>
            <w:vAlign w:val="bottom"/>
          </w:tcPr>
          <w:p>
            <w:pPr>
              <w:spacing w:after="0"/>
              <w:rPr>
                <w:sz w:val="1"/>
                <w:szCs w:val="1"/>
                <w:color w:val="auto"/>
              </w:rPr>
            </w:pPr>
          </w:p>
        </w:tc>
      </w:tr>
      <w:tr>
        <w:trPr>
          <w:trHeight w:val="229"/>
        </w:trPr>
        <w:tc>
          <w:tcPr>
            <w:tcW w:w="5900" w:type="dxa"/>
            <w:vAlign w:val="bottom"/>
          </w:tcPr>
          <w:p>
            <w:pPr>
              <w:ind w:left="100"/>
              <w:spacing w:after="0"/>
              <w:rPr>
                <w:sz w:val="20"/>
                <w:szCs w:val="20"/>
                <w:color w:val="auto"/>
              </w:rPr>
            </w:pPr>
            <w:r>
              <w:rPr>
                <w:rFonts w:ascii="Arial" w:cs="Arial" w:eastAsia="Arial" w:hAnsi="Arial"/>
                <w:sz w:val="16"/>
                <w:szCs w:val="16"/>
                <w:color w:val="auto"/>
              </w:rPr>
              <w:t>per common share – basic</w:t>
            </w:r>
          </w:p>
        </w:tc>
        <w:tc>
          <w:tcPr>
            <w:tcW w:w="2200" w:type="dxa"/>
            <w:vAlign w:val="bottom"/>
            <w:gridSpan w:val="2"/>
          </w:tcPr>
          <w:p>
            <w:pPr>
              <w:jc w:val="right"/>
              <w:ind w:right="879"/>
              <w:spacing w:after="0"/>
              <w:rPr>
                <w:sz w:val="20"/>
                <w:szCs w:val="20"/>
                <w:color w:val="auto"/>
              </w:rPr>
            </w:pPr>
            <w:r>
              <w:rPr>
                <w:rFonts w:ascii="Arial" w:cs="Arial" w:eastAsia="Arial" w:hAnsi="Arial"/>
                <w:sz w:val="16"/>
                <w:szCs w:val="16"/>
                <w:b w:val="1"/>
                <w:bCs w:val="1"/>
                <w:color w:val="auto"/>
              </w:rPr>
              <w:t>$0.92</w:t>
            </w:r>
          </w:p>
        </w:tc>
        <w:tc>
          <w:tcPr>
            <w:tcW w:w="480" w:type="dxa"/>
            <w:vAlign w:val="bottom"/>
          </w:tcPr>
          <w:p>
            <w:pPr>
              <w:jc w:val="right"/>
              <w:spacing w:after="0"/>
              <w:rPr>
                <w:sz w:val="20"/>
                <w:szCs w:val="20"/>
                <w:color w:val="auto"/>
              </w:rPr>
            </w:pPr>
            <w:r>
              <w:rPr>
                <w:rFonts w:ascii="Arial" w:cs="Arial" w:eastAsia="Arial" w:hAnsi="Arial"/>
                <w:sz w:val="16"/>
                <w:szCs w:val="16"/>
                <w:color w:val="auto"/>
                <w:w w:val="94"/>
              </w:rPr>
              <w:t>$1.03</w:t>
            </w:r>
          </w:p>
        </w:tc>
        <w:tc>
          <w:tcPr>
            <w:tcW w:w="100" w:type="dxa"/>
            <w:vAlign w:val="bottom"/>
          </w:tcPr>
          <w:p>
            <w:pPr>
              <w:spacing w:after="0"/>
              <w:rPr>
                <w:sz w:val="19"/>
                <w:szCs w:val="19"/>
                <w:color w:val="auto"/>
              </w:rPr>
            </w:pPr>
          </w:p>
        </w:tc>
        <w:tc>
          <w:tcPr>
            <w:tcW w:w="1900" w:type="dxa"/>
            <w:vAlign w:val="bottom"/>
          </w:tcPr>
          <w:p>
            <w:pPr>
              <w:jc w:val="right"/>
              <w:ind w:right="699"/>
              <w:spacing w:after="0"/>
              <w:rPr>
                <w:sz w:val="20"/>
                <w:szCs w:val="20"/>
                <w:color w:val="auto"/>
              </w:rPr>
            </w:pPr>
            <w:r>
              <w:rPr>
                <w:rFonts w:ascii="Arial" w:cs="Arial" w:eastAsia="Arial" w:hAnsi="Arial"/>
                <w:sz w:val="16"/>
                <w:szCs w:val="16"/>
                <w:b w:val="1"/>
                <w:bCs w:val="1"/>
                <w:color w:val="auto"/>
              </w:rPr>
              <w:t>$3.47</w:t>
            </w:r>
          </w:p>
        </w:tc>
        <w:tc>
          <w:tcPr>
            <w:tcW w:w="660" w:type="dxa"/>
            <w:vAlign w:val="bottom"/>
          </w:tcPr>
          <w:p>
            <w:pPr>
              <w:jc w:val="right"/>
              <w:spacing w:after="0"/>
              <w:rPr>
                <w:sz w:val="20"/>
                <w:szCs w:val="20"/>
                <w:color w:val="auto"/>
              </w:rPr>
            </w:pPr>
            <w:r>
              <w:rPr>
                <w:rFonts w:ascii="Arial" w:cs="Arial" w:eastAsia="Arial" w:hAnsi="Arial"/>
                <w:sz w:val="16"/>
                <w:szCs w:val="16"/>
                <w:color w:val="auto"/>
              </w:rPr>
              <w:t>$4.05</w:t>
            </w:r>
          </w:p>
        </w:tc>
        <w:tc>
          <w:tcPr>
            <w:tcW w:w="0" w:type="dxa"/>
            <w:vAlign w:val="bottom"/>
          </w:tcPr>
          <w:p>
            <w:pPr>
              <w:spacing w:after="0"/>
              <w:rPr>
                <w:sz w:val="1"/>
                <w:szCs w:val="1"/>
                <w:color w:val="auto"/>
              </w:rPr>
            </w:pPr>
          </w:p>
        </w:tc>
      </w:tr>
      <w:tr>
        <w:trPr>
          <w:trHeight w:val="284"/>
        </w:trPr>
        <w:tc>
          <w:tcPr>
            <w:tcW w:w="5900" w:type="dxa"/>
            <w:vAlign w:val="bottom"/>
          </w:tcPr>
          <w:p>
            <w:pPr>
              <w:ind w:left="20"/>
              <w:spacing w:after="0"/>
              <w:rPr>
                <w:sz w:val="20"/>
                <w:szCs w:val="20"/>
                <w:color w:val="auto"/>
              </w:rPr>
            </w:pPr>
            <w:r>
              <w:rPr>
                <w:rFonts w:ascii="Arial" w:cs="Arial" w:eastAsia="Arial" w:hAnsi="Arial"/>
                <w:sz w:val="16"/>
                <w:szCs w:val="16"/>
                <w:b w:val="1"/>
                <w:bCs w:val="1"/>
                <w:color w:val="0D64EF"/>
              </w:rPr>
              <w:t>Segmented earnings (losses)</w:t>
            </w:r>
          </w:p>
        </w:tc>
        <w:tc>
          <w:tcPr>
            <w:tcW w:w="14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5900" w:type="dxa"/>
            <w:vAlign w:val="bottom"/>
          </w:tcPr>
          <w:p>
            <w:pPr>
              <w:ind w:left="100"/>
              <w:spacing w:after="0"/>
              <w:rPr>
                <w:sz w:val="20"/>
                <w:szCs w:val="20"/>
                <w:color w:val="auto"/>
              </w:rPr>
            </w:pPr>
            <w:r>
              <w:rPr>
                <w:rFonts w:ascii="Arial" w:cs="Arial" w:eastAsia="Arial" w:hAnsi="Arial"/>
                <w:sz w:val="16"/>
                <w:szCs w:val="16"/>
                <w:color w:val="auto"/>
              </w:rPr>
              <w:t>Canadian Natural Gas Pipelines</w:t>
            </w:r>
          </w:p>
        </w:tc>
        <w:tc>
          <w:tcPr>
            <w:tcW w:w="2200" w:type="dxa"/>
            <w:vAlign w:val="bottom"/>
            <w:gridSpan w:val="2"/>
          </w:tcPr>
          <w:p>
            <w:pPr>
              <w:jc w:val="right"/>
              <w:ind w:right="879"/>
              <w:spacing w:after="0"/>
              <w:rPr>
                <w:sz w:val="20"/>
                <w:szCs w:val="20"/>
                <w:color w:val="auto"/>
              </w:rPr>
            </w:pPr>
            <w:r>
              <w:rPr>
                <w:rFonts w:ascii="Arial" w:cs="Arial" w:eastAsia="Arial" w:hAnsi="Arial"/>
                <w:sz w:val="16"/>
                <w:szCs w:val="16"/>
                <w:b w:val="1"/>
                <w:bCs w:val="1"/>
                <w:color w:val="auto"/>
              </w:rPr>
              <w:t>564</w:t>
            </w:r>
          </w:p>
        </w:tc>
        <w:tc>
          <w:tcPr>
            <w:tcW w:w="480" w:type="dxa"/>
            <w:vAlign w:val="bottom"/>
          </w:tcPr>
          <w:p>
            <w:pPr>
              <w:jc w:val="right"/>
              <w:spacing w:after="0"/>
              <w:rPr>
                <w:sz w:val="20"/>
                <w:szCs w:val="20"/>
                <w:color w:val="auto"/>
              </w:rPr>
            </w:pPr>
            <w:r>
              <w:rPr>
                <w:rFonts w:ascii="Arial" w:cs="Arial" w:eastAsia="Arial" w:hAnsi="Arial"/>
                <w:sz w:val="16"/>
                <w:szCs w:val="16"/>
                <w:color w:val="auto"/>
              </w:rPr>
              <w:t>506</w:t>
            </w:r>
          </w:p>
        </w:tc>
        <w:tc>
          <w:tcPr>
            <w:tcW w:w="100" w:type="dxa"/>
            <w:vAlign w:val="bottom"/>
          </w:tcPr>
          <w:p>
            <w:pPr>
              <w:spacing w:after="0"/>
              <w:rPr>
                <w:sz w:val="19"/>
                <w:szCs w:val="19"/>
                <w:color w:val="auto"/>
              </w:rPr>
            </w:pPr>
          </w:p>
        </w:tc>
        <w:tc>
          <w:tcPr>
            <w:tcW w:w="1900" w:type="dxa"/>
            <w:vAlign w:val="bottom"/>
          </w:tcPr>
          <w:p>
            <w:pPr>
              <w:jc w:val="right"/>
              <w:ind w:right="699"/>
              <w:spacing w:after="0"/>
              <w:rPr>
                <w:sz w:val="20"/>
                <w:szCs w:val="20"/>
                <w:color w:val="auto"/>
              </w:rPr>
            </w:pPr>
            <w:r>
              <w:rPr>
                <w:rFonts w:ascii="Arial" w:cs="Arial" w:eastAsia="Arial" w:hAnsi="Arial"/>
                <w:sz w:val="16"/>
                <w:szCs w:val="16"/>
                <w:b w:val="1"/>
                <w:bCs w:val="1"/>
                <w:color w:val="auto"/>
              </w:rPr>
              <w:t>2,164</w:t>
            </w:r>
          </w:p>
        </w:tc>
        <w:tc>
          <w:tcPr>
            <w:tcW w:w="660" w:type="dxa"/>
            <w:vAlign w:val="bottom"/>
          </w:tcPr>
          <w:p>
            <w:pPr>
              <w:jc w:val="right"/>
              <w:spacing w:after="0"/>
              <w:rPr>
                <w:sz w:val="20"/>
                <w:szCs w:val="20"/>
                <w:color w:val="auto"/>
              </w:rPr>
            </w:pPr>
            <w:r>
              <w:rPr>
                <w:rFonts w:ascii="Arial" w:cs="Arial" w:eastAsia="Arial" w:hAnsi="Arial"/>
                <w:sz w:val="16"/>
                <w:szCs w:val="16"/>
                <w:color w:val="auto"/>
              </w:rPr>
              <w:t>2,016</w:t>
            </w:r>
          </w:p>
        </w:tc>
        <w:tc>
          <w:tcPr>
            <w:tcW w:w="0" w:type="dxa"/>
            <w:vAlign w:val="bottom"/>
          </w:tcPr>
          <w:p>
            <w:pPr>
              <w:spacing w:after="0"/>
              <w:rPr>
                <w:sz w:val="1"/>
                <w:szCs w:val="1"/>
                <w:color w:val="auto"/>
              </w:rPr>
            </w:pPr>
          </w:p>
        </w:tc>
      </w:tr>
      <w:tr>
        <w:trPr>
          <w:trHeight w:val="229"/>
        </w:trPr>
        <w:tc>
          <w:tcPr>
            <w:tcW w:w="5900" w:type="dxa"/>
            <w:vAlign w:val="bottom"/>
          </w:tcPr>
          <w:p>
            <w:pPr>
              <w:ind w:left="100"/>
              <w:spacing w:after="0"/>
              <w:rPr>
                <w:sz w:val="20"/>
                <w:szCs w:val="20"/>
                <w:color w:val="auto"/>
              </w:rPr>
            </w:pPr>
            <w:r>
              <w:rPr>
                <w:rFonts w:ascii="Arial" w:cs="Arial" w:eastAsia="Arial" w:hAnsi="Arial"/>
                <w:sz w:val="16"/>
                <w:szCs w:val="16"/>
                <w:color w:val="auto"/>
              </w:rPr>
              <w:t>U.S. Natural Gas Pipelines</w:t>
            </w:r>
          </w:p>
        </w:tc>
        <w:tc>
          <w:tcPr>
            <w:tcW w:w="2200" w:type="dxa"/>
            <w:vAlign w:val="bottom"/>
            <w:gridSpan w:val="2"/>
          </w:tcPr>
          <w:p>
            <w:pPr>
              <w:jc w:val="right"/>
              <w:ind w:right="879"/>
              <w:spacing w:after="0"/>
              <w:rPr>
                <w:sz w:val="20"/>
                <w:szCs w:val="20"/>
                <w:color w:val="auto"/>
              </w:rPr>
            </w:pPr>
            <w:r>
              <w:rPr>
                <w:rFonts w:ascii="Arial" w:cs="Arial" w:eastAsia="Arial" w:hAnsi="Arial"/>
                <w:sz w:val="16"/>
                <w:szCs w:val="16"/>
                <w:b w:val="1"/>
                <w:bCs w:val="1"/>
                <w:color w:val="auto"/>
              </w:rPr>
              <w:t>1,110</w:t>
            </w:r>
          </w:p>
        </w:tc>
        <w:tc>
          <w:tcPr>
            <w:tcW w:w="480" w:type="dxa"/>
            <w:vAlign w:val="bottom"/>
          </w:tcPr>
          <w:p>
            <w:pPr>
              <w:jc w:val="right"/>
              <w:spacing w:after="0"/>
              <w:rPr>
                <w:sz w:val="20"/>
                <w:szCs w:val="20"/>
                <w:color w:val="auto"/>
              </w:rPr>
            </w:pPr>
            <w:r>
              <w:rPr>
                <w:rFonts w:ascii="Arial" w:cs="Arial" w:eastAsia="Arial" w:hAnsi="Arial"/>
                <w:sz w:val="16"/>
                <w:szCs w:val="16"/>
                <w:color w:val="auto"/>
              </w:rPr>
              <w:t>918</w:t>
            </w:r>
          </w:p>
        </w:tc>
        <w:tc>
          <w:tcPr>
            <w:tcW w:w="100" w:type="dxa"/>
            <w:vAlign w:val="bottom"/>
          </w:tcPr>
          <w:p>
            <w:pPr>
              <w:spacing w:after="0"/>
              <w:rPr>
                <w:sz w:val="19"/>
                <w:szCs w:val="19"/>
                <w:color w:val="auto"/>
              </w:rPr>
            </w:pPr>
          </w:p>
        </w:tc>
        <w:tc>
          <w:tcPr>
            <w:tcW w:w="1900" w:type="dxa"/>
            <w:vAlign w:val="bottom"/>
          </w:tcPr>
          <w:p>
            <w:pPr>
              <w:jc w:val="right"/>
              <w:ind w:right="699"/>
              <w:spacing w:after="0"/>
              <w:rPr>
                <w:sz w:val="20"/>
                <w:szCs w:val="20"/>
                <w:color w:val="auto"/>
              </w:rPr>
            </w:pPr>
            <w:r>
              <w:rPr>
                <w:rFonts w:ascii="Arial" w:cs="Arial" w:eastAsia="Arial" w:hAnsi="Arial"/>
                <w:sz w:val="16"/>
                <w:szCs w:val="16"/>
                <w:b w:val="1"/>
                <w:bCs w:val="1"/>
                <w:color w:val="auto"/>
              </w:rPr>
              <w:t>3,927</w:t>
            </w:r>
          </w:p>
        </w:tc>
        <w:tc>
          <w:tcPr>
            <w:tcW w:w="660" w:type="dxa"/>
            <w:vAlign w:val="bottom"/>
          </w:tcPr>
          <w:p>
            <w:pPr>
              <w:jc w:val="right"/>
              <w:spacing w:after="0"/>
              <w:rPr>
                <w:sz w:val="20"/>
                <w:szCs w:val="20"/>
                <w:color w:val="auto"/>
              </w:rPr>
            </w:pPr>
            <w:r>
              <w:rPr>
                <w:rFonts w:ascii="Arial" w:cs="Arial" w:eastAsia="Arial" w:hAnsi="Arial"/>
                <w:sz w:val="16"/>
                <w:szCs w:val="16"/>
                <w:color w:val="auto"/>
              </w:rPr>
              <w:t>4,053</w:t>
            </w:r>
          </w:p>
        </w:tc>
        <w:tc>
          <w:tcPr>
            <w:tcW w:w="0" w:type="dxa"/>
            <w:vAlign w:val="bottom"/>
          </w:tcPr>
          <w:p>
            <w:pPr>
              <w:spacing w:after="0"/>
              <w:rPr>
                <w:sz w:val="1"/>
                <w:szCs w:val="1"/>
                <w:color w:val="auto"/>
              </w:rPr>
            </w:pPr>
          </w:p>
        </w:tc>
      </w:tr>
      <w:tr>
        <w:trPr>
          <w:trHeight w:val="230"/>
        </w:trPr>
        <w:tc>
          <w:tcPr>
            <w:tcW w:w="5900" w:type="dxa"/>
            <w:vAlign w:val="bottom"/>
          </w:tcPr>
          <w:p>
            <w:pPr>
              <w:ind w:left="100"/>
              <w:spacing w:after="0"/>
              <w:rPr>
                <w:sz w:val="20"/>
                <w:szCs w:val="20"/>
                <w:color w:val="auto"/>
              </w:rPr>
            </w:pPr>
            <w:r>
              <w:rPr>
                <w:rFonts w:ascii="Arial" w:cs="Arial" w:eastAsia="Arial" w:hAnsi="Arial"/>
                <w:sz w:val="16"/>
                <w:szCs w:val="16"/>
                <w:color w:val="auto"/>
              </w:rPr>
              <w:t>Mexico Natural Gas Pipelines</w:t>
            </w:r>
          </w:p>
        </w:tc>
        <w:tc>
          <w:tcPr>
            <w:tcW w:w="2200" w:type="dxa"/>
            <w:vAlign w:val="bottom"/>
            <w:gridSpan w:val="2"/>
          </w:tcPr>
          <w:p>
            <w:pPr>
              <w:jc w:val="right"/>
              <w:ind w:right="879"/>
              <w:spacing w:after="0"/>
              <w:rPr>
                <w:sz w:val="20"/>
                <w:szCs w:val="20"/>
                <w:color w:val="auto"/>
              </w:rPr>
            </w:pPr>
            <w:r>
              <w:rPr>
                <w:rFonts w:ascii="Arial" w:cs="Arial" w:eastAsia="Arial" w:hAnsi="Arial"/>
                <w:sz w:val="16"/>
                <w:szCs w:val="16"/>
                <w:b w:val="1"/>
                <w:bCs w:val="1"/>
                <w:color w:val="auto"/>
              </w:rPr>
              <w:t>377</w:t>
            </w:r>
          </w:p>
        </w:tc>
        <w:tc>
          <w:tcPr>
            <w:tcW w:w="480" w:type="dxa"/>
            <w:vAlign w:val="bottom"/>
          </w:tcPr>
          <w:p>
            <w:pPr>
              <w:jc w:val="right"/>
              <w:spacing w:after="0"/>
              <w:rPr>
                <w:sz w:val="20"/>
                <w:szCs w:val="20"/>
                <w:color w:val="auto"/>
              </w:rPr>
            </w:pPr>
            <w:r>
              <w:rPr>
                <w:rFonts w:ascii="Arial" w:cs="Arial" w:eastAsia="Arial" w:hAnsi="Arial"/>
                <w:sz w:val="16"/>
                <w:szCs w:val="16"/>
                <w:color w:val="auto"/>
              </w:rPr>
              <w:t>214</w:t>
            </w:r>
          </w:p>
        </w:tc>
        <w:tc>
          <w:tcPr>
            <w:tcW w:w="100" w:type="dxa"/>
            <w:vAlign w:val="bottom"/>
          </w:tcPr>
          <w:p>
            <w:pPr>
              <w:spacing w:after="0"/>
              <w:rPr>
                <w:sz w:val="19"/>
                <w:szCs w:val="19"/>
                <w:color w:val="auto"/>
              </w:rPr>
            </w:pPr>
          </w:p>
        </w:tc>
        <w:tc>
          <w:tcPr>
            <w:tcW w:w="1900" w:type="dxa"/>
            <w:vAlign w:val="bottom"/>
          </w:tcPr>
          <w:p>
            <w:pPr>
              <w:jc w:val="right"/>
              <w:ind w:right="699"/>
              <w:spacing w:after="0"/>
              <w:rPr>
                <w:sz w:val="20"/>
                <w:szCs w:val="20"/>
                <w:color w:val="auto"/>
              </w:rPr>
            </w:pPr>
            <w:r>
              <w:rPr>
                <w:rFonts w:ascii="Arial" w:cs="Arial" w:eastAsia="Arial" w:hAnsi="Arial"/>
                <w:sz w:val="16"/>
                <w:szCs w:val="16"/>
                <w:b w:val="1"/>
                <w:bCs w:val="1"/>
                <w:color w:val="auto"/>
              </w:rPr>
              <w:t>1,186</w:t>
            </w:r>
          </w:p>
        </w:tc>
        <w:tc>
          <w:tcPr>
            <w:tcW w:w="660" w:type="dxa"/>
            <w:vAlign w:val="bottom"/>
          </w:tcPr>
          <w:p>
            <w:pPr>
              <w:jc w:val="right"/>
              <w:spacing w:after="0"/>
              <w:rPr>
                <w:sz w:val="20"/>
                <w:szCs w:val="20"/>
                <w:color w:val="auto"/>
              </w:rPr>
            </w:pPr>
            <w:r>
              <w:rPr>
                <w:rFonts w:ascii="Arial" w:cs="Arial" w:eastAsia="Arial" w:hAnsi="Arial"/>
                <w:sz w:val="16"/>
                <w:szCs w:val="16"/>
                <w:color w:val="auto"/>
              </w:rPr>
              <w:t>929</w:t>
            </w:r>
          </w:p>
        </w:tc>
        <w:tc>
          <w:tcPr>
            <w:tcW w:w="0" w:type="dxa"/>
            <w:vAlign w:val="bottom"/>
          </w:tcPr>
          <w:p>
            <w:pPr>
              <w:spacing w:after="0"/>
              <w:rPr>
                <w:sz w:val="1"/>
                <w:szCs w:val="1"/>
                <w:color w:val="auto"/>
              </w:rPr>
            </w:pPr>
          </w:p>
        </w:tc>
      </w:tr>
      <w:tr>
        <w:trPr>
          <w:trHeight w:val="229"/>
        </w:trPr>
        <w:tc>
          <w:tcPr>
            <w:tcW w:w="5900" w:type="dxa"/>
            <w:vAlign w:val="bottom"/>
          </w:tcPr>
          <w:p>
            <w:pPr>
              <w:ind w:left="100"/>
              <w:spacing w:after="0"/>
              <w:rPr>
                <w:sz w:val="20"/>
                <w:szCs w:val="20"/>
                <w:color w:val="auto"/>
              </w:rPr>
            </w:pPr>
            <w:r>
              <w:rPr>
                <w:rFonts w:ascii="Arial" w:cs="Arial" w:eastAsia="Arial" w:hAnsi="Arial"/>
                <w:sz w:val="16"/>
                <w:szCs w:val="16"/>
                <w:color w:val="auto"/>
              </w:rPr>
              <w:t>Power and Energy Solutions</w:t>
            </w:r>
          </w:p>
        </w:tc>
        <w:tc>
          <w:tcPr>
            <w:tcW w:w="2200" w:type="dxa"/>
            <w:vAlign w:val="bottom"/>
            <w:gridSpan w:val="2"/>
          </w:tcPr>
          <w:p>
            <w:pPr>
              <w:jc w:val="right"/>
              <w:ind w:right="879"/>
              <w:spacing w:after="0"/>
              <w:rPr>
                <w:sz w:val="20"/>
                <w:szCs w:val="20"/>
                <w:color w:val="auto"/>
              </w:rPr>
            </w:pPr>
            <w:r>
              <w:rPr>
                <w:rFonts w:ascii="Arial" w:cs="Arial" w:eastAsia="Arial" w:hAnsi="Arial"/>
                <w:sz w:val="16"/>
                <w:szCs w:val="16"/>
                <w:b w:val="1"/>
                <w:bCs w:val="1"/>
                <w:color w:val="auto"/>
              </w:rPr>
              <w:t>136</w:t>
            </w:r>
          </w:p>
        </w:tc>
        <w:tc>
          <w:tcPr>
            <w:tcW w:w="480" w:type="dxa"/>
            <w:vAlign w:val="bottom"/>
          </w:tcPr>
          <w:p>
            <w:pPr>
              <w:jc w:val="right"/>
              <w:spacing w:after="0"/>
              <w:rPr>
                <w:sz w:val="20"/>
                <w:szCs w:val="20"/>
                <w:color w:val="auto"/>
              </w:rPr>
            </w:pPr>
            <w:r>
              <w:rPr>
                <w:rFonts w:ascii="Arial" w:cs="Arial" w:eastAsia="Arial" w:hAnsi="Arial"/>
                <w:sz w:val="16"/>
                <w:szCs w:val="16"/>
                <w:color w:val="auto"/>
              </w:rPr>
              <w:t>276</w:t>
            </w:r>
          </w:p>
        </w:tc>
        <w:tc>
          <w:tcPr>
            <w:tcW w:w="100" w:type="dxa"/>
            <w:vAlign w:val="bottom"/>
          </w:tcPr>
          <w:p>
            <w:pPr>
              <w:spacing w:after="0"/>
              <w:rPr>
                <w:sz w:val="19"/>
                <w:szCs w:val="19"/>
                <w:color w:val="auto"/>
              </w:rPr>
            </w:pPr>
          </w:p>
        </w:tc>
        <w:tc>
          <w:tcPr>
            <w:tcW w:w="1900" w:type="dxa"/>
            <w:vAlign w:val="bottom"/>
          </w:tcPr>
          <w:p>
            <w:pPr>
              <w:jc w:val="right"/>
              <w:ind w:right="699"/>
              <w:spacing w:after="0"/>
              <w:rPr>
                <w:sz w:val="20"/>
                <w:szCs w:val="20"/>
                <w:color w:val="auto"/>
              </w:rPr>
            </w:pPr>
            <w:r>
              <w:rPr>
                <w:rFonts w:ascii="Arial" w:cs="Arial" w:eastAsia="Arial" w:hAnsi="Arial"/>
                <w:sz w:val="16"/>
                <w:szCs w:val="16"/>
                <w:b w:val="1"/>
                <w:bCs w:val="1"/>
                <w:color w:val="auto"/>
              </w:rPr>
              <w:t>773</w:t>
            </w:r>
          </w:p>
        </w:tc>
        <w:tc>
          <w:tcPr>
            <w:tcW w:w="660" w:type="dxa"/>
            <w:vAlign w:val="bottom"/>
          </w:tcPr>
          <w:p>
            <w:pPr>
              <w:jc w:val="right"/>
              <w:spacing w:after="0"/>
              <w:rPr>
                <w:sz w:val="20"/>
                <w:szCs w:val="20"/>
                <w:color w:val="auto"/>
              </w:rPr>
            </w:pPr>
            <w:r>
              <w:rPr>
                <w:rFonts w:ascii="Arial" w:cs="Arial" w:eastAsia="Arial" w:hAnsi="Arial"/>
                <w:sz w:val="16"/>
                <w:szCs w:val="16"/>
                <w:color w:val="auto"/>
              </w:rPr>
              <w:t>1,102</w:t>
            </w:r>
          </w:p>
        </w:tc>
        <w:tc>
          <w:tcPr>
            <w:tcW w:w="0" w:type="dxa"/>
            <w:vAlign w:val="bottom"/>
          </w:tcPr>
          <w:p>
            <w:pPr>
              <w:spacing w:after="0"/>
              <w:rPr>
                <w:sz w:val="1"/>
                <w:szCs w:val="1"/>
                <w:color w:val="auto"/>
              </w:rPr>
            </w:pPr>
          </w:p>
        </w:tc>
      </w:tr>
      <w:tr>
        <w:trPr>
          <w:trHeight w:val="233"/>
        </w:trPr>
        <w:tc>
          <w:tcPr>
            <w:tcW w:w="590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Corporate</w:t>
            </w:r>
          </w:p>
        </w:tc>
        <w:tc>
          <w:tcPr>
            <w:tcW w:w="2200" w:type="dxa"/>
            <w:vAlign w:val="bottom"/>
            <w:tcBorders>
              <w:bottom w:val="single" w:sz="8" w:color="auto"/>
            </w:tcBorders>
            <w:gridSpan w:val="2"/>
          </w:tcPr>
          <w:p>
            <w:pPr>
              <w:jc w:val="right"/>
              <w:ind w:right="879"/>
              <w:spacing w:after="0"/>
              <w:rPr>
                <w:sz w:val="20"/>
                <w:szCs w:val="20"/>
                <w:color w:val="auto"/>
              </w:rPr>
            </w:pPr>
            <w:r>
              <w:rPr>
                <w:rFonts w:ascii="Arial" w:cs="Arial" w:eastAsia="Arial" w:hAnsi="Arial"/>
                <w:sz w:val="16"/>
                <w:szCs w:val="16"/>
                <w:b w:val="1"/>
                <w:bCs w:val="1"/>
                <w:color w:val="auto"/>
              </w:rPr>
              <w:t>1</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w:t>
            </w:r>
          </w:p>
        </w:tc>
        <w:tc>
          <w:tcPr>
            <w:tcW w:w="10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b w:val="1"/>
                <w:bCs w:val="1"/>
                <w:color w:val="auto"/>
              </w:rPr>
              <w:t>(14)</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w:t>
            </w:r>
          </w:p>
        </w:tc>
        <w:tc>
          <w:tcPr>
            <w:tcW w:w="0" w:type="dxa"/>
            <w:vAlign w:val="bottom"/>
          </w:tcPr>
          <w:p>
            <w:pPr>
              <w:spacing w:after="0"/>
              <w:rPr>
                <w:sz w:val="1"/>
                <w:szCs w:val="1"/>
                <w:color w:val="auto"/>
              </w:rPr>
            </w:pPr>
          </w:p>
        </w:tc>
      </w:tr>
      <w:tr>
        <w:trPr>
          <w:trHeight w:val="223"/>
        </w:trPr>
        <w:tc>
          <w:tcPr>
            <w:tcW w:w="59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0D64EF"/>
              </w:rPr>
              <w:t>Total segmented earnings (losses)</w:t>
            </w:r>
          </w:p>
        </w:tc>
        <w:tc>
          <w:tcPr>
            <w:tcW w:w="2200" w:type="dxa"/>
            <w:vAlign w:val="bottom"/>
            <w:tcBorders>
              <w:bottom w:val="single" w:sz="8" w:color="auto"/>
            </w:tcBorders>
            <w:gridSpan w:val="2"/>
          </w:tcPr>
          <w:p>
            <w:pPr>
              <w:jc w:val="right"/>
              <w:ind w:right="879"/>
              <w:spacing w:after="0"/>
              <w:rPr>
                <w:sz w:val="20"/>
                <w:szCs w:val="20"/>
                <w:color w:val="auto"/>
              </w:rPr>
            </w:pPr>
            <w:r>
              <w:rPr>
                <w:rFonts w:ascii="Arial" w:cs="Arial" w:eastAsia="Arial" w:hAnsi="Arial"/>
                <w:sz w:val="16"/>
                <w:szCs w:val="16"/>
                <w:b w:val="1"/>
                <w:bCs w:val="1"/>
                <w:color w:val="auto"/>
              </w:rPr>
              <w:t>2,188</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4"/>
              </w:rPr>
              <w:t>1,898</w:t>
            </w:r>
          </w:p>
        </w:tc>
        <w:tc>
          <w:tcPr>
            <w:tcW w:w="10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ind w:right="699"/>
              <w:spacing w:after="0"/>
              <w:rPr>
                <w:sz w:val="20"/>
                <w:szCs w:val="20"/>
                <w:color w:val="auto"/>
              </w:rPr>
            </w:pPr>
            <w:r>
              <w:rPr>
                <w:rFonts w:ascii="Arial" w:cs="Arial" w:eastAsia="Arial" w:hAnsi="Arial"/>
                <w:sz w:val="16"/>
                <w:szCs w:val="16"/>
                <w:b w:val="1"/>
                <w:bCs w:val="1"/>
                <w:color w:val="auto"/>
              </w:rPr>
              <w:t>8,036</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7,964</w:t>
            </w:r>
          </w:p>
        </w:tc>
        <w:tc>
          <w:tcPr>
            <w:tcW w:w="0" w:type="dxa"/>
            <w:vAlign w:val="bottom"/>
          </w:tcPr>
          <w:p>
            <w:pPr>
              <w:spacing w:after="0"/>
              <w:rPr>
                <w:sz w:val="1"/>
                <w:szCs w:val="1"/>
                <w:color w:val="auto"/>
              </w:rPr>
            </w:pPr>
          </w:p>
        </w:tc>
      </w:tr>
      <w:tr>
        <w:trPr>
          <w:trHeight w:val="259"/>
        </w:trPr>
        <w:tc>
          <w:tcPr>
            <w:tcW w:w="5900" w:type="dxa"/>
            <w:vAlign w:val="bottom"/>
          </w:tcPr>
          <w:p>
            <w:pPr>
              <w:ind w:left="20"/>
              <w:spacing w:after="0"/>
              <w:rPr>
                <w:sz w:val="20"/>
                <w:szCs w:val="20"/>
                <w:color w:val="auto"/>
              </w:rPr>
            </w:pPr>
            <w:r>
              <w:rPr>
                <w:rFonts w:ascii="Arial" w:cs="Arial" w:eastAsia="Arial" w:hAnsi="Arial"/>
                <w:sz w:val="16"/>
                <w:szCs w:val="16"/>
                <w:b w:val="1"/>
                <w:bCs w:val="1"/>
                <w:color w:val="0D64EF"/>
              </w:rPr>
              <w:t>Comparable EBITDA from continuing operations</w:t>
            </w:r>
          </w:p>
        </w:tc>
        <w:tc>
          <w:tcPr>
            <w:tcW w:w="140" w:type="dxa"/>
            <w:vAlign w:val="bottom"/>
          </w:tcPr>
          <w:p>
            <w:pPr>
              <w:spacing w:after="0"/>
              <w:rPr>
                <w:sz w:val="22"/>
                <w:szCs w:val="22"/>
                <w:color w:val="auto"/>
              </w:rPr>
            </w:pPr>
          </w:p>
        </w:tc>
        <w:tc>
          <w:tcPr>
            <w:tcW w:w="20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5900" w:type="dxa"/>
            <w:vAlign w:val="bottom"/>
          </w:tcPr>
          <w:p>
            <w:pPr>
              <w:ind w:left="100"/>
              <w:spacing w:after="0"/>
              <w:rPr>
                <w:sz w:val="20"/>
                <w:szCs w:val="20"/>
                <w:color w:val="auto"/>
              </w:rPr>
            </w:pPr>
            <w:r>
              <w:rPr>
                <w:rFonts w:ascii="Arial" w:cs="Arial" w:eastAsia="Arial" w:hAnsi="Arial"/>
                <w:sz w:val="16"/>
                <w:szCs w:val="16"/>
                <w:color w:val="auto"/>
              </w:rPr>
              <w:t>Canadian Natural Gas Pipelines</w:t>
            </w:r>
          </w:p>
        </w:tc>
        <w:tc>
          <w:tcPr>
            <w:tcW w:w="2200" w:type="dxa"/>
            <w:vAlign w:val="bottom"/>
            <w:gridSpan w:val="2"/>
          </w:tcPr>
          <w:p>
            <w:pPr>
              <w:jc w:val="right"/>
              <w:ind w:right="879"/>
              <w:spacing w:after="0"/>
              <w:rPr>
                <w:sz w:val="20"/>
                <w:szCs w:val="20"/>
                <w:color w:val="auto"/>
              </w:rPr>
            </w:pPr>
            <w:r>
              <w:rPr>
                <w:rFonts w:ascii="Arial" w:cs="Arial" w:eastAsia="Arial" w:hAnsi="Arial"/>
                <w:sz w:val="16"/>
                <w:szCs w:val="16"/>
                <w:b w:val="1"/>
                <w:bCs w:val="1"/>
                <w:color w:val="auto"/>
              </w:rPr>
              <w:t>961</w:t>
            </w:r>
          </w:p>
        </w:tc>
        <w:tc>
          <w:tcPr>
            <w:tcW w:w="480" w:type="dxa"/>
            <w:vAlign w:val="bottom"/>
          </w:tcPr>
          <w:p>
            <w:pPr>
              <w:jc w:val="right"/>
              <w:spacing w:after="0"/>
              <w:rPr>
                <w:sz w:val="20"/>
                <w:szCs w:val="20"/>
                <w:color w:val="auto"/>
              </w:rPr>
            </w:pPr>
            <w:r>
              <w:rPr>
                <w:rFonts w:ascii="Arial" w:cs="Arial" w:eastAsia="Arial" w:hAnsi="Arial"/>
                <w:sz w:val="16"/>
                <w:szCs w:val="16"/>
                <w:color w:val="auto"/>
              </w:rPr>
              <w:t>851</w:t>
            </w:r>
          </w:p>
        </w:tc>
        <w:tc>
          <w:tcPr>
            <w:tcW w:w="100" w:type="dxa"/>
            <w:vAlign w:val="bottom"/>
          </w:tcPr>
          <w:p>
            <w:pPr>
              <w:spacing w:after="0"/>
              <w:rPr>
                <w:sz w:val="19"/>
                <w:szCs w:val="19"/>
                <w:color w:val="auto"/>
              </w:rPr>
            </w:pPr>
          </w:p>
        </w:tc>
        <w:tc>
          <w:tcPr>
            <w:tcW w:w="1900" w:type="dxa"/>
            <w:vAlign w:val="bottom"/>
          </w:tcPr>
          <w:p>
            <w:pPr>
              <w:jc w:val="right"/>
              <w:ind w:right="699"/>
              <w:spacing w:after="0"/>
              <w:rPr>
                <w:sz w:val="20"/>
                <w:szCs w:val="20"/>
                <w:color w:val="auto"/>
              </w:rPr>
            </w:pPr>
            <w:r>
              <w:rPr>
                <w:rFonts w:ascii="Arial" w:cs="Arial" w:eastAsia="Arial" w:hAnsi="Arial"/>
                <w:sz w:val="16"/>
                <w:szCs w:val="16"/>
                <w:b w:val="1"/>
                <w:bCs w:val="1"/>
                <w:color w:val="auto"/>
              </w:rPr>
              <w:t>3,687</w:t>
            </w:r>
          </w:p>
        </w:tc>
        <w:tc>
          <w:tcPr>
            <w:tcW w:w="660" w:type="dxa"/>
            <w:vAlign w:val="bottom"/>
          </w:tcPr>
          <w:p>
            <w:pPr>
              <w:jc w:val="right"/>
              <w:spacing w:after="0"/>
              <w:rPr>
                <w:sz w:val="20"/>
                <w:szCs w:val="20"/>
                <w:color w:val="auto"/>
              </w:rPr>
            </w:pPr>
            <w:r>
              <w:rPr>
                <w:rFonts w:ascii="Arial" w:cs="Arial" w:eastAsia="Arial" w:hAnsi="Arial"/>
                <w:sz w:val="16"/>
                <w:szCs w:val="16"/>
                <w:color w:val="auto"/>
              </w:rPr>
              <w:t>3,388</w:t>
            </w:r>
          </w:p>
        </w:tc>
        <w:tc>
          <w:tcPr>
            <w:tcW w:w="0" w:type="dxa"/>
            <w:vAlign w:val="bottom"/>
          </w:tcPr>
          <w:p>
            <w:pPr>
              <w:spacing w:after="0"/>
              <w:rPr>
                <w:sz w:val="1"/>
                <w:szCs w:val="1"/>
                <w:color w:val="auto"/>
              </w:rPr>
            </w:pPr>
          </w:p>
        </w:tc>
      </w:tr>
      <w:tr>
        <w:trPr>
          <w:trHeight w:val="229"/>
        </w:trPr>
        <w:tc>
          <w:tcPr>
            <w:tcW w:w="5900" w:type="dxa"/>
            <w:vAlign w:val="bottom"/>
          </w:tcPr>
          <w:p>
            <w:pPr>
              <w:ind w:left="100"/>
              <w:spacing w:after="0"/>
              <w:rPr>
                <w:sz w:val="20"/>
                <w:szCs w:val="20"/>
                <w:color w:val="auto"/>
              </w:rPr>
            </w:pPr>
            <w:r>
              <w:rPr>
                <w:rFonts w:ascii="Arial" w:cs="Arial" w:eastAsia="Arial" w:hAnsi="Arial"/>
                <w:sz w:val="16"/>
                <w:szCs w:val="16"/>
                <w:color w:val="auto"/>
              </w:rPr>
              <w:t>U.S. Natural Gas Pipelines</w:t>
            </w:r>
          </w:p>
        </w:tc>
        <w:tc>
          <w:tcPr>
            <w:tcW w:w="2200" w:type="dxa"/>
            <w:vAlign w:val="bottom"/>
            <w:gridSpan w:val="2"/>
          </w:tcPr>
          <w:p>
            <w:pPr>
              <w:jc w:val="right"/>
              <w:ind w:right="879"/>
              <w:spacing w:after="0"/>
              <w:rPr>
                <w:sz w:val="20"/>
                <w:szCs w:val="20"/>
                <w:color w:val="auto"/>
              </w:rPr>
            </w:pPr>
            <w:r>
              <w:rPr>
                <w:rFonts w:ascii="Arial" w:cs="Arial" w:eastAsia="Arial" w:hAnsi="Arial"/>
                <w:sz w:val="16"/>
                <w:szCs w:val="16"/>
                <w:b w:val="1"/>
                <w:bCs w:val="1"/>
                <w:color w:val="auto"/>
              </w:rPr>
              <w:t>1,388</w:t>
            </w:r>
          </w:p>
        </w:tc>
        <w:tc>
          <w:tcPr>
            <w:tcW w:w="480" w:type="dxa"/>
            <w:vAlign w:val="bottom"/>
          </w:tcPr>
          <w:p>
            <w:pPr>
              <w:jc w:val="right"/>
              <w:spacing w:after="0"/>
              <w:rPr>
                <w:sz w:val="20"/>
                <w:szCs w:val="20"/>
                <w:color w:val="auto"/>
              </w:rPr>
            </w:pPr>
            <w:r>
              <w:rPr>
                <w:rFonts w:ascii="Arial" w:cs="Arial" w:eastAsia="Arial" w:hAnsi="Arial"/>
                <w:sz w:val="16"/>
                <w:szCs w:val="16"/>
                <w:color w:val="auto"/>
                <w:w w:val="94"/>
              </w:rPr>
              <w:t>1,200</w:t>
            </w:r>
          </w:p>
        </w:tc>
        <w:tc>
          <w:tcPr>
            <w:tcW w:w="100" w:type="dxa"/>
            <w:vAlign w:val="bottom"/>
          </w:tcPr>
          <w:p>
            <w:pPr>
              <w:spacing w:after="0"/>
              <w:rPr>
                <w:sz w:val="19"/>
                <w:szCs w:val="19"/>
                <w:color w:val="auto"/>
              </w:rPr>
            </w:pPr>
          </w:p>
        </w:tc>
        <w:tc>
          <w:tcPr>
            <w:tcW w:w="1900" w:type="dxa"/>
            <w:vAlign w:val="bottom"/>
          </w:tcPr>
          <w:p>
            <w:pPr>
              <w:jc w:val="right"/>
              <w:ind w:right="699"/>
              <w:spacing w:after="0"/>
              <w:rPr>
                <w:sz w:val="20"/>
                <w:szCs w:val="20"/>
                <w:color w:val="auto"/>
              </w:rPr>
            </w:pPr>
            <w:r>
              <w:rPr>
                <w:rFonts w:ascii="Arial" w:cs="Arial" w:eastAsia="Arial" w:hAnsi="Arial"/>
                <w:sz w:val="16"/>
                <w:szCs w:val="16"/>
                <w:b w:val="1"/>
                <w:bCs w:val="1"/>
                <w:color w:val="auto"/>
              </w:rPr>
              <w:t>4,906</w:t>
            </w:r>
          </w:p>
        </w:tc>
        <w:tc>
          <w:tcPr>
            <w:tcW w:w="660" w:type="dxa"/>
            <w:vAlign w:val="bottom"/>
          </w:tcPr>
          <w:p>
            <w:pPr>
              <w:jc w:val="right"/>
              <w:spacing w:after="0"/>
              <w:rPr>
                <w:sz w:val="20"/>
                <w:szCs w:val="20"/>
                <w:color w:val="auto"/>
              </w:rPr>
            </w:pPr>
            <w:r>
              <w:rPr>
                <w:rFonts w:ascii="Arial" w:cs="Arial" w:eastAsia="Arial" w:hAnsi="Arial"/>
                <w:sz w:val="16"/>
                <w:szCs w:val="16"/>
                <w:color w:val="auto"/>
              </w:rPr>
              <w:t>4,511</w:t>
            </w:r>
          </w:p>
        </w:tc>
        <w:tc>
          <w:tcPr>
            <w:tcW w:w="0" w:type="dxa"/>
            <w:vAlign w:val="bottom"/>
          </w:tcPr>
          <w:p>
            <w:pPr>
              <w:spacing w:after="0"/>
              <w:rPr>
                <w:sz w:val="1"/>
                <w:szCs w:val="1"/>
                <w:color w:val="auto"/>
              </w:rPr>
            </w:pPr>
          </w:p>
        </w:tc>
      </w:tr>
      <w:tr>
        <w:trPr>
          <w:trHeight w:val="229"/>
        </w:trPr>
        <w:tc>
          <w:tcPr>
            <w:tcW w:w="5900" w:type="dxa"/>
            <w:vAlign w:val="bottom"/>
          </w:tcPr>
          <w:p>
            <w:pPr>
              <w:ind w:left="100"/>
              <w:spacing w:after="0"/>
              <w:rPr>
                <w:sz w:val="20"/>
                <w:szCs w:val="20"/>
                <w:color w:val="auto"/>
              </w:rPr>
            </w:pPr>
            <w:r>
              <w:rPr>
                <w:rFonts w:ascii="Arial" w:cs="Arial" w:eastAsia="Arial" w:hAnsi="Arial"/>
                <w:sz w:val="16"/>
                <w:szCs w:val="16"/>
                <w:color w:val="auto"/>
              </w:rPr>
              <w:t>Mexico Natural Gas Pipelines</w:t>
            </w:r>
          </w:p>
        </w:tc>
        <w:tc>
          <w:tcPr>
            <w:tcW w:w="2200" w:type="dxa"/>
            <w:vAlign w:val="bottom"/>
            <w:gridSpan w:val="2"/>
          </w:tcPr>
          <w:p>
            <w:pPr>
              <w:jc w:val="right"/>
              <w:ind w:right="879"/>
              <w:spacing w:after="0"/>
              <w:rPr>
                <w:sz w:val="20"/>
                <w:szCs w:val="20"/>
                <w:color w:val="auto"/>
              </w:rPr>
            </w:pPr>
            <w:r>
              <w:rPr>
                <w:rFonts w:ascii="Arial" w:cs="Arial" w:eastAsia="Arial" w:hAnsi="Arial"/>
                <w:sz w:val="16"/>
                <w:szCs w:val="16"/>
                <w:b w:val="1"/>
                <w:bCs w:val="1"/>
                <w:color w:val="auto"/>
              </w:rPr>
              <w:t>397</w:t>
            </w:r>
          </w:p>
        </w:tc>
        <w:tc>
          <w:tcPr>
            <w:tcW w:w="480" w:type="dxa"/>
            <w:vAlign w:val="bottom"/>
          </w:tcPr>
          <w:p>
            <w:pPr>
              <w:jc w:val="right"/>
              <w:spacing w:after="0"/>
              <w:rPr>
                <w:sz w:val="20"/>
                <w:szCs w:val="20"/>
                <w:color w:val="auto"/>
              </w:rPr>
            </w:pPr>
            <w:r>
              <w:rPr>
                <w:rFonts w:ascii="Arial" w:cs="Arial" w:eastAsia="Arial" w:hAnsi="Arial"/>
                <w:sz w:val="16"/>
                <w:szCs w:val="16"/>
                <w:color w:val="auto"/>
              </w:rPr>
              <w:t>234</w:t>
            </w:r>
          </w:p>
        </w:tc>
        <w:tc>
          <w:tcPr>
            <w:tcW w:w="100" w:type="dxa"/>
            <w:vAlign w:val="bottom"/>
          </w:tcPr>
          <w:p>
            <w:pPr>
              <w:spacing w:after="0"/>
              <w:rPr>
                <w:sz w:val="19"/>
                <w:szCs w:val="19"/>
                <w:color w:val="auto"/>
              </w:rPr>
            </w:pPr>
          </w:p>
        </w:tc>
        <w:tc>
          <w:tcPr>
            <w:tcW w:w="1900" w:type="dxa"/>
            <w:vAlign w:val="bottom"/>
          </w:tcPr>
          <w:p>
            <w:pPr>
              <w:jc w:val="right"/>
              <w:ind w:right="699"/>
              <w:spacing w:after="0"/>
              <w:rPr>
                <w:sz w:val="20"/>
                <w:szCs w:val="20"/>
                <w:color w:val="auto"/>
              </w:rPr>
            </w:pPr>
            <w:r>
              <w:rPr>
                <w:rFonts w:ascii="Arial" w:cs="Arial" w:eastAsia="Arial" w:hAnsi="Arial"/>
                <w:sz w:val="16"/>
                <w:szCs w:val="16"/>
                <w:b w:val="1"/>
                <w:bCs w:val="1"/>
                <w:color w:val="auto"/>
              </w:rPr>
              <w:t>1,365</w:t>
            </w:r>
          </w:p>
        </w:tc>
        <w:tc>
          <w:tcPr>
            <w:tcW w:w="660" w:type="dxa"/>
            <w:vAlign w:val="bottom"/>
          </w:tcPr>
          <w:p>
            <w:pPr>
              <w:jc w:val="right"/>
              <w:spacing w:after="0"/>
              <w:rPr>
                <w:sz w:val="20"/>
                <w:szCs w:val="20"/>
                <w:color w:val="auto"/>
              </w:rPr>
            </w:pPr>
            <w:r>
              <w:rPr>
                <w:rFonts w:ascii="Arial" w:cs="Arial" w:eastAsia="Arial" w:hAnsi="Arial"/>
                <w:sz w:val="16"/>
                <w:szCs w:val="16"/>
                <w:color w:val="auto"/>
              </w:rPr>
              <w:t>999</w:t>
            </w:r>
          </w:p>
        </w:tc>
        <w:tc>
          <w:tcPr>
            <w:tcW w:w="0" w:type="dxa"/>
            <w:vAlign w:val="bottom"/>
          </w:tcPr>
          <w:p>
            <w:pPr>
              <w:spacing w:after="0"/>
              <w:rPr>
                <w:sz w:val="1"/>
                <w:szCs w:val="1"/>
                <w:color w:val="auto"/>
              </w:rPr>
            </w:pPr>
          </w:p>
        </w:tc>
      </w:tr>
      <w:tr>
        <w:trPr>
          <w:trHeight w:val="230"/>
        </w:trPr>
        <w:tc>
          <w:tcPr>
            <w:tcW w:w="5900" w:type="dxa"/>
            <w:vAlign w:val="bottom"/>
          </w:tcPr>
          <w:p>
            <w:pPr>
              <w:ind w:left="100"/>
              <w:spacing w:after="0"/>
              <w:rPr>
                <w:sz w:val="20"/>
                <w:szCs w:val="20"/>
                <w:color w:val="auto"/>
              </w:rPr>
            </w:pPr>
            <w:r>
              <w:rPr>
                <w:rFonts w:ascii="Arial" w:cs="Arial" w:eastAsia="Arial" w:hAnsi="Arial"/>
                <w:sz w:val="16"/>
                <w:szCs w:val="16"/>
                <w:color w:val="auto"/>
              </w:rPr>
              <w:t>Power and Energy Solutions</w:t>
            </w:r>
          </w:p>
        </w:tc>
        <w:tc>
          <w:tcPr>
            <w:tcW w:w="2200" w:type="dxa"/>
            <w:vAlign w:val="bottom"/>
            <w:gridSpan w:val="2"/>
          </w:tcPr>
          <w:p>
            <w:pPr>
              <w:jc w:val="right"/>
              <w:ind w:right="879"/>
              <w:spacing w:after="0"/>
              <w:rPr>
                <w:sz w:val="20"/>
                <w:szCs w:val="20"/>
                <w:color w:val="auto"/>
              </w:rPr>
            </w:pPr>
            <w:r>
              <w:rPr>
                <w:rFonts w:ascii="Arial" w:cs="Arial" w:eastAsia="Arial" w:hAnsi="Arial"/>
                <w:sz w:val="16"/>
                <w:szCs w:val="16"/>
                <w:b w:val="1"/>
                <w:bCs w:val="1"/>
                <w:color w:val="auto"/>
              </w:rPr>
              <w:t>217</w:t>
            </w:r>
          </w:p>
        </w:tc>
        <w:tc>
          <w:tcPr>
            <w:tcW w:w="480" w:type="dxa"/>
            <w:vAlign w:val="bottom"/>
          </w:tcPr>
          <w:p>
            <w:pPr>
              <w:jc w:val="right"/>
              <w:spacing w:after="0"/>
              <w:rPr>
                <w:sz w:val="20"/>
                <w:szCs w:val="20"/>
                <w:color w:val="auto"/>
              </w:rPr>
            </w:pPr>
            <w:r>
              <w:rPr>
                <w:rFonts w:ascii="Arial" w:cs="Arial" w:eastAsia="Arial" w:hAnsi="Arial"/>
                <w:sz w:val="16"/>
                <w:szCs w:val="16"/>
                <w:color w:val="auto"/>
              </w:rPr>
              <w:t>341</w:t>
            </w:r>
          </w:p>
        </w:tc>
        <w:tc>
          <w:tcPr>
            <w:tcW w:w="100" w:type="dxa"/>
            <w:vAlign w:val="bottom"/>
          </w:tcPr>
          <w:p>
            <w:pPr>
              <w:spacing w:after="0"/>
              <w:rPr>
                <w:sz w:val="19"/>
                <w:szCs w:val="19"/>
                <w:color w:val="auto"/>
              </w:rPr>
            </w:pPr>
          </w:p>
        </w:tc>
        <w:tc>
          <w:tcPr>
            <w:tcW w:w="1900" w:type="dxa"/>
            <w:vAlign w:val="bottom"/>
          </w:tcPr>
          <w:p>
            <w:pPr>
              <w:jc w:val="right"/>
              <w:ind w:right="699"/>
              <w:spacing w:after="0"/>
              <w:rPr>
                <w:sz w:val="20"/>
                <w:szCs w:val="20"/>
                <w:color w:val="auto"/>
              </w:rPr>
            </w:pPr>
            <w:r>
              <w:rPr>
                <w:rFonts w:ascii="Arial" w:cs="Arial" w:eastAsia="Arial" w:hAnsi="Arial"/>
                <w:sz w:val="16"/>
                <w:szCs w:val="16"/>
                <w:b w:val="1"/>
                <w:bCs w:val="1"/>
                <w:color w:val="auto"/>
              </w:rPr>
              <w:t>1,008</w:t>
            </w:r>
          </w:p>
        </w:tc>
        <w:tc>
          <w:tcPr>
            <w:tcW w:w="660" w:type="dxa"/>
            <w:vAlign w:val="bottom"/>
          </w:tcPr>
          <w:p>
            <w:pPr>
              <w:jc w:val="right"/>
              <w:spacing w:after="0"/>
              <w:rPr>
                <w:sz w:val="20"/>
                <w:szCs w:val="20"/>
                <w:color w:val="auto"/>
              </w:rPr>
            </w:pPr>
            <w:r>
              <w:rPr>
                <w:rFonts w:ascii="Arial" w:cs="Arial" w:eastAsia="Arial" w:hAnsi="Arial"/>
                <w:sz w:val="16"/>
                <w:szCs w:val="16"/>
                <w:color w:val="auto"/>
              </w:rPr>
              <w:t>1,214</w:t>
            </w:r>
          </w:p>
        </w:tc>
        <w:tc>
          <w:tcPr>
            <w:tcW w:w="0" w:type="dxa"/>
            <w:vAlign w:val="bottom"/>
          </w:tcPr>
          <w:p>
            <w:pPr>
              <w:spacing w:after="0"/>
              <w:rPr>
                <w:sz w:val="1"/>
                <w:szCs w:val="1"/>
                <w:color w:val="auto"/>
              </w:rPr>
            </w:pPr>
          </w:p>
        </w:tc>
      </w:tr>
      <w:tr>
        <w:trPr>
          <w:trHeight w:val="233"/>
        </w:trPr>
        <w:tc>
          <w:tcPr>
            <w:tcW w:w="590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Corporate</w:t>
            </w:r>
          </w:p>
        </w:tc>
        <w:tc>
          <w:tcPr>
            <w:tcW w:w="2200" w:type="dxa"/>
            <w:vAlign w:val="bottom"/>
            <w:tcBorders>
              <w:bottom w:val="single" w:sz="8" w:color="auto"/>
            </w:tcBorders>
            <w:gridSpan w:val="2"/>
          </w:tcPr>
          <w:p>
            <w:pPr>
              <w:jc w:val="right"/>
              <w:ind w:right="879"/>
              <w:spacing w:after="0"/>
              <w:rPr>
                <w:sz w:val="20"/>
                <w:szCs w:val="20"/>
                <w:color w:val="auto"/>
              </w:rPr>
            </w:pPr>
            <w:r>
              <w:rPr>
                <w:rFonts w:ascii="Arial" w:cs="Arial" w:eastAsia="Arial" w:hAnsi="Arial"/>
                <w:sz w:val="16"/>
                <w:szCs w:val="16"/>
                <w:b w:val="1"/>
                <w:bCs w:val="1"/>
                <w:color w:val="auto"/>
              </w:rPr>
              <w:t>1</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b w:val="1"/>
                <w:bCs w:val="1"/>
                <w:color w:val="auto"/>
              </w:rPr>
              <w:t>(14)</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w:t>
            </w:r>
          </w:p>
        </w:tc>
        <w:tc>
          <w:tcPr>
            <w:tcW w:w="0" w:type="dxa"/>
            <w:vAlign w:val="bottom"/>
          </w:tcPr>
          <w:p>
            <w:pPr>
              <w:spacing w:after="0"/>
              <w:rPr>
                <w:sz w:val="1"/>
                <w:szCs w:val="1"/>
                <w:color w:val="auto"/>
              </w:rPr>
            </w:pPr>
          </w:p>
        </w:tc>
      </w:tr>
      <w:tr>
        <w:trPr>
          <w:trHeight w:val="220"/>
        </w:trPr>
        <w:tc>
          <w:tcPr>
            <w:tcW w:w="5900" w:type="dxa"/>
            <w:vAlign w:val="bottom"/>
          </w:tcPr>
          <w:p>
            <w:pPr>
              <w:ind w:left="20"/>
              <w:spacing w:after="0"/>
              <w:rPr>
                <w:sz w:val="20"/>
                <w:szCs w:val="20"/>
                <w:color w:val="auto"/>
              </w:rPr>
            </w:pPr>
            <w:r>
              <w:rPr>
                <w:rFonts w:ascii="Arial" w:cs="Arial" w:eastAsia="Arial" w:hAnsi="Arial"/>
                <w:sz w:val="16"/>
                <w:szCs w:val="16"/>
                <w:b w:val="1"/>
                <w:bCs w:val="1"/>
                <w:color w:val="0D64EF"/>
              </w:rPr>
              <w:t>Comparable EBITDA from continuing operations</w:t>
            </w:r>
          </w:p>
        </w:tc>
        <w:tc>
          <w:tcPr>
            <w:tcW w:w="2200" w:type="dxa"/>
            <w:vAlign w:val="bottom"/>
            <w:gridSpan w:val="2"/>
          </w:tcPr>
          <w:p>
            <w:pPr>
              <w:jc w:val="right"/>
              <w:ind w:right="879"/>
              <w:spacing w:after="0"/>
              <w:rPr>
                <w:sz w:val="20"/>
                <w:szCs w:val="20"/>
                <w:color w:val="auto"/>
              </w:rPr>
            </w:pPr>
            <w:r>
              <w:rPr>
                <w:rFonts w:ascii="Arial" w:cs="Arial" w:eastAsia="Arial" w:hAnsi="Arial"/>
                <w:sz w:val="16"/>
                <w:szCs w:val="16"/>
                <w:b w:val="1"/>
                <w:bCs w:val="1"/>
                <w:color w:val="auto"/>
              </w:rPr>
              <w:t>2,964</w:t>
            </w:r>
          </w:p>
        </w:tc>
        <w:tc>
          <w:tcPr>
            <w:tcW w:w="480" w:type="dxa"/>
            <w:vAlign w:val="bottom"/>
          </w:tcPr>
          <w:p>
            <w:pPr>
              <w:jc w:val="right"/>
              <w:spacing w:after="0"/>
              <w:rPr>
                <w:sz w:val="20"/>
                <w:szCs w:val="20"/>
                <w:color w:val="auto"/>
              </w:rPr>
            </w:pPr>
            <w:r>
              <w:rPr>
                <w:rFonts w:ascii="Arial" w:cs="Arial" w:eastAsia="Arial" w:hAnsi="Arial"/>
                <w:sz w:val="16"/>
                <w:szCs w:val="16"/>
                <w:color w:val="auto"/>
                <w:w w:val="94"/>
              </w:rPr>
              <w:t>2,619</w:t>
            </w:r>
          </w:p>
        </w:tc>
        <w:tc>
          <w:tcPr>
            <w:tcW w:w="100" w:type="dxa"/>
            <w:vAlign w:val="bottom"/>
          </w:tcPr>
          <w:p>
            <w:pPr>
              <w:spacing w:after="0"/>
              <w:rPr>
                <w:sz w:val="19"/>
                <w:szCs w:val="19"/>
                <w:color w:val="auto"/>
              </w:rPr>
            </w:pPr>
          </w:p>
        </w:tc>
        <w:tc>
          <w:tcPr>
            <w:tcW w:w="1900" w:type="dxa"/>
            <w:vAlign w:val="bottom"/>
          </w:tcPr>
          <w:p>
            <w:pPr>
              <w:jc w:val="right"/>
              <w:ind w:right="699"/>
              <w:spacing w:after="0"/>
              <w:rPr>
                <w:sz w:val="20"/>
                <w:szCs w:val="20"/>
                <w:color w:val="auto"/>
              </w:rPr>
            </w:pPr>
            <w:r>
              <w:rPr>
                <w:rFonts w:ascii="Arial" w:cs="Arial" w:eastAsia="Arial" w:hAnsi="Arial"/>
                <w:sz w:val="16"/>
                <w:szCs w:val="16"/>
                <w:b w:val="1"/>
                <w:bCs w:val="1"/>
                <w:color w:val="auto"/>
              </w:rPr>
              <w:t>10,952</w:t>
            </w:r>
          </w:p>
        </w:tc>
        <w:tc>
          <w:tcPr>
            <w:tcW w:w="660" w:type="dxa"/>
            <w:vAlign w:val="bottom"/>
          </w:tcPr>
          <w:p>
            <w:pPr>
              <w:jc w:val="right"/>
              <w:spacing w:after="0"/>
              <w:rPr>
                <w:sz w:val="20"/>
                <w:szCs w:val="20"/>
                <w:color w:val="auto"/>
              </w:rPr>
            </w:pPr>
            <w:r>
              <w:rPr>
                <w:rFonts w:ascii="Arial" w:cs="Arial" w:eastAsia="Arial" w:hAnsi="Arial"/>
                <w:sz w:val="16"/>
                <w:szCs w:val="16"/>
                <w:color w:val="auto"/>
              </w:rPr>
              <w:t>10,049</w:t>
            </w:r>
          </w:p>
        </w:tc>
        <w:tc>
          <w:tcPr>
            <w:tcW w:w="0" w:type="dxa"/>
            <w:vAlign w:val="bottom"/>
          </w:tcPr>
          <w:p>
            <w:pPr>
              <w:spacing w:after="0"/>
              <w:rPr>
                <w:sz w:val="1"/>
                <w:szCs w:val="1"/>
                <w:color w:val="auto"/>
              </w:rPr>
            </w:pPr>
          </w:p>
        </w:tc>
      </w:tr>
      <w:tr>
        <w:trPr>
          <w:trHeight w:val="229"/>
        </w:trPr>
        <w:tc>
          <w:tcPr>
            <w:tcW w:w="5900" w:type="dxa"/>
            <w:vAlign w:val="bottom"/>
          </w:tcPr>
          <w:p>
            <w:pPr>
              <w:ind w:left="100"/>
              <w:spacing w:after="0"/>
              <w:rPr>
                <w:sz w:val="20"/>
                <w:szCs w:val="20"/>
                <w:color w:val="auto"/>
              </w:rPr>
            </w:pPr>
            <w:r>
              <w:rPr>
                <w:rFonts w:ascii="Arial" w:cs="Arial" w:eastAsia="Arial" w:hAnsi="Arial"/>
                <w:sz w:val="16"/>
                <w:szCs w:val="16"/>
                <w:color w:val="auto"/>
              </w:rPr>
              <w:t>Depreciation and amortization</w:t>
            </w:r>
          </w:p>
        </w:tc>
        <w:tc>
          <w:tcPr>
            <w:tcW w:w="2200" w:type="dxa"/>
            <w:vAlign w:val="bottom"/>
            <w:gridSpan w:val="2"/>
          </w:tcPr>
          <w:p>
            <w:pPr>
              <w:jc w:val="right"/>
              <w:ind w:right="819"/>
              <w:spacing w:after="0"/>
              <w:rPr>
                <w:sz w:val="20"/>
                <w:szCs w:val="20"/>
                <w:color w:val="auto"/>
              </w:rPr>
            </w:pPr>
            <w:r>
              <w:rPr>
                <w:rFonts w:ascii="Arial" w:cs="Arial" w:eastAsia="Arial" w:hAnsi="Arial"/>
                <w:sz w:val="16"/>
                <w:szCs w:val="16"/>
                <w:b w:val="1"/>
                <w:bCs w:val="1"/>
                <w:color w:val="auto"/>
              </w:rPr>
              <w:t>(719)</w:t>
            </w:r>
          </w:p>
        </w:tc>
        <w:tc>
          <w:tcPr>
            <w:tcW w:w="480" w:type="dxa"/>
            <w:vAlign w:val="bottom"/>
          </w:tcPr>
          <w:p>
            <w:pPr>
              <w:jc w:val="right"/>
              <w:spacing w:after="0"/>
              <w:rPr>
                <w:sz w:val="20"/>
                <w:szCs w:val="20"/>
                <w:color w:val="auto"/>
              </w:rPr>
            </w:pPr>
            <w:r>
              <w:rPr>
                <w:rFonts w:ascii="Arial" w:cs="Arial" w:eastAsia="Arial" w:hAnsi="Arial"/>
                <w:sz w:val="16"/>
                <w:szCs w:val="16"/>
                <w:color w:val="auto"/>
              </w:rPr>
              <w:t>(639)</w:t>
            </w:r>
          </w:p>
        </w:tc>
        <w:tc>
          <w:tcPr>
            <w:tcW w:w="100" w:type="dxa"/>
            <w:vAlign w:val="bottom"/>
          </w:tcPr>
          <w:p>
            <w:pPr>
              <w:spacing w:after="0"/>
              <w:rPr>
                <w:sz w:val="19"/>
                <w:szCs w:val="19"/>
                <w:color w:val="auto"/>
              </w:rPr>
            </w:pPr>
          </w:p>
        </w:tc>
        <w:tc>
          <w:tcPr>
            <w:tcW w:w="1900" w:type="dxa"/>
            <w:vAlign w:val="bottom"/>
          </w:tcPr>
          <w:p>
            <w:pPr>
              <w:jc w:val="right"/>
              <w:ind w:right="659"/>
              <w:spacing w:after="0"/>
              <w:rPr>
                <w:sz w:val="20"/>
                <w:szCs w:val="20"/>
                <w:color w:val="auto"/>
              </w:rPr>
            </w:pPr>
            <w:r>
              <w:rPr>
                <w:rFonts w:ascii="Arial" w:cs="Arial" w:eastAsia="Arial" w:hAnsi="Arial"/>
                <w:sz w:val="16"/>
                <w:szCs w:val="16"/>
                <w:b w:val="1"/>
                <w:bCs w:val="1"/>
                <w:color w:val="auto"/>
              </w:rPr>
              <w:t>(2,769)</w:t>
            </w:r>
          </w:p>
        </w:tc>
        <w:tc>
          <w:tcPr>
            <w:tcW w:w="660" w:type="dxa"/>
            <w:vAlign w:val="bottom"/>
          </w:tcPr>
          <w:p>
            <w:pPr>
              <w:jc w:val="right"/>
              <w:spacing w:after="0"/>
              <w:rPr>
                <w:sz w:val="20"/>
                <w:szCs w:val="20"/>
                <w:color w:val="auto"/>
              </w:rPr>
            </w:pPr>
            <w:r>
              <w:rPr>
                <w:rFonts w:ascii="Arial" w:cs="Arial" w:eastAsia="Arial" w:hAnsi="Arial"/>
                <w:sz w:val="16"/>
                <w:szCs w:val="16"/>
                <w:color w:val="auto"/>
              </w:rPr>
              <w:t>(2,535)</w:t>
            </w:r>
          </w:p>
        </w:tc>
        <w:tc>
          <w:tcPr>
            <w:tcW w:w="0" w:type="dxa"/>
            <w:vAlign w:val="bottom"/>
          </w:tcPr>
          <w:p>
            <w:pPr>
              <w:spacing w:after="0"/>
              <w:rPr>
                <w:sz w:val="1"/>
                <w:szCs w:val="1"/>
                <w:color w:val="auto"/>
              </w:rPr>
            </w:pPr>
          </w:p>
        </w:tc>
      </w:tr>
      <w:tr>
        <w:trPr>
          <w:trHeight w:val="229"/>
        </w:trPr>
        <w:tc>
          <w:tcPr>
            <w:tcW w:w="5900" w:type="dxa"/>
            <w:vAlign w:val="bottom"/>
          </w:tcPr>
          <w:p>
            <w:pPr>
              <w:ind w:left="100"/>
              <w:spacing w:after="0"/>
              <w:rPr>
                <w:sz w:val="20"/>
                <w:szCs w:val="20"/>
                <w:color w:val="auto"/>
              </w:rPr>
            </w:pPr>
            <w:r>
              <w:rPr>
                <w:rFonts w:ascii="Arial" w:cs="Arial" w:eastAsia="Arial" w:hAnsi="Arial"/>
                <w:sz w:val="16"/>
                <w:szCs w:val="16"/>
                <w:color w:val="auto"/>
              </w:rPr>
              <w:t>Interest expense included in comparable earnings</w:t>
            </w:r>
          </w:p>
        </w:tc>
        <w:tc>
          <w:tcPr>
            <w:tcW w:w="2200" w:type="dxa"/>
            <w:vAlign w:val="bottom"/>
            <w:gridSpan w:val="2"/>
          </w:tcPr>
          <w:p>
            <w:pPr>
              <w:jc w:val="right"/>
              <w:ind w:right="819"/>
              <w:spacing w:after="0"/>
              <w:rPr>
                <w:sz w:val="20"/>
                <w:szCs w:val="20"/>
                <w:color w:val="auto"/>
              </w:rPr>
            </w:pPr>
            <w:r>
              <w:rPr>
                <w:rFonts w:ascii="Arial" w:cs="Arial" w:eastAsia="Arial" w:hAnsi="Arial"/>
                <w:sz w:val="16"/>
                <w:szCs w:val="16"/>
                <w:b w:val="1"/>
                <w:bCs w:val="1"/>
                <w:color w:val="auto"/>
              </w:rPr>
              <w:t>(874)</w:t>
            </w:r>
          </w:p>
        </w:tc>
        <w:tc>
          <w:tcPr>
            <w:tcW w:w="480" w:type="dxa"/>
            <w:vAlign w:val="bottom"/>
          </w:tcPr>
          <w:p>
            <w:pPr>
              <w:jc w:val="right"/>
              <w:spacing w:after="0"/>
              <w:rPr>
                <w:sz w:val="20"/>
                <w:szCs w:val="20"/>
                <w:color w:val="auto"/>
              </w:rPr>
            </w:pPr>
            <w:r>
              <w:rPr>
                <w:rFonts w:ascii="Arial" w:cs="Arial" w:eastAsia="Arial" w:hAnsi="Arial"/>
                <w:sz w:val="16"/>
                <w:szCs w:val="16"/>
                <w:color w:val="auto"/>
              </w:rPr>
              <w:t>(836)</w:t>
            </w:r>
          </w:p>
        </w:tc>
        <w:tc>
          <w:tcPr>
            <w:tcW w:w="100" w:type="dxa"/>
            <w:vAlign w:val="bottom"/>
          </w:tcPr>
          <w:p>
            <w:pPr>
              <w:spacing w:after="0"/>
              <w:rPr>
                <w:sz w:val="19"/>
                <w:szCs w:val="19"/>
                <w:color w:val="auto"/>
              </w:rPr>
            </w:pPr>
          </w:p>
        </w:tc>
        <w:tc>
          <w:tcPr>
            <w:tcW w:w="1900" w:type="dxa"/>
            <w:vAlign w:val="bottom"/>
          </w:tcPr>
          <w:p>
            <w:pPr>
              <w:jc w:val="right"/>
              <w:ind w:right="659"/>
              <w:spacing w:after="0"/>
              <w:rPr>
                <w:sz w:val="20"/>
                <w:szCs w:val="20"/>
                <w:color w:val="auto"/>
              </w:rPr>
            </w:pPr>
            <w:r>
              <w:rPr>
                <w:rFonts w:ascii="Arial" w:cs="Arial" w:eastAsia="Arial" w:hAnsi="Arial"/>
                <w:sz w:val="16"/>
                <w:szCs w:val="16"/>
                <w:b w:val="1"/>
                <w:bCs w:val="1"/>
                <w:color w:val="auto"/>
              </w:rPr>
              <w:t>(3,409)</w:t>
            </w:r>
          </w:p>
        </w:tc>
        <w:tc>
          <w:tcPr>
            <w:tcW w:w="660" w:type="dxa"/>
            <w:vAlign w:val="bottom"/>
          </w:tcPr>
          <w:p>
            <w:pPr>
              <w:jc w:val="right"/>
              <w:spacing w:after="0"/>
              <w:rPr>
                <w:sz w:val="20"/>
                <w:szCs w:val="20"/>
                <w:color w:val="auto"/>
              </w:rPr>
            </w:pPr>
            <w:r>
              <w:rPr>
                <w:rFonts w:ascii="Arial" w:cs="Arial" w:eastAsia="Arial" w:hAnsi="Arial"/>
                <w:sz w:val="16"/>
                <w:szCs w:val="16"/>
                <w:color w:val="auto"/>
              </w:rPr>
              <w:t>(3,176)</w:t>
            </w:r>
          </w:p>
        </w:tc>
        <w:tc>
          <w:tcPr>
            <w:tcW w:w="0" w:type="dxa"/>
            <w:vAlign w:val="bottom"/>
          </w:tcPr>
          <w:p>
            <w:pPr>
              <w:spacing w:after="0"/>
              <w:rPr>
                <w:sz w:val="1"/>
                <w:szCs w:val="1"/>
                <w:color w:val="auto"/>
              </w:rPr>
            </w:pPr>
          </w:p>
        </w:tc>
      </w:tr>
      <w:tr>
        <w:trPr>
          <w:trHeight w:val="230"/>
        </w:trPr>
        <w:tc>
          <w:tcPr>
            <w:tcW w:w="5900" w:type="dxa"/>
            <w:vAlign w:val="bottom"/>
          </w:tcPr>
          <w:p>
            <w:pPr>
              <w:ind w:left="100"/>
              <w:spacing w:after="0"/>
              <w:rPr>
                <w:sz w:val="20"/>
                <w:szCs w:val="20"/>
                <w:color w:val="auto"/>
              </w:rPr>
            </w:pPr>
            <w:r>
              <w:rPr>
                <w:rFonts w:ascii="Arial" w:cs="Arial" w:eastAsia="Arial" w:hAnsi="Arial"/>
                <w:sz w:val="16"/>
                <w:szCs w:val="16"/>
                <w:color w:val="auto"/>
              </w:rPr>
              <w:t>Allowance for funds used during construction</w:t>
            </w:r>
          </w:p>
        </w:tc>
        <w:tc>
          <w:tcPr>
            <w:tcW w:w="2200" w:type="dxa"/>
            <w:vAlign w:val="bottom"/>
            <w:gridSpan w:val="2"/>
          </w:tcPr>
          <w:p>
            <w:pPr>
              <w:jc w:val="right"/>
              <w:ind w:right="879"/>
              <w:spacing w:after="0"/>
              <w:rPr>
                <w:sz w:val="20"/>
                <w:szCs w:val="20"/>
                <w:color w:val="auto"/>
              </w:rPr>
            </w:pPr>
            <w:r>
              <w:rPr>
                <w:rFonts w:ascii="Arial" w:cs="Arial" w:eastAsia="Arial" w:hAnsi="Arial"/>
                <w:sz w:val="16"/>
                <w:szCs w:val="16"/>
                <w:b w:val="1"/>
                <w:bCs w:val="1"/>
                <w:color w:val="auto"/>
              </w:rPr>
              <w:t>36</w:t>
            </w:r>
          </w:p>
        </w:tc>
        <w:tc>
          <w:tcPr>
            <w:tcW w:w="480" w:type="dxa"/>
            <w:vAlign w:val="bottom"/>
          </w:tcPr>
          <w:p>
            <w:pPr>
              <w:jc w:val="right"/>
              <w:spacing w:after="0"/>
              <w:rPr>
                <w:sz w:val="20"/>
                <w:szCs w:val="20"/>
                <w:color w:val="auto"/>
              </w:rPr>
            </w:pPr>
            <w:r>
              <w:rPr>
                <w:rFonts w:ascii="Arial" w:cs="Arial" w:eastAsia="Arial" w:hAnsi="Arial"/>
                <w:sz w:val="16"/>
                <w:szCs w:val="16"/>
                <w:color w:val="auto"/>
              </w:rPr>
              <w:t>233</w:t>
            </w:r>
          </w:p>
        </w:tc>
        <w:tc>
          <w:tcPr>
            <w:tcW w:w="100" w:type="dxa"/>
            <w:vAlign w:val="bottom"/>
          </w:tcPr>
          <w:p>
            <w:pPr>
              <w:spacing w:after="0"/>
              <w:rPr>
                <w:sz w:val="19"/>
                <w:szCs w:val="19"/>
                <w:color w:val="auto"/>
              </w:rPr>
            </w:pPr>
          </w:p>
        </w:tc>
        <w:tc>
          <w:tcPr>
            <w:tcW w:w="1900" w:type="dxa"/>
            <w:vAlign w:val="bottom"/>
          </w:tcPr>
          <w:p>
            <w:pPr>
              <w:jc w:val="right"/>
              <w:ind w:right="699"/>
              <w:spacing w:after="0"/>
              <w:rPr>
                <w:sz w:val="20"/>
                <w:szCs w:val="20"/>
                <w:color w:val="auto"/>
              </w:rPr>
            </w:pPr>
            <w:r>
              <w:rPr>
                <w:rFonts w:ascii="Arial" w:cs="Arial" w:eastAsia="Arial" w:hAnsi="Arial"/>
                <w:sz w:val="16"/>
                <w:szCs w:val="16"/>
                <w:b w:val="1"/>
                <w:bCs w:val="1"/>
                <w:color w:val="auto"/>
              </w:rPr>
              <w:t>453</w:t>
            </w:r>
          </w:p>
        </w:tc>
        <w:tc>
          <w:tcPr>
            <w:tcW w:w="660" w:type="dxa"/>
            <w:vAlign w:val="bottom"/>
          </w:tcPr>
          <w:p>
            <w:pPr>
              <w:jc w:val="right"/>
              <w:spacing w:after="0"/>
              <w:rPr>
                <w:sz w:val="20"/>
                <w:szCs w:val="20"/>
                <w:color w:val="auto"/>
              </w:rPr>
            </w:pPr>
            <w:r>
              <w:rPr>
                <w:rFonts w:ascii="Arial" w:cs="Arial" w:eastAsia="Arial" w:hAnsi="Arial"/>
                <w:sz w:val="16"/>
                <w:szCs w:val="16"/>
                <w:color w:val="auto"/>
              </w:rPr>
              <w:t>784</w:t>
            </w:r>
          </w:p>
        </w:tc>
        <w:tc>
          <w:tcPr>
            <w:tcW w:w="0" w:type="dxa"/>
            <w:vAlign w:val="bottom"/>
          </w:tcPr>
          <w:p>
            <w:pPr>
              <w:spacing w:after="0"/>
              <w:rPr>
                <w:sz w:val="1"/>
                <w:szCs w:val="1"/>
                <w:color w:val="auto"/>
              </w:rPr>
            </w:pPr>
          </w:p>
        </w:tc>
      </w:tr>
      <w:tr>
        <w:trPr>
          <w:trHeight w:val="229"/>
        </w:trPr>
        <w:tc>
          <w:tcPr>
            <w:tcW w:w="5900" w:type="dxa"/>
            <w:vAlign w:val="bottom"/>
          </w:tcPr>
          <w:p>
            <w:pPr>
              <w:ind w:left="100"/>
              <w:spacing w:after="0"/>
              <w:rPr>
                <w:sz w:val="20"/>
                <w:szCs w:val="20"/>
                <w:color w:val="auto"/>
              </w:rPr>
            </w:pPr>
            <w:r>
              <w:rPr>
                <w:rFonts w:ascii="Arial" w:cs="Arial" w:eastAsia="Arial" w:hAnsi="Arial"/>
                <w:sz w:val="16"/>
                <w:szCs w:val="16"/>
                <w:color w:val="auto"/>
              </w:rPr>
              <w:t>Foreign exchange gains (losses), net included in comparable earnings</w:t>
            </w:r>
          </w:p>
        </w:tc>
        <w:tc>
          <w:tcPr>
            <w:tcW w:w="2200" w:type="dxa"/>
            <w:vAlign w:val="bottom"/>
            <w:gridSpan w:val="2"/>
          </w:tcPr>
          <w:p>
            <w:pPr>
              <w:jc w:val="right"/>
              <w:ind w:right="879"/>
              <w:spacing w:after="0"/>
              <w:rPr>
                <w:sz w:val="20"/>
                <w:szCs w:val="20"/>
                <w:color w:val="auto"/>
              </w:rPr>
            </w:pPr>
            <w:r>
              <w:rPr>
                <w:rFonts w:ascii="Arial" w:cs="Arial" w:eastAsia="Arial" w:hAnsi="Arial"/>
                <w:sz w:val="16"/>
                <w:szCs w:val="16"/>
                <w:b w:val="1"/>
                <w:bCs w:val="1"/>
                <w:color w:val="auto"/>
              </w:rPr>
              <w:t>29</w:t>
            </w:r>
          </w:p>
        </w:tc>
        <w:tc>
          <w:tcPr>
            <w:tcW w:w="480" w:type="dxa"/>
            <w:vAlign w:val="bottom"/>
          </w:tcPr>
          <w:p>
            <w:pPr>
              <w:jc w:val="right"/>
              <w:spacing w:after="0"/>
              <w:rPr>
                <w:sz w:val="20"/>
                <w:szCs w:val="20"/>
                <w:color w:val="auto"/>
              </w:rPr>
            </w:pPr>
            <w:r>
              <w:rPr>
                <w:rFonts w:ascii="Arial" w:cs="Arial" w:eastAsia="Arial" w:hAnsi="Arial"/>
                <w:sz w:val="16"/>
                <w:szCs w:val="16"/>
                <w:color w:val="auto"/>
              </w:rPr>
              <w:t>(44)</w:t>
            </w:r>
          </w:p>
        </w:tc>
        <w:tc>
          <w:tcPr>
            <w:tcW w:w="100" w:type="dxa"/>
            <w:vAlign w:val="bottom"/>
          </w:tcPr>
          <w:p>
            <w:pPr>
              <w:spacing w:after="0"/>
              <w:rPr>
                <w:sz w:val="19"/>
                <w:szCs w:val="19"/>
                <w:color w:val="auto"/>
              </w:rPr>
            </w:pPr>
          </w:p>
        </w:tc>
        <w:tc>
          <w:tcPr>
            <w:tcW w:w="1900" w:type="dxa"/>
            <w:vAlign w:val="bottom"/>
          </w:tcPr>
          <w:p>
            <w:pPr>
              <w:jc w:val="right"/>
              <w:ind w:right="699"/>
              <w:spacing w:after="0"/>
              <w:rPr>
                <w:sz w:val="20"/>
                <w:szCs w:val="20"/>
                <w:color w:val="auto"/>
              </w:rPr>
            </w:pPr>
            <w:r>
              <w:rPr>
                <w:rFonts w:ascii="Arial" w:cs="Arial" w:eastAsia="Arial" w:hAnsi="Arial"/>
                <w:sz w:val="16"/>
                <w:szCs w:val="16"/>
                <w:b w:val="1"/>
                <w:bCs w:val="1"/>
                <w:color w:val="auto"/>
              </w:rPr>
              <w:t>96</w:t>
            </w:r>
          </w:p>
        </w:tc>
        <w:tc>
          <w:tcPr>
            <w:tcW w:w="660" w:type="dxa"/>
            <w:vAlign w:val="bottom"/>
          </w:tcPr>
          <w:p>
            <w:pPr>
              <w:jc w:val="right"/>
              <w:spacing w:after="0"/>
              <w:rPr>
                <w:sz w:val="20"/>
                <w:szCs w:val="20"/>
                <w:color w:val="auto"/>
              </w:rPr>
            </w:pPr>
            <w:r>
              <w:rPr>
                <w:rFonts w:ascii="Arial" w:cs="Arial" w:eastAsia="Arial" w:hAnsi="Arial"/>
                <w:sz w:val="16"/>
                <w:szCs w:val="16"/>
                <w:color w:val="auto"/>
              </w:rPr>
              <w:t>(85)</w:t>
            </w:r>
          </w:p>
        </w:tc>
        <w:tc>
          <w:tcPr>
            <w:tcW w:w="0" w:type="dxa"/>
            <w:vAlign w:val="bottom"/>
          </w:tcPr>
          <w:p>
            <w:pPr>
              <w:spacing w:after="0"/>
              <w:rPr>
                <w:sz w:val="1"/>
                <w:szCs w:val="1"/>
                <w:color w:val="auto"/>
              </w:rPr>
            </w:pPr>
          </w:p>
        </w:tc>
      </w:tr>
      <w:tr>
        <w:trPr>
          <w:trHeight w:val="230"/>
        </w:trPr>
        <w:tc>
          <w:tcPr>
            <w:tcW w:w="5900" w:type="dxa"/>
            <w:vAlign w:val="bottom"/>
          </w:tcPr>
          <w:p>
            <w:pPr>
              <w:ind w:left="100"/>
              <w:spacing w:after="0"/>
              <w:rPr>
                <w:sz w:val="20"/>
                <w:szCs w:val="20"/>
                <w:color w:val="auto"/>
              </w:rPr>
            </w:pPr>
            <w:r>
              <w:rPr>
                <w:rFonts w:ascii="Arial" w:cs="Arial" w:eastAsia="Arial" w:hAnsi="Arial"/>
                <w:sz w:val="16"/>
                <w:szCs w:val="16"/>
                <w:color w:val="auto"/>
              </w:rPr>
              <w:t>Interest income and other</w:t>
            </w:r>
          </w:p>
        </w:tc>
        <w:tc>
          <w:tcPr>
            <w:tcW w:w="2200" w:type="dxa"/>
            <w:vAlign w:val="bottom"/>
            <w:gridSpan w:val="2"/>
          </w:tcPr>
          <w:p>
            <w:pPr>
              <w:jc w:val="right"/>
              <w:ind w:right="879"/>
              <w:spacing w:after="0"/>
              <w:rPr>
                <w:sz w:val="20"/>
                <w:szCs w:val="20"/>
                <w:color w:val="auto"/>
              </w:rPr>
            </w:pPr>
            <w:r>
              <w:rPr>
                <w:rFonts w:ascii="Arial" w:cs="Arial" w:eastAsia="Arial" w:hAnsi="Arial"/>
                <w:sz w:val="16"/>
                <w:szCs w:val="16"/>
                <w:b w:val="1"/>
                <w:bCs w:val="1"/>
                <w:color w:val="auto"/>
              </w:rPr>
              <w:t>58</w:t>
            </w:r>
          </w:p>
        </w:tc>
        <w:tc>
          <w:tcPr>
            <w:tcW w:w="480" w:type="dxa"/>
            <w:vAlign w:val="bottom"/>
          </w:tcPr>
          <w:p>
            <w:pPr>
              <w:jc w:val="right"/>
              <w:spacing w:after="0"/>
              <w:rPr>
                <w:sz w:val="20"/>
                <w:szCs w:val="20"/>
                <w:color w:val="auto"/>
              </w:rPr>
            </w:pPr>
            <w:r>
              <w:rPr>
                <w:rFonts w:ascii="Arial" w:cs="Arial" w:eastAsia="Arial" w:hAnsi="Arial"/>
                <w:sz w:val="16"/>
                <w:szCs w:val="16"/>
                <w:color w:val="auto"/>
              </w:rPr>
              <w:t>120</w:t>
            </w:r>
          </w:p>
        </w:tc>
        <w:tc>
          <w:tcPr>
            <w:tcW w:w="100" w:type="dxa"/>
            <w:vAlign w:val="bottom"/>
          </w:tcPr>
          <w:p>
            <w:pPr>
              <w:spacing w:after="0"/>
              <w:rPr>
                <w:sz w:val="19"/>
                <w:szCs w:val="19"/>
                <w:color w:val="auto"/>
              </w:rPr>
            </w:pPr>
          </w:p>
        </w:tc>
        <w:tc>
          <w:tcPr>
            <w:tcW w:w="1900" w:type="dxa"/>
            <w:vAlign w:val="bottom"/>
          </w:tcPr>
          <w:p>
            <w:pPr>
              <w:jc w:val="right"/>
              <w:ind w:right="699"/>
              <w:spacing w:after="0"/>
              <w:rPr>
                <w:sz w:val="20"/>
                <w:szCs w:val="20"/>
                <w:color w:val="auto"/>
              </w:rPr>
            </w:pPr>
            <w:r>
              <w:rPr>
                <w:rFonts w:ascii="Arial" w:cs="Arial" w:eastAsia="Arial" w:hAnsi="Arial"/>
                <w:sz w:val="16"/>
                <w:szCs w:val="16"/>
                <w:b w:val="1"/>
                <w:bCs w:val="1"/>
                <w:color w:val="auto"/>
              </w:rPr>
              <w:t>205</w:t>
            </w:r>
          </w:p>
        </w:tc>
        <w:tc>
          <w:tcPr>
            <w:tcW w:w="660" w:type="dxa"/>
            <w:vAlign w:val="bottom"/>
          </w:tcPr>
          <w:p>
            <w:pPr>
              <w:jc w:val="right"/>
              <w:spacing w:after="0"/>
              <w:rPr>
                <w:sz w:val="20"/>
                <w:szCs w:val="20"/>
                <w:color w:val="auto"/>
              </w:rPr>
            </w:pPr>
            <w:r>
              <w:rPr>
                <w:rFonts w:ascii="Arial" w:cs="Arial" w:eastAsia="Arial" w:hAnsi="Arial"/>
                <w:sz w:val="16"/>
                <w:szCs w:val="16"/>
                <w:color w:val="auto"/>
              </w:rPr>
              <w:t>324</w:t>
            </w:r>
          </w:p>
        </w:tc>
        <w:tc>
          <w:tcPr>
            <w:tcW w:w="0" w:type="dxa"/>
            <w:vAlign w:val="bottom"/>
          </w:tcPr>
          <w:p>
            <w:pPr>
              <w:spacing w:after="0"/>
              <w:rPr>
                <w:sz w:val="1"/>
                <w:szCs w:val="1"/>
                <w:color w:val="auto"/>
              </w:rPr>
            </w:pPr>
          </w:p>
        </w:tc>
      </w:tr>
      <w:tr>
        <w:trPr>
          <w:trHeight w:val="230"/>
        </w:trPr>
        <w:tc>
          <w:tcPr>
            <w:tcW w:w="5900" w:type="dxa"/>
            <w:vAlign w:val="bottom"/>
          </w:tcPr>
          <w:p>
            <w:pPr>
              <w:ind w:left="100"/>
              <w:spacing w:after="0"/>
              <w:rPr>
                <w:sz w:val="20"/>
                <w:szCs w:val="20"/>
                <w:color w:val="auto"/>
              </w:rPr>
            </w:pPr>
            <w:r>
              <w:rPr>
                <w:rFonts w:ascii="Arial" w:cs="Arial" w:eastAsia="Arial" w:hAnsi="Arial"/>
                <w:sz w:val="16"/>
                <w:szCs w:val="16"/>
                <w:color w:val="auto"/>
              </w:rPr>
              <w:t>Income tax (expense) recovery included in comparable earnings</w:t>
            </w:r>
          </w:p>
        </w:tc>
        <w:tc>
          <w:tcPr>
            <w:tcW w:w="2200" w:type="dxa"/>
            <w:vAlign w:val="bottom"/>
            <w:gridSpan w:val="2"/>
          </w:tcPr>
          <w:p>
            <w:pPr>
              <w:jc w:val="right"/>
              <w:ind w:right="819"/>
              <w:spacing w:after="0"/>
              <w:rPr>
                <w:sz w:val="20"/>
                <w:szCs w:val="20"/>
                <w:color w:val="auto"/>
              </w:rPr>
            </w:pPr>
            <w:r>
              <w:rPr>
                <w:rFonts w:ascii="Arial" w:cs="Arial" w:eastAsia="Arial" w:hAnsi="Arial"/>
                <w:sz w:val="16"/>
                <w:szCs w:val="16"/>
                <w:b w:val="1"/>
                <w:bCs w:val="1"/>
                <w:color w:val="auto"/>
              </w:rPr>
              <w:t>(266)</w:t>
            </w:r>
          </w:p>
        </w:tc>
        <w:tc>
          <w:tcPr>
            <w:tcW w:w="480" w:type="dxa"/>
            <w:vAlign w:val="bottom"/>
          </w:tcPr>
          <w:p>
            <w:pPr>
              <w:jc w:val="right"/>
              <w:spacing w:after="0"/>
              <w:rPr>
                <w:sz w:val="20"/>
                <w:szCs w:val="20"/>
                <w:color w:val="auto"/>
              </w:rPr>
            </w:pPr>
            <w:r>
              <w:rPr>
                <w:rFonts w:ascii="Arial" w:cs="Arial" w:eastAsia="Arial" w:hAnsi="Arial"/>
                <w:sz w:val="16"/>
                <w:szCs w:val="16"/>
                <w:color w:val="auto"/>
              </w:rPr>
              <w:t>(168)</w:t>
            </w:r>
          </w:p>
        </w:tc>
        <w:tc>
          <w:tcPr>
            <w:tcW w:w="100" w:type="dxa"/>
            <w:vAlign w:val="bottom"/>
          </w:tcPr>
          <w:p>
            <w:pPr>
              <w:spacing w:after="0"/>
              <w:rPr>
                <w:sz w:val="19"/>
                <w:szCs w:val="19"/>
                <w:color w:val="auto"/>
              </w:rPr>
            </w:pPr>
          </w:p>
        </w:tc>
        <w:tc>
          <w:tcPr>
            <w:tcW w:w="1900" w:type="dxa"/>
            <w:vAlign w:val="bottom"/>
          </w:tcPr>
          <w:p>
            <w:pPr>
              <w:jc w:val="right"/>
              <w:ind w:right="659"/>
              <w:spacing w:after="0"/>
              <w:rPr>
                <w:sz w:val="20"/>
                <w:szCs w:val="20"/>
                <w:color w:val="auto"/>
              </w:rPr>
            </w:pPr>
            <w:r>
              <w:rPr>
                <w:rFonts w:ascii="Arial" w:cs="Arial" w:eastAsia="Arial" w:hAnsi="Arial"/>
                <w:sz w:val="16"/>
                <w:szCs w:val="16"/>
                <w:b w:val="1"/>
                <w:bCs w:val="1"/>
                <w:color w:val="auto"/>
              </w:rPr>
              <w:t>(1,112)</w:t>
            </w:r>
          </w:p>
        </w:tc>
        <w:tc>
          <w:tcPr>
            <w:tcW w:w="660" w:type="dxa"/>
            <w:vAlign w:val="bottom"/>
          </w:tcPr>
          <w:p>
            <w:pPr>
              <w:jc w:val="right"/>
              <w:spacing w:after="0"/>
              <w:rPr>
                <w:sz w:val="20"/>
                <w:szCs w:val="20"/>
                <w:color w:val="auto"/>
              </w:rPr>
            </w:pPr>
            <w:r>
              <w:rPr>
                <w:rFonts w:ascii="Arial" w:cs="Arial" w:eastAsia="Arial" w:hAnsi="Arial"/>
                <w:sz w:val="16"/>
                <w:szCs w:val="16"/>
                <w:color w:val="auto"/>
              </w:rPr>
              <w:t>(772)</w:t>
            </w:r>
          </w:p>
        </w:tc>
        <w:tc>
          <w:tcPr>
            <w:tcW w:w="0" w:type="dxa"/>
            <w:vAlign w:val="bottom"/>
          </w:tcPr>
          <w:p>
            <w:pPr>
              <w:spacing w:after="0"/>
              <w:rPr>
                <w:sz w:val="1"/>
                <w:szCs w:val="1"/>
                <w:color w:val="auto"/>
              </w:rPr>
            </w:pPr>
          </w:p>
        </w:tc>
      </w:tr>
      <w:tr>
        <w:trPr>
          <w:trHeight w:val="182"/>
        </w:trPr>
        <w:tc>
          <w:tcPr>
            <w:tcW w:w="5900" w:type="dxa"/>
            <w:vAlign w:val="bottom"/>
          </w:tcPr>
          <w:p>
            <w:pPr>
              <w:ind w:left="100"/>
              <w:spacing w:after="0" w:line="182" w:lineRule="exact"/>
              <w:rPr>
                <w:sz w:val="20"/>
                <w:szCs w:val="20"/>
                <w:color w:val="auto"/>
              </w:rPr>
            </w:pPr>
            <w:r>
              <w:rPr>
                <w:rFonts w:ascii="Arial" w:cs="Arial" w:eastAsia="Arial" w:hAnsi="Arial"/>
                <w:sz w:val="16"/>
                <w:szCs w:val="16"/>
                <w:color w:val="auto"/>
              </w:rPr>
              <w:t>Net (income) loss attributable to non-controlling interests included in comparable</w:t>
            </w:r>
          </w:p>
        </w:tc>
        <w:tc>
          <w:tcPr>
            <w:tcW w:w="2200" w:type="dxa"/>
            <w:vAlign w:val="bottom"/>
            <w:gridSpan w:val="2"/>
            <w:vMerge w:val="restart"/>
          </w:tcPr>
          <w:p>
            <w:pPr>
              <w:jc w:val="right"/>
              <w:ind w:right="819"/>
              <w:spacing w:after="0"/>
              <w:rPr>
                <w:sz w:val="20"/>
                <w:szCs w:val="20"/>
                <w:color w:val="auto"/>
              </w:rPr>
            </w:pPr>
            <w:r>
              <w:rPr>
                <w:rFonts w:ascii="Arial" w:cs="Arial" w:eastAsia="Arial" w:hAnsi="Arial"/>
                <w:sz w:val="16"/>
                <w:szCs w:val="16"/>
                <w:b w:val="1"/>
                <w:bCs w:val="1"/>
                <w:color w:val="auto"/>
              </w:rPr>
              <w:t>(175)</w:t>
            </w: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00" w:type="dxa"/>
            <w:vAlign w:val="bottom"/>
            <w:vMerge w:val="restart"/>
          </w:tcPr>
          <w:p>
            <w:pPr>
              <w:jc w:val="right"/>
              <w:ind w:right="659"/>
              <w:spacing w:after="0"/>
              <w:rPr>
                <w:sz w:val="20"/>
                <w:szCs w:val="20"/>
                <w:color w:val="auto"/>
              </w:rPr>
            </w:pPr>
            <w:r>
              <w:rPr>
                <w:rFonts w:ascii="Arial" w:cs="Arial" w:eastAsia="Arial" w:hAnsi="Arial"/>
                <w:sz w:val="16"/>
                <w:szCs w:val="16"/>
                <w:b w:val="1"/>
                <w:bCs w:val="1"/>
                <w:color w:val="auto"/>
              </w:rPr>
              <w:t>(643)</w:t>
            </w: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5900" w:type="dxa"/>
            <w:vAlign w:val="bottom"/>
          </w:tcPr>
          <w:p>
            <w:pPr>
              <w:ind w:left="180"/>
              <w:spacing w:after="0"/>
              <w:rPr>
                <w:sz w:val="20"/>
                <w:szCs w:val="20"/>
                <w:color w:val="auto"/>
              </w:rPr>
            </w:pPr>
            <w:r>
              <w:rPr>
                <w:rFonts w:ascii="Arial" w:cs="Arial" w:eastAsia="Arial" w:hAnsi="Arial"/>
                <w:sz w:val="16"/>
                <w:szCs w:val="16"/>
                <w:color w:val="auto"/>
              </w:rPr>
              <w:t>earnings</w:t>
            </w:r>
          </w:p>
        </w:tc>
        <w:tc>
          <w:tcPr>
            <w:tcW w:w="2200" w:type="dxa"/>
            <w:vAlign w:val="bottom"/>
            <w:gridSpan w:val="2"/>
            <w:vMerge w:val="continue"/>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(163)</w:t>
            </w:r>
          </w:p>
        </w:tc>
        <w:tc>
          <w:tcPr>
            <w:tcW w:w="100" w:type="dxa"/>
            <w:vAlign w:val="bottom"/>
          </w:tcPr>
          <w:p>
            <w:pPr>
              <w:spacing w:after="0"/>
              <w:rPr>
                <w:sz w:val="19"/>
                <w:szCs w:val="19"/>
                <w:color w:val="auto"/>
              </w:rPr>
            </w:pPr>
          </w:p>
        </w:tc>
        <w:tc>
          <w:tcPr>
            <w:tcW w:w="1900" w:type="dxa"/>
            <w:vAlign w:val="bottom"/>
            <w:vMerge w:val="continue"/>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(620)</w:t>
            </w:r>
          </w:p>
        </w:tc>
        <w:tc>
          <w:tcPr>
            <w:tcW w:w="0" w:type="dxa"/>
            <w:vAlign w:val="bottom"/>
          </w:tcPr>
          <w:p>
            <w:pPr>
              <w:spacing w:after="0"/>
              <w:rPr>
                <w:sz w:val="1"/>
                <w:szCs w:val="1"/>
                <w:color w:val="auto"/>
              </w:rPr>
            </w:pPr>
          </w:p>
        </w:tc>
      </w:tr>
      <w:tr>
        <w:trPr>
          <w:trHeight w:val="233"/>
        </w:trPr>
        <w:tc>
          <w:tcPr>
            <w:tcW w:w="590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Preferred share dividends</w:t>
            </w:r>
          </w:p>
        </w:tc>
        <w:tc>
          <w:tcPr>
            <w:tcW w:w="2200" w:type="dxa"/>
            <w:vAlign w:val="bottom"/>
            <w:tcBorders>
              <w:bottom w:val="single" w:sz="8" w:color="auto"/>
            </w:tcBorders>
            <w:gridSpan w:val="2"/>
          </w:tcPr>
          <w:p>
            <w:pPr>
              <w:jc w:val="right"/>
              <w:ind w:right="819"/>
              <w:spacing w:after="0"/>
              <w:rPr>
                <w:sz w:val="20"/>
                <w:szCs w:val="20"/>
                <w:color w:val="auto"/>
              </w:rPr>
            </w:pPr>
            <w:r>
              <w:rPr>
                <w:rFonts w:ascii="Arial" w:cs="Arial" w:eastAsia="Arial" w:hAnsi="Arial"/>
                <w:sz w:val="16"/>
                <w:szCs w:val="16"/>
                <w:b w:val="1"/>
                <w:bCs w:val="1"/>
                <w:color w:val="auto"/>
              </w:rPr>
              <w:t>(35)</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w:t>
            </w:r>
          </w:p>
        </w:tc>
        <w:tc>
          <w:tcPr>
            <w:tcW w:w="10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b w:val="1"/>
                <w:bCs w:val="1"/>
                <w:color w:val="auto"/>
              </w:rPr>
              <w:t>(119)</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w:t>
            </w:r>
          </w:p>
        </w:tc>
        <w:tc>
          <w:tcPr>
            <w:tcW w:w="0" w:type="dxa"/>
            <w:vAlign w:val="bottom"/>
          </w:tcPr>
          <w:p>
            <w:pPr>
              <w:spacing w:after="0"/>
              <w:rPr>
                <w:sz w:val="1"/>
                <w:szCs w:val="1"/>
                <w:color w:val="auto"/>
              </w:rPr>
            </w:pPr>
          </w:p>
        </w:tc>
      </w:tr>
      <w:tr>
        <w:trPr>
          <w:trHeight w:val="223"/>
        </w:trPr>
        <w:tc>
          <w:tcPr>
            <w:tcW w:w="59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0D64EF"/>
              </w:rPr>
              <w:t>Comparable earnings from continuing operations</w:t>
            </w:r>
          </w:p>
        </w:tc>
        <w:tc>
          <w:tcPr>
            <w:tcW w:w="2200" w:type="dxa"/>
            <w:vAlign w:val="bottom"/>
            <w:tcBorders>
              <w:bottom w:val="single" w:sz="8" w:color="auto"/>
            </w:tcBorders>
            <w:gridSpan w:val="2"/>
          </w:tcPr>
          <w:p>
            <w:pPr>
              <w:jc w:val="right"/>
              <w:ind w:right="879"/>
              <w:spacing w:after="0"/>
              <w:rPr>
                <w:sz w:val="20"/>
                <w:szCs w:val="20"/>
                <w:color w:val="auto"/>
              </w:rPr>
            </w:pPr>
            <w:r>
              <w:rPr>
                <w:rFonts w:ascii="Arial" w:cs="Arial" w:eastAsia="Arial" w:hAnsi="Arial"/>
                <w:sz w:val="16"/>
                <w:szCs w:val="16"/>
                <w:b w:val="1"/>
                <w:bCs w:val="1"/>
                <w:color w:val="auto"/>
              </w:rPr>
              <w:t>1,018</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4"/>
              </w:rPr>
              <w:t>1,094</w:t>
            </w:r>
          </w:p>
        </w:tc>
        <w:tc>
          <w:tcPr>
            <w:tcW w:w="10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ind w:right="699"/>
              <w:spacing w:after="0"/>
              <w:rPr>
                <w:sz w:val="20"/>
                <w:szCs w:val="20"/>
                <w:color w:val="auto"/>
              </w:rPr>
            </w:pPr>
            <w:r>
              <w:rPr>
                <w:rFonts w:ascii="Arial" w:cs="Arial" w:eastAsia="Arial" w:hAnsi="Arial"/>
                <w:sz w:val="16"/>
                <w:szCs w:val="16"/>
                <w:b w:val="1"/>
                <w:bCs w:val="1"/>
                <w:color w:val="auto"/>
              </w:rPr>
              <w:t>3,654</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3,865</w:t>
            </w:r>
          </w:p>
        </w:tc>
        <w:tc>
          <w:tcPr>
            <w:tcW w:w="0" w:type="dxa"/>
            <w:vAlign w:val="bottom"/>
          </w:tcPr>
          <w:p>
            <w:pPr>
              <w:spacing w:after="0"/>
              <w:rPr>
                <w:sz w:val="1"/>
                <w:szCs w:val="1"/>
                <w:color w:val="auto"/>
              </w:rPr>
            </w:pPr>
          </w:p>
        </w:tc>
      </w:tr>
      <w:tr>
        <w:trPr>
          <w:trHeight w:val="223"/>
        </w:trPr>
        <w:tc>
          <w:tcPr>
            <w:tcW w:w="59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0D64EF"/>
              </w:rPr>
              <w:t>Comparable earnings per common share from continuing operations</w:t>
            </w:r>
          </w:p>
        </w:tc>
        <w:tc>
          <w:tcPr>
            <w:tcW w:w="2200" w:type="dxa"/>
            <w:vAlign w:val="bottom"/>
            <w:tcBorders>
              <w:bottom w:val="single" w:sz="8" w:color="auto"/>
            </w:tcBorders>
            <w:gridSpan w:val="2"/>
          </w:tcPr>
          <w:p>
            <w:pPr>
              <w:jc w:val="right"/>
              <w:ind w:right="879"/>
              <w:spacing w:after="0"/>
              <w:rPr>
                <w:sz w:val="20"/>
                <w:szCs w:val="20"/>
                <w:color w:val="auto"/>
              </w:rPr>
            </w:pPr>
            <w:r>
              <w:rPr>
                <w:rFonts w:ascii="Arial" w:cs="Arial" w:eastAsia="Arial" w:hAnsi="Arial"/>
                <w:sz w:val="16"/>
                <w:szCs w:val="16"/>
                <w:b w:val="1"/>
                <w:bCs w:val="1"/>
                <w:color w:val="auto"/>
              </w:rPr>
              <w:t>$0.98</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4"/>
              </w:rPr>
              <w:t>$1.05</w:t>
            </w:r>
          </w:p>
        </w:tc>
        <w:tc>
          <w:tcPr>
            <w:tcW w:w="10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ind w:right="699"/>
              <w:spacing w:after="0"/>
              <w:rPr>
                <w:sz w:val="20"/>
                <w:szCs w:val="20"/>
                <w:color w:val="auto"/>
              </w:rPr>
            </w:pPr>
            <w:r>
              <w:rPr>
                <w:rFonts w:ascii="Arial" w:cs="Arial" w:eastAsia="Arial" w:hAnsi="Arial"/>
                <w:sz w:val="16"/>
                <w:szCs w:val="16"/>
                <w:b w:val="1"/>
                <w:bCs w:val="1"/>
                <w:color w:val="auto"/>
              </w:rPr>
              <w:t>$3.51</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$3.73</w:t>
            </w:r>
          </w:p>
        </w:tc>
        <w:tc>
          <w:tcPr>
            <w:tcW w:w="0" w:type="dxa"/>
            <w:vAlign w:val="bottom"/>
          </w:tcPr>
          <w:p>
            <w:pPr>
              <w:spacing w:after="0"/>
              <w:rPr>
                <w:sz w:val="1"/>
                <w:szCs w:val="1"/>
                <w:color w:val="auto"/>
              </w:rPr>
            </w:pPr>
          </w:p>
        </w:tc>
      </w:tr>
    </w:tbl>
    <w:p>
      <w:pPr>
        <w:sectPr>
          <w:pgSz w:w="11900" w:h="16838" w:orient="portrait"/>
          <w:cols w:equalWidth="0" w:num="1">
            <w:col w:w="11240"/>
          </w:cols>
          <w:pgMar w:left="320" w:top="1294" w:right="339" w:bottom="144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880" w:type="dxa"/>
            <w:vAlign w:val="bottom"/>
            <w:tcBorders>
              <w:top w:val="single" w:sz="8" w:color="0D64EF"/>
            </w:tcBorders>
            <w:shd w:val="clear" w:color="auto" w:fill="D1D0CF"/>
          </w:tcPr>
          <w:p>
            <w:pPr>
              <w:spacing w:after="0"/>
              <w:rPr>
                <w:sz w:val="16"/>
                <w:szCs w:val="16"/>
                <w:color w:val="auto"/>
              </w:rPr>
            </w:pPr>
          </w:p>
        </w:tc>
        <w:tc>
          <w:tcPr>
            <w:tcW w:w="140" w:type="dxa"/>
            <w:vAlign w:val="bottom"/>
            <w:tcBorders>
              <w:top w:val="single" w:sz="8" w:color="0D64EF"/>
            </w:tcBorders>
            <w:shd w:val="clear" w:color="auto" w:fill="D1D0CF"/>
          </w:tcPr>
          <w:p>
            <w:pPr>
              <w:spacing w:after="0"/>
              <w:rPr>
                <w:sz w:val="16"/>
                <w:szCs w:val="16"/>
                <w:color w:val="auto"/>
              </w:rPr>
            </w:pPr>
          </w:p>
        </w:tc>
        <w:tc>
          <w:tcPr>
            <w:tcW w:w="2660" w:type="dxa"/>
            <w:vAlign w:val="bottom"/>
            <w:tcBorders>
              <w:top w:val="single" w:sz="8" w:color="0D64EF"/>
            </w:tcBorders>
            <w:gridSpan w:val="3"/>
            <w:shd w:val="clear" w:color="auto" w:fill="D1D0CF"/>
          </w:tcPr>
          <w:p>
            <w:pPr>
              <w:ind w:left="500"/>
              <w:spacing w:after="0"/>
              <w:rPr>
                <w:sz w:val="20"/>
                <w:szCs w:val="20"/>
                <w:color w:val="auto"/>
              </w:rPr>
            </w:pPr>
            <w:r>
              <w:rPr>
                <w:rFonts w:ascii="Arial" w:cs="Arial" w:eastAsia="Arial" w:hAnsi="Arial"/>
                <w:sz w:val="16"/>
                <w:szCs w:val="16"/>
                <w:b w:val="1"/>
                <w:bCs w:val="1"/>
                <w:color w:val="auto"/>
              </w:rPr>
              <w:t>three months ended</w:t>
            </w:r>
          </w:p>
        </w:tc>
        <w:tc>
          <w:tcPr>
            <w:tcW w:w="1840" w:type="dxa"/>
            <w:vAlign w:val="bottom"/>
            <w:tcBorders>
              <w:top w:val="single" w:sz="8" w:color="0D64EF"/>
            </w:tcBorders>
            <w:shd w:val="clear" w:color="auto" w:fill="D1D0CF"/>
          </w:tcPr>
          <w:p>
            <w:pPr>
              <w:jc w:val="right"/>
              <w:ind w:right="79"/>
              <w:spacing w:after="0"/>
              <w:rPr>
                <w:sz w:val="20"/>
                <w:szCs w:val="20"/>
                <w:color w:val="auto"/>
              </w:rPr>
            </w:pPr>
            <w:r>
              <w:rPr>
                <w:rFonts w:ascii="Arial" w:cs="Arial" w:eastAsia="Arial" w:hAnsi="Arial"/>
                <w:sz w:val="16"/>
                <w:szCs w:val="16"/>
                <w:b w:val="1"/>
                <w:bCs w:val="1"/>
                <w:color w:val="auto"/>
              </w:rPr>
              <w:t>year ended</w:t>
            </w:r>
          </w:p>
        </w:tc>
        <w:tc>
          <w:tcPr>
            <w:tcW w:w="720" w:type="dxa"/>
            <w:vAlign w:val="bottom"/>
            <w:tcBorders>
              <w:top w:val="single" w:sz="8" w:color="0D64EF"/>
            </w:tcBorders>
            <w:shd w:val="clear" w:color="auto" w:fill="D1D0CF"/>
          </w:tcPr>
          <w:p>
            <w:pPr>
              <w:spacing w:after="0"/>
              <w:rPr>
                <w:sz w:val="16"/>
                <w:szCs w:val="16"/>
                <w:color w:val="auto"/>
              </w:rPr>
            </w:pPr>
          </w:p>
        </w:tc>
      </w:tr>
      <w:tr>
        <w:trPr>
          <w:trHeight w:val="224"/>
        </w:trPr>
        <w:tc>
          <w:tcPr>
            <w:tcW w:w="5880" w:type="dxa"/>
            <w:vAlign w:val="bottom"/>
            <w:tcBorders>
              <w:bottom w:val="single" w:sz="8" w:color="D1D0CF"/>
            </w:tcBorders>
            <w:shd w:val="clear" w:color="auto" w:fill="D1D0CF"/>
          </w:tcPr>
          <w:p>
            <w:pPr>
              <w:spacing w:after="0"/>
              <w:rPr>
                <w:sz w:val="19"/>
                <w:szCs w:val="19"/>
                <w:color w:val="auto"/>
              </w:rPr>
            </w:pPr>
          </w:p>
        </w:tc>
        <w:tc>
          <w:tcPr>
            <w:tcW w:w="140" w:type="dxa"/>
            <w:vAlign w:val="bottom"/>
            <w:tcBorders>
              <w:bottom w:val="single" w:sz="8" w:color="D1D0CF"/>
            </w:tcBorders>
            <w:shd w:val="clear" w:color="auto" w:fill="D1D0CF"/>
          </w:tcPr>
          <w:p>
            <w:pPr>
              <w:spacing w:after="0"/>
              <w:rPr>
                <w:sz w:val="19"/>
                <w:szCs w:val="19"/>
                <w:color w:val="auto"/>
              </w:rPr>
            </w:pPr>
          </w:p>
        </w:tc>
        <w:tc>
          <w:tcPr>
            <w:tcW w:w="1840" w:type="dxa"/>
            <w:vAlign w:val="bottom"/>
            <w:tcBorders>
              <w:bottom w:val="single" w:sz="8" w:color="0D64EF"/>
            </w:tcBorders>
            <w:shd w:val="clear" w:color="auto" w:fill="D1D0CF"/>
          </w:tcPr>
          <w:p>
            <w:pPr>
              <w:jc w:val="right"/>
              <w:spacing w:after="0"/>
              <w:rPr>
                <w:sz w:val="20"/>
                <w:szCs w:val="20"/>
                <w:color w:val="auto"/>
              </w:rPr>
            </w:pPr>
            <w:r>
              <w:rPr>
                <w:rFonts w:ascii="Arial" w:cs="Arial" w:eastAsia="Arial" w:hAnsi="Arial"/>
                <w:sz w:val="16"/>
                <w:szCs w:val="16"/>
                <w:b w:val="1"/>
                <w:bCs w:val="1"/>
                <w:color w:val="auto"/>
              </w:rPr>
              <w:t>December 31</w:t>
            </w:r>
          </w:p>
        </w:tc>
        <w:tc>
          <w:tcPr>
            <w:tcW w:w="700" w:type="dxa"/>
            <w:vAlign w:val="bottom"/>
            <w:tcBorders>
              <w:bottom w:val="single" w:sz="8" w:color="0D64EF"/>
            </w:tcBorders>
            <w:shd w:val="clear" w:color="auto" w:fill="D1D0CF"/>
          </w:tcPr>
          <w:p>
            <w:pPr>
              <w:spacing w:after="0"/>
              <w:rPr>
                <w:sz w:val="19"/>
                <w:szCs w:val="19"/>
                <w:color w:val="auto"/>
              </w:rPr>
            </w:pPr>
          </w:p>
        </w:tc>
        <w:tc>
          <w:tcPr>
            <w:tcW w:w="120" w:type="dxa"/>
            <w:vAlign w:val="bottom"/>
            <w:tcBorders>
              <w:bottom w:val="single" w:sz="8" w:color="D1D0CF"/>
            </w:tcBorders>
            <w:shd w:val="clear" w:color="auto" w:fill="D1D0CF"/>
          </w:tcPr>
          <w:p>
            <w:pPr>
              <w:spacing w:after="0"/>
              <w:rPr>
                <w:sz w:val="19"/>
                <w:szCs w:val="19"/>
                <w:color w:val="auto"/>
              </w:rPr>
            </w:pPr>
          </w:p>
        </w:tc>
        <w:tc>
          <w:tcPr>
            <w:tcW w:w="1840" w:type="dxa"/>
            <w:vAlign w:val="bottom"/>
            <w:tcBorders>
              <w:bottom w:val="single" w:sz="8" w:color="0D64EF"/>
            </w:tcBorders>
            <w:shd w:val="clear" w:color="auto" w:fill="D1D0CF"/>
          </w:tcPr>
          <w:p>
            <w:pPr>
              <w:jc w:val="right"/>
              <w:spacing w:after="0"/>
              <w:rPr>
                <w:sz w:val="20"/>
                <w:szCs w:val="20"/>
                <w:color w:val="auto"/>
              </w:rPr>
            </w:pPr>
            <w:r>
              <w:rPr>
                <w:rFonts w:ascii="Arial" w:cs="Arial" w:eastAsia="Arial" w:hAnsi="Arial"/>
                <w:sz w:val="16"/>
                <w:szCs w:val="16"/>
                <w:b w:val="1"/>
                <w:bCs w:val="1"/>
                <w:color w:val="auto"/>
              </w:rPr>
              <w:t>December 31</w:t>
            </w:r>
          </w:p>
        </w:tc>
        <w:tc>
          <w:tcPr>
            <w:tcW w:w="720" w:type="dxa"/>
            <w:vAlign w:val="bottom"/>
            <w:tcBorders>
              <w:bottom w:val="single" w:sz="8" w:color="0D64EF"/>
            </w:tcBorders>
            <w:shd w:val="clear" w:color="auto" w:fill="D1D0CF"/>
          </w:tcPr>
          <w:p>
            <w:pPr>
              <w:spacing w:after="0"/>
              <w:rPr>
                <w:sz w:val="19"/>
                <w:szCs w:val="19"/>
                <w:color w:val="auto"/>
              </w:rPr>
            </w:pPr>
          </w:p>
        </w:tc>
      </w:tr>
      <w:tr>
        <w:trPr>
          <w:trHeight w:val="226"/>
        </w:trPr>
        <w:tc>
          <w:tcPr>
            <w:tcW w:w="5880" w:type="dxa"/>
            <w:vAlign w:val="bottom"/>
            <w:tcBorders>
              <w:bottom w:val="single" w:sz="8" w:color="0D64EF"/>
            </w:tcBorders>
            <w:shd w:val="clear" w:color="auto" w:fill="D1D0CF"/>
          </w:tcPr>
          <w:p>
            <w:pPr>
              <w:ind w:left="20"/>
              <w:spacing w:after="0"/>
              <w:rPr>
                <w:sz w:val="20"/>
                <w:szCs w:val="20"/>
                <w:color w:val="auto"/>
              </w:rPr>
            </w:pPr>
            <w:r>
              <w:rPr>
                <w:rFonts w:ascii="Arial" w:cs="Arial" w:eastAsia="Arial" w:hAnsi="Arial"/>
                <w:sz w:val="16"/>
                <w:szCs w:val="16"/>
                <w:color w:val="auto"/>
              </w:rPr>
              <w:t>(millions of $, except per share amounts)</w:t>
            </w:r>
          </w:p>
        </w:tc>
        <w:tc>
          <w:tcPr>
            <w:tcW w:w="140" w:type="dxa"/>
            <w:vAlign w:val="bottom"/>
            <w:tcBorders>
              <w:bottom w:val="single" w:sz="8" w:color="0D64EF"/>
            </w:tcBorders>
            <w:shd w:val="clear" w:color="auto" w:fill="D1D0CF"/>
          </w:tcPr>
          <w:p>
            <w:pPr>
              <w:spacing w:after="0"/>
              <w:rPr>
                <w:sz w:val="19"/>
                <w:szCs w:val="19"/>
                <w:color w:val="auto"/>
              </w:rPr>
            </w:pPr>
          </w:p>
        </w:tc>
        <w:tc>
          <w:tcPr>
            <w:tcW w:w="1840" w:type="dxa"/>
            <w:vAlign w:val="bottom"/>
            <w:tcBorders>
              <w:bottom w:val="single" w:sz="8" w:color="0D64EF"/>
            </w:tcBorders>
            <w:shd w:val="clear" w:color="auto" w:fill="D1D0CF"/>
          </w:tcPr>
          <w:p>
            <w:pPr>
              <w:jc w:val="right"/>
              <w:ind w:right="599"/>
              <w:spacing w:after="0"/>
              <w:rPr>
                <w:sz w:val="20"/>
                <w:szCs w:val="20"/>
                <w:color w:val="auto"/>
              </w:rPr>
            </w:pPr>
            <w:r>
              <w:rPr>
                <w:rFonts w:ascii="Arial" w:cs="Arial" w:eastAsia="Arial" w:hAnsi="Arial"/>
                <w:sz w:val="16"/>
                <w:szCs w:val="16"/>
                <w:b w:val="1"/>
                <w:bCs w:val="1"/>
                <w:color w:val="auto"/>
              </w:rPr>
              <w:t>2025</w:t>
            </w:r>
          </w:p>
        </w:tc>
        <w:tc>
          <w:tcPr>
            <w:tcW w:w="700" w:type="dxa"/>
            <w:vAlign w:val="bottom"/>
            <w:tcBorders>
              <w:bottom w:val="single" w:sz="8" w:color="0D64EF"/>
            </w:tcBorders>
            <w:shd w:val="clear" w:color="auto" w:fill="D1D0CF"/>
          </w:tcPr>
          <w:p>
            <w:pPr>
              <w:jc w:val="right"/>
              <w:spacing w:after="0"/>
              <w:rPr>
                <w:sz w:val="20"/>
                <w:szCs w:val="20"/>
                <w:color w:val="auto"/>
              </w:rPr>
            </w:pPr>
            <w:r>
              <w:rPr>
                <w:rFonts w:ascii="Arial" w:cs="Arial" w:eastAsia="Arial" w:hAnsi="Arial"/>
                <w:sz w:val="16"/>
                <w:szCs w:val="16"/>
                <w:b w:val="1"/>
                <w:bCs w:val="1"/>
                <w:color w:val="auto"/>
              </w:rPr>
              <w:t>2024</w:t>
            </w:r>
          </w:p>
        </w:tc>
        <w:tc>
          <w:tcPr>
            <w:tcW w:w="120" w:type="dxa"/>
            <w:vAlign w:val="bottom"/>
            <w:tcBorders>
              <w:bottom w:val="single" w:sz="8" w:color="0D64EF"/>
            </w:tcBorders>
            <w:shd w:val="clear" w:color="auto" w:fill="D1D0CF"/>
          </w:tcPr>
          <w:p>
            <w:pPr>
              <w:spacing w:after="0"/>
              <w:rPr>
                <w:sz w:val="19"/>
                <w:szCs w:val="19"/>
                <w:color w:val="auto"/>
              </w:rPr>
            </w:pPr>
          </w:p>
        </w:tc>
        <w:tc>
          <w:tcPr>
            <w:tcW w:w="1840" w:type="dxa"/>
            <w:vAlign w:val="bottom"/>
            <w:tcBorders>
              <w:bottom w:val="single" w:sz="8" w:color="0D64EF"/>
            </w:tcBorders>
            <w:shd w:val="clear" w:color="auto" w:fill="D1D0CF"/>
          </w:tcPr>
          <w:p>
            <w:pPr>
              <w:jc w:val="right"/>
              <w:ind w:right="579"/>
              <w:spacing w:after="0"/>
              <w:rPr>
                <w:sz w:val="20"/>
                <w:szCs w:val="20"/>
                <w:color w:val="auto"/>
              </w:rPr>
            </w:pPr>
            <w:r>
              <w:rPr>
                <w:rFonts w:ascii="Arial" w:cs="Arial" w:eastAsia="Arial" w:hAnsi="Arial"/>
                <w:sz w:val="16"/>
                <w:szCs w:val="16"/>
                <w:b w:val="1"/>
                <w:bCs w:val="1"/>
                <w:color w:val="auto"/>
              </w:rPr>
              <w:t>2025</w:t>
            </w:r>
          </w:p>
        </w:tc>
        <w:tc>
          <w:tcPr>
            <w:tcW w:w="720" w:type="dxa"/>
            <w:vAlign w:val="bottom"/>
            <w:tcBorders>
              <w:bottom w:val="single" w:sz="8" w:color="0D64EF"/>
            </w:tcBorders>
            <w:shd w:val="clear" w:color="auto" w:fill="D1D0CF"/>
          </w:tcPr>
          <w:p>
            <w:pPr>
              <w:jc w:val="right"/>
              <w:spacing w:after="0"/>
              <w:rPr>
                <w:sz w:val="20"/>
                <w:szCs w:val="20"/>
                <w:color w:val="auto"/>
              </w:rPr>
            </w:pPr>
            <w:r>
              <w:rPr>
                <w:rFonts w:ascii="Arial" w:cs="Arial" w:eastAsia="Arial" w:hAnsi="Arial"/>
                <w:sz w:val="16"/>
                <w:szCs w:val="16"/>
                <w:b w:val="1"/>
                <w:bCs w:val="1"/>
                <w:color w:val="auto"/>
              </w:rPr>
              <w:t>2024</w:t>
            </w:r>
          </w:p>
        </w:tc>
      </w:tr>
      <w:tr>
        <w:trPr>
          <w:trHeight w:val="256"/>
        </w:trPr>
        <w:tc>
          <w:tcPr>
            <w:tcW w:w="5880" w:type="dxa"/>
            <w:vAlign w:val="bottom"/>
          </w:tcPr>
          <w:p>
            <w:pPr>
              <w:ind w:left="20"/>
              <w:spacing w:after="0"/>
              <w:rPr>
                <w:sz w:val="20"/>
                <w:szCs w:val="20"/>
                <w:color w:val="auto"/>
              </w:rPr>
            </w:pPr>
            <w:r>
              <w:rPr>
                <w:rFonts w:ascii="Arial" w:cs="Arial" w:eastAsia="Arial" w:hAnsi="Arial"/>
                <w:sz w:val="16"/>
                <w:szCs w:val="16"/>
                <w:b w:val="1"/>
                <w:bCs w:val="1"/>
                <w:color w:val="0D64EF"/>
              </w:rPr>
              <w:t>Cash flows</w:t>
            </w:r>
            <w:r>
              <w:rPr>
                <w:rFonts w:ascii="Arial" w:cs="Arial" w:eastAsia="Arial" w:hAnsi="Arial"/>
                <w:sz w:val="21"/>
                <w:szCs w:val="21"/>
                <w:color w:val="000000"/>
                <w:vertAlign w:val="superscript"/>
              </w:rPr>
              <w:t>1</w:t>
            </w:r>
          </w:p>
        </w:tc>
        <w:tc>
          <w:tcPr>
            <w:tcW w:w="14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720" w:type="dxa"/>
            <w:vAlign w:val="bottom"/>
          </w:tcPr>
          <w:p>
            <w:pPr>
              <w:spacing w:after="0"/>
              <w:rPr>
                <w:sz w:val="22"/>
                <w:szCs w:val="22"/>
                <w:color w:val="auto"/>
              </w:rPr>
            </w:pPr>
          </w:p>
        </w:tc>
      </w:tr>
      <w:tr>
        <w:trPr>
          <w:trHeight w:val="230"/>
        </w:trPr>
        <w:tc>
          <w:tcPr>
            <w:tcW w:w="5880" w:type="dxa"/>
            <w:vAlign w:val="bottom"/>
          </w:tcPr>
          <w:p>
            <w:pPr>
              <w:ind w:left="20"/>
              <w:spacing w:after="0" w:line="230" w:lineRule="exact"/>
              <w:rPr>
                <w:sz w:val="20"/>
                <w:szCs w:val="20"/>
                <w:color w:val="auto"/>
              </w:rPr>
            </w:pPr>
            <w:r>
              <w:rPr>
                <w:rFonts w:ascii="Arial" w:cs="Arial" w:eastAsia="Arial" w:hAnsi="Arial"/>
                <w:sz w:val="16"/>
                <w:szCs w:val="16"/>
                <w:color w:val="auto"/>
              </w:rPr>
              <w:t>Net cash provided by operations</w:t>
            </w:r>
            <w:r>
              <w:rPr>
                <w:rFonts w:ascii="Arial" w:cs="Arial" w:eastAsia="Arial" w:hAnsi="Arial"/>
                <w:sz w:val="21"/>
                <w:szCs w:val="21"/>
                <w:color w:val="auto"/>
                <w:vertAlign w:val="superscript"/>
              </w:rPr>
              <w:t>2</w:t>
            </w:r>
          </w:p>
        </w:tc>
        <w:tc>
          <w:tcPr>
            <w:tcW w:w="1980" w:type="dxa"/>
            <w:vAlign w:val="bottom"/>
            <w:gridSpan w:val="2"/>
          </w:tcPr>
          <w:p>
            <w:pPr>
              <w:jc w:val="right"/>
              <w:ind w:right="639"/>
              <w:spacing w:after="0"/>
              <w:rPr>
                <w:sz w:val="20"/>
                <w:szCs w:val="20"/>
                <w:color w:val="auto"/>
              </w:rPr>
            </w:pPr>
            <w:r>
              <w:rPr>
                <w:rFonts w:ascii="Arial" w:cs="Arial" w:eastAsia="Arial" w:hAnsi="Arial"/>
                <w:sz w:val="16"/>
                <w:szCs w:val="16"/>
                <w:b w:val="1"/>
                <w:bCs w:val="1"/>
                <w:color w:val="auto"/>
              </w:rPr>
              <w:t>1,894</w:t>
            </w:r>
          </w:p>
        </w:tc>
        <w:tc>
          <w:tcPr>
            <w:tcW w:w="700" w:type="dxa"/>
            <w:vAlign w:val="bottom"/>
          </w:tcPr>
          <w:p>
            <w:pPr>
              <w:jc w:val="right"/>
              <w:spacing w:after="0"/>
              <w:rPr>
                <w:sz w:val="20"/>
                <w:szCs w:val="20"/>
                <w:color w:val="auto"/>
              </w:rPr>
            </w:pPr>
            <w:r>
              <w:rPr>
                <w:rFonts w:ascii="Arial" w:cs="Arial" w:eastAsia="Arial" w:hAnsi="Arial"/>
                <w:sz w:val="16"/>
                <w:szCs w:val="16"/>
                <w:color w:val="auto"/>
              </w:rPr>
              <w:t>2,084</w:t>
            </w:r>
          </w:p>
        </w:tc>
        <w:tc>
          <w:tcPr>
            <w:tcW w:w="120" w:type="dxa"/>
            <w:vAlign w:val="bottom"/>
          </w:tcPr>
          <w:p>
            <w:pPr>
              <w:spacing w:after="0"/>
              <w:rPr>
                <w:sz w:val="19"/>
                <w:szCs w:val="19"/>
                <w:color w:val="auto"/>
              </w:rPr>
            </w:pPr>
          </w:p>
        </w:tc>
        <w:tc>
          <w:tcPr>
            <w:tcW w:w="1840" w:type="dxa"/>
            <w:vAlign w:val="bottom"/>
          </w:tcPr>
          <w:p>
            <w:pPr>
              <w:jc w:val="right"/>
              <w:ind w:right="639"/>
              <w:spacing w:after="0"/>
              <w:rPr>
                <w:sz w:val="20"/>
                <w:szCs w:val="20"/>
                <w:color w:val="auto"/>
              </w:rPr>
            </w:pPr>
            <w:r>
              <w:rPr>
                <w:rFonts w:ascii="Arial" w:cs="Arial" w:eastAsia="Arial" w:hAnsi="Arial"/>
                <w:sz w:val="16"/>
                <w:szCs w:val="16"/>
                <w:b w:val="1"/>
                <w:bCs w:val="1"/>
                <w:color w:val="auto"/>
              </w:rPr>
              <w:t>7,346</w:t>
            </w:r>
          </w:p>
        </w:tc>
        <w:tc>
          <w:tcPr>
            <w:tcW w:w="720" w:type="dxa"/>
            <w:vAlign w:val="bottom"/>
          </w:tcPr>
          <w:p>
            <w:pPr>
              <w:jc w:val="right"/>
              <w:spacing w:after="0"/>
              <w:rPr>
                <w:sz w:val="20"/>
                <w:szCs w:val="20"/>
                <w:color w:val="auto"/>
              </w:rPr>
            </w:pPr>
            <w:r>
              <w:rPr>
                <w:rFonts w:ascii="Arial" w:cs="Arial" w:eastAsia="Arial" w:hAnsi="Arial"/>
                <w:sz w:val="16"/>
                <w:szCs w:val="16"/>
                <w:color w:val="auto"/>
              </w:rPr>
              <w:t>7,696</w:t>
            </w:r>
          </w:p>
        </w:tc>
      </w:tr>
      <w:tr>
        <w:trPr>
          <w:trHeight w:val="229"/>
        </w:trPr>
        <w:tc>
          <w:tcPr>
            <w:tcW w:w="5880" w:type="dxa"/>
            <w:vAlign w:val="bottom"/>
          </w:tcPr>
          <w:p>
            <w:pPr>
              <w:ind w:left="20"/>
              <w:spacing w:after="0" w:line="230" w:lineRule="exact"/>
              <w:rPr>
                <w:sz w:val="20"/>
                <w:szCs w:val="20"/>
                <w:color w:val="auto"/>
              </w:rPr>
            </w:pPr>
            <w:r>
              <w:rPr>
                <w:rFonts w:ascii="Arial" w:cs="Arial" w:eastAsia="Arial" w:hAnsi="Arial"/>
                <w:sz w:val="16"/>
                <w:szCs w:val="16"/>
                <w:color w:val="auto"/>
              </w:rPr>
              <w:t>Comparable funds generated from operations</w:t>
            </w:r>
            <w:r>
              <w:rPr>
                <w:rFonts w:ascii="Arial" w:cs="Arial" w:eastAsia="Arial" w:hAnsi="Arial"/>
                <w:sz w:val="21"/>
                <w:szCs w:val="21"/>
                <w:color w:val="auto"/>
                <w:vertAlign w:val="superscript"/>
              </w:rPr>
              <w:t>2,3</w:t>
            </w:r>
          </w:p>
        </w:tc>
        <w:tc>
          <w:tcPr>
            <w:tcW w:w="1980" w:type="dxa"/>
            <w:vAlign w:val="bottom"/>
            <w:gridSpan w:val="2"/>
          </w:tcPr>
          <w:p>
            <w:pPr>
              <w:jc w:val="right"/>
              <w:ind w:right="639"/>
              <w:spacing w:after="0"/>
              <w:rPr>
                <w:sz w:val="20"/>
                <w:szCs w:val="20"/>
                <w:color w:val="auto"/>
              </w:rPr>
            </w:pPr>
            <w:r>
              <w:rPr>
                <w:rFonts w:ascii="Arial" w:cs="Arial" w:eastAsia="Arial" w:hAnsi="Arial"/>
                <w:sz w:val="16"/>
                <w:szCs w:val="16"/>
                <w:b w:val="1"/>
                <w:bCs w:val="1"/>
                <w:color w:val="auto"/>
              </w:rPr>
              <w:t>2,293</w:t>
            </w:r>
          </w:p>
        </w:tc>
        <w:tc>
          <w:tcPr>
            <w:tcW w:w="700" w:type="dxa"/>
            <w:vAlign w:val="bottom"/>
          </w:tcPr>
          <w:p>
            <w:pPr>
              <w:jc w:val="right"/>
              <w:spacing w:after="0"/>
              <w:rPr>
                <w:sz w:val="20"/>
                <w:szCs w:val="20"/>
                <w:color w:val="auto"/>
              </w:rPr>
            </w:pPr>
            <w:r>
              <w:rPr>
                <w:rFonts w:ascii="Arial" w:cs="Arial" w:eastAsia="Arial" w:hAnsi="Arial"/>
                <w:sz w:val="16"/>
                <w:szCs w:val="16"/>
                <w:color w:val="auto"/>
              </w:rPr>
              <w:t>1,665</w:t>
            </w:r>
          </w:p>
        </w:tc>
        <w:tc>
          <w:tcPr>
            <w:tcW w:w="120" w:type="dxa"/>
            <w:vAlign w:val="bottom"/>
          </w:tcPr>
          <w:p>
            <w:pPr>
              <w:spacing w:after="0"/>
              <w:rPr>
                <w:sz w:val="19"/>
                <w:szCs w:val="19"/>
                <w:color w:val="auto"/>
              </w:rPr>
            </w:pPr>
          </w:p>
        </w:tc>
        <w:tc>
          <w:tcPr>
            <w:tcW w:w="1840" w:type="dxa"/>
            <w:vAlign w:val="bottom"/>
          </w:tcPr>
          <w:p>
            <w:pPr>
              <w:jc w:val="right"/>
              <w:ind w:right="639"/>
              <w:spacing w:after="0"/>
              <w:rPr>
                <w:sz w:val="20"/>
                <w:szCs w:val="20"/>
                <w:color w:val="auto"/>
              </w:rPr>
            </w:pPr>
            <w:r>
              <w:rPr>
                <w:rFonts w:ascii="Arial" w:cs="Arial" w:eastAsia="Arial" w:hAnsi="Arial"/>
                <w:sz w:val="16"/>
                <w:szCs w:val="16"/>
                <w:b w:val="1"/>
                <w:bCs w:val="1"/>
                <w:color w:val="auto"/>
              </w:rPr>
              <w:t>7,996</w:t>
            </w:r>
          </w:p>
        </w:tc>
        <w:tc>
          <w:tcPr>
            <w:tcW w:w="720" w:type="dxa"/>
            <w:vAlign w:val="bottom"/>
          </w:tcPr>
          <w:p>
            <w:pPr>
              <w:jc w:val="right"/>
              <w:spacing w:after="0"/>
              <w:rPr>
                <w:sz w:val="20"/>
                <w:szCs w:val="20"/>
                <w:color w:val="auto"/>
              </w:rPr>
            </w:pPr>
            <w:r>
              <w:rPr>
                <w:rFonts w:ascii="Arial" w:cs="Arial" w:eastAsia="Arial" w:hAnsi="Arial"/>
                <w:sz w:val="16"/>
                <w:szCs w:val="16"/>
                <w:color w:val="auto"/>
              </w:rPr>
              <w:t>7,890</w:t>
            </w:r>
          </w:p>
        </w:tc>
      </w:tr>
      <w:tr>
        <w:trPr>
          <w:trHeight w:val="240"/>
        </w:trPr>
        <w:tc>
          <w:tcPr>
            <w:tcW w:w="5880" w:type="dxa"/>
            <w:vAlign w:val="bottom"/>
          </w:tcPr>
          <w:p>
            <w:pPr>
              <w:ind w:left="20"/>
              <w:spacing w:after="0" w:line="240" w:lineRule="exact"/>
              <w:rPr>
                <w:sz w:val="20"/>
                <w:szCs w:val="20"/>
                <w:color w:val="auto"/>
              </w:rPr>
            </w:pPr>
            <w:r>
              <w:rPr>
                <w:rFonts w:ascii="Arial" w:cs="Arial" w:eastAsia="Arial" w:hAnsi="Arial"/>
                <w:sz w:val="16"/>
                <w:szCs w:val="16"/>
                <w:color w:val="auto"/>
              </w:rPr>
              <w:t>Capital spending</w:t>
            </w:r>
            <w:r>
              <w:rPr>
                <w:rFonts w:ascii="Arial" w:cs="Arial" w:eastAsia="Arial" w:hAnsi="Arial"/>
                <w:sz w:val="21"/>
                <w:szCs w:val="21"/>
                <w:color w:val="auto"/>
                <w:vertAlign w:val="superscript"/>
              </w:rPr>
              <w:t>4</w:t>
            </w:r>
          </w:p>
        </w:tc>
        <w:tc>
          <w:tcPr>
            <w:tcW w:w="1980" w:type="dxa"/>
            <w:vAlign w:val="bottom"/>
            <w:gridSpan w:val="2"/>
          </w:tcPr>
          <w:p>
            <w:pPr>
              <w:jc w:val="right"/>
              <w:ind w:right="639"/>
              <w:spacing w:after="0"/>
              <w:rPr>
                <w:sz w:val="20"/>
                <w:szCs w:val="20"/>
                <w:color w:val="auto"/>
              </w:rPr>
            </w:pPr>
            <w:r>
              <w:rPr>
                <w:rFonts w:ascii="Arial" w:cs="Arial" w:eastAsia="Arial" w:hAnsi="Arial"/>
                <w:sz w:val="16"/>
                <w:szCs w:val="16"/>
                <w:b w:val="1"/>
                <w:bCs w:val="1"/>
                <w:color w:val="auto"/>
              </w:rPr>
              <w:t>1,643</w:t>
            </w:r>
          </w:p>
        </w:tc>
        <w:tc>
          <w:tcPr>
            <w:tcW w:w="700" w:type="dxa"/>
            <w:vAlign w:val="bottom"/>
          </w:tcPr>
          <w:p>
            <w:pPr>
              <w:jc w:val="right"/>
              <w:spacing w:after="0"/>
              <w:rPr>
                <w:sz w:val="20"/>
                <w:szCs w:val="20"/>
                <w:color w:val="auto"/>
              </w:rPr>
            </w:pPr>
            <w:r>
              <w:rPr>
                <w:rFonts w:ascii="Arial" w:cs="Arial" w:eastAsia="Arial" w:hAnsi="Arial"/>
                <w:sz w:val="16"/>
                <w:szCs w:val="16"/>
                <w:color w:val="auto"/>
              </w:rPr>
              <w:t>2,307</w:t>
            </w:r>
          </w:p>
        </w:tc>
        <w:tc>
          <w:tcPr>
            <w:tcW w:w="120" w:type="dxa"/>
            <w:vAlign w:val="bottom"/>
          </w:tcPr>
          <w:p>
            <w:pPr>
              <w:spacing w:after="0"/>
              <w:rPr>
                <w:sz w:val="20"/>
                <w:szCs w:val="20"/>
                <w:color w:val="auto"/>
              </w:rPr>
            </w:pPr>
          </w:p>
        </w:tc>
        <w:tc>
          <w:tcPr>
            <w:tcW w:w="1840" w:type="dxa"/>
            <w:vAlign w:val="bottom"/>
          </w:tcPr>
          <w:p>
            <w:pPr>
              <w:jc w:val="right"/>
              <w:ind w:right="639"/>
              <w:spacing w:after="0"/>
              <w:rPr>
                <w:sz w:val="20"/>
                <w:szCs w:val="20"/>
                <w:color w:val="auto"/>
              </w:rPr>
            </w:pPr>
            <w:r>
              <w:rPr>
                <w:rFonts w:ascii="Arial" w:cs="Arial" w:eastAsia="Arial" w:hAnsi="Arial"/>
                <w:sz w:val="16"/>
                <w:szCs w:val="16"/>
                <w:b w:val="1"/>
                <w:bCs w:val="1"/>
                <w:color w:val="auto"/>
              </w:rPr>
              <w:t>6,337</w:t>
            </w:r>
          </w:p>
        </w:tc>
        <w:tc>
          <w:tcPr>
            <w:tcW w:w="720" w:type="dxa"/>
            <w:vAlign w:val="bottom"/>
          </w:tcPr>
          <w:p>
            <w:pPr>
              <w:jc w:val="right"/>
              <w:spacing w:after="0"/>
              <w:rPr>
                <w:sz w:val="20"/>
                <w:szCs w:val="20"/>
                <w:color w:val="auto"/>
              </w:rPr>
            </w:pPr>
            <w:r>
              <w:rPr>
                <w:rFonts w:ascii="Arial" w:cs="Arial" w:eastAsia="Arial" w:hAnsi="Arial"/>
                <w:sz w:val="16"/>
                <w:szCs w:val="16"/>
                <w:color w:val="auto"/>
              </w:rPr>
              <w:t>7,904</w:t>
            </w:r>
          </w:p>
        </w:tc>
      </w:tr>
      <w:tr>
        <w:trPr>
          <w:trHeight w:val="219"/>
        </w:trPr>
        <w:tc>
          <w:tcPr>
            <w:tcW w:w="5880" w:type="dxa"/>
            <w:vAlign w:val="bottom"/>
          </w:tcPr>
          <w:p>
            <w:pPr>
              <w:ind w:left="20"/>
              <w:spacing w:after="0"/>
              <w:rPr>
                <w:sz w:val="20"/>
                <w:szCs w:val="20"/>
                <w:color w:val="auto"/>
              </w:rPr>
            </w:pPr>
            <w:r>
              <w:rPr>
                <w:rFonts w:ascii="Arial" w:cs="Arial" w:eastAsia="Arial" w:hAnsi="Arial"/>
                <w:sz w:val="16"/>
                <w:szCs w:val="16"/>
                <w:color w:val="auto"/>
              </w:rPr>
              <w:t>Proceeds from sales of assets, net of transaction costs</w:t>
            </w:r>
          </w:p>
        </w:tc>
        <w:tc>
          <w:tcPr>
            <w:tcW w:w="140" w:type="dxa"/>
            <w:vAlign w:val="bottom"/>
          </w:tcPr>
          <w:p>
            <w:pPr>
              <w:spacing w:after="0"/>
              <w:rPr>
                <w:sz w:val="19"/>
                <w:szCs w:val="19"/>
                <w:color w:val="auto"/>
              </w:rPr>
            </w:pPr>
          </w:p>
        </w:tc>
        <w:tc>
          <w:tcPr>
            <w:tcW w:w="1840" w:type="dxa"/>
            <w:vAlign w:val="bottom"/>
          </w:tcPr>
          <w:p>
            <w:pPr>
              <w:jc w:val="right"/>
              <w:ind w:right="639"/>
              <w:spacing w:after="0"/>
              <w:rPr>
                <w:sz w:val="20"/>
                <w:szCs w:val="20"/>
                <w:color w:val="auto"/>
              </w:rPr>
            </w:pPr>
            <w:r>
              <w:rPr>
                <w:rFonts w:ascii="Arial" w:cs="Arial" w:eastAsia="Arial" w:hAnsi="Arial"/>
                <w:sz w:val="16"/>
                <w:szCs w:val="16"/>
                <w:b w:val="1"/>
                <w:bCs w:val="1"/>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40" w:type="dxa"/>
            <w:vAlign w:val="bottom"/>
          </w:tcPr>
          <w:p>
            <w:pPr>
              <w:jc w:val="right"/>
              <w:ind w:right="639"/>
              <w:spacing w:after="0"/>
              <w:rPr>
                <w:sz w:val="20"/>
                <w:szCs w:val="20"/>
                <w:color w:val="auto"/>
              </w:rPr>
            </w:pPr>
            <w:r>
              <w:rPr>
                <w:rFonts w:ascii="Arial" w:cs="Arial" w:eastAsia="Arial" w:hAnsi="Arial"/>
                <w:sz w:val="16"/>
                <w:szCs w:val="16"/>
                <w:b w:val="1"/>
                <w:bCs w:val="1"/>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791</w:t>
            </w:r>
          </w:p>
        </w:tc>
      </w:tr>
      <w:tr>
        <w:trPr>
          <w:trHeight w:val="240"/>
        </w:trPr>
        <w:tc>
          <w:tcPr>
            <w:tcW w:w="5880" w:type="dxa"/>
            <w:vAlign w:val="bottom"/>
            <w:tcBorders>
              <w:bottom w:val="single" w:sz="8" w:color="auto"/>
            </w:tcBorders>
          </w:tcPr>
          <w:p>
            <w:pPr>
              <w:ind w:left="20"/>
              <w:spacing w:after="0" w:line="240" w:lineRule="exact"/>
              <w:rPr>
                <w:sz w:val="20"/>
                <w:szCs w:val="20"/>
                <w:color w:val="auto"/>
              </w:rPr>
            </w:pPr>
            <w:r>
              <w:rPr>
                <w:rFonts w:ascii="Arial" w:cs="Arial" w:eastAsia="Arial" w:hAnsi="Arial"/>
                <w:sz w:val="16"/>
                <w:szCs w:val="16"/>
                <w:color w:val="auto"/>
              </w:rPr>
              <w:t>Disposition of equity interest, net of transaction costs</w:t>
            </w:r>
            <w:r>
              <w:rPr>
                <w:rFonts w:ascii="Arial" w:cs="Arial" w:eastAsia="Arial" w:hAnsi="Arial"/>
                <w:sz w:val="21"/>
                <w:szCs w:val="21"/>
                <w:color w:val="auto"/>
                <w:vertAlign w:val="superscript"/>
              </w:rPr>
              <w:t>5</w:t>
            </w:r>
          </w:p>
        </w:tc>
        <w:tc>
          <w:tcPr>
            <w:tcW w:w="14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w:t>
            </w:r>
          </w:p>
        </w:tc>
        <w:tc>
          <w:tcPr>
            <w:tcW w:w="82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184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419</w:t>
            </w:r>
          </w:p>
        </w:tc>
      </w:tr>
      <w:tr>
        <w:trPr>
          <w:trHeight w:val="212"/>
        </w:trPr>
        <w:tc>
          <w:tcPr>
            <w:tcW w:w="5880" w:type="dxa"/>
            <w:vAlign w:val="bottom"/>
          </w:tcPr>
          <w:p>
            <w:pPr>
              <w:ind w:left="20"/>
              <w:spacing w:after="0"/>
              <w:rPr>
                <w:sz w:val="20"/>
                <w:szCs w:val="20"/>
                <w:color w:val="auto"/>
              </w:rPr>
            </w:pPr>
            <w:r>
              <w:rPr>
                <w:rFonts w:ascii="Arial" w:cs="Arial" w:eastAsia="Arial" w:hAnsi="Arial"/>
                <w:sz w:val="16"/>
                <w:szCs w:val="16"/>
                <w:b w:val="1"/>
                <w:bCs w:val="1"/>
                <w:color w:val="0D64EF"/>
              </w:rPr>
              <w:t>Dividends declared</w:t>
            </w:r>
          </w:p>
        </w:tc>
        <w:tc>
          <w:tcPr>
            <w:tcW w:w="1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40"/>
        </w:trPr>
        <w:tc>
          <w:tcPr>
            <w:tcW w:w="5880" w:type="dxa"/>
            <w:vAlign w:val="bottom"/>
          </w:tcPr>
          <w:p>
            <w:pPr>
              <w:ind w:left="100"/>
              <w:spacing w:after="0" w:line="240" w:lineRule="exact"/>
              <w:rPr>
                <w:sz w:val="20"/>
                <w:szCs w:val="20"/>
                <w:color w:val="auto"/>
              </w:rPr>
            </w:pPr>
            <w:r>
              <w:rPr>
                <w:rFonts w:ascii="Arial" w:cs="Arial" w:eastAsia="Arial" w:hAnsi="Arial"/>
                <w:sz w:val="16"/>
                <w:szCs w:val="16"/>
                <w:color w:val="auto"/>
              </w:rPr>
              <w:t>per common share</w:t>
            </w:r>
            <w:r>
              <w:rPr>
                <w:rFonts w:ascii="Arial" w:cs="Arial" w:eastAsia="Arial" w:hAnsi="Arial"/>
                <w:sz w:val="21"/>
                <w:szCs w:val="21"/>
                <w:color w:val="auto"/>
                <w:vertAlign w:val="superscript"/>
              </w:rPr>
              <w:t>6</w:t>
            </w:r>
          </w:p>
        </w:tc>
        <w:tc>
          <w:tcPr>
            <w:tcW w:w="1980" w:type="dxa"/>
            <w:vAlign w:val="bottom"/>
            <w:gridSpan w:val="2"/>
          </w:tcPr>
          <w:p>
            <w:pPr>
              <w:jc w:val="right"/>
              <w:ind w:right="639"/>
              <w:spacing w:after="0"/>
              <w:rPr>
                <w:sz w:val="20"/>
                <w:szCs w:val="20"/>
                <w:color w:val="auto"/>
              </w:rPr>
            </w:pPr>
            <w:r>
              <w:rPr>
                <w:rFonts w:ascii="Arial" w:cs="Arial" w:eastAsia="Arial" w:hAnsi="Arial"/>
                <w:sz w:val="16"/>
                <w:szCs w:val="16"/>
                <w:b w:val="1"/>
                <w:bCs w:val="1"/>
                <w:color w:val="auto"/>
              </w:rPr>
              <w:t>$0.85</w:t>
            </w:r>
          </w:p>
        </w:tc>
        <w:tc>
          <w:tcPr>
            <w:tcW w:w="700" w:type="dxa"/>
            <w:vAlign w:val="bottom"/>
          </w:tcPr>
          <w:p>
            <w:pPr>
              <w:jc w:val="right"/>
              <w:spacing w:after="0"/>
              <w:rPr>
                <w:sz w:val="20"/>
                <w:szCs w:val="20"/>
                <w:color w:val="auto"/>
              </w:rPr>
            </w:pPr>
            <w:r>
              <w:rPr>
                <w:rFonts w:ascii="Arial" w:cs="Arial" w:eastAsia="Arial" w:hAnsi="Arial"/>
                <w:sz w:val="16"/>
                <w:szCs w:val="16"/>
                <w:color w:val="auto"/>
              </w:rPr>
              <w:t>$0.8225</w:t>
            </w:r>
          </w:p>
        </w:tc>
        <w:tc>
          <w:tcPr>
            <w:tcW w:w="120" w:type="dxa"/>
            <w:vAlign w:val="bottom"/>
          </w:tcPr>
          <w:p>
            <w:pPr>
              <w:spacing w:after="0"/>
              <w:rPr>
                <w:sz w:val="20"/>
                <w:szCs w:val="20"/>
                <w:color w:val="auto"/>
              </w:rPr>
            </w:pPr>
          </w:p>
        </w:tc>
        <w:tc>
          <w:tcPr>
            <w:tcW w:w="1840" w:type="dxa"/>
            <w:vAlign w:val="bottom"/>
          </w:tcPr>
          <w:p>
            <w:pPr>
              <w:jc w:val="right"/>
              <w:ind w:right="639"/>
              <w:spacing w:after="0"/>
              <w:rPr>
                <w:sz w:val="20"/>
                <w:szCs w:val="20"/>
                <w:color w:val="auto"/>
              </w:rPr>
            </w:pPr>
            <w:r>
              <w:rPr>
                <w:rFonts w:ascii="Arial" w:cs="Arial" w:eastAsia="Arial" w:hAnsi="Arial"/>
                <w:sz w:val="16"/>
                <w:szCs w:val="16"/>
                <w:b w:val="1"/>
                <w:bCs w:val="1"/>
                <w:color w:val="auto"/>
              </w:rPr>
              <w:t>$3.40</w:t>
            </w:r>
          </w:p>
        </w:tc>
        <w:tc>
          <w:tcPr>
            <w:tcW w:w="720" w:type="dxa"/>
            <w:vAlign w:val="bottom"/>
          </w:tcPr>
          <w:p>
            <w:pPr>
              <w:jc w:val="right"/>
              <w:spacing w:after="0"/>
              <w:rPr>
                <w:sz w:val="20"/>
                <w:szCs w:val="20"/>
                <w:color w:val="auto"/>
              </w:rPr>
            </w:pPr>
            <w:r>
              <w:rPr>
                <w:rFonts w:ascii="Arial" w:cs="Arial" w:eastAsia="Arial" w:hAnsi="Arial"/>
                <w:sz w:val="16"/>
                <w:szCs w:val="16"/>
                <w:color w:val="auto"/>
              </w:rPr>
              <w:t>$3.7025</w:t>
            </w:r>
          </w:p>
        </w:tc>
      </w:tr>
      <w:tr>
        <w:trPr>
          <w:trHeight w:val="223"/>
        </w:trPr>
        <w:tc>
          <w:tcPr>
            <w:tcW w:w="5880" w:type="dxa"/>
            <w:vAlign w:val="bottom"/>
          </w:tcPr>
          <w:p>
            <w:pPr>
              <w:ind w:left="20"/>
              <w:spacing w:after="0"/>
              <w:rPr>
                <w:sz w:val="20"/>
                <w:szCs w:val="20"/>
                <w:color w:val="auto"/>
              </w:rPr>
            </w:pPr>
            <w:r>
              <w:rPr>
                <w:rFonts w:ascii="Arial" w:cs="Arial" w:eastAsia="Arial" w:hAnsi="Arial"/>
                <w:sz w:val="16"/>
                <w:szCs w:val="16"/>
                <w:b w:val="1"/>
                <w:bCs w:val="1"/>
                <w:color w:val="0D64EF"/>
              </w:rPr>
              <w:t xml:space="preserve">Basic common shares outstanding </w:t>
            </w:r>
            <w:r>
              <w:rPr>
                <w:rFonts w:ascii="Arial" w:cs="Arial" w:eastAsia="Arial" w:hAnsi="Arial"/>
                <w:sz w:val="16"/>
                <w:szCs w:val="16"/>
                <w:color w:val="000000"/>
              </w:rPr>
              <w:t>(millions)</w:t>
            </w:r>
          </w:p>
        </w:tc>
        <w:tc>
          <w:tcPr>
            <w:tcW w:w="14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29"/>
        </w:trPr>
        <w:tc>
          <w:tcPr>
            <w:tcW w:w="5880" w:type="dxa"/>
            <w:vAlign w:val="bottom"/>
          </w:tcPr>
          <w:p>
            <w:pPr>
              <w:ind w:left="100"/>
              <w:spacing w:after="0"/>
              <w:rPr>
                <w:sz w:val="20"/>
                <w:szCs w:val="20"/>
                <w:color w:val="auto"/>
              </w:rPr>
            </w:pPr>
            <w:r>
              <w:rPr>
                <w:rFonts w:ascii="Arial" w:cs="Arial" w:eastAsia="Arial" w:hAnsi="Arial"/>
                <w:sz w:val="16"/>
                <w:szCs w:val="16"/>
                <w:color w:val="auto"/>
              </w:rPr>
              <w:t>– weighted average for the period</w:t>
            </w:r>
          </w:p>
        </w:tc>
        <w:tc>
          <w:tcPr>
            <w:tcW w:w="1980" w:type="dxa"/>
            <w:vAlign w:val="bottom"/>
            <w:gridSpan w:val="2"/>
          </w:tcPr>
          <w:p>
            <w:pPr>
              <w:jc w:val="right"/>
              <w:ind w:right="639"/>
              <w:spacing w:after="0"/>
              <w:rPr>
                <w:sz w:val="20"/>
                <w:szCs w:val="20"/>
                <w:color w:val="auto"/>
              </w:rPr>
            </w:pPr>
            <w:r>
              <w:rPr>
                <w:rFonts w:ascii="Arial" w:cs="Arial" w:eastAsia="Arial" w:hAnsi="Arial"/>
                <w:sz w:val="16"/>
                <w:szCs w:val="16"/>
                <w:b w:val="1"/>
                <w:bCs w:val="1"/>
                <w:color w:val="auto"/>
              </w:rPr>
              <w:t>1,041</w:t>
            </w:r>
          </w:p>
        </w:tc>
        <w:tc>
          <w:tcPr>
            <w:tcW w:w="700" w:type="dxa"/>
            <w:vAlign w:val="bottom"/>
          </w:tcPr>
          <w:p>
            <w:pPr>
              <w:jc w:val="right"/>
              <w:spacing w:after="0"/>
              <w:rPr>
                <w:sz w:val="20"/>
                <w:szCs w:val="20"/>
                <w:color w:val="auto"/>
              </w:rPr>
            </w:pPr>
            <w:r>
              <w:rPr>
                <w:rFonts w:ascii="Arial" w:cs="Arial" w:eastAsia="Arial" w:hAnsi="Arial"/>
                <w:sz w:val="16"/>
                <w:szCs w:val="16"/>
                <w:color w:val="auto"/>
              </w:rPr>
              <w:t>1,038</w:t>
            </w:r>
          </w:p>
        </w:tc>
        <w:tc>
          <w:tcPr>
            <w:tcW w:w="120" w:type="dxa"/>
            <w:vAlign w:val="bottom"/>
          </w:tcPr>
          <w:p>
            <w:pPr>
              <w:spacing w:after="0"/>
              <w:rPr>
                <w:sz w:val="19"/>
                <w:szCs w:val="19"/>
                <w:color w:val="auto"/>
              </w:rPr>
            </w:pPr>
          </w:p>
        </w:tc>
        <w:tc>
          <w:tcPr>
            <w:tcW w:w="1840" w:type="dxa"/>
            <w:vAlign w:val="bottom"/>
          </w:tcPr>
          <w:p>
            <w:pPr>
              <w:jc w:val="right"/>
              <w:ind w:right="639"/>
              <w:spacing w:after="0"/>
              <w:rPr>
                <w:sz w:val="20"/>
                <w:szCs w:val="20"/>
                <w:color w:val="auto"/>
              </w:rPr>
            </w:pPr>
            <w:r>
              <w:rPr>
                <w:rFonts w:ascii="Arial" w:cs="Arial" w:eastAsia="Arial" w:hAnsi="Arial"/>
                <w:sz w:val="16"/>
                <w:szCs w:val="16"/>
                <w:b w:val="1"/>
                <w:bCs w:val="1"/>
                <w:color w:val="auto"/>
              </w:rPr>
              <w:t>1,040</w:t>
            </w:r>
          </w:p>
        </w:tc>
        <w:tc>
          <w:tcPr>
            <w:tcW w:w="720" w:type="dxa"/>
            <w:vAlign w:val="bottom"/>
          </w:tcPr>
          <w:p>
            <w:pPr>
              <w:jc w:val="right"/>
              <w:spacing w:after="0"/>
              <w:rPr>
                <w:sz w:val="20"/>
                <w:szCs w:val="20"/>
                <w:color w:val="auto"/>
              </w:rPr>
            </w:pPr>
            <w:r>
              <w:rPr>
                <w:rFonts w:ascii="Arial" w:cs="Arial" w:eastAsia="Arial" w:hAnsi="Arial"/>
                <w:sz w:val="16"/>
                <w:szCs w:val="16"/>
                <w:color w:val="auto"/>
              </w:rPr>
              <w:t>1,038</w:t>
            </w:r>
          </w:p>
        </w:tc>
      </w:tr>
      <w:tr>
        <w:trPr>
          <w:trHeight w:val="233"/>
        </w:trPr>
        <w:tc>
          <w:tcPr>
            <w:tcW w:w="588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 issued and outstanding at end of period</w:t>
            </w:r>
          </w:p>
        </w:tc>
        <w:tc>
          <w:tcPr>
            <w:tcW w:w="1980" w:type="dxa"/>
            <w:vAlign w:val="bottom"/>
            <w:tcBorders>
              <w:bottom w:val="single" w:sz="8" w:color="auto"/>
            </w:tcBorders>
            <w:gridSpan w:val="2"/>
          </w:tcPr>
          <w:p>
            <w:pPr>
              <w:jc w:val="right"/>
              <w:ind w:right="639"/>
              <w:spacing w:after="0"/>
              <w:rPr>
                <w:sz w:val="20"/>
                <w:szCs w:val="20"/>
                <w:color w:val="auto"/>
              </w:rPr>
            </w:pPr>
            <w:r>
              <w:rPr>
                <w:rFonts w:ascii="Arial" w:cs="Arial" w:eastAsia="Arial" w:hAnsi="Arial"/>
                <w:sz w:val="16"/>
                <w:szCs w:val="16"/>
                <w:b w:val="1"/>
                <w:bCs w:val="1"/>
                <w:color w:val="auto"/>
              </w:rPr>
              <w:t>1,041</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1,039</w:t>
            </w:r>
          </w:p>
        </w:tc>
        <w:tc>
          <w:tcPr>
            <w:tcW w:w="12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1,041</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1,039</w:t>
            </w:r>
          </w:p>
        </w:tc>
      </w:tr>
    </w:tbl>
    <w:p>
      <w:pPr>
        <w:spacing w:after="0" w:line="180"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4"/>
          <w:szCs w:val="14"/>
          <w:color w:val="auto"/>
        </w:rPr>
      </w:pPr>
      <w:r>
        <w:rPr>
          <w:rFonts w:ascii="Arial" w:cs="Arial" w:eastAsia="Arial" w:hAnsi="Arial"/>
          <w:sz w:val="14"/>
          <w:szCs w:val="14"/>
          <w:color w:val="auto"/>
        </w:rPr>
        <w:t>Includes continuing and discontinued operations.</w:t>
      </w:r>
    </w:p>
    <w:p>
      <w:pPr>
        <w:spacing w:after="0" w:line="42" w:lineRule="exact"/>
        <w:rPr>
          <w:sz w:val="20"/>
          <w:szCs w:val="20"/>
          <w:color w:val="auto"/>
        </w:rPr>
      </w:pPr>
    </w:p>
    <w:p>
      <w:pPr>
        <w:ind w:left="340" w:hanging="332"/>
        <w:spacing w:after="0"/>
        <w:tabs>
          <w:tab w:leader="none" w:pos="340" w:val="left"/>
        </w:tabs>
        <w:numPr>
          <w:ilvl w:val="0"/>
          <w:numId w:val="8"/>
        </w:numPr>
        <w:rPr>
          <w:rFonts w:ascii="Arial" w:cs="Arial" w:eastAsia="Arial" w:hAnsi="Arial"/>
          <w:sz w:val="14"/>
          <w:szCs w:val="14"/>
          <w:color w:val="auto"/>
        </w:rPr>
      </w:pPr>
      <w:r>
        <w:rPr>
          <w:rFonts w:ascii="Arial" w:cs="Arial" w:eastAsia="Arial" w:hAnsi="Arial"/>
          <w:sz w:val="14"/>
          <w:szCs w:val="14"/>
          <w:color w:val="auto"/>
        </w:rPr>
        <w:t>Includes nine months of Liquids earnings for the year ended December 31, 2024. Refer to the Discontinued Operations section for additional information.</w:t>
      </w:r>
    </w:p>
    <w:p>
      <w:pPr>
        <w:spacing w:after="0" w:line="55" w:lineRule="exact"/>
        <w:rPr>
          <w:sz w:val="20"/>
          <w:szCs w:val="20"/>
          <w:color w:val="auto"/>
        </w:rPr>
      </w:pPr>
    </w:p>
    <w:p>
      <w:pPr>
        <w:ind w:left="340" w:right="20" w:hanging="332"/>
        <w:spacing w:after="0" w:line="311" w:lineRule="auto"/>
        <w:tabs>
          <w:tab w:leader="none" w:pos="339" w:val="left"/>
        </w:tabs>
        <w:numPr>
          <w:ilvl w:val="0"/>
          <w:numId w:val="9"/>
        </w:numPr>
        <w:rPr>
          <w:rFonts w:ascii="Arial" w:cs="Arial" w:eastAsia="Arial" w:hAnsi="Arial"/>
          <w:sz w:val="14"/>
          <w:szCs w:val="14"/>
          <w:color w:val="auto"/>
        </w:rPr>
      </w:pPr>
      <w:r>
        <w:rPr>
          <w:rFonts w:ascii="Arial" w:cs="Arial" w:eastAsia="Arial" w:hAnsi="Arial"/>
          <w:sz w:val="14"/>
          <w:szCs w:val="14"/>
          <w:color w:val="auto"/>
        </w:rPr>
        <w:t>Comparable funds generated from operations is a non-GAAP measure used throughout this news release. This measure does not have any standardized meaning under GAAP and therefore is unlikely to be comparable to similar measures presented by other companies. The most directly comparable GAAP measure is net cash provided by</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4"/>
          <w:szCs w:val="14"/>
          <w:color w:val="auto"/>
        </w:rPr>
        <w:t>operations. For more information on non-GAAP measures, refer to the Non-GAAP and Supplementary financial measure section of this news release.</w:t>
      </w:r>
    </w:p>
    <w:p>
      <w:pPr>
        <w:spacing w:after="0" w:line="42" w:lineRule="exact"/>
        <w:rPr>
          <w:sz w:val="20"/>
          <w:szCs w:val="20"/>
          <w:color w:val="auto"/>
        </w:rPr>
      </w:pPr>
    </w:p>
    <w:p>
      <w:pPr>
        <w:ind w:left="340" w:hanging="332"/>
        <w:spacing w:after="0"/>
        <w:tabs>
          <w:tab w:leader="none" w:pos="3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Capital spending reflects cash flows associated with our Capital expenditures, Capital projects in development and Contributions to equity investments. For the year ended</w:t>
      </w:r>
    </w:p>
    <w:p>
      <w:pPr>
        <w:spacing w:after="0" w:line="55" w:lineRule="exact"/>
        <w:rPr>
          <w:rFonts w:ascii="Arial" w:cs="Arial" w:eastAsia="Arial" w:hAnsi="Arial"/>
          <w:sz w:val="14"/>
          <w:szCs w:val="14"/>
          <w:color w:val="auto"/>
        </w:rPr>
      </w:pPr>
    </w:p>
    <w:p>
      <w:pPr>
        <w:jc w:val="both"/>
        <w:ind w:left="340" w:right="500"/>
        <w:spacing w:after="0" w:line="311" w:lineRule="auto"/>
        <w:rPr>
          <w:rFonts w:ascii="Arial" w:cs="Arial" w:eastAsia="Arial" w:hAnsi="Arial"/>
          <w:sz w:val="14"/>
          <w:szCs w:val="14"/>
          <w:color w:val="auto"/>
        </w:rPr>
      </w:pPr>
      <w:r>
        <w:rPr>
          <w:rFonts w:ascii="Arial" w:cs="Arial" w:eastAsia="Arial" w:hAnsi="Arial"/>
          <w:sz w:val="14"/>
          <w:szCs w:val="14"/>
          <w:color w:val="auto"/>
        </w:rPr>
        <w:t>December 31, 2024, Contributions to equity investments was net of Other distributions from equity investments of $3.1 billion in the Canadian Natural Gas Pipelines segment. Refer to Note 5, Segmented information, Note 10, Equity investments and Note 11, Loans with affiliates, of our 2025 Consolidated financial statements for</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4"/>
          <w:szCs w:val="14"/>
          <w:color w:val="auto"/>
        </w:rPr>
        <w:t>additional information.</w:t>
      </w:r>
    </w:p>
    <w:p>
      <w:pPr>
        <w:spacing w:after="0" w:line="42" w:lineRule="exact"/>
        <w:rPr>
          <w:sz w:val="20"/>
          <w:szCs w:val="20"/>
          <w:color w:val="auto"/>
        </w:rPr>
      </w:pPr>
    </w:p>
    <w:p>
      <w:pPr>
        <w:ind w:left="340" w:hanging="332"/>
        <w:spacing w:after="0"/>
        <w:tabs>
          <w:tab w:leader="none" w:pos="3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Included in the Financing activities section of the Condensed consolidated statement of cash flows.</w:t>
      </w:r>
    </w:p>
    <w:p>
      <w:pPr>
        <w:spacing w:after="0" w:line="55" w:lineRule="exact"/>
        <w:rPr>
          <w:sz w:val="20"/>
          <w:szCs w:val="20"/>
          <w:color w:val="auto"/>
        </w:rPr>
      </w:pPr>
    </w:p>
    <w:p>
      <w:pPr>
        <w:ind w:left="340" w:hanging="332"/>
        <w:spacing w:after="0"/>
        <w:tabs>
          <w:tab w:leader="none" w:pos="3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Dividends declared in the fourth quarter 2024 and thereafter reflect TC Energy's proportionate allocation following the Spinoff Transaction.</w:t>
      </w:r>
    </w:p>
    <w:p>
      <w:pPr>
        <w:sectPr>
          <w:pgSz w:w="11900" w:h="16838" w:orient="portrait"/>
          <w:cols w:equalWidth="0" w:num="1">
            <w:col w:w="11240"/>
          </w:cols>
          <w:pgMar w:left="320" w:top="1294" w:right="339" w:bottom="1440" w:gutter="0" w:footer="0" w:header="0"/>
        </w:sectPr>
      </w:pPr>
    </w:p>
    <w:bookmarkStart w:id="7" w:name="page8"/>
    <w:bookmarkEnd w:id="7"/>
    <w:p>
      <w:pPr>
        <w:spacing w:after="0"/>
        <w:rPr>
          <w:sz w:val="20"/>
          <w:szCs w:val="20"/>
          <w:color w:val="auto"/>
        </w:rPr>
      </w:pPr>
      <w:r>
        <w:rPr>
          <w:rFonts w:ascii="Arial" w:cs="Arial" w:eastAsia="Arial" w:hAnsi="Arial"/>
          <w:sz w:val="20"/>
          <w:szCs w:val="20"/>
          <w:b w:val="1"/>
          <w:bCs w:val="1"/>
          <w:color w:val="0D64EF"/>
        </w:rPr>
        <w:t>CEO Message</w:t>
      </w:r>
    </w:p>
    <w:p>
      <w:pPr>
        <w:spacing w:after="0" w:line="58" w:lineRule="exact"/>
        <w:rPr>
          <w:sz w:val="20"/>
          <w:szCs w:val="20"/>
          <w:color w:val="auto"/>
        </w:rPr>
      </w:pPr>
    </w:p>
    <w:p>
      <w:pPr>
        <w:ind w:right="160"/>
        <w:spacing w:after="0" w:line="259" w:lineRule="exact"/>
        <w:rPr>
          <w:sz w:val="20"/>
          <w:szCs w:val="20"/>
          <w:color w:val="auto"/>
        </w:rPr>
      </w:pPr>
      <w:r>
        <w:rPr>
          <w:rFonts w:ascii="Arial" w:cs="Arial" w:eastAsia="Arial" w:hAnsi="Arial"/>
          <w:sz w:val="18"/>
          <w:szCs w:val="18"/>
          <w:color w:val="auto"/>
        </w:rPr>
        <w:t>This was a defining year for TC Energy. Our 2025 performance demonstrates the strength of our strategy and reflects disciplined execution against a clear set of strategic priorities. During a period marked by heightened geopolitical risks, trade policy uncertainty and market volatility, our utility</w:t>
      </w:r>
      <w:r>
        <w:rPr>
          <w:rFonts w:ascii="MS PGothic" w:cs="MS PGothic" w:eastAsia="MS PGothic" w:hAnsi="MS PGothic"/>
          <w:sz w:val="18"/>
          <w:szCs w:val="18"/>
          <w:color w:val="auto"/>
        </w:rPr>
        <w:t>‑</w:t>
      </w:r>
      <w:r>
        <w:rPr>
          <w:rFonts w:ascii="Arial" w:cs="Arial" w:eastAsia="Arial" w:hAnsi="Arial"/>
          <w:sz w:val="18"/>
          <w:szCs w:val="18"/>
          <w:color w:val="auto"/>
        </w:rPr>
        <w:t>like, low</w:t>
      </w:r>
      <w:r>
        <w:rPr>
          <w:rFonts w:ascii="MS PGothic" w:cs="MS PGothic" w:eastAsia="MS PGothic" w:hAnsi="MS PGothic"/>
          <w:sz w:val="18"/>
          <w:szCs w:val="18"/>
          <w:color w:val="auto"/>
        </w:rPr>
        <w:t>‑</w:t>
      </w:r>
      <w:r>
        <w:rPr>
          <w:rFonts w:ascii="Arial" w:cs="Arial" w:eastAsia="Arial" w:hAnsi="Arial"/>
          <w:sz w:val="18"/>
          <w:szCs w:val="18"/>
          <w:color w:val="auto"/>
        </w:rPr>
        <w:t>risk business model continues to prove resilient. With 98 per cent of comparable EBITDA underpinned by rate regulated or long-term take-or-pay contracts, we maintain limited commodity exposure and strong visibility to stable, long-term cash flows. For the three months ending Dec. 31, 2025, comparable EBITDA increased approximately 13 per cent, and segmented earnings increased by approximately 15 per cent compared to the same period in 2024. For the twelve months ending Dec. 31, 2025, comparable EBITDA increased approximately nine per cent and segmented earnings increased by approximately one per cent compared to the same period in 2024.</w:t>
      </w:r>
    </w:p>
    <w:p>
      <w:pPr>
        <w:spacing w:after="0" w:line="117" w:lineRule="exact"/>
        <w:rPr>
          <w:sz w:val="20"/>
          <w:szCs w:val="20"/>
          <w:color w:val="auto"/>
        </w:rPr>
      </w:pPr>
    </w:p>
    <w:p>
      <w:pPr>
        <w:ind w:right="200"/>
        <w:spacing w:after="0" w:line="307" w:lineRule="auto"/>
        <w:rPr>
          <w:sz w:val="20"/>
          <w:szCs w:val="20"/>
          <w:color w:val="auto"/>
        </w:rPr>
      </w:pPr>
      <w:r>
        <w:rPr>
          <w:rFonts w:ascii="Arial" w:cs="Arial" w:eastAsia="Arial" w:hAnsi="Arial"/>
          <w:sz w:val="18"/>
          <w:szCs w:val="18"/>
          <w:color w:val="auto"/>
        </w:rPr>
        <w:t>Our financial results are directly enabled by our strongest safety performance in the last five years. This focus is driving exceptional performance from our operations and has allowed us to set 15 delivery records across our systems in 2025. In the fourth quarter 2025 and early 2026, record power demand from data centres, coal-to-gas conversions and LNG exports drove all-time delivery records across our U.S. and Canadian Natural Gas Pipeline Systems of 39.9 Bcf and 33.2 Bcf, respectively. The strong availability and reliability of our assets enable us to consistently meet incremental customer demand and underscores the value of our commitment to safety and operational excellence.</w:t>
      </w:r>
    </w:p>
    <w:p>
      <w:pPr>
        <w:spacing w:after="0" w:line="58" w:lineRule="exact"/>
        <w:rPr>
          <w:sz w:val="20"/>
          <w:szCs w:val="20"/>
          <w:color w:val="auto"/>
        </w:rPr>
      </w:pPr>
    </w:p>
    <w:p>
      <w:pPr>
        <w:ind w:right="40"/>
        <w:spacing w:after="0" w:line="259" w:lineRule="exact"/>
        <w:rPr>
          <w:sz w:val="20"/>
          <w:szCs w:val="20"/>
          <w:color w:val="auto"/>
        </w:rPr>
      </w:pPr>
      <w:r>
        <w:rPr>
          <w:rFonts w:ascii="Arial" w:cs="Arial" w:eastAsia="Arial" w:hAnsi="Arial"/>
          <w:sz w:val="18"/>
          <w:szCs w:val="18"/>
          <w:color w:val="auto"/>
        </w:rPr>
        <w:t>In 2025 we successfully placed $8.3 billion of projects into service on time, over 15 per cent under budget – demonstrating our ongoing commitment to project execution excellence. During the fourth quarter, we placed critical infrastructure projects into service, including the VR project on our Columbia system and the WR project on our ANR system in Wisconsin. Following our ninth consecutive year of fully contracted storage capacity, we added incremental value by placing the ANR Storage Optimization project into service. This enhancement expands our ability to respond to rising power generation demand in the U.S. Midwest, strengthening system flexibility and reinforcing the long</w:t>
      </w:r>
      <w:r>
        <w:rPr>
          <w:rFonts w:ascii="MS PGothic" w:cs="MS PGothic" w:eastAsia="MS PGothic" w:hAnsi="MS PGothic"/>
          <w:sz w:val="18"/>
          <w:szCs w:val="18"/>
          <w:color w:val="auto"/>
        </w:rPr>
        <w:t>‑</w:t>
      </w:r>
      <w:r>
        <w:rPr>
          <w:rFonts w:ascii="Arial" w:cs="Arial" w:eastAsia="Arial" w:hAnsi="Arial"/>
          <w:sz w:val="18"/>
          <w:szCs w:val="18"/>
          <w:color w:val="auto"/>
        </w:rPr>
        <w:t>term value of our storage portfolio. Looking ahead to 2026, we continue to expect to place approximately $4 billion of capital into service. This includes the Bison XPress Project on our Northern Border Pipeline, the remainder of the Valhalla North and Berland River Project on the NGTL System, as well as Bruce Power Unit 3 as part of the MCR program. Bruce Power’s consistent and strong track record of execution continue to position the asset to deliver stable, enduring value while meeting Ontario’s growing need for affordable, non-emitting, reliable power.</w:t>
      </w:r>
    </w:p>
    <w:p>
      <w:pPr>
        <w:spacing w:after="0" w:line="113" w:lineRule="exact"/>
        <w:rPr>
          <w:sz w:val="20"/>
          <w:szCs w:val="20"/>
          <w:color w:val="auto"/>
        </w:rPr>
      </w:pPr>
    </w:p>
    <w:p>
      <w:pPr>
        <w:ind w:right="200"/>
        <w:spacing w:after="0" w:line="295" w:lineRule="auto"/>
        <w:rPr>
          <w:sz w:val="20"/>
          <w:szCs w:val="20"/>
          <w:color w:val="auto"/>
        </w:rPr>
      </w:pPr>
      <w:r>
        <w:rPr>
          <w:rFonts w:ascii="Arial" w:cs="Arial" w:eastAsia="Arial" w:hAnsi="Arial"/>
          <w:sz w:val="18"/>
          <w:szCs w:val="18"/>
          <w:color w:val="auto"/>
        </w:rPr>
        <w:t>Strong results and consistent delivery on our capital program continue to strengthen our financial position and enhance our flexibility. We remain on track to deliver our long-term debt-to-EBITDA</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target. We believe this continued discipline positions us to capture meaningful growth opportunities emerging from our differentiated exposure to the fastest growing segments of the energy market – natural gas and power. Our outlook for North American natural gas demand expects an increase of 45 Bcf/d to approximately 170 Bcf/d between 2025 and 2035, driven by LNG exports, rising power generation and increasing reliability needs from local distribution companies. Building on these favourable underlying fundamentals, we are advancing opportunities to deploy capital and unlock incremental value across our existing footprint.</w:t>
      </w:r>
    </w:p>
    <w:p>
      <w:pPr>
        <w:spacing w:after="0" w:line="65" w:lineRule="exact"/>
        <w:rPr>
          <w:sz w:val="20"/>
          <w:szCs w:val="20"/>
          <w:color w:val="auto"/>
        </w:rPr>
      </w:pPr>
    </w:p>
    <w:p>
      <w:pPr>
        <w:ind w:right="20"/>
        <w:spacing w:after="0" w:line="310" w:lineRule="auto"/>
        <w:rPr>
          <w:sz w:val="20"/>
          <w:szCs w:val="20"/>
          <w:color w:val="auto"/>
        </w:rPr>
      </w:pPr>
      <w:r>
        <w:rPr>
          <w:rFonts w:ascii="Arial" w:cs="Arial" w:eastAsia="Arial" w:hAnsi="Arial"/>
          <w:sz w:val="18"/>
          <w:szCs w:val="18"/>
          <w:color w:val="auto"/>
        </w:rPr>
        <w:t>As commercial discussions advance across a diverse set of high-quality opportunities, we remain confident in our ability in 2026 to fully allocate $6 billion of net annual capital expenditures through 2030 and have greater visibility to potentially surpass this level of investment in the latter part of the decade. We will remain disciplined in our capital allocation, targeting build multiples in the five to seven times range, and continue to de-risk these opportunities ahead of sanctioning. This further strengthens our conviction in announcing additional projects in 2026.</w:t>
      </w:r>
    </w:p>
    <w:p>
      <w:pPr>
        <w:spacing w:after="0" w:line="54" w:lineRule="exact"/>
        <w:rPr>
          <w:sz w:val="20"/>
          <w:szCs w:val="20"/>
          <w:color w:val="auto"/>
        </w:rPr>
      </w:pPr>
    </w:p>
    <w:p>
      <w:pPr>
        <w:ind w:right="60"/>
        <w:spacing w:after="0" w:line="314" w:lineRule="auto"/>
        <w:rPr>
          <w:sz w:val="20"/>
          <w:szCs w:val="20"/>
          <w:color w:val="auto"/>
        </w:rPr>
      </w:pPr>
      <w:r>
        <w:rPr>
          <w:rFonts w:ascii="Arial" w:cs="Arial" w:eastAsia="Arial" w:hAnsi="Arial"/>
          <w:sz w:val="18"/>
          <w:szCs w:val="18"/>
          <w:color w:val="auto"/>
        </w:rPr>
        <w:t>Reflecting the sustained increase in natural gas demand, in the fourth quarter we sanctioned $0.6 billion of in-corridor projects that strengthen the long-term visibility of our growth profile and exemplify our disciplined approach to capital allocation. Building on this progress, we are also advancing early-stage commercial initiatives supported by growing market interest. On Jan. 9, 2026, we successfully closed a non-binding expansion project open season on our Columbia Gas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86995</wp:posOffset>
            </wp:positionV>
            <wp:extent cx="17145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70" w:lineRule="exact"/>
        <w:rPr>
          <w:sz w:val="20"/>
          <w:szCs w:val="20"/>
          <w:color w:val="auto"/>
        </w:rPr>
      </w:pPr>
    </w:p>
    <w:p>
      <w:pPr>
        <w:ind w:firstLine="8"/>
        <w:spacing w:after="0" w:line="260" w:lineRule="auto"/>
        <w:tabs>
          <w:tab w:leader="none" w:pos="115" w:val="left"/>
        </w:tabs>
        <w:numPr>
          <w:ilvl w:val="0"/>
          <w:numId w:val="13"/>
        </w:numPr>
        <w:rPr>
          <w:rFonts w:ascii="Arial" w:cs="Arial" w:eastAsia="Arial" w:hAnsi="Arial"/>
          <w:sz w:val="23"/>
          <w:szCs w:val="23"/>
          <w:color w:val="auto"/>
          <w:vertAlign w:val="superscript"/>
        </w:rPr>
      </w:pPr>
      <w:r>
        <w:rPr>
          <w:rFonts w:ascii="Arial" w:cs="Arial" w:eastAsia="Arial" w:hAnsi="Arial"/>
          <w:sz w:val="14"/>
          <w:szCs w:val="14"/>
          <w:color w:val="auto"/>
        </w:rPr>
        <w:t>Debt-to-EBITDA is a non-GAAP ratio. Adjusted debt and adjusted comparable EBITDA are non-GAAP measures used to calculate debt-to-EBITDA. For more information on non-GAAP measures, refer to the non-GAAP measures of this news release. These measures do not have any standardized meaning under GAAP and therefore are unlikely to be comparable to similar measures presented by other companies.</w:t>
      </w:r>
    </w:p>
    <w:p>
      <w:pPr>
        <w:sectPr>
          <w:pgSz w:w="11900" w:h="16838" w:orient="portrait"/>
          <w:cols w:equalWidth="0" w:num="1">
            <w:col w:w="11200"/>
          </w:cols>
          <w:pgMar w:left="320" w:top="1304" w:right="379" w:bottom="1440" w:gutter="0" w:footer="0" w:header="0"/>
        </w:sectPr>
      </w:pPr>
    </w:p>
    <w:bookmarkStart w:id="8" w:name="page9"/>
    <w:bookmarkEnd w:id="8"/>
    <w:p>
      <w:pPr>
        <w:ind w:right="340"/>
        <w:spacing w:after="0" w:line="258" w:lineRule="exact"/>
        <w:rPr>
          <w:sz w:val="20"/>
          <w:szCs w:val="20"/>
          <w:color w:val="auto"/>
        </w:rPr>
      </w:pPr>
      <w:r>
        <w:rPr>
          <w:rFonts w:ascii="Arial" w:cs="Arial" w:eastAsia="Arial" w:hAnsi="Arial"/>
          <w:sz w:val="18"/>
          <w:szCs w:val="18"/>
          <w:color w:val="auto"/>
        </w:rPr>
        <w:t>Transmission system for up to 0.5 Bcf/d of incremental capacity to serve the Columbus area, including New Albany. Robust demand from power</w:t>
      </w:r>
      <w:r>
        <w:rPr>
          <w:rFonts w:ascii="MS PGothic" w:cs="MS PGothic" w:eastAsia="MS PGothic" w:hAnsi="MS PGothic"/>
          <w:sz w:val="18"/>
          <w:szCs w:val="18"/>
          <w:color w:val="auto"/>
        </w:rPr>
        <w:t>‑</w:t>
      </w:r>
      <w:r>
        <w:rPr>
          <w:rFonts w:ascii="Arial" w:cs="Arial" w:eastAsia="Arial" w:hAnsi="Arial"/>
          <w:sz w:val="18"/>
          <w:szCs w:val="18"/>
          <w:color w:val="auto"/>
        </w:rPr>
        <w:t>load growth driven by data centres resulted in approximately 1.5 Bcf/d of total bids – three times the proposed project capacity – highlighting the strength of the market and the value of our strategic footprint. In addition, on Feb. 9, 2026, we launched a non-binding expansion project open season on our Crossroads Pipeline system for up to 1.5 Bcf/d of capacity. The potential Crossroads Expansion project would serve growing markets in Northern Indiana, Illinois, Iowa, and South Dakota, in response to recently announced power generation and data centre developments in the U.S. Midwest. The open season is expected to close in mid-March 2026. These developments reinforce our visibility into durable, long-term value creation.</w:t>
      </w:r>
    </w:p>
    <w:p>
      <w:pPr>
        <w:spacing w:after="0" w:line="118" w:lineRule="exact"/>
        <w:rPr>
          <w:sz w:val="20"/>
          <w:szCs w:val="20"/>
          <w:color w:val="auto"/>
        </w:rPr>
      </w:pPr>
    </w:p>
    <w:p>
      <w:pPr>
        <w:spacing w:after="0" w:line="310" w:lineRule="auto"/>
        <w:rPr>
          <w:sz w:val="20"/>
          <w:szCs w:val="20"/>
          <w:color w:val="auto"/>
        </w:rPr>
      </w:pPr>
      <w:r>
        <w:rPr>
          <w:rFonts w:ascii="Arial" w:cs="Arial" w:eastAsia="Arial" w:hAnsi="Arial"/>
          <w:sz w:val="18"/>
          <w:szCs w:val="18"/>
          <w:color w:val="auto"/>
        </w:rPr>
        <w:t>Through disciplined capital allocation and consistent project execution, TC Energy has built a differentiated portfolio supported by diversified, low-risk growth opportunities that extend through the end of the decade and beyond. As we turn to 2026, we will build on this momentum with the same discipline that delivered results in 2025. Our priorities remain unchanged: delivering solid growth, low risk and repeatable performance by maximizing the value of our assets through safety and operational excellence, executing our selective portfolio of growth projects, and ensuring financial strength and agility.</w:t>
      </w:r>
    </w:p>
    <w:p>
      <w:pPr>
        <w:spacing w:after="0" w:line="62" w:lineRule="exact"/>
        <w:rPr>
          <w:sz w:val="20"/>
          <w:szCs w:val="20"/>
          <w:color w:val="auto"/>
        </w:rPr>
      </w:pPr>
    </w:p>
    <w:p>
      <w:pPr>
        <w:spacing w:after="0"/>
        <w:rPr>
          <w:sz w:val="20"/>
          <w:szCs w:val="20"/>
          <w:color w:val="auto"/>
        </w:rPr>
      </w:pPr>
      <w:r>
        <w:rPr>
          <w:rFonts w:ascii="Arial" w:cs="Arial" w:eastAsia="Arial" w:hAnsi="Arial"/>
          <w:sz w:val="20"/>
          <w:szCs w:val="20"/>
          <w:b w:val="1"/>
          <w:bCs w:val="1"/>
          <w:color w:val="0D64EF"/>
        </w:rPr>
        <w:t>Dividends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Consistent with our outlook, TC Energy’s Board of Directors approved a 3.2 per cent increase in the quarterly common share dividend of</w:t>
      </w:r>
    </w:p>
    <w:p>
      <w:pPr>
        <w:spacing w:after="0" w:line="50" w:lineRule="exact"/>
        <w:rPr>
          <w:sz w:val="20"/>
          <w:szCs w:val="20"/>
          <w:color w:val="auto"/>
        </w:rPr>
      </w:pPr>
    </w:p>
    <w:p>
      <w:pPr>
        <w:ind w:right="80"/>
        <w:spacing w:after="0" w:line="290" w:lineRule="auto"/>
        <w:rPr>
          <w:sz w:val="20"/>
          <w:szCs w:val="20"/>
          <w:color w:val="auto"/>
        </w:rPr>
      </w:pPr>
      <w:r>
        <w:rPr>
          <w:rFonts w:ascii="Arial" w:cs="Arial" w:eastAsia="Arial" w:hAnsi="Arial"/>
          <w:sz w:val="18"/>
          <w:szCs w:val="18"/>
          <w:color w:val="auto"/>
        </w:rPr>
        <w:t>$0.8775 per common share for the quarter ending March 31, 2026, equivalent to $3.51 on an annualized basis. The common share dividend is payable on April 30, 2026, to shareholders of record at the close of business on March 31, 2026. This marks the 26</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consecutive year of dividend increase.</w:t>
      </w:r>
    </w:p>
    <w:p>
      <w:pPr>
        <w:spacing w:after="0" w:line="44" w:lineRule="exact"/>
        <w:rPr>
          <w:sz w:val="20"/>
          <w:szCs w:val="20"/>
          <w:color w:val="auto"/>
        </w:rPr>
      </w:pPr>
    </w:p>
    <w:p>
      <w:pPr>
        <w:ind w:right="100"/>
        <w:spacing w:after="0" w:line="350" w:lineRule="auto"/>
        <w:rPr>
          <w:sz w:val="20"/>
          <w:szCs w:val="20"/>
          <w:color w:val="auto"/>
        </w:rPr>
      </w:pPr>
      <w:r>
        <w:rPr>
          <w:rFonts w:ascii="Arial" w:cs="Arial" w:eastAsia="Arial" w:hAnsi="Arial"/>
          <w:sz w:val="18"/>
          <w:szCs w:val="18"/>
          <w:color w:val="auto"/>
        </w:rPr>
        <w:t>The Board of Directors also declared dividends on the outstanding Cumulative First Preferred Shares (preferred shares). Information related to the preferred shares dividends are available on our website under TC Energy – Shareholder Information.</w:t>
      </w:r>
    </w:p>
    <w:p>
      <w:pPr>
        <w:sectPr>
          <w:pgSz w:w="11900" w:h="16838" w:orient="portrait"/>
          <w:cols w:equalWidth="0" w:num="1">
            <w:col w:w="11240"/>
          </w:cols>
          <w:pgMar w:left="320" w:top="1295" w:right="339" w:bottom="1440" w:gutter="0" w:footer="0" w:header="0"/>
        </w:sectPr>
      </w:pPr>
    </w:p>
    <w:bookmarkStart w:id="9" w:name="page10"/>
    <w:bookmarkEnd w:id="9"/>
    <w:p>
      <w:pPr>
        <w:spacing w:after="0"/>
        <w:rPr>
          <w:sz w:val="20"/>
          <w:szCs w:val="20"/>
          <w:color w:val="auto"/>
        </w:rPr>
      </w:pPr>
      <w:r>
        <w:rPr>
          <w:rFonts w:ascii="Arial" w:cs="Arial" w:eastAsia="Arial" w:hAnsi="Arial"/>
          <w:sz w:val="20"/>
          <w:szCs w:val="20"/>
          <w:b w:val="1"/>
          <w:bCs w:val="1"/>
          <w:color w:val="0D64EF"/>
        </w:rPr>
        <w:t>Teleconference and Webcast</w:t>
      </w:r>
    </w:p>
    <w:p>
      <w:pPr>
        <w:spacing w:after="0" w:line="58" w:lineRule="exact"/>
        <w:rPr>
          <w:sz w:val="20"/>
          <w:szCs w:val="20"/>
          <w:color w:val="auto"/>
        </w:rPr>
      </w:pPr>
    </w:p>
    <w:p>
      <w:pPr>
        <w:spacing w:after="0" w:line="323" w:lineRule="auto"/>
        <w:rPr>
          <w:sz w:val="20"/>
          <w:szCs w:val="20"/>
          <w:color w:val="auto"/>
        </w:rPr>
      </w:pPr>
      <w:r>
        <w:rPr>
          <w:rFonts w:ascii="Arial" w:cs="Arial" w:eastAsia="Arial" w:hAnsi="Arial"/>
          <w:sz w:val="18"/>
          <w:szCs w:val="18"/>
          <w:color w:val="auto"/>
        </w:rPr>
        <w:t>We will hold a teleconference and webcast on Friday, Feb. 13th at 6:30 a.m. (MT) / 8:30 a.m. (ET) to discuss our fourth quarter 2025 financial results. Presenters will include François Poirier, President and Chief Executive Officer; Sean O'Donnell, Executive Vice-President and Chief Financial Officer; and other members of the executive leadership team.</w:t>
      </w:r>
    </w:p>
    <w:p>
      <w:pPr>
        <w:spacing w:after="0" w:line="42" w:lineRule="exact"/>
        <w:rPr>
          <w:sz w:val="20"/>
          <w:szCs w:val="20"/>
          <w:color w:val="auto"/>
        </w:rPr>
      </w:pPr>
    </w:p>
    <w:p>
      <w:pPr>
        <w:ind w:right="80"/>
        <w:spacing w:after="0" w:line="314" w:lineRule="auto"/>
        <w:rPr>
          <w:sz w:val="20"/>
          <w:szCs w:val="20"/>
          <w:color w:val="auto"/>
        </w:rPr>
      </w:pPr>
      <w:r>
        <w:rPr>
          <w:rFonts w:ascii="Arial" w:cs="Arial" w:eastAsia="Arial" w:hAnsi="Arial"/>
          <w:sz w:val="18"/>
          <w:szCs w:val="18"/>
          <w:color w:val="auto"/>
        </w:rPr>
        <w:t xml:space="preserve">Members of the investment community and other interested parties are invited to participate by calling </w:t>
      </w:r>
      <w:r>
        <w:rPr>
          <w:rFonts w:ascii="Arial" w:cs="Arial" w:eastAsia="Arial" w:hAnsi="Arial"/>
          <w:sz w:val="18"/>
          <w:szCs w:val="18"/>
          <w:b w:val="1"/>
          <w:bCs w:val="1"/>
          <w:color w:val="auto"/>
        </w:rPr>
        <w:t>1-833-752-3826 (Canada/U.S. toll</w:t>
      </w:r>
      <w:r>
        <w:rPr>
          <w:rFonts w:ascii="Arial" w:cs="Arial" w:eastAsia="Arial" w:hAnsi="Arial"/>
          <w:sz w:val="18"/>
          <w:szCs w:val="18"/>
          <w:color w:val="auto"/>
        </w:rPr>
        <w:t xml:space="preserve"> </w:t>
      </w:r>
      <w:r>
        <w:rPr>
          <w:rFonts w:ascii="Arial" w:cs="Arial" w:eastAsia="Arial" w:hAnsi="Arial"/>
          <w:sz w:val="18"/>
          <w:szCs w:val="18"/>
          <w:b w:val="1"/>
          <w:bCs w:val="1"/>
          <w:color w:val="auto"/>
        </w:rPr>
        <w:t>free) or 1-647-846-8864 (International toll)</w:t>
      </w:r>
      <w:r>
        <w:rPr>
          <w:rFonts w:ascii="Arial" w:cs="Arial" w:eastAsia="Arial" w:hAnsi="Arial"/>
          <w:sz w:val="18"/>
          <w:szCs w:val="18"/>
          <w:color w:val="auto"/>
        </w:rPr>
        <w:t>. No passcode is required. Please dial in 15 minutes prior to the start of the call. Alternatively,</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participants may pre-register for the call here. Upon registering, you will receive a calendar booking by email with dial in details and a unique PIN. This process will bypass the operator and avoid the queue. Registration will remain open until the end of the conference call.</w:t>
      </w:r>
    </w:p>
    <w:p>
      <w:pPr>
        <w:spacing w:after="0" w:line="51" w:lineRule="exact"/>
        <w:rPr>
          <w:sz w:val="20"/>
          <w:szCs w:val="20"/>
          <w:color w:val="auto"/>
        </w:rPr>
      </w:pPr>
    </w:p>
    <w:p>
      <w:pPr>
        <w:ind w:right="140"/>
        <w:spacing w:after="0" w:line="334" w:lineRule="auto"/>
        <w:rPr>
          <w:sz w:val="20"/>
          <w:szCs w:val="20"/>
          <w:color w:val="auto"/>
        </w:rPr>
      </w:pPr>
      <w:r>
        <w:rPr>
          <w:rFonts w:ascii="Arial" w:cs="Arial" w:eastAsia="Arial" w:hAnsi="Arial"/>
          <w:sz w:val="18"/>
          <w:szCs w:val="18"/>
          <w:color w:val="auto"/>
        </w:rPr>
        <w:t>A live webcast of the teleconference will be available on TC Energy's website at TC Energy — Events and presentations or via the following URL: https://www.gowebcasting.com/14392. The webcast will be available for replay following the meeting.</w:t>
      </w:r>
    </w:p>
    <w:p>
      <w:pPr>
        <w:spacing w:after="0" w:line="31" w:lineRule="exact"/>
        <w:rPr>
          <w:sz w:val="20"/>
          <w:szCs w:val="20"/>
          <w:color w:val="auto"/>
        </w:rPr>
      </w:pPr>
    </w:p>
    <w:p>
      <w:pPr>
        <w:ind w:right="240"/>
        <w:spacing w:after="0" w:line="350" w:lineRule="auto"/>
        <w:rPr>
          <w:sz w:val="20"/>
          <w:szCs w:val="20"/>
          <w:color w:val="auto"/>
        </w:rPr>
      </w:pPr>
      <w:r>
        <w:rPr>
          <w:rFonts w:ascii="Arial" w:cs="Arial" w:eastAsia="Arial" w:hAnsi="Arial"/>
          <w:sz w:val="18"/>
          <w:szCs w:val="18"/>
          <w:color w:val="auto"/>
        </w:rPr>
        <w:t>A replay of the teleconference will be available two hours after the conclusion of the call until midnight ET on Friday, Feb. 20, 2026. Please call 1-855-669-9658 (Canada/U.S. toll free) or 1-412-317-0088 (International toll) and enter passcode 2190660.</w:t>
      </w:r>
    </w:p>
    <w:p>
      <w:pPr>
        <w:spacing w:after="0" w:line="17" w:lineRule="exact"/>
        <w:rPr>
          <w:sz w:val="20"/>
          <w:szCs w:val="20"/>
          <w:color w:val="auto"/>
        </w:rPr>
      </w:pPr>
    </w:p>
    <w:p>
      <w:pPr>
        <w:ind w:right="60"/>
        <w:spacing w:after="0" w:line="320" w:lineRule="auto"/>
        <w:rPr>
          <w:sz w:val="20"/>
          <w:szCs w:val="20"/>
          <w:color w:val="auto"/>
        </w:rPr>
      </w:pPr>
      <w:r>
        <w:rPr>
          <w:rFonts w:ascii="Arial" w:cs="Arial" w:eastAsia="Arial" w:hAnsi="Arial"/>
          <w:sz w:val="18"/>
          <w:szCs w:val="18"/>
          <w:b w:val="1"/>
          <w:bCs w:val="1"/>
          <w:color w:val="auto"/>
        </w:rPr>
        <w:t>The audited annual consolidated financial statements and Management’s Discussion and Analysis (MD&amp;A) are available on our website at www.TCEnergy.com and will be filed today under TC Energy's profile on SEDAR+ at www.sedarplus.ca and with the U.S. Securities and Exchange Commission on EDGAR at www.sec.gov</w:t>
      </w:r>
      <w:r>
        <w:rPr>
          <w:rFonts w:ascii="Arial" w:cs="Arial" w:eastAsia="Arial" w:hAnsi="Arial"/>
          <w:sz w:val="18"/>
          <w:szCs w:val="18"/>
          <w:color w:val="auto"/>
        </w:rPr>
        <w:t>.</w:t>
      </w:r>
    </w:p>
    <w:p>
      <w:pPr>
        <w:spacing w:after="0" w:line="45" w:lineRule="exact"/>
        <w:rPr>
          <w:sz w:val="20"/>
          <w:szCs w:val="20"/>
          <w:color w:val="auto"/>
        </w:rPr>
      </w:pPr>
    </w:p>
    <w:p>
      <w:pPr>
        <w:spacing w:after="0"/>
        <w:rPr>
          <w:sz w:val="20"/>
          <w:szCs w:val="20"/>
          <w:color w:val="auto"/>
        </w:rPr>
      </w:pPr>
      <w:r>
        <w:rPr>
          <w:rFonts w:ascii="Arial" w:cs="Arial" w:eastAsia="Arial" w:hAnsi="Arial"/>
          <w:sz w:val="20"/>
          <w:szCs w:val="20"/>
          <w:b w:val="1"/>
          <w:bCs w:val="1"/>
          <w:color w:val="0D64EF"/>
        </w:rPr>
        <w:t>About TC Energy</w:t>
      </w:r>
    </w:p>
    <w:p>
      <w:pPr>
        <w:spacing w:after="0" w:line="72" w:lineRule="exact"/>
        <w:rPr>
          <w:sz w:val="20"/>
          <w:szCs w:val="20"/>
          <w:color w:val="auto"/>
        </w:rPr>
      </w:pPr>
    </w:p>
    <w:p>
      <w:pPr>
        <w:ind w:right="360"/>
        <w:spacing w:after="0" w:line="314" w:lineRule="auto"/>
        <w:rPr>
          <w:sz w:val="20"/>
          <w:szCs w:val="20"/>
          <w:color w:val="auto"/>
        </w:rPr>
      </w:pPr>
      <w:r>
        <w:rPr>
          <w:rFonts w:ascii="Arial" w:cs="Arial" w:eastAsia="Arial" w:hAnsi="Arial"/>
          <w:sz w:val="18"/>
          <w:szCs w:val="18"/>
          <w:color w:val="auto"/>
        </w:rPr>
        <w:t>We are a leader in North American energy infrastructure, spanning Canada, the U.S. and Mexico. Every day, our dedicated team proudly connects the world to the energy it needs, moving over 30 per cent of the cleaner-burning natural gas used across the continent. Complemented by strategic ownership and low-risk investments in power generation, our infrastructure fuels industries and generates affordable, reliable and sustainable power across North America, while enabling LNG exports to global markets.</w:t>
      </w:r>
    </w:p>
    <w:p>
      <w:pPr>
        <w:spacing w:after="0" w:line="51" w:lineRule="exact"/>
        <w:rPr>
          <w:sz w:val="20"/>
          <w:szCs w:val="20"/>
          <w:color w:val="auto"/>
        </w:rPr>
      </w:pPr>
    </w:p>
    <w:p>
      <w:pPr>
        <w:ind w:right="240"/>
        <w:spacing w:after="0" w:line="334" w:lineRule="auto"/>
        <w:rPr>
          <w:sz w:val="20"/>
          <w:szCs w:val="20"/>
          <w:color w:val="auto"/>
        </w:rPr>
      </w:pPr>
      <w:r>
        <w:rPr>
          <w:rFonts w:ascii="Arial" w:cs="Arial" w:eastAsia="Arial" w:hAnsi="Arial"/>
          <w:sz w:val="18"/>
          <w:szCs w:val="18"/>
          <w:color w:val="auto"/>
        </w:rPr>
        <w:t>Our business is based on the connections we make. By partnering with communities, businesses and leaders across our extensive energy network, we unlock opportunity today and for generations to come.</w:t>
      </w:r>
    </w:p>
    <w:p>
      <w:pPr>
        <w:spacing w:after="0" w:line="31" w:lineRule="exact"/>
        <w:rPr>
          <w:sz w:val="20"/>
          <w:szCs w:val="20"/>
          <w:color w:val="auto"/>
        </w:rPr>
      </w:pPr>
    </w:p>
    <w:p>
      <w:pPr>
        <w:ind w:right="100"/>
        <w:spacing w:after="0" w:line="334" w:lineRule="auto"/>
        <w:rPr>
          <w:sz w:val="20"/>
          <w:szCs w:val="20"/>
          <w:color w:val="auto"/>
        </w:rPr>
      </w:pPr>
      <w:r>
        <w:rPr>
          <w:rFonts w:ascii="Arial" w:cs="Arial" w:eastAsia="Arial" w:hAnsi="Arial"/>
          <w:sz w:val="18"/>
          <w:szCs w:val="18"/>
          <w:color w:val="auto"/>
        </w:rPr>
        <w:t>TC Energy’s common shares trade on the Toronto (TSX) and New York (NYSE) stock exchanges under the symbol TRP. To learn more, visit us at TCEnergy.com.</w:t>
      </w:r>
    </w:p>
    <w:p>
      <w:pPr>
        <w:sectPr>
          <w:pgSz w:w="11900" w:h="16838" w:orient="portrait"/>
          <w:cols w:equalWidth="0" w:num="1">
            <w:col w:w="11240"/>
          </w:cols>
          <w:pgMar w:left="320" w:top="1304" w:right="339" w:bottom="1440" w:gutter="0" w:footer="0" w:header="0"/>
        </w:sectPr>
      </w:pPr>
    </w:p>
    <w:bookmarkStart w:id="10" w:name="page11"/>
    <w:bookmarkEnd w:id="10"/>
    <w:p>
      <w:pPr>
        <w:spacing w:after="0"/>
        <w:rPr>
          <w:sz w:val="20"/>
          <w:szCs w:val="20"/>
          <w:color w:val="auto"/>
        </w:rPr>
      </w:pPr>
      <w:r>
        <w:rPr>
          <w:rFonts w:ascii="Arial" w:cs="Arial" w:eastAsia="Arial" w:hAnsi="Arial"/>
          <w:sz w:val="20"/>
          <w:szCs w:val="20"/>
          <w:b w:val="1"/>
          <w:bCs w:val="1"/>
          <w:color w:val="0D64EF"/>
        </w:rPr>
        <w:t>Forward-Looking Information</w:t>
      </w:r>
    </w:p>
    <w:p>
      <w:pPr>
        <w:spacing w:after="0" w:line="58" w:lineRule="exact"/>
        <w:rPr>
          <w:sz w:val="20"/>
          <w:szCs w:val="20"/>
          <w:color w:val="auto"/>
        </w:rPr>
      </w:pPr>
    </w:p>
    <w:p>
      <w:pPr>
        <w:spacing w:after="0" w:line="304" w:lineRule="auto"/>
        <w:rPr>
          <w:sz w:val="20"/>
          <w:szCs w:val="20"/>
          <w:color w:val="auto"/>
        </w:rPr>
      </w:pPr>
      <w:r>
        <w:rPr>
          <w:rFonts w:ascii="Arial" w:cs="Arial" w:eastAsia="Arial" w:hAnsi="Arial"/>
          <w:sz w:val="18"/>
          <w:szCs w:val="18"/>
          <w:color w:val="auto"/>
        </w:rPr>
        <w:t>This release contains certain information that is forward-looking and is subject to important risks and uncertainties and is based on certain key assumptions. Forward-looking statements are usually accompanied by words such as "anticipate", "expect", "believe", "may", "will", "should", "estimate" or other similar words. Forward-looking statements in this document may include, but are not limited to, statements related to expectations with respect to expected comparable EBITDA, comparable earnings in total and per common share and the sources and drivers thereof, expectations regarding financial ratio targets, expectations with respect to anticipated capital expenditures and net capital expenditures and the timing thereof, expectations with respect to identified approved projects, expectations regarding future project announcements and the timing thereof; including associated capital expenditures, timelines, and outcomes, expectations with respect to completed projects and expected impacts thereof, expectations with respect to our ability to deploy capital at targeted build multiples and achieve expected returns on invested capital, expectations with respect to the approximate value of projects to be placed in-service in 2026 and subsequent years, expectations with respect to our strategic priorities, and the execution thereof, expectations with respect to our ability to maximize the value of our assets through safety and operational excellence, expected cost and schedules for planned projects, including projects under construction and in development and the associated capital expenditures, expectations about energy demand levels and drivers thereof, expectations regarding the competitive positioning and long-term value contribution of specific assets and our ability to capture growth opportunities, expectations about our ability to execute our identified portfolio of growth projects and ensure financial strength and agility, our ability to deliver low-risk, solid growth and repeatable performance, expected industry, market and economic conditions, and ongoing trade negotiations, including their expected impact on our business, customers and suppliers. Our forward-looking information is subject to important risks and uncertainties and is based on certain key assumptions. Forward-looking statements and future-oriented financial information in this document are intended to provide TC Energy security holders and potential investors with information regarding TC Energy and its subsidiaries, including management's assessment of TC Energy's and its subsidiaries' future plans and financial outlook. All forward-looking statements reflect TC Energy's beliefs and assumptions based on information available at the time the statements were made and as such are not guarantees of future performance. As actual results could vary significantly from the forward-looking information, you should not put undue reliance on forward-looking information and should not use future-oriented information or financial outlooks for anything other than their intended purpose. We do not update our forward-looking information due to new information or future events, unless we are required to by law. For additional information on the assumptions made, and the risks and uncertainties which could cause actual results to differ from the anticipated results, refer to the most recent Quarterly Report to Shareholders and the 2025 Annual Report filed under TC Energy's profile on SEDAR+ at www.sedarplus.ca and with the U.S. Securities and Exchange Commission at www.sec.gov and the "Forward-looking information" section of our Report on Sustainability which is available on our website at www.TCEnergy.com.</w:t>
      </w:r>
    </w:p>
    <w:p>
      <w:pPr>
        <w:sectPr>
          <w:pgSz w:w="11900" w:h="16838" w:orient="portrait"/>
          <w:cols w:equalWidth="0" w:num="1">
            <w:col w:w="11220"/>
          </w:cols>
          <w:pgMar w:left="320" w:top="1304" w:right="359" w:bottom="1440" w:gutter="0" w:footer="0" w:header="0"/>
        </w:sectPr>
      </w:pPr>
    </w:p>
    <w:bookmarkStart w:id="11" w:name="page12"/>
    <w:bookmarkEnd w:id="11"/>
    <w:p>
      <w:pPr>
        <w:spacing w:after="0"/>
        <w:rPr>
          <w:sz w:val="20"/>
          <w:szCs w:val="20"/>
          <w:color w:val="auto"/>
        </w:rPr>
      </w:pPr>
      <w:r>
        <w:rPr>
          <w:rFonts w:ascii="Arial" w:cs="Arial" w:eastAsia="Arial" w:hAnsi="Arial"/>
          <w:sz w:val="20"/>
          <w:szCs w:val="20"/>
          <w:b w:val="1"/>
          <w:bCs w:val="1"/>
          <w:color w:val="0D64EF"/>
        </w:rPr>
        <w:t>Non-GAAP and Supplementary Financial Measure</w:t>
      </w:r>
    </w:p>
    <w:p>
      <w:pPr>
        <w:spacing w:after="0" w:line="58" w:lineRule="exact"/>
        <w:rPr>
          <w:sz w:val="20"/>
          <w:szCs w:val="20"/>
          <w:color w:val="auto"/>
        </w:rPr>
      </w:pPr>
    </w:p>
    <w:p>
      <w:pPr>
        <w:spacing w:after="0" w:line="306" w:lineRule="auto"/>
        <w:rPr>
          <w:sz w:val="20"/>
          <w:szCs w:val="20"/>
          <w:color w:val="auto"/>
        </w:rPr>
      </w:pPr>
      <w:r>
        <w:rPr>
          <w:rFonts w:ascii="Arial" w:cs="Arial" w:eastAsia="Arial" w:hAnsi="Arial"/>
          <w:sz w:val="18"/>
          <w:szCs w:val="18"/>
          <w:color w:val="auto"/>
        </w:rPr>
        <w:t>This release contains references to the following non-GAAP measures: comparable EBITDA, comparable earnings, comparable earnings per common share and comparable funds generated from operations. It also contains references to debt-to-EBITDA, a non-GAAP ratio, which is calculated using adjusted debt and adjusted comparable EBITDA, each of which are non-GAAP measures. These non-GAAP measures do not have any standardized meaning as prescribed by GAAP and therefore may not be comparable to similar measures presented by other entities. These non-GAAP measures are calculated by adjusting certain GAAP measures for specific items we believe are significant but not reflective of our underlying operations in the period. These comparable measures are calculated on a consistent basis from period to period and are adjusted for specific items in each period, as applicable except as otherwise described in the Condensed consolidated financial statements and MD&amp;A. Refer to: (i) each business segment and the discontinued operations section for a reconciliation of comparable EBITDA to segmented earnings (losses); (ii) Consolidated results section and the discontinued operations section for reconciliations of comparable earnings and comparable earnings per common share to Net income attributable to common shares and Net income per common share, respectively; and (iii) Financial condition section for a reconciliation of comparable funds generated from operations to Net cash provided by operations. Refer to the Non-GAAP Measures section of the MD&amp;A in our most recent quarterly report for more information about the non-GAAP measures we use. The MD&amp;A is included with, and forms part of, this release. The MD&amp;A can be found on SEDAR+ at www.sedarplus.ca under TC Energy's profile.</w:t>
      </w:r>
    </w:p>
    <w:p>
      <w:pPr>
        <w:spacing w:after="0" w:line="58" w:lineRule="exact"/>
        <w:rPr>
          <w:sz w:val="20"/>
          <w:szCs w:val="20"/>
          <w:color w:val="auto"/>
        </w:rPr>
      </w:pPr>
    </w:p>
    <w:p>
      <w:pPr>
        <w:ind w:right="120"/>
        <w:spacing w:after="0" w:line="305" w:lineRule="auto"/>
        <w:rPr>
          <w:sz w:val="20"/>
          <w:szCs w:val="20"/>
          <w:color w:val="auto"/>
        </w:rPr>
      </w:pPr>
      <w:r>
        <w:rPr>
          <w:rFonts w:ascii="Arial" w:cs="Arial" w:eastAsia="Arial" w:hAnsi="Arial"/>
          <w:sz w:val="18"/>
          <w:szCs w:val="18"/>
          <w:color w:val="auto"/>
        </w:rPr>
        <w:t>With respect to non-GAAP measures used in the calculation of debt-to-EBITDA, adjusted debt is defined as the sum of Reported total debt, including Notes payable, Long-term debt, Current portion of long-term debt and Junior subordinated notes, as reported on our Consolidated balance sheet as well as Operating lease liabilities recognized on our Consolidated balance sheet and 50 per cent of Preferred shares as reported on our Consolidated balance sheet due to the debt-like nature of their contractual and financial obligations, less Cash and cash equivalents as reported on our Consolidated balance sheet and 50 per cent of Junior subordinated notes as reported on our Consolidated balance sheet due to the equity-like nature of their contractual and financial obligations. Adjusted comparable EBITDA is calculated as the sum of comparable EBITDA from continuing operations and comparable EBITDA from discontinued operations excluding Operating lease costs recorded in Plant operating costs and other in our Consolidated statement of income and adjusted for Distributions received in excess of (income) loss from equity investments and a Loan from affiliate as reported in our Consolidated statement of cash flows which we believe is more reflective of the cash flows available to TC Energy to service our debt and other long-term commitments. Beginning in 2025, we entered into a subordinated demand revolving credit facility to borrow funds from the Sur de Texas joint venture and received proceeds totaling $111 million during the year. We believe that debt-to-EBITDA provides investors with useful information as it reflects our ability to service our debt and other long-term commitments. See the Reconciliation section for reconciliations of adjusted debt and adjusted comparable EBITDA for the years ended Dec. 31, 2023, 2024 and 2025.</w:t>
      </w:r>
    </w:p>
    <w:p>
      <w:pPr>
        <w:spacing w:after="0" w:line="57" w:lineRule="exact"/>
        <w:rPr>
          <w:sz w:val="20"/>
          <w:szCs w:val="20"/>
          <w:color w:val="auto"/>
        </w:rPr>
      </w:pPr>
    </w:p>
    <w:p>
      <w:pPr>
        <w:ind w:right="240"/>
        <w:spacing w:after="0" w:line="315" w:lineRule="auto"/>
        <w:rPr>
          <w:sz w:val="20"/>
          <w:szCs w:val="20"/>
          <w:color w:val="auto"/>
        </w:rPr>
      </w:pPr>
      <w:r>
        <w:rPr>
          <w:rFonts w:ascii="Arial" w:cs="Arial" w:eastAsia="Arial" w:hAnsi="Arial"/>
          <w:sz w:val="18"/>
          <w:szCs w:val="18"/>
          <w:color w:val="auto"/>
        </w:rPr>
        <w:t>This release contains references to build multiple, which is non-GAAP ratio which is calculated using capital expenditures and comparable EBITDA, of which comparable EBITDA is a non-GAAP measure. We believe build multiple provides investors with a useful measure to evaluate capital projects.</w:t>
      </w:r>
    </w:p>
    <w:p>
      <w:pPr>
        <w:spacing w:after="0" w:line="49" w:lineRule="exact"/>
        <w:rPr>
          <w:sz w:val="20"/>
          <w:szCs w:val="20"/>
          <w:color w:val="auto"/>
        </w:rPr>
      </w:pPr>
    </w:p>
    <w:p>
      <w:pPr>
        <w:spacing w:after="0" w:line="314" w:lineRule="auto"/>
        <w:rPr>
          <w:sz w:val="20"/>
          <w:szCs w:val="20"/>
          <w:color w:val="auto"/>
        </w:rPr>
      </w:pPr>
      <w:r>
        <w:rPr>
          <w:rFonts w:ascii="Arial" w:cs="Arial" w:eastAsia="Arial" w:hAnsi="Arial"/>
          <w:sz w:val="18"/>
          <w:szCs w:val="18"/>
          <w:color w:val="auto"/>
        </w:rPr>
        <w:t>This release also contains references to net capital expenditures, which is a supplementary financial measure. Net capital expenditures represent capital costs incurred for growth projects, maintenance capital expenditures, contributions to equity investments and projects under development, adjusted for the portion attributed to non-controlling interests in the entities we control. Net capital expenditures reflect capital costs incurred during the period, excluding the impact of timing of cash payments. We use net capital expenditures as a key measure in evaluating our performance in managing our capital spending activities in comparison to our capital plan.</w:t>
      </w:r>
    </w:p>
    <w:p>
      <w:pPr>
        <w:sectPr>
          <w:pgSz w:w="11900" w:h="16838" w:orient="portrait"/>
          <w:cols w:equalWidth="0" w:num="1">
            <w:col w:w="11220"/>
          </w:cols>
          <w:pgMar w:left="320" w:top="1304" w:right="359" w:bottom="1440" w:gutter="0" w:footer="0" w:header="0"/>
        </w:sectPr>
      </w:pPr>
    </w:p>
    <w:bookmarkStart w:id="12" w:name="page13"/>
    <w:bookmarkEnd w:id="12"/>
    <w:p>
      <w:pPr>
        <w:spacing w:after="0"/>
        <w:rPr>
          <w:sz w:val="20"/>
          <w:szCs w:val="20"/>
          <w:color w:val="auto"/>
        </w:rPr>
      </w:pPr>
      <w:r>
        <w:rPr>
          <w:rFonts w:ascii="Arial" w:cs="Arial" w:eastAsia="Arial" w:hAnsi="Arial"/>
          <w:sz w:val="20"/>
          <w:szCs w:val="20"/>
          <w:b w:val="1"/>
          <w:bCs w:val="1"/>
          <w:color w:val="0D64EF"/>
        </w:rPr>
        <w:t>Reconciliation</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reconciliation of adjusted debt and adjusted comparable EBITDA</w:t>
      </w:r>
      <w:r>
        <w:rPr>
          <w:rFonts w:ascii="Arial" w:cs="Arial" w:eastAsia="Arial" w:hAnsi="Arial"/>
          <w:sz w:val="23"/>
          <w:szCs w:val="23"/>
          <w:color w:val="auto"/>
          <w:vertAlign w:val="superscript"/>
        </w:rPr>
        <w:t>1</w:t>
      </w:r>
      <w:r>
        <w:rPr>
          <w:rFonts w:ascii="Arial" w:cs="Arial" w:eastAsia="Arial" w:hAnsi="Arial"/>
          <w:sz w:val="18"/>
          <w:szCs w:val="18"/>
          <w:color w:val="auto"/>
        </w:rPr>
        <w:t>.</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280" w:type="dxa"/>
            <w:vAlign w:val="bottom"/>
            <w:tcBorders>
              <w:top w:val="single" w:sz="8" w:color="0D64EF"/>
              <w:bottom w:val="single" w:sz="8" w:color="D1D0CF"/>
            </w:tcBorders>
            <w:shd w:val="clear" w:color="auto" w:fill="D1D0CF"/>
          </w:tcPr>
          <w:p>
            <w:pPr>
              <w:spacing w:after="0"/>
              <w:rPr>
                <w:sz w:val="20"/>
                <w:szCs w:val="20"/>
                <w:color w:val="auto"/>
              </w:rPr>
            </w:pPr>
          </w:p>
        </w:tc>
        <w:tc>
          <w:tcPr>
            <w:tcW w:w="80" w:type="dxa"/>
            <w:vAlign w:val="bottom"/>
            <w:tcBorders>
              <w:top w:val="single" w:sz="8" w:color="0D64EF"/>
              <w:bottom w:val="single" w:sz="8" w:color="D1D0CF"/>
            </w:tcBorders>
            <w:shd w:val="clear" w:color="auto" w:fill="D1D0CF"/>
          </w:tcPr>
          <w:p>
            <w:pPr>
              <w:spacing w:after="0"/>
              <w:rPr>
                <w:sz w:val="20"/>
                <w:szCs w:val="20"/>
                <w:color w:val="auto"/>
              </w:rPr>
            </w:pPr>
          </w:p>
        </w:tc>
        <w:tc>
          <w:tcPr>
            <w:tcW w:w="3780" w:type="dxa"/>
            <w:vAlign w:val="bottom"/>
            <w:tcBorders>
              <w:top w:val="single" w:sz="8" w:color="0D64EF"/>
              <w:bottom w:val="single" w:sz="8" w:color="0D64EF"/>
            </w:tcBorders>
            <w:gridSpan w:val="2"/>
            <w:shd w:val="clear" w:color="auto" w:fill="D1D0CF"/>
          </w:tcPr>
          <w:p>
            <w:pPr>
              <w:jc w:val="right"/>
              <w:ind w:right="359"/>
              <w:spacing w:after="0"/>
              <w:rPr>
                <w:sz w:val="20"/>
                <w:szCs w:val="20"/>
                <w:color w:val="auto"/>
              </w:rPr>
            </w:pPr>
            <w:r>
              <w:rPr>
                <w:rFonts w:ascii="Arial" w:cs="Arial" w:eastAsia="Arial" w:hAnsi="Arial"/>
                <w:sz w:val="16"/>
                <w:szCs w:val="16"/>
                <w:b w:val="1"/>
                <w:bCs w:val="1"/>
                <w:color w:val="auto"/>
              </w:rPr>
              <w:t>year ended December 31</w:t>
            </w:r>
          </w:p>
        </w:tc>
        <w:tc>
          <w:tcPr>
            <w:tcW w:w="1000" w:type="dxa"/>
            <w:vAlign w:val="bottom"/>
            <w:tcBorders>
              <w:top w:val="single" w:sz="8" w:color="0D64EF"/>
              <w:bottom w:val="single" w:sz="8" w:color="0D64EF"/>
            </w:tcBorders>
            <w:shd w:val="clear" w:color="auto" w:fill="D1D0CF"/>
          </w:tcPr>
          <w:p>
            <w:pPr>
              <w:spacing w:after="0"/>
              <w:rPr>
                <w:sz w:val="20"/>
                <w:szCs w:val="20"/>
                <w:color w:val="auto"/>
              </w:rPr>
            </w:pPr>
          </w:p>
        </w:tc>
      </w:tr>
      <w:tr>
        <w:trPr>
          <w:trHeight w:val="226"/>
        </w:trPr>
        <w:tc>
          <w:tcPr>
            <w:tcW w:w="6280" w:type="dxa"/>
            <w:vAlign w:val="bottom"/>
            <w:tcBorders>
              <w:bottom w:val="single" w:sz="8" w:color="0D64EF"/>
            </w:tcBorders>
            <w:shd w:val="clear" w:color="auto" w:fill="D1D0CF"/>
          </w:tcPr>
          <w:p>
            <w:pPr>
              <w:ind w:left="20"/>
              <w:spacing w:after="0"/>
              <w:rPr>
                <w:sz w:val="20"/>
                <w:szCs w:val="20"/>
                <w:color w:val="auto"/>
              </w:rPr>
            </w:pPr>
            <w:r>
              <w:rPr>
                <w:rFonts w:ascii="Arial" w:cs="Arial" w:eastAsia="Arial" w:hAnsi="Arial"/>
                <w:sz w:val="16"/>
                <w:szCs w:val="16"/>
                <w:color w:val="auto"/>
              </w:rPr>
              <w:t>(millions of Canadian $)</w:t>
            </w:r>
          </w:p>
        </w:tc>
        <w:tc>
          <w:tcPr>
            <w:tcW w:w="80" w:type="dxa"/>
            <w:vAlign w:val="bottom"/>
            <w:tcBorders>
              <w:bottom w:val="single" w:sz="8" w:color="0D64EF"/>
            </w:tcBorders>
            <w:shd w:val="clear" w:color="auto" w:fill="D1D0CF"/>
          </w:tcPr>
          <w:p>
            <w:pPr>
              <w:spacing w:after="0"/>
              <w:rPr>
                <w:sz w:val="19"/>
                <w:szCs w:val="19"/>
                <w:color w:val="auto"/>
              </w:rPr>
            </w:pPr>
          </w:p>
        </w:tc>
        <w:tc>
          <w:tcPr>
            <w:tcW w:w="2040" w:type="dxa"/>
            <w:vAlign w:val="bottom"/>
            <w:tcBorders>
              <w:bottom w:val="single" w:sz="8" w:color="0D64EF"/>
            </w:tcBorders>
            <w:shd w:val="clear" w:color="auto" w:fill="D1D0CF"/>
          </w:tcPr>
          <w:p>
            <w:pPr>
              <w:jc w:val="right"/>
              <w:ind w:right="459"/>
              <w:spacing w:after="0"/>
              <w:rPr>
                <w:sz w:val="20"/>
                <w:szCs w:val="20"/>
                <w:color w:val="auto"/>
              </w:rPr>
            </w:pPr>
            <w:r>
              <w:rPr>
                <w:rFonts w:ascii="Arial" w:cs="Arial" w:eastAsia="Arial" w:hAnsi="Arial"/>
                <w:sz w:val="16"/>
                <w:szCs w:val="16"/>
                <w:b w:val="1"/>
                <w:bCs w:val="1"/>
                <w:color w:val="auto"/>
              </w:rPr>
              <w:t>2025</w:t>
            </w:r>
          </w:p>
        </w:tc>
        <w:tc>
          <w:tcPr>
            <w:tcW w:w="1740" w:type="dxa"/>
            <w:vAlign w:val="bottom"/>
            <w:tcBorders>
              <w:bottom w:val="single" w:sz="8" w:color="0D64EF"/>
            </w:tcBorders>
            <w:shd w:val="clear" w:color="auto" w:fill="D1D0CF"/>
          </w:tcPr>
          <w:p>
            <w:pPr>
              <w:jc w:val="right"/>
              <w:ind w:right="579"/>
              <w:spacing w:after="0"/>
              <w:rPr>
                <w:sz w:val="20"/>
                <w:szCs w:val="20"/>
                <w:color w:val="auto"/>
              </w:rPr>
            </w:pPr>
            <w:r>
              <w:rPr>
                <w:rFonts w:ascii="Arial" w:cs="Arial" w:eastAsia="Arial" w:hAnsi="Arial"/>
                <w:sz w:val="16"/>
                <w:szCs w:val="16"/>
                <w:b w:val="1"/>
                <w:bCs w:val="1"/>
                <w:color w:val="auto"/>
              </w:rPr>
              <w:t>2024</w:t>
            </w:r>
          </w:p>
        </w:tc>
        <w:tc>
          <w:tcPr>
            <w:tcW w:w="1000" w:type="dxa"/>
            <w:vAlign w:val="bottom"/>
            <w:tcBorders>
              <w:bottom w:val="single" w:sz="8" w:color="0D64EF"/>
            </w:tcBorders>
            <w:shd w:val="clear" w:color="auto" w:fill="D1D0CF"/>
          </w:tcPr>
          <w:p>
            <w:pPr>
              <w:jc w:val="right"/>
              <w:spacing w:after="0"/>
              <w:rPr>
                <w:sz w:val="20"/>
                <w:szCs w:val="20"/>
                <w:color w:val="auto"/>
              </w:rPr>
            </w:pPr>
            <w:r>
              <w:rPr>
                <w:rFonts w:ascii="Arial" w:cs="Arial" w:eastAsia="Arial" w:hAnsi="Arial"/>
                <w:sz w:val="16"/>
                <w:szCs w:val="16"/>
                <w:b w:val="1"/>
                <w:bCs w:val="1"/>
                <w:color w:val="auto"/>
              </w:rPr>
              <w:t>2023</w:t>
            </w:r>
          </w:p>
        </w:tc>
      </w:tr>
      <w:tr>
        <w:trPr>
          <w:trHeight w:val="259"/>
        </w:trPr>
        <w:tc>
          <w:tcPr>
            <w:tcW w:w="6280" w:type="dxa"/>
            <w:vAlign w:val="bottom"/>
          </w:tcPr>
          <w:p>
            <w:pPr>
              <w:ind w:left="20"/>
              <w:spacing w:after="0"/>
              <w:rPr>
                <w:sz w:val="20"/>
                <w:szCs w:val="20"/>
                <w:color w:val="auto"/>
              </w:rPr>
            </w:pPr>
            <w:r>
              <w:rPr>
                <w:rFonts w:ascii="Arial" w:cs="Arial" w:eastAsia="Arial" w:hAnsi="Arial"/>
                <w:sz w:val="16"/>
                <w:szCs w:val="16"/>
                <w:b w:val="1"/>
                <w:bCs w:val="1"/>
                <w:color w:val="0D64EF"/>
              </w:rPr>
              <w:t>Reported total debt</w:t>
            </w:r>
          </w:p>
        </w:tc>
        <w:tc>
          <w:tcPr>
            <w:tcW w:w="2120" w:type="dxa"/>
            <w:vAlign w:val="bottom"/>
            <w:gridSpan w:val="2"/>
          </w:tcPr>
          <w:p>
            <w:pPr>
              <w:jc w:val="right"/>
              <w:ind w:right="519"/>
              <w:spacing w:after="0"/>
              <w:rPr>
                <w:sz w:val="20"/>
                <w:szCs w:val="20"/>
                <w:color w:val="auto"/>
              </w:rPr>
            </w:pPr>
            <w:r>
              <w:rPr>
                <w:rFonts w:ascii="Arial" w:cs="Arial" w:eastAsia="Arial" w:hAnsi="Arial"/>
                <w:sz w:val="16"/>
                <w:szCs w:val="16"/>
                <w:color w:val="auto"/>
              </w:rPr>
              <w:t>60,086</w:t>
            </w:r>
          </w:p>
        </w:tc>
        <w:tc>
          <w:tcPr>
            <w:tcW w:w="1740" w:type="dxa"/>
            <w:vAlign w:val="bottom"/>
          </w:tcPr>
          <w:p>
            <w:pPr>
              <w:jc w:val="right"/>
              <w:ind w:right="639"/>
              <w:spacing w:after="0"/>
              <w:rPr>
                <w:sz w:val="20"/>
                <w:szCs w:val="20"/>
                <w:color w:val="auto"/>
              </w:rPr>
            </w:pPr>
            <w:r>
              <w:rPr>
                <w:rFonts w:ascii="Arial" w:cs="Arial" w:eastAsia="Arial" w:hAnsi="Arial"/>
                <w:sz w:val="16"/>
                <w:szCs w:val="16"/>
                <w:color w:val="auto"/>
              </w:rPr>
              <w:t>59,366</w:t>
            </w:r>
          </w:p>
        </w:tc>
        <w:tc>
          <w:tcPr>
            <w:tcW w:w="1000" w:type="dxa"/>
            <w:vAlign w:val="bottom"/>
          </w:tcPr>
          <w:p>
            <w:pPr>
              <w:jc w:val="right"/>
              <w:spacing w:after="0"/>
              <w:rPr>
                <w:sz w:val="20"/>
                <w:szCs w:val="20"/>
                <w:color w:val="auto"/>
              </w:rPr>
            </w:pPr>
            <w:r>
              <w:rPr>
                <w:rFonts w:ascii="Arial" w:cs="Arial" w:eastAsia="Arial" w:hAnsi="Arial"/>
                <w:sz w:val="16"/>
                <w:szCs w:val="16"/>
                <w:color w:val="auto"/>
              </w:rPr>
              <w:t>63,201</w:t>
            </w:r>
          </w:p>
        </w:tc>
      </w:tr>
      <w:tr>
        <w:trPr>
          <w:trHeight w:val="221"/>
        </w:trPr>
        <w:tc>
          <w:tcPr>
            <w:tcW w:w="6280" w:type="dxa"/>
            <w:vAlign w:val="bottom"/>
          </w:tcPr>
          <w:p>
            <w:pPr>
              <w:ind w:left="20"/>
              <w:spacing w:after="0"/>
              <w:rPr>
                <w:sz w:val="20"/>
                <w:szCs w:val="20"/>
                <w:color w:val="auto"/>
              </w:rPr>
            </w:pPr>
            <w:r>
              <w:rPr>
                <w:rFonts w:ascii="Arial" w:cs="Arial" w:eastAsia="Arial" w:hAnsi="Arial"/>
                <w:sz w:val="16"/>
                <w:szCs w:val="16"/>
                <w:color w:val="auto"/>
              </w:rPr>
              <w:t>Management adjustments:</w:t>
            </w:r>
          </w:p>
        </w:tc>
        <w:tc>
          <w:tcPr>
            <w:tcW w:w="8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44"/>
        </w:trPr>
        <w:tc>
          <w:tcPr>
            <w:tcW w:w="6280" w:type="dxa"/>
            <w:vAlign w:val="bottom"/>
          </w:tcPr>
          <w:p>
            <w:pPr>
              <w:ind w:left="100"/>
              <w:spacing w:after="0"/>
              <w:rPr>
                <w:sz w:val="20"/>
                <w:szCs w:val="20"/>
                <w:color w:val="auto"/>
              </w:rPr>
            </w:pPr>
            <w:r>
              <w:rPr>
                <w:rFonts w:ascii="Arial" w:cs="Arial" w:eastAsia="Arial" w:hAnsi="Arial"/>
                <w:sz w:val="16"/>
                <w:szCs w:val="16"/>
                <w:color w:val="auto"/>
              </w:rPr>
              <w:t>Debt treatment of preferred shares</w:t>
            </w:r>
            <w:r>
              <w:rPr>
                <w:rFonts w:ascii="Arial" w:cs="Arial" w:eastAsia="Arial" w:hAnsi="Arial"/>
                <w:sz w:val="21"/>
                <w:szCs w:val="21"/>
                <w:color w:val="auto"/>
                <w:vertAlign w:val="superscript"/>
              </w:rPr>
              <w:t>2</w:t>
            </w:r>
          </w:p>
        </w:tc>
        <w:tc>
          <w:tcPr>
            <w:tcW w:w="2120" w:type="dxa"/>
            <w:vAlign w:val="bottom"/>
            <w:gridSpan w:val="2"/>
          </w:tcPr>
          <w:p>
            <w:pPr>
              <w:jc w:val="right"/>
              <w:ind w:right="519"/>
              <w:spacing w:after="0"/>
              <w:rPr>
                <w:sz w:val="20"/>
                <w:szCs w:val="20"/>
                <w:color w:val="auto"/>
              </w:rPr>
            </w:pPr>
            <w:r>
              <w:rPr>
                <w:rFonts w:ascii="Arial" w:cs="Arial" w:eastAsia="Arial" w:hAnsi="Arial"/>
                <w:sz w:val="16"/>
                <w:szCs w:val="16"/>
                <w:color w:val="auto"/>
              </w:rPr>
              <w:t>1,128</w:t>
            </w:r>
          </w:p>
        </w:tc>
        <w:tc>
          <w:tcPr>
            <w:tcW w:w="1740" w:type="dxa"/>
            <w:vAlign w:val="bottom"/>
          </w:tcPr>
          <w:p>
            <w:pPr>
              <w:jc w:val="right"/>
              <w:ind w:right="639"/>
              <w:spacing w:after="0"/>
              <w:rPr>
                <w:sz w:val="20"/>
                <w:szCs w:val="20"/>
                <w:color w:val="auto"/>
              </w:rPr>
            </w:pPr>
            <w:r>
              <w:rPr>
                <w:rFonts w:ascii="Arial" w:cs="Arial" w:eastAsia="Arial" w:hAnsi="Arial"/>
                <w:sz w:val="16"/>
                <w:szCs w:val="16"/>
                <w:color w:val="auto"/>
              </w:rPr>
              <w:t>1,250</w:t>
            </w:r>
          </w:p>
        </w:tc>
        <w:tc>
          <w:tcPr>
            <w:tcW w:w="1000" w:type="dxa"/>
            <w:vAlign w:val="bottom"/>
          </w:tcPr>
          <w:p>
            <w:pPr>
              <w:jc w:val="right"/>
              <w:spacing w:after="0"/>
              <w:rPr>
                <w:sz w:val="20"/>
                <w:szCs w:val="20"/>
                <w:color w:val="auto"/>
              </w:rPr>
            </w:pPr>
            <w:r>
              <w:rPr>
                <w:rFonts w:ascii="Arial" w:cs="Arial" w:eastAsia="Arial" w:hAnsi="Arial"/>
                <w:sz w:val="16"/>
                <w:szCs w:val="16"/>
                <w:color w:val="auto"/>
              </w:rPr>
              <w:t>1,250</w:t>
            </w:r>
          </w:p>
        </w:tc>
      </w:tr>
      <w:tr>
        <w:trPr>
          <w:trHeight w:val="229"/>
        </w:trPr>
        <w:tc>
          <w:tcPr>
            <w:tcW w:w="6280" w:type="dxa"/>
            <w:vAlign w:val="bottom"/>
          </w:tcPr>
          <w:p>
            <w:pPr>
              <w:ind w:left="100"/>
              <w:spacing w:after="0" w:line="230" w:lineRule="exact"/>
              <w:rPr>
                <w:sz w:val="20"/>
                <w:szCs w:val="20"/>
                <w:color w:val="auto"/>
              </w:rPr>
            </w:pPr>
            <w:r>
              <w:rPr>
                <w:rFonts w:ascii="Arial" w:cs="Arial" w:eastAsia="Arial" w:hAnsi="Arial"/>
                <w:sz w:val="16"/>
                <w:szCs w:val="16"/>
                <w:color w:val="auto"/>
              </w:rPr>
              <w:t>Equity treatment of junior subordinated notes</w:t>
            </w:r>
            <w:r>
              <w:rPr>
                <w:rFonts w:ascii="Arial" w:cs="Arial" w:eastAsia="Arial" w:hAnsi="Arial"/>
                <w:sz w:val="21"/>
                <w:szCs w:val="21"/>
                <w:color w:val="auto"/>
                <w:vertAlign w:val="superscript"/>
              </w:rPr>
              <w:t>3</w:t>
            </w:r>
          </w:p>
        </w:tc>
        <w:tc>
          <w:tcPr>
            <w:tcW w:w="2120" w:type="dxa"/>
            <w:vAlign w:val="bottom"/>
            <w:gridSpan w:val="2"/>
          </w:tcPr>
          <w:p>
            <w:pPr>
              <w:jc w:val="right"/>
              <w:ind w:right="459"/>
              <w:spacing w:after="0"/>
              <w:rPr>
                <w:sz w:val="20"/>
                <w:szCs w:val="20"/>
                <w:color w:val="auto"/>
              </w:rPr>
            </w:pPr>
            <w:r>
              <w:rPr>
                <w:rFonts w:ascii="Arial" w:cs="Arial" w:eastAsia="Arial" w:hAnsi="Arial"/>
                <w:sz w:val="16"/>
                <w:szCs w:val="16"/>
                <w:color w:val="auto"/>
              </w:rPr>
              <w:t>(6,047)</w:t>
            </w:r>
          </w:p>
        </w:tc>
        <w:tc>
          <w:tcPr>
            <w:tcW w:w="1740" w:type="dxa"/>
            <w:vAlign w:val="bottom"/>
          </w:tcPr>
          <w:p>
            <w:pPr>
              <w:jc w:val="right"/>
              <w:ind w:right="579"/>
              <w:spacing w:after="0"/>
              <w:rPr>
                <w:sz w:val="20"/>
                <w:szCs w:val="20"/>
                <w:color w:val="auto"/>
              </w:rPr>
            </w:pPr>
            <w:r>
              <w:rPr>
                <w:rFonts w:ascii="Arial" w:cs="Arial" w:eastAsia="Arial" w:hAnsi="Arial"/>
                <w:sz w:val="16"/>
                <w:szCs w:val="16"/>
                <w:color w:val="auto"/>
              </w:rPr>
              <w:t>(5,524)</w:t>
            </w:r>
          </w:p>
        </w:tc>
        <w:tc>
          <w:tcPr>
            <w:tcW w:w="1000" w:type="dxa"/>
            <w:vAlign w:val="bottom"/>
          </w:tcPr>
          <w:p>
            <w:pPr>
              <w:jc w:val="right"/>
              <w:spacing w:after="0"/>
              <w:rPr>
                <w:sz w:val="20"/>
                <w:szCs w:val="20"/>
                <w:color w:val="auto"/>
              </w:rPr>
            </w:pPr>
            <w:r>
              <w:rPr>
                <w:rFonts w:ascii="Arial" w:cs="Arial" w:eastAsia="Arial" w:hAnsi="Arial"/>
                <w:sz w:val="16"/>
                <w:szCs w:val="16"/>
                <w:color w:val="auto"/>
              </w:rPr>
              <w:t>(5,144)</w:t>
            </w:r>
          </w:p>
        </w:tc>
      </w:tr>
      <w:tr>
        <w:trPr>
          <w:trHeight w:val="215"/>
        </w:trPr>
        <w:tc>
          <w:tcPr>
            <w:tcW w:w="6280" w:type="dxa"/>
            <w:vAlign w:val="bottom"/>
          </w:tcPr>
          <w:p>
            <w:pPr>
              <w:ind w:left="100"/>
              <w:spacing w:after="0"/>
              <w:rPr>
                <w:sz w:val="20"/>
                <w:szCs w:val="20"/>
                <w:color w:val="auto"/>
              </w:rPr>
            </w:pPr>
            <w:r>
              <w:rPr>
                <w:rFonts w:ascii="Arial" w:cs="Arial" w:eastAsia="Arial" w:hAnsi="Arial"/>
                <w:sz w:val="16"/>
                <w:szCs w:val="16"/>
                <w:color w:val="auto"/>
              </w:rPr>
              <w:t>Cash and cash equivalents</w:t>
            </w:r>
          </w:p>
        </w:tc>
        <w:tc>
          <w:tcPr>
            <w:tcW w:w="2120" w:type="dxa"/>
            <w:vAlign w:val="bottom"/>
            <w:gridSpan w:val="2"/>
          </w:tcPr>
          <w:p>
            <w:pPr>
              <w:jc w:val="right"/>
              <w:ind w:right="459"/>
              <w:spacing w:after="0"/>
              <w:rPr>
                <w:sz w:val="20"/>
                <w:szCs w:val="20"/>
                <w:color w:val="auto"/>
              </w:rPr>
            </w:pPr>
            <w:r>
              <w:rPr>
                <w:rFonts w:ascii="Arial" w:cs="Arial" w:eastAsia="Arial" w:hAnsi="Arial"/>
                <w:sz w:val="16"/>
                <w:szCs w:val="16"/>
                <w:color w:val="auto"/>
              </w:rPr>
              <w:t>(168)</w:t>
            </w:r>
          </w:p>
        </w:tc>
        <w:tc>
          <w:tcPr>
            <w:tcW w:w="1740" w:type="dxa"/>
            <w:vAlign w:val="bottom"/>
          </w:tcPr>
          <w:p>
            <w:pPr>
              <w:jc w:val="right"/>
              <w:ind w:right="579"/>
              <w:spacing w:after="0"/>
              <w:rPr>
                <w:sz w:val="20"/>
                <w:szCs w:val="20"/>
                <w:color w:val="auto"/>
              </w:rPr>
            </w:pPr>
            <w:r>
              <w:rPr>
                <w:rFonts w:ascii="Arial" w:cs="Arial" w:eastAsia="Arial" w:hAnsi="Arial"/>
                <w:sz w:val="16"/>
                <w:szCs w:val="16"/>
                <w:color w:val="auto"/>
              </w:rPr>
              <w:t>(801)</w:t>
            </w:r>
          </w:p>
        </w:tc>
        <w:tc>
          <w:tcPr>
            <w:tcW w:w="1000" w:type="dxa"/>
            <w:vAlign w:val="bottom"/>
          </w:tcPr>
          <w:p>
            <w:pPr>
              <w:jc w:val="right"/>
              <w:spacing w:after="0"/>
              <w:rPr>
                <w:sz w:val="20"/>
                <w:szCs w:val="20"/>
                <w:color w:val="auto"/>
              </w:rPr>
            </w:pPr>
            <w:r>
              <w:rPr>
                <w:rFonts w:ascii="Arial" w:cs="Arial" w:eastAsia="Arial" w:hAnsi="Arial"/>
                <w:sz w:val="16"/>
                <w:szCs w:val="16"/>
                <w:color w:val="auto"/>
              </w:rPr>
              <w:t>(3,678)</w:t>
            </w:r>
          </w:p>
        </w:tc>
      </w:tr>
      <w:tr>
        <w:trPr>
          <w:trHeight w:val="239"/>
        </w:trPr>
        <w:tc>
          <w:tcPr>
            <w:tcW w:w="628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Operating lease liabilities</w:t>
            </w:r>
          </w:p>
        </w:tc>
        <w:tc>
          <w:tcPr>
            <w:tcW w:w="2120" w:type="dxa"/>
            <w:vAlign w:val="bottom"/>
            <w:tcBorders>
              <w:bottom w:val="single" w:sz="8" w:color="auto"/>
            </w:tcBorders>
            <w:gridSpan w:val="2"/>
          </w:tcPr>
          <w:p>
            <w:pPr>
              <w:jc w:val="right"/>
              <w:ind w:right="519"/>
              <w:spacing w:after="0"/>
              <w:rPr>
                <w:sz w:val="20"/>
                <w:szCs w:val="20"/>
                <w:color w:val="auto"/>
              </w:rPr>
            </w:pPr>
            <w:r>
              <w:rPr>
                <w:rFonts w:ascii="Arial" w:cs="Arial" w:eastAsia="Arial" w:hAnsi="Arial"/>
                <w:sz w:val="16"/>
                <w:szCs w:val="16"/>
                <w:color w:val="auto"/>
              </w:rPr>
              <w:t>431</w:t>
            </w:r>
          </w:p>
        </w:tc>
        <w:tc>
          <w:tcPr>
            <w:tcW w:w="174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color w:val="auto"/>
              </w:rPr>
              <w:t>511</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457</w:t>
            </w:r>
          </w:p>
        </w:tc>
      </w:tr>
      <w:tr>
        <w:trPr>
          <w:trHeight w:val="226"/>
        </w:trPr>
        <w:tc>
          <w:tcPr>
            <w:tcW w:w="62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0D64EF"/>
              </w:rPr>
              <w:t>Adjusted debt</w:t>
            </w:r>
          </w:p>
        </w:tc>
        <w:tc>
          <w:tcPr>
            <w:tcW w:w="2120" w:type="dxa"/>
            <w:vAlign w:val="bottom"/>
            <w:tcBorders>
              <w:bottom w:val="single" w:sz="8" w:color="auto"/>
            </w:tcBorders>
            <w:gridSpan w:val="2"/>
          </w:tcPr>
          <w:p>
            <w:pPr>
              <w:jc w:val="right"/>
              <w:ind w:right="519"/>
              <w:spacing w:after="0"/>
              <w:rPr>
                <w:sz w:val="20"/>
                <w:szCs w:val="20"/>
                <w:color w:val="auto"/>
              </w:rPr>
            </w:pPr>
            <w:r>
              <w:rPr>
                <w:rFonts w:ascii="Arial" w:cs="Arial" w:eastAsia="Arial" w:hAnsi="Arial"/>
                <w:sz w:val="16"/>
                <w:szCs w:val="16"/>
                <w:color w:val="auto"/>
              </w:rPr>
              <w:t>55,430</w:t>
            </w:r>
          </w:p>
        </w:tc>
        <w:tc>
          <w:tcPr>
            <w:tcW w:w="174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color w:val="auto"/>
              </w:rPr>
              <w:t>54,802</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56,086</w:t>
            </w:r>
          </w:p>
        </w:tc>
      </w:tr>
      <w:tr>
        <w:trPr>
          <w:trHeight w:val="320"/>
        </w:trPr>
        <w:tc>
          <w:tcPr>
            <w:tcW w:w="6280" w:type="dxa"/>
            <w:vAlign w:val="bottom"/>
          </w:tcPr>
          <w:p>
            <w:pPr>
              <w:ind w:left="20"/>
              <w:spacing w:after="0"/>
              <w:rPr>
                <w:sz w:val="20"/>
                <w:szCs w:val="20"/>
                <w:color w:val="auto"/>
              </w:rPr>
            </w:pPr>
            <w:r>
              <w:rPr>
                <w:rFonts w:ascii="Arial" w:cs="Arial" w:eastAsia="Arial" w:hAnsi="Arial"/>
                <w:sz w:val="16"/>
                <w:szCs w:val="16"/>
                <w:color w:val="auto"/>
              </w:rPr>
              <w:t>Comparable EBITDA from continuing operations</w:t>
            </w:r>
            <w:r>
              <w:rPr>
                <w:rFonts w:ascii="Arial" w:cs="Arial" w:eastAsia="Arial" w:hAnsi="Arial"/>
                <w:sz w:val="21"/>
                <w:szCs w:val="21"/>
                <w:color w:val="auto"/>
                <w:vertAlign w:val="superscript"/>
              </w:rPr>
              <w:t>4</w:t>
            </w:r>
          </w:p>
        </w:tc>
        <w:tc>
          <w:tcPr>
            <w:tcW w:w="2120" w:type="dxa"/>
            <w:vAlign w:val="bottom"/>
            <w:gridSpan w:val="2"/>
          </w:tcPr>
          <w:p>
            <w:pPr>
              <w:jc w:val="right"/>
              <w:ind w:right="519"/>
              <w:spacing w:after="0"/>
              <w:rPr>
                <w:sz w:val="20"/>
                <w:szCs w:val="20"/>
                <w:color w:val="auto"/>
              </w:rPr>
            </w:pPr>
            <w:r>
              <w:rPr>
                <w:rFonts w:ascii="Arial" w:cs="Arial" w:eastAsia="Arial" w:hAnsi="Arial"/>
                <w:sz w:val="16"/>
                <w:szCs w:val="16"/>
                <w:color w:val="auto"/>
              </w:rPr>
              <w:t>10,952</w:t>
            </w:r>
          </w:p>
        </w:tc>
        <w:tc>
          <w:tcPr>
            <w:tcW w:w="1740" w:type="dxa"/>
            <w:vAlign w:val="bottom"/>
          </w:tcPr>
          <w:p>
            <w:pPr>
              <w:jc w:val="right"/>
              <w:ind w:right="639"/>
              <w:spacing w:after="0"/>
              <w:rPr>
                <w:sz w:val="20"/>
                <w:szCs w:val="20"/>
                <w:color w:val="auto"/>
              </w:rPr>
            </w:pPr>
            <w:r>
              <w:rPr>
                <w:rFonts w:ascii="Arial" w:cs="Arial" w:eastAsia="Arial" w:hAnsi="Arial"/>
                <w:sz w:val="16"/>
                <w:szCs w:val="16"/>
                <w:color w:val="auto"/>
              </w:rPr>
              <w:t>10,049</w:t>
            </w:r>
          </w:p>
        </w:tc>
        <w:tc>
          <w:tcPr>
            <w:tcW w:w="1000" w:type="dxa"/>
            <w:vAlign w:val="bottom"/>
          </w:tcPr>
          <w:p>
            <w:pPr>
              <w:jc w:val="right"/>
              <w:spacing w:after="0"/>
              <w:rPr>
                <w:sz w:val="20"/>
                <w:szCs w:val="20"/>
                <w:color w:val="auto"/>
              </w:rPr>
            </w:pPr>
            <w:r>
              <w:rPr>
                <w:rFonts w:ascii="Arial" w:cs="Arial" w:eastAsia="Arial" w:hAnsi="Arial"/>
                <w:sz w:val="16"/>
                <w:szCs w:val="16"/>
                <w:color w:val="auto"/>
              </w:rPr>
              <w:t>9,472</w:t>
            </w:r>
          </w:p>
        </w:tc>
      </w:tr>
      <w:tr>
        <w:trPr>
          <w:trHeight w:val="229"/>
        </w:trPr>
        <w:tc>
          <w:tcPr>
            <w:tcW w:w="6280" w:type="dxa"/>
            <w:vAlign w:val="bottom"/>
          </w:tcPr>
          <w:p>
            <w:pPr>
              <w:ind w:left="20"/>
              <w:spacing w:after="0" w:line="230" w:lineRule="exact"/>
              <w:rPr>
                <w:sz w:val="20"/>
                <w:szCs w:val="20"/>
                <w:color w:val="auto"/>
              </w:rPr>
            </w:pPr>
            <w:r>
              <w:rPr>
                <w:rFonts w:ascii="Arial" w:cs="Arial" w:eastAsia="Arial" w:hAnsi="Arial"/>
                <w:sz w:val="16"/>
                <w:szCs w:val="16"/>
                <w:color w:val="auto"/>
              </w:rPr>
              <w:t>Comparable EBITDA from discontinued operations</w:t>
            </w:r>
            <w:r>
              <w:rPr>
                <w:rFonts w:ascii="Arial" w:cs="Arial" w:eastAsia="Arial" w:hAnsi="Arial"/>
                <w:sz w:val="21"/>
                <w:szCs w:val="21"/>
                <w:color w:val="auto"/>
                <w:vertAlign w:val="superscript"/>
              </w:rPr>
              <w:t>4</w:t>
            </w:r>
          </w:p>
        </w:tc>
        <w:tc>
          <w:tcPr>
            <w:tcW w:w="80" w:type="dxa"/>
            <w:vAlign w:val="bottom"/>
          </w:tcPr>
          <w:p>
            <w:pPr>
              <w:spacing w:after="0"/>
              <w:rPr>
                <w:sz w:val="19"/>
                <w:szCs w:val="19"/>
                <w:color w:val="auto"/>
              </w:rPr>
            </w:pPr>
          </w:p>
        </w:tc>
        <w:tc>
          <w:tcPr>
            <w:tcW w:w="2040" w:type="dxa"/>
            <w:vAlign w:val="bottom"/>
          </w:tcPr>
          <w:p>
            <w:pPr>
              <w:jc w:val="right"/>
              <w:ind w:right="519"/>
              <w:spacing w:after="0"/>
              <w:rPr>
                <w:sz w:val="20"/>
                <w:szCs w:val="20"/>
                <w:color w:val="auto"/>
              </w:rPr>
            </w:pPr>
            <w:r>
              <w:rPr>
                <w:rFonts w:ascii="Arial" w:cs="Arial" w:eastAsia="Arial" w:hAnsi="Arial"/>
                <w:sz w:val="16"/>
                <w:szCs w:val="16"/>
                <w:color w:val="auto"/>
              </w:rPr>
              <w:t>—</w:t>
            </w:r>
          </w:p>
        </w:tc>
        <w:tc>
          <w:tcPr>
            <w:tcW w:w="1740" w:type="dxa"/>
            <w:vAlign w:val="bottom"/>
          </w:tcPr>
          <w:p>
            <w:pPr>
              <w:jc w:val="right"/>
              <w:ind w:right="639"/>
              <w:spacing w:after="0"/>
              <w:rPr>
                <w:sz w:val="20"/>
                <w:szCs w:val="20"/>
                <w:color w:val="auto"/>
              </w:rPr>
            </w:pPr>
            <w:r>
              <w:rPr>
                <w:rFonts w:ascii="Arial" w:cs="Arial" w:eastAsia="Arial" w:hAnsi="Arial"/>
                <w:sz w:val="16"/>
                <w:szCs w:val="16"/>
                <w:color w:val="auto"/>
              </w:rPr>
              <w:t>1,145</w:t>
            </w:r>
          </w:p>
        </w:tc>
        <w:tc>
          <w:tcPr>
            <w:tcW w:w="1000" w:type="dxa"/>
            <w:vAlign w:val="bottom"/>
          </w:tcPr>
          <w:p>
            <w:pPr>
              <w:jc w:val="right"/>
              <w:spacing w:after="0"/>
              <w:rPr>
                <w:sz w:val="20"/>
                <w:szCs w:val="20"/>
                <w:color w:val="auto"/>
              </w:rPr>
            </w:pPr>
            <w:r>
              <w:rPr>
                <w:rFonts w:ascii="Arial" w:cs="Arial" w:eastAsia="Arial" w:hAnsi="Arial"/>
                <w:sz w:val="16"/>
                <w:szCs w:val="16"/>
                <w:color w:val="auto"/>
              </w:rPr>
              <w:t>1,516</w:t>
            </w:r>
          </w:p>
        </w:tc>
      </w:tr>
      <w:tr>
        <w:trPr>
          <w:trHeight w:val="215"/>
        </w:trPr>
        <w:tc>
          <w:tcPr>
            <w:tcW w:w="6280" w:type="dxa"/>
            <w:vAlign w:val="bottom"/>
          </w:tcPr>
          <w:p>
            <w:pPr>
              <w:ind w:left="20"/>
              <w:spacing w:after="0"/>
              <w:rPr>
                <w:sz w:val="20"/>
                <w:szCs w:val="20"/>
                <w:color w:val="auto"/>
              </w:rPr>
            </w:pPr>
            <w:r>
              <w:rPr>
                <w:rFonts w:ascii="Arial" w:cs="Arial" w:eastAsia="Arial" w:hAnsi="Arial"/>
                <w:sz w:val="16"/>
                <w:szCs w:val="16"/>
                <w:color w:val="auto"/>
              </w:rPr>
              <w:t>Operating lease cost</w:t>
            </w:r>
          </w:p>
        </w:tc>
        <w:tc>
          <w:tcPr>
            <w:tcW w:w="2120" w:type="dxa"/>
            <w:vAlign w:val="bottom"/>
            <w:gridSpan w:val="2"/>
          </w:tcPr>
          <w:p>
            <w:pPr>
              <w:jc w:val="right"/>
              <w:ind w:right="519"/>
              <w:spacing w:after="0"/>
              <w:rPr>
                <w:sz w:val="20"/>
                <w:szCs w:val="20"/>
                <w:color w:val="auto"/>
              </w:rPr>
            </w:pPr>
            <w:r>
              <w:rPr>
                <w:rFonts w:ascii="Arial" w:cs="Arial" w:eastAsia="Arial" w:hAnsi="Arial"/>
                <w:sz w:val="16"/>
                <w:szCs w:val="16"/>
                <w:color w:val="auto"/>
              </w:rPr>
              <w:t>112</w:t>
            </w:r>
          </w:p>
        </w:tc>
        <w:tc>
          <w:tcPr>
            <w:tcW w:w="1740" w:type="dxa"/>
            <w:vAlign w:val="bottom"/>
          </w:tcPr>
          <w:p>
            <w:pPr>
              <w:jc w:val="right"/>
              <w:ind w:right="639"/>
              <w:spacing w:after="0"/>
              <w:rPr>
                <w:sz w:val="20"/>
                <w:szCs w:val="20"/>
                <w:color w:val="auto"/>
              </w:rPr>
            </w:pPr>
            <w:r>
              <w:rPr>
                <w:rFonts w:ascii="Arial" w:cs="Arial" w:eastAsia="Arial" w:hAnsi="Arial"/>
                <w:sz w:val="16"/>
                <w:szCs w:val="16"/>
                <w:color w:val="auto"/>
              </w:rPr>
              <w:t>117</w:t>
            </w:r>
          </w:p>
        </w:tc>
        <w:tc>
          <w:tcPr>
            <w:tcW w:w="1000" w:type="dxa"/>
            <w:vAlign w:val="bottom"/>
          </w:tcPr>
          <w:p>
            <w:pPr>
              <w:jc w:val="right"/>
              <w:spacing w:after="0"/>
              <w:rPr>
                <w:sz w:val="20"/>
                <w:szCs w:val="20"/>
                <w:color w:val="auto"/>
              </w:rPr>
            </w:pPr>
            <w:r>
              <w:rPr>
                <w:rFonts w:ascii="Arial" w:cs="Arial" w:eastAsia="Arial" w:hAnsi="Arial"/>
                <w:sz w:val="16"/>
                <w:szCs w:val="16"/>
                <w:color w:val="auto"/>
              </w:rPr>
              <w:t>105</w:t>
            </w:r>
          </w:p>
        </w:tc>
      </w:tr>
      <w:tr>
        <w:trPr>
          <w:trHeight w:val="229"/>
        </w:trPr>
        <w:tc>
          <w:tcPr>
            <w:tcW w:w="6280" w:type="dxa"/>
            <w:vAlign w:val="bottom"/>
          </w:tcPr>
          <w:p>
            <w:pPr>
              <w:ind w:left="20"/>
              <w:spacing w:after="0"/>
              <w:rPr>
                <w:sz w:val="20"/>
                <w:szCs w:val="20"/>
                <w:color w:val="auto"/>
              </w:rPr>
            </w:pPr>
            <w:r>
              <w:rPr>
                <w:rFonts w:ascii="Arial" w:cs="Arial" w:eastAsia="Arial" w:hAnsi="Arial"/>
                <w:sz w:val="16"/>
                <w:szCs w:val="16"/>
                <w:color w:val="auto"/>
              </w:rPr>
              <w:t>Distributions received in excess of (income) loss from equity investments</w:t>
            </w:r>
          </w:p>
        </w:tc>
        <w:tc>
          <w:tcPr>
            <w:tcW w:w="2120" w:type="dxa"/>
            <w:vAlign w:val="bottom"/>
            <w:gridSpan w:val="2"/>
          </w:tcPr>
          <w:p>
            <w:pPr>
              <w:jc w:val="right"/>
              <w:ind w:right="519"/>
              <w:spacing w:after="0"/>
              <w:rPr>
                <w:sz w:val="20"/>
                <w:szCs w:val="20"/>
                <w:color w:val="auto"/>
              </w:rPr>
            </w:pPr>
            <w:r>
              <w:rPr>
                <w:rFonts w:ascii="Arial" w:cs="Arial" w:eastAsia="Arial" w:hAnsi="Arial"/>
                <w:sz w:val="16"/>
                <w:szCs w:val="16"/>
                <w:color w:val="auto"/>
              </w:rPr>
              <w:t>342</w:t>
            </w:r>
          </w:p>
        </w:tc>
        <w:tc>
          <w:tcPr>
            <w:tcW w:w="1740" w:type="dxa"/>
            <w:vAlign w:val="bottom"/>
          </w:tcPr>
          <w:p>
            <w:pPr>
              <w:jc w:val="right"/>
              <w:ind w:right="639"/>
              <w:spacing w:after="0"/>
              <w:rPr>
                <w:sz w:val="20"/>
                <w:szCs w:val="20"/>
                <w:color w:val="auto"/>
              </w:rPr>
            </w:pPr>
            <w:r>
              <w:rPr>
                <w:rFonts w:ascii="Arial" w:cs="Arial" w:eastAsia="Arial" w:hAnsi="Arial"/>
                <w:sz w:val="16"/>
                <w:szCs w:val="16"/>
                <w:color w:val="auto"/>
              </w:rPr>
              <w:t>67</w:t>
            </w:r>
          </w:p>
        </w:tc>
        <w:tc>
          <w:tcPr>
            <w:tcW w:w="1000" w:type="dxa"/>
            <w:vAlign w:val="bottom"/>
          </w:tcPr>
          <w:p>
            <w:pPr>
              <w:jc w:val="right"/>
              <w:spacing w:after="0"/>
              <w:rPr>
                <w:sz w:val="20"/>
                <w:szCs w:val="20"/>
                <w:color w:val="auto"/>
              </w:rPr>
            </w:pPr>
            <w:r>
              <w:rPr>
                <w:rFonts w:ascii="Arial" w:cs="Arial" w:eastAsia="Arial" w:hAnsi="Arial"/>
                <w:sz w:val="16"/>
                <w:szCs w:val="16"/>
                <w:color w:val="auto"/>
              </w:rPr>
              <w:t>(123)</w:t>
            </w:r>
          </w:p>
        </w:tc>
      </w:tr>
      <w:tr>
        <w:trPr>
          <w:trHeight w:val="239"/>
        </w:trPr>
        <w:tc>
          <w:tcPr>
            <w:tcW w:w="62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Loan from affiliate</w:t>
            </w:r>
          </w:p>
        </w:tc>
        <w:tc>
          <w:tcPr>
            <w:tcW w:w="2120" w:type="dxa"/>
            <w:vAlign w:val="bottom"/>
            <w:tcBorders>
              <w:bottom w:val="single" w:sz="8" w:color="auto"/>
            </w:tcBorders>
            <w:gridSpan w:val="2"/>
          </w:tcPr>
          <w:p>
            <w:pPr>
              <w:jc w:val="right"/>
              <w:ind w:right="519"/>
              <w:spacing w:after="0"/>
              <w:rPr>
                <w:sz w:val="20"/>
                <w:szCs w:val="20"/>
                <w:color w:val="auto"/>
              </w:rPr>
            </w:pPr>
            <w:r>
              <w:rPr>
                <w:rFonts w:ascii="Arial" w:cs="Arial" w:eastAsia="Arial" w:hAnsi="Arial"/>
                <w:sz w:val="16"/>
                <w:szCs w:val="16"/>
                <w:color w:val="auto"/>
              </w:rPr>
              <w:t>111</w:t>
            </w:r>
          </w:p>
        </w:tc>
        <w:tc>
          <w:tcPr>
            <w:tcW w:w="174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26"/>
        </w:trPr>
        <w:tc>
          <w:tcPr>
            <w:tcW w:w="62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0D64EF"/>
              </w:rPr>
              <w:t>Adjusted Comparable EBITDA</w:t>
            </w:r>
          </w:p>
        </w:tc>
        <w:tc>
          <w:tcPr>
            <w:tcW w:w="2120" w:type="dxa"/>
            <w:vAlign w:val="bottom"/>
            <w:tcBorders>
              <w:bottom w:val="single" w:sz="8" w:color="auto"/>
            </w:tcBorders>
            <w:gridSpan w:val="2"/>
          </w:tcPr>
          <w:p>
            <w:pPr>
              <w:jc w:val="right"/>
              <w:ind w:right="519"/>
              <w:spacing w:after="0"/>
              <w:rPr>
                <w:sz w:val="20"/>
                <w:szCs w:val="20"/>
                <w:color w:val="auto"/>
              </w:rPr>
            </w:pPr>
            <w:r>
              <w:rPr>
                <w:rFonts w:ascii="Arial" w:cs="Arial" w:eastAsia="Arial" w:hAnsi="Arial"/>
                <w:sz w:val="16"/>
                <w:szCs w:val="16"/>
                <w:color w:val="auto"/>
              </w:rPr>
              <w:t>11,517</w:t>
            </w:r>
          </w:p>
        </w:tc>
        <w:tc>
          <w:tcPr>
            <w:tcW w:w="174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color w:val="auto"/>
              </w:rPr>
              <w:t>11,378</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10,970</w:t>
            </w:r>
          </w:p>
        </w:tc>
      </w:tr>
      <w:tr>
        <w:trPr>
          <w:trHeight w:val="91"/>
        </w:trPr>
        <w:tc>
          <w:tcPr>
            <w:tcW w:w="62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040" w:type="dxa"/>
            <w:vAlign w:val="bottom"/>
            <w:tcBorders>
              <w:bottom w:val="single" w:sz="8" w:color="auto"/>
            </w:tcBorders>
          </w:tcPr>
          <w:p>
            <w:pPr>
              <w:spacing w:after="0"/>
              <w:rPr>
                <w:sz w:val="7"/>
                <w:szCs w:val="7"/>
                <w:color w:val="auto"/>
              </w:rPr>
            </w:pPr>
          </w:p>
        </w:tc>
        <w:tc>
          <w:tcPr>
            <w:tcW w:w="1740" w:type="dxa"/>
            <w:vAlign w:val="bottom"/>
            <w:tcBorders>
              <w:bottom w:val="single" w:sz="8" w:color="auto"/>
            </w:tcBorders>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r>
      <w:tr>
        <w:trPr>
          <w:trHeight w:val="223"/>
        </w:trPr>
        <w:tc>
          <w:tcPr>
            <w:tcW w:w="6280" w:type="dxa"/>
            <w:vAlign w:val="bottom"/>
            <w:tcBorders>
              <w:bottom w:val="single" w:sz="8" w:color="auto"/>
            </w:tcBorders>
          </w:tcPr>
          <w:p>
            <w:pPr>
              <w:ind w:left="20"/>
              <w:spacing w:after="0" w:line="223" w:lineRule="exact"/>
              <w:rPr>
                <w:sz w:val="20"/>
                <w:szCs w:val="20"/>
                <w:color w:val="auto"/>
              </w:rPr>
            </w:pPr>
            <w:r>
              <w:rPr>
                <w:rFonts w:ascii="Arial" w:cs="Arial" w:eastAsia="Arial" w:hAnsi="Arial"/>
                <w:sz w:val="16"/>
                <w:szCs w:val="16"/>
                <w:b w:val="1"/>
                <w:bCs w:val="1"/>
                <w:color w:val="0D64EF"/>
              </w:rPr>
              <w:t>Adjusted Debt/Adjusted Comparable EBITDA</w:t>
            </w:r>
            <w:r>
              <w:rPr>
                <w:rFonts w:ascii="Arial" w:cs="Arial" w:eastAsia="Arial" w:hAnsi="Arial"/>
                <w:sz w:val="21"/>
                <w:szCs w:val="21"/>
                <w:b w:val="1"/>
                <w:bCs w:val="1"/>
                <w:color w:val="000000"/>
                <w:vertAlign w:val="superscript"/>
              </w:rPr>
              <w:t>1</w:t>
            </w:r>
          </w:p>
        </w:tc>
        <w:tc>
          <w:tcPr>
            <w:tcW w:w="2120" w:type="dxa"/>
            <w:vAlign w:val="bottom"/>
            <w:tcBorders>
              <w:bottom w:val="single" w:sz="8" w:color="auto"/>
            </w:tcBorders>
            <w:gridSpan w:val="2"/>
          </w:tcPr>
          <w:p>
            <w:pPr>
              <w:jc w:val="right"/>
              <w:ind w:right="519"/>
              <w:spacing w:after="0"/>
              <w:rPr>
                <w:sz w:val="20"/>
                <w:szCs w:val="20"/>
                <w:color w:val="auto"/>
              </w:rPr>
            </w:pPr>
            <w:r>
              <w:rPr>
                <w:rFonts w:ascii="Arial" w:cs="Arial" w:eastAsia="Arial" w:hAnsi="Arial"/>
                <w:sz w:val="16"/>
                <w:szCs w:val="16"/>
                <w:color w:val="auto"/>
              </w:rPr>
              <w:t>4.8</w:t>
            </w:r>
          </w:p>
        </w:tc>
        <w:tc>
          <w:tcPr>
            <w:tcW w:w="174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color w:val="auto"/>
              </w:rPr>
              <w:t>4.8</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w:t>
            </w:r>
          </w:p>
        </w:tc>
      </w:tr>
    </w:tbl>
    <w:p>
      <w:pPr>
        <w:spacing w:after="0" w:line="193" w:lineRule="exact"/>
        <w:rPr>
          <w:sz w:val="20"/>
          <w:szCs w:val="20"/>
          <w:color w:val="auto"/>
        </w:rPr>
      </w:pPr>
    </w:p>
    <w:p>
      <w:pPr>
        <w:ind w:left="340" w:right="160" w:hanging="332"/>
        <w:spacing w:after="0" w:line="256" w:lineRule="auto"/>
        <w:tabs>
          <w:tab w:leader="none" w:pos="220" w:val="left"/>
        </w:tabs>
        <w:numPr>
          <w:ilvl w:val="0"/>
          <w:numId w:val="14"/>
        </w:numPr>
        <w:rPr>
          <w:rFonts w:ascii="Arial" w:cs="Arial" w:eastAsia="Arial" w:hAnsi="Arial"/>
          <w:sz w:val="19"/>
          <w:szCs w:val="19"/>
          <w:color w:val="auto"/>
          <w:vertAlign w:val="superscript"/>
        </w:rPr>
      </w:pPr>
      <w:r>
        <w:rPr>
          <w:rFonts w:ascii="Arial" w:cs="Arial" w:eastAsia="Arial" w:hAnsi="Arial"/>
          <w:sz w:val="14"/>
          <w:szCs w:val="14"/>
          <w:color w:val="auto"/>
        </w:rPr>
        <w:t>Adjusted debt and adjusted comparable EBITDA are non-GAAP measures. The calculations are based on management methodology. Individual rating agency calculations will differ.</w:t>
      </w:r>
    </w:p>
    <w:p>
      <w:pPr>
        <w:ind w:left="220" w:hanging="212"/>
        <w:spacing w:after="0"/>
        <w:tabs>
          <w:tab w:leader="none" w:pos="220" w:val="left"/>
        </w:tabs>
        <w:numPr>
          <w:ilvl w:val="0"/>
          <w:numId w:val="15"/>
        </w:numPr>
        <w:rPr>
          <w:rFonts w:ascii="Arial" w:cs="Arial" w:eastAsia="Arial" w:hAnsi="Arial"/>
          <w:sz w:val="9"/>
          <w:szCs w:val="9"/>
          <w:color w:val="auto"/>
        </w:rPr>
      </w:pPr>
      <w:r>
        <w:rPr>
          <w:rFonts w:ascii="Arial" w:cs="Arial" w:eastAsia="Arial" w:hAnsi="Arial"/>
          <w:sz w:val="14"/>
          <w:szCs w:val="14"/>
          <w:color w:val="auto"/>
        </w:rPr>
        <w:t>50 per cent debt treatment on $2.3 billion of preferred shares as of Dec. 31, 2025.</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23"/>
        </w:trPr>
        <w:tc>
          <w:tcPr>
            <w:tcW w:w="140" w:type="dxa"/>
            <w:vAlign w:val="bottom"/>
          </w:tcPr>
          <w:p>
            <w:pPr>
              <w:jc w:val="right"/>
              <w:ind w:right="33"/>
              <w:spacing w:after="0"/>
              <w:rPr>
                <w:sz w:val="20"/>
                <w:szCs w:val="20"/>
                <w:color w:val="auto"/>
              </w:rPr>
            </w:pPr>
            <w:r>
              <w:rPr>
                <w:rFonts w:ascii="Arial" w:cs="Arial" w:eastAsia="Arial" w:hAnsi="Arial"/>
                <w:sz w:val="9"/>
                <w:szCs w:val="9"/>
                <w:color w:val="auto"/>
                <w:w w:val="78"/>
              </w:rPr>
              <w:t>3</w:t>
            </w:r>
          </w:p>
        </w:tc>
        <w:tc>
          <w:tcPr>
            <w:tcW w:w="9020" w:type="dxa"/>
            <w:vAlign w:val="bottom"/>
            <w:vMerge w:val="restart"/>
          </w:tcPr>
          <w:p>
            <w:pPr>
              <w:ind w:left="80"/>
              <w:spacing w:after="0"/>
              <w:rPr>
                <w:sz w:val="20"/>
                <w:szCs w:val="20"/>
                <w:color w:val="auto"/>
              </w:rPr>
            </w:pPr>
            <w:r>
              <w:rPr>
                <w:rFonts w:ascii="Arial" w:cs="Arial" w:eastAsia="Arial" w:hAnsi="Arial"/>
                <w:sz w:val="14"/>
                <w:szCs w:val="14"/>
                <w:color w:val="auto"/>
              </w:rPr>
              <w:t>50 per cent equity treatment on $12.1 billion of junior subordinated notes as of Dec. 31, 2025. U.S. dollar-denominated notes translated at</w:t>
            </w:r>
          </w:p>
        </w:tc>
        <w:tc>
          <w:tcPr>
            <w:tcW w:w="1800" w:type="dxa"/>
            <w:vAlign w:val="bottom"/>
            <w:vMerge w:val="restart"/>
          </w:tcPr>
          <w:p>
            <w:pPr>
              <w:ind w:left="180"/>
              <w:spacing w:after="0"/>
              <w:rPr>
                <w:sz w:val="20"/>
                <w:szCs w:val="20"/>
                <w:color w:val="auto"/>
              </w:rPr>
            </w:pPr>
            <w:r>
              <w:rPr>
                <w:rFonts w:ascii="Arial" w:cs="Arial" w:eastAsia="Arial" w:hAnsi="Arial"/>
                <w:sz w:val="14"/>
                <w:szCs w:val="14"/>
                <w:color w:val="auto"/>
              </w:rPr>
              <w:t>Dec. 31, 2025, USD/CAD</w:t>
            </w:r>
          </w:p>
        </w:tc>
        <w:tc>
          <w:tcPr>
            <w:tcW w:w="0" w:type="dxa"/>
            <w:vAlign w:val="bottom"/>
          </w:tcPr>
          <w:p>
            <w:pPr>
              <w:spacing w:after="0"/>
              <w:rPr>
                <w:sz w:val="1"/>
                <w:szCs w:val="1"/>
                <w:color w:val="auto"/>
              </w:rPr>
            </w:pPr>
          </w:p>
        </w:tc>
      </w:tr>
      <w:tr>
        <w:trPr>
          <w:trHeight w:val="70"/>
        </w:trPr>
        <w:tc>
          <w:tcPr>
            <w:tcW w:w="140" w:type="dxa"/>
            <w:vAlign w:val="bottom"/>
          </w:tcPr>
          <w:p>
            <w:pPr>
              <w:spacing w:after="0"/>
              <w:rPr>
                <w:sz w:val="6"/>
                <w:szCs w:val="6"/>
                <w:color w:val="auto"/>
              </w:rPr>
            </w:pPr>
          </w:p>
        </w:tc>
        <w:tc>
          <w:tcPr>
            <w:tcW w:w="9020" w:type="dxa"/>
            <w:vAlign w:val="bottom"/>
            <w:vMerge w:val="continue"/>
          </w:tcPr>
          <w:p>
            <w:pPr>
              <w:spacing w:after="0"/>
              <w:rPr>
                <w:sz w:val="6"/>
                <w:szCs w:val="6"/>
                <w:color w:val="auto"/>
              </w:rPr>
            </w:pPr>
          </w:p>
        </w:tc>
        <w:tc>
          <w:tcPr>
            <w:tcW w:w="18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12" w:lineRule="exact"/>
        <w:rPr>
          <w:sz w:val="20"/>
          <w:szCs w:val="20"/>
          <w:color w:val="auto"/>
        </w:rPr>
      </w:pPr>
    </w:p>
    <w:p>
      <w:pPr>
        <w:ind w:left="340"/>
        <w:spacing w:after="0"/>
        <w:rPr>
          <w:sz w:val="20"/>
          <w:szCs w:val="20"/>
          <w:color w:val="auto"/>
        </w:rPr>
      </w:pPr>
      <w:r>
        <w:rPr>
          <w:rFonts w:ascii="Arial" w:cs="Arial" w:eastAsia="Arial" w:hAnsi="Arial"/>
          <w:sz w:val="14"/>
          <w:szCs w:val="14"/>
          <w:color w:val="auto"/>
        </w:rPr>
        <w:t>foreign exchange rate of 1.37.</w:t>
      </w:r>
    </w:p>
    <w:p>
      <w:pPr>
        <w:spacing w:after="0" w:line="55" w:lineRule="exact"/>
        <w:rPr>
          <w:sz w:val="20"/>
          <w:szCs w:val="20"/>
          <w:color w:val="auto"/>
        </w:rPr>
      </w:pPr>
    </w:p>
    <w:p>
      <w:pPr>
        <w:ind w:left="340" w:hanging="332"/>
        <w:spacing w:after="0" w:line="259" w:lineRule="auto"/>
        <w:tabs>
          <w:tab w:leader="none" w:pos="228" w:val="left"/>
        </w:tabs>
        <w:numPr>
          <w:ilvl w:val="0"/>
          <w:numId w:val="16"/>
        </w:numPr>
        <w:rPr>
          <w:rFonts w:ascii="Arial" w:cs="Arial" w:eastAsia="Arial" w:hAnsi="Arial"/>
          <w:sz w:val="19"/>
          <w:szCs w:val="19"/>
          <w:color w:val="auto"/>
          <w:vertAlign w:val="superscript"/>
        </w:rPr>
      </w:pPr>
      <w:r>
        <w:rPr>
          <w:rFonts w:ascii="Arial" w:cs="Arial" w:eastAsia="Arial" w:hAnsi="Arial"/>
          <w:sz w:val="14"/>
          <w:szCs w:val="14"/>
          <w:color w:val="auto"/>
        </w:rPr>
        <w:t>Comparable EBITDA from continuing operations and Comparable EBITDA from discontinued operations are non-GAAP financial measures. See the Forward-looking information and Non-GAAP measures sections in our 2025 Annual Report for more information. Comparable EBITDA from discontinued operations represents nine months</w:t>
      </w:r>
    </w:p>
    <w:p>
      <w:pPr>
        <w:spacing w:after="0" w:line="8" w:lineRule="exact"/>
        <w:rPr>
          <w:rFonts w:ascii="Arial" w:cs="Arial" w:eastAsia="Arial" w:hAnsi="Arial"/>
          <w:sz w:val="19"/>
          <w:szCs w:val="19"/>
          <w:color w:val="auto"/>
          <w:vertAlign w:val="superscript"/>
        </w:rPr>
      </w:pPr>
    </w:p>
    <w:p>
      <w:pPr>
        <w:ind w:left="340" w:right="280"/>
        <w:spacing w:after="0" w:line="345" w:lineRule="auto"/>
        <w:rPr>
          <w:rFonts w:ascii="Arial" w:cs="Arial" w:eastAsia="Arial" w:hAnsi="Arial"/>
          <w:sz w:val="19"/>
          <w:szCs w:val="19"/>
          <w:color w:val="auto"/>
          <w:vertAlign w:val="superscript"/>
        </w:rPr>
      </w:pPr>
      <w:r>
        <w:rPr>
          <w:rFonts w:ascii="Arial" w:cs="Arial" w:eastAsia="Arial" w:hAnsi="Arial"/>
          <w:sz w:val="14"/>
          <w:szCs w:val="14"/>
          <w:color w:val="auto"/>
        </w:rPr>
        <w:t>of Liquids Pipelines earnings in 2024 compared to a full year of earnings in 2023. Refer to the Discontinued operations section in our 2024 Annual Report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Inquiries: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Media Relations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media@tcenergy.com</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403.920.7859 or 800.608.7859</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&amp; Analyst Inquiries: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Investor Relations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investor_relations@tcenergy.com</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403.920.7911 or 800.361.6522</w:t>
      </w:r>
    </w:p>
    <w:p>
      <w:pPr>
        <w:sectPr>
          <w:pgSz w:w="11900" w:h="16838" w:orient="portrait"/>
          <w:cols w:equalWidth="0" w:num="1">
            <w:col w:w="11220"/>
          </w:cols>
          <w:pgMar w:left="320" w:top="1304" w:right="359" w:bottom="1440" w:gutter="0" w:footer="0" w:header="0"/>
        </w:sectPr>
      </w:pPr>
    </w:p>
    <w:bookmarkStart w:id="13" w:name="page14"/>
    <w:bookmarkEnd w:id="13"/>
    <w:p>
      <w:pPr>
        <w:spacing w:after="0"/>
        <w:rPr>
          <w:sz w:val="20"/>
          <w:szCs w:val="20"/>
          <w:color w:val="auto"/>
        </w:rPr>
      </w:pPr>
      <w:r>
        <w:rPr>
          <w:rFonts w:ascii="Arial" w:cs="Arial" w:eastAsia="Arial" w:hAnsi="Arial"/>
          <w:sz w:val="25"/>
          <w:szCs w:val="25"/>
          <w:color w:val="0D64EF"/>
        </w:rPr>
        <w:t>Fourth quarter 2025</w:t>
      </w:r>
    </w:p>
    <w:p>
      <w:pPr>
        <w:spacing w:after="0" w:line="148" w:lineRule="exact"/>
        <w:rPr>
          <w:sz w:val="20"/>
          <w:szCs w:val="20"/>
          <w:color w:val="auto"/>
        </w:rPr>
      </w:pPr>
    </w:p>
    <w:p>
      <w:pPr>
        <w:ind w:right="100"/>
        <w:spacing w:after="0" w:line="314" w:lineRule="auto"/>
        <w:rPr>
          <w:sz w:val="20"/>
          <w:szCs w:val="20"/>
          <w:color w:val="auto"/>
        </w:rPr>
      </w:pPr>
      <w:r>
        <w:rPr>
          <w:rFonts w:ascii="Arial" w:cs="Arial" w:eastAsia="Arial" w:hAnsi="Arial"/>
          <w:sz w:val="18"/>
          <w:szCs w:val="18"/>
          <w:color w:val="auto"/>
        </w:rPr>
        <w:t>On October 1, 2024, TC Energy completed the spinoff of its Liquids Pipelines business into a new public company, South Bow Corporation (South Bow) (the Spinoff Transaction). Upon completion of the Spinoff Transaction, the Liquids Pipelines business was accounted for as a discontinued operation. To allow for a meaningful comparison, discussions throughout this news release are based on continuing operations unless otherwise noted. Refer to the Discontinued operations section for additional information.</w:t>
      </w:r>
    </w:p>
    <w:p>
      <w:pPr>
        <w:spacing w:after="0" w:line="100" w:lineRule="exact"/>
        <w:rPr>
          <w:sz w:val="20"/>
          <w:szCs w:val="20"/>
          <w:color w:val="auto"/>
        </w:rPr>
      </w:pPr>
    </w:p>
    <w:p>
      <w:pPr>
        <w:spacing w:after="0"/>
        <w:rPr>
          <w:sz w:val="20"/>
          <w:szCs w:val="20"/>
          <w:color w:val="auto"/>
        </w:rPr>
      </w:pPr>
      <w:r>
        <w:rPr>
          <w:rFonts w:ascii="Arial" w:cs="Arial" w:eastAsia="Arial" w:hAnsi="Arial"/>
          <w:sz w:val="20"/>
          <w:szCs w:val="20"/>
          <w:b w:val="1"/>
          <w:bCs w:val="1"/>
          <w:color w:val="0D64EF"/>
        </w:rPr>
        <w:t>FORWARD-LOOKING INFORMATION</w:t>
      </w:r>
    </w:p>
    <w:p>
      <w:pPr>
        <w:spacing w:after="0" w:line="72" w:lineRule="exact"/>
        <w:rPr>
          <w:sz w:val="20"/>
          <w:szCs w:val="20"/>
          <w:color w:val="auto"/>
        </w:rPr>
      </w:pPr>
    </w:p>
    <w:p>
      <w:pPr>
        <w:ind w:right="200"/>
        <w:spacing w:after="0" w:line="334" w:lineRule="auto"/>
        <w:rPr>
          <w:sz w:val="20"/>
          <w:szCs w:val="20"/>
          <w:color w:val="auto"/>
        </w:rPr>
      </w:pPr>
      <w:r>
        <w:rPr>
          <w:rFonts w:ascii="Arial" w:cs="Arial" w:eastAsia="Arial" w:hAnsi="Arial"/>
          <w:sz w:val="18"/>
          <w:szCs w:val="18"/>
          <w:color w:val="auto"/>
        </w:rPr>
        <w:t>We disclose forward-looking information to help the reader understand management's assessment of our future plans and financial outlook and our future prospects overall.</w:t>
      </w:r>
    </w:p>
    <w:p>
      <w:pPr>
        <w:spacing w:after="0" w:line="31" w:lineRule="exact"/>
        <w:rPr>
          <w:sz w:val="20"/>
          <w:szCs w:val="20"/>
          <w:color w:val="auto"/>
        </w:rPr>
      </w:pPr>
    </w:p>
    <w:p>
      <w:pPr>
        <w:ind w:right="40"/>
        <w:spacing w:after="0" w:line="343" w:lineRule="auto"/>
        <w:rPr>
          <w:sz w:val="20"/>
          <w:szCs w:val="20"/>
          <w:color w:val="auto"/>
        </w:rPr>
      </w:pPr>
      <w:r>
        <w:rPr>
          <w:rFonts w:ascii="Arial" w:cs="Arial" w:eastAsia="Arial" w:hAnsi="Arial"/>
          <w:sz w:val="18"/>
          <w:szCs w:val="18"/>
          <w:color w:val="auto"/>
        </w:rPr>
        <w:t xml:space="preserve">Statements that are </w:t>
      </w:r>
      <w:r>
        <w:rPr>
          <w:rFonts w:ascii="Arial" w:cs="Arial" w:eastAsia="Arial" w:hAnsi="Arial"/>
          <w:sz w:val="18"/>
          <w:szCs w:val="18"/>
          <w:b w:val="1"/>
          <w:bCs w:val="1"/>
          <w:i w:val="1"/>
          <w:iCs w:val="1"/>
          <w:color w:val="auto"/>
        </w:rPr>
        <w:t>forward looking</w:t>
      </w:r>
      <w:r>
        <w:rPr>
          <w:rFonts w:ascii="Arial" w:cs="Arial" w:eastAsia="Arial" w:hAnsi="Arial"/>
          <w:sz w:val="18"/>
          <w:szCs w:val="18"/>
          <w:color w:val="auto"/>
        </w:rPr>
        <w:t xml:space="preserve"> are based on certain assumptions and on what we know and expect today and generally include words like </w:t>
      </w:r>
      <w:r>
        <w:rPr>
          <w:rFonts w:ascii="Arial" w:cs="Arial" w:eastAsia="Arial" w:hAnsi="Arial"/>
          <w:sz w:val="18"/>
          <w:szCs w:val="18"/>
          <w:b w:val="1"/>
          <w:bCs w:val="1"/>
          <w:i w:val="1"/>
          <w:iCs w:val="1"/>
          <w:color w:val="auto"/>
        </w:rPr>
        <w:t>anticipate, expect, believe, may, will, should, estimate</w:t>
      </w:r>
      <w:r>
        <w:rPr>
          <w:rFonts w:ascii="Arial" w:cs="Arial" w:eastAsia="Arial" w:hAnsi="Arial"/>
          <w:sz w:val="18"/>
          <w:szCs w:val="18"/>
          <w:color w:val="auto"/>
        </w:rPr>
        <w:t xml:space="preserve"> or other similar words.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Forward-looking statements in this news release include information about the following, among other things:</w:t>
      </w:r>
    </w:p>
    <w:p>
      <w:pPr>
        <w:spacing w:after="0" w:line="63" w:lineRule="exact"/>
        <w:rPr>
          <w:sz w:val="20"/>
          <w:szCs w:val="20"/>
          <w:color w:val="auto"/>
        </w:rPr>
      </w:pPr>
    </w:p>
    <w:p>
      <w:pPr>
        <w:ind w:left="140" w:hanging="132"/>
        <w:spacing w:after="0"/>
        <w:tabs>
          <w:tab w:leader="none" w:pos="1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financial and operational performance, including the performance of our subsidiaries</w:t>
      </w:r>
    </w:p>
    <w:p>
      <w:pPr>
        <w:spacing w:after="0" w:line="49" w:lineRule="exact"/>
        <w:rPr>
          <w:rFonts w:ascii="Arial" w:cs="Arial" w:eastAsia="Arial" w:hAnsi="Arial"/>
          <w:sz w:val="18"/>
          <w:szCs w:val="18"/>
          <w:color w:val="auto"/>
        </w:rPr>
      </w:pPr>
    </w:p>
    <w:p>
      <w:pPr>
        <w:ind w:left="140" w:hanging="132"/>
        <w:spacing w:after="0"/>
        <w:tabs>
          <w:tab w:leader="none" w:pos="1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expectations about strategies and goals for growth and expansion, including acquisitions</w:t>
      </w:r>
    </w:p>
    <w:p>
      <w:pPr>
        <w:spacing w:after="0" w:line="49" w:lineRule="exact"/>
        <w:rPr>
          <w:rFonts w:ascii="Arial" w:cs="Arial" w:eastAsia="Arial" w:hAnsi="Arial"/>
          <w:sz w:val="18"/>
          <w:szCs w:val="18"/>
          <w:color w:val="auto"/>
        </w:rPr>
      </w:pPr>
    </w:p>
    <w:p>
      <w:pPr>
        <w:ind w:left="140" w:hanging="132"/>
        <w:spacing w:after="0"/>
        <w:tabs>
          <w:tab w:leader="none" w:pos="1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expected cash flows and future financing options available along with portfolio management</w:t>
      </w:r>
    </w:p>
    <w:p>
      <w:pPr>
        <w:spacing w:after="0" w:line="63" w:lineRule="exact"/>
        <w:rPr>
          <w:rFonts w:ascii="Arial" w:cs="Arial" w:eastAsia="Arial" w:hAnsi="Arial"/>
          <w:sz w:val="18"/>
          <w:szCs w:val="18"/>
          <w:color w:val="auto"/>
        </w:rPr>
      </w:pPr>
    </w:p>
    <w:p>
      <w:pPr>
        <w:ind w:left="140" w:hanging="132"/>
        <w:spacing w:after="0"/>
        <w:tabs>
          <w:tab w:leader="none" w:pos="1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expectations regarding the size, structure, timing, conditions and outcome of ongoing and future transactions</w:t>
      </w:r>
    </w:p>
    <w:p>
      <w:pPr>
        <w:spacing w:after="0" w:line="49" w:lineRule="exact"/>
        <w:rPr>
          <w:rFonts w:ascii="Arial" w:cs="Arial" w:eastAsia="Arial" w:hAnsi="Arial"/>
          <w:sz w:val="18"/>
          <w:szCs w:val="18"/>
          <w:color w:val="auto"/>
        </w:rPr>
      </w:pPr>
    </w:p>
    <w:p>
      <w:pPr>
        <w:ind w:left="140" w:hanging="132"/>
        <w:spacing w:after="0"/>
        <w:tabs>
          <w:tab w:leader="none" w:pos="1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expected dividend growth</w:t>
      </w:r>
    </w:p>
    <w:p>
      <w:pPr>
        <w:spacing w:after="0" w:line="49" w:lineRule="exact"/>
        <w:rPr>
          <w:rFonts w:ascii="Arial" w:cs="Arial" w:eastAsia="Arial" w:hAnsi="Arial"/>
          <w:sz w:val="18"/>
          <w:szCs w:val="18"/>
          <w:color w:val="auto"/>
        </w:rPr>
      </w:pPr>
    </w:p>
    <w:p>
      <w:pPr>
        <w:ind w:left="140" w:hanging="132"/>
        <w:spacing w:after="0"/>
        <w:tabs>
          <w:tab w:leader="none" w:pos="1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expected access to and cost of capital</w:t>
      </w:r>
    </w:p>
    <w:p>
      <w:pPr>
        <w:spacing w:after="0" w:line="63" w:lineRule="exact"/>
        <w:rPr>
          <w:rFonts w:ascii="Arial" w:cs="Arial" w:eastAsia="Arial" w:hAnsi="Arial"/>
          <w:sz w:val="18"/>
          <w:szCs w:val="18"/>
          <w:color w:val="auto"/>
        </w:rPr>
      </w:pPr>
    </w:p>
    <w:p>
      <w:pPr>
        <w:ind w:left="140" w:hanging="132"/>
        <w:spacing w:after="0"/>
        <w:tabs>
          <w:tab w:leader="none" w:pos="1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expected energy demand levels</w:t>
      </w:r>
    </w:p>
    <w:p>
      <w:pPr>
        <w:spacing w:after="0" w:line="49" w:lineRule="exact"/>
        <w:rPr>
          <w:rFonts w:ascii="Arial" w:cs="Arial" w:eastAsia="Arial" w:hAnsi="Arial"/>
          <w:sz w:val="18"/>
          <w:szCs w:val="18"/>
          <w:color w:val="auto"/>
        </w:rPr>
      </w:pPr>
    </w:p>
    <w:p>
      <w:pPr>
        <w:ind w:left="140" w:hanging="132"/>
        <w:spacing w:after="0"/>
        <w:tabs>
          <w:tab w:leader="none" w:pos="1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expected costs and schedules for planned projects, including projects under construction and in development</w:t>
      </w:r>
    </w:p>
    <w:p>
      <w:pPr>
        <w:spacing w:after="0" w:line="49" w:lineRule="exact"/>
        <w:rPr>
          <w:rFonts w:ascii="Arial" w:cs="Arial" w:eastAsia="Arial" w:hAnsi="Arial"/>
          <w:sz w:val="18"/>
          <w:szCs w:val="18"/>
          <w:color w:val="auto"/>
        </w:rPr>
      </w:pPr>
    </w:p>
    <w:p>
      <w:pPr>
        <w:ind w:left="140" w:hanging="132"/>
        <w:spacing w:after="0"/>
        <w:tabs>
          <w:tab w:leader="none" w:pos="1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expected capital expenditures, contractual obligations, commitments and contingent liabilities, including environmental remediation costs</w:t>
      </w:r>
    </w:p>
    <w:p>
      <w:pPr>
        <w:spacing w:after="0" w:line="63" w:lineRule="exact"/>
        <w:rPr>
          <w:rFonts w:ascii="Arial" w:cs="Arial" w:eastAsia="Arial" w:hAnsi="Arial"/>
          <w:sz w:val="18"/>
          <w:szCs w:val="18"/>
          <w:color w:val="auto"/>
        </w:rPr>
      </w:pPr>
    </w:p>
    <w:p>
      <w:pPr>
        <w:ind w:left="140" w:hanging="132"/>
        <w:spacing w:after="0"/>
        <w:tabs>
          <w:tab w:leader="none" w:pos="1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expected regulatory processes and outcomes</w:t>
      </w:r>
    </w:p>
    <w:p>
      <w:pPr>
        <w:spacing w:after="0" w:line="49" w:lineRule="exact"/>
        <w:rPr>
          <w:rFonts w:ascii="Arial" w:cs="Arial" w:eastAsia="Arial" w:hAnsi="Arial"/>
          <w:sz w:val="18"/>
          <w:szCs w:val="18"/>
          <w:color w:val="auto"/>
        </w:rPr>
      </w:pPr>
    </w:p>
    <w:p>
      <w:pPr>
        <w:ind w:left="140" w:hanging="132"/>
        <w:spacing w:after="0"/>
        <w:tabs>
          <w:tab w:leader="none" w:pos="1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expected outcomes with respect to legal proceedings, including arbitration and insurance claims</w:t>
      </w:r>
    </w:p>
    <w:p>
      <w:pPr>
        <w:spacing w:after="0" w:line="49" w:lineRule="exact"/>
        <w:rPr>
          <w:rFonts w:ascii="Arial" w:cs="Arial" w:eastAsia="Arial" w:hAnsi="Arial"/>
          <w:sz w:val="18"/>
          <w:szCs w:val="18"/>
          <w:color w:val="auto"/>
        </w:rPr>
      </w:pPr>
    </w:p>
    <w:p>
      <w:pPr>
        <w:ind w:left="140" w:hanging="132"/>
        <w:spacing w:after="0"/>
        <w:tabs>
          <w:tab w:leader="none" w:pos="1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expected impact of future tax and accounting changes</w:t>
      </w:r>
    </w:p>
    <w:p>
      <w:pPr>
        <w:spacing w:after="0" w:line="63" w:lineRule="exact"/>
        <w:rPr>
          <w:rFonts w:ascii="Arial" w:cs="Arial" w:eastAsia="Arial" w:hAnsi="Arial"/>
          <w:sz w:val="18"/>
          <w:szCs w:val="18"/>
          <w:color w:val="auto"/>
        </w:rPr>
      </w:pPr>
    </w:p>
    <w:p>
      <w:pPr>
        <w:ind w:left="180" w:right="220" w:hanging="172"/>
        <w:spacing w:after="0" w:line="297" w:lineRule="auto"/>
        <w:tabs>
          <w:tab w:leader="none" w:pos="148"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commitments and targets contained in our Report on Sustainability, including statements related to our GHG emissions reduction targets, such as our methane emissions intensity target</w:t>
      </w:r>
    </w:p>
    <w:p>
      <w:pPr>
        <w:ind w:left="140" w:hanging="132"/>
        <w:spacing w:after="0"/>
        <w:tabs>
          <w:tab w:leader="none" w:pos="1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expected industry, market and economic conditions, and ongoing trade negotiations, including their impact on our customers and suppliers.</w:t>
      </w:r>
    </w:p>
    <w:p>
      <w:pPr>
        <w:spacing w:after="0" w:line="144" w:lineRule="exact"/>
        <w:rPr>
          <w:sz w:val="20"/>
          <w:szCs w:val="20"/>
          <w:color w:val="auto"/>
        </w:rPr>
      </w:pPr>
    </w:p>
    <w:p>
      <w:pPr>
        <w:ind w:right="580"/>
        <w:spacing w:after="0" w:line="334" w:lineRule="auto"/>
        <w:rPr>
          <w:sz w:val="20"/>
          <w:szCs w:val="20"/>
          <w:color w:val="auto"/>
        </w:rPr>
      </w:pPr>
      <w:r>
        <w:rPr>
          <w:rFonts w:ascii="Arial" w:cs="Arial" w:eastAsia="Arial" w:hAnsi="Arial"/>
          <w:sz w:val="18"/>
          <w:szCs w:val="18"/>
          <w:color w:val="auto"/>
        </w:rPr>
        <w:t>Forward-looking statements do not guarantee future performance. Actual events and results could be significantly different because of assumptions, risks or uncertainties related to our business or events that happen after the date of this news release.</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Our forward-looking information is based on the following key assumptions and subject to the following risks and uncertainties:</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b w:val="1"/>
          <w:bCs w:val="1"/>
          <w:color w:val="0D64EF"/>
        </w:rPr>
        <w:t>Assumptions</w:t>
      </w:r>
    </w:p>
    <w:p>
      <w:pPr>
        <w:spacing w:after="0" w:line="58" w:lineRule="exact"/>
        <w:rPr>
          <w:sz w:val="20"/>
          <w:szCs w:val="20"/>
          <w:color w:val="auto"/>
        </w:rPr>
      </w:pPr>
    </w:p>
    <w:p>
      <w:pPr>
        <w:ind w:left="140" w:hanging="132"/>
        <w:spacing w:after="0"/>
        <w:tabs>
          <w:tab w:leader="none" w:pos="1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realization of expected impacts from acquisitions and divestitures</w:t>
      </w:r>
    </w:p>
    <w:p>
      <w:pPr>
        <w:spacing w:after="0" w:line="49" w:lineRule="exact"/>
        <w:rPr>
          <w:rFonts w:ascii="Arial" w:cs="Arial" w:eastAsia="Arial" w:hAnsi="Arial"/>
          <w:sz w:val="18"/>
          <w:szCs w:val="18"/>
          <w:color w:val="auto"/>
        </w:rPr>
      </w:pPr>
    </w:p>
    <w:p>
      <w:pPr>
        <w:ind w:left="140" w:hanging="132"/>
        <w:spacing w:after="0"/>
        <w:tabs>
          <w:tab w:leader="none" w:pos="1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regulatory decisions and outcomes</w:t>
      </w:r>
    </w:p>
    <w:p>
      <w:pPr>
        <w:spacing w:after="0" w:line="63" w:lineRule="exact"/>
        <w:rPr>
          <w:rFonts w:ascii="Arial" w:cs="Arial" w:eastAsia="Arial" w:hAnsi="Arial"/>
          <w:sz w:val="18"/>
          <w:szCs w:val="18"/>
          <w:color w:val="auto"/>
        </w:rPr>
      </w:pPr>
    </w:p>
    <w:p>
      <w:pPr>
        <w:ind w:left="140" w:hanging="132"/>
        <w:spacing w:after="0"/>
        <w:tabs>
          <w:tab w:leader="none" w:pos="1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planned and unplanned outages and the utilization of our pipelines, power and storage assets</w:t>
      </w:r>
    </w:p>
    <w:p>
      <w:pPr>
        <w:spacing w:after="0" w:line="49" w:lineRule="exact"/>
        <w:rPr>
          <w:rFonts w:ascii="Arial" w:cs="Arial" w:eastAsia="Arial" w:hAnsi="Arial"/>
          <w:sz w:val="18"/>
          <w:szCs w:val="18"/>
          <w:color w:val="auto"/>
        </w:rPr>
      </w:pPr>
    </w:p>
    <w:p>
      <w:pPr>
        <w:ind w:left="140" w:hanging="132"/>
        <w:spacing w:after="0"/>
        <w:tabs>
          <w:tab w:leader="none" w:pos="1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integrity and reliability of our assets</w:t>
      </w:r>
    </w:p>
    <w:p>
      <w:pPr>
        <w:spacing w:after="0" w:line="49" w:lineRule="exact"/>
        <w:rPr>
          <w:rFonts w:ascii="Arial" w:cs="Arial" w:eastAsia="Arial" w:hAnsi="Arial"/>
          <w:sz w:val="18"/>
          <w:szCs w:val="18"/>
          <w:color w:val="auto"/>
        </w:rPr>
      </w:pPr>
    </w:p>
    <w:p>
      <w:pPr>
        <w:ind w:left="140" w:hanging="132"/>
        <w:spacing w:after="0"/>
        <w:tabs>
          <w:tab w:leader="none" w:pos="1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anticipated construction costs, schedules and completion dates</w:t>
      </w:r>
    </w:p>
    <w:p>
      <w:pPr>
        <w:spacing w:after="0" w:line="63" w:lineRule="exact"/>
        <w:rPr>
          <w:rFonts w:ascii="Arial" w:cs="Arial" w:eastAsia="Arial" w:hAnsi="Arial"/>
          <w:sz w:val="18"/>
          <w:szCs w:val="18"/>
          <w:color w:val="auto"/>
        </w:rPr>
      </w:pPr>
    </w:p>
    <w:p>
      <w:pPr>
        <w:ind w:left="140" w:hanging="132"/>
        <w:spacing w:after="0"/>
        <w:tabs>
          <w:tab w:leader="none" w:pos="1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access to capital markets, including portfolio management</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TC Energy </w:t>
      </w:r>
      <w:r>
        <w:rPr>
          <w:rFonts w:ascii="Arial" w:cs="Arial" w:eastAsia="Arial" w:hAnsi="Arial"/>
          <w:sz w:val="18"/>
          <w:szCs w:val="18"/>
          <w:b w:val="1"/>
          <w:bCs w:val="1"/>
          <w:color w:val="0D64EF"/>
        </w:rPr>
        <w:t>Fourth Quarter</w:t>
      </w:r>
      <w:r>
        <w:rPr>
          <w:rFonts w:ascii="Arial" w:cs="Arial" w:eastAsia="Arial" w:hAnsi="Arial"/>
          <w:sz w:val="18"/>
          <w:szCs w:val="18"/>
          <w:color w:val="auto"/>
        </w:rPr>
        <w:t xml:space="preserve"> News Release 2025 | 1</w:t>
      </w:r>
    </w:p>
    <w:p>
      <w:pPr>
        <w:sectPr>
          <w:pgSz w:w="11900" w:h="16838" w:orient="portrait"/>
          <w:cols w:equalWidth="0" w:num="1">
            <w:col w:w="11240"/>
          </w:cols>
          <w:pgMar w:left="320" w:top="1359" w:right="339" w:bottom="1440" w:gutter="0" w:footer="0" w:header="0"/>
        </w:sectPr>
      </w:pPr>
    </w:p>
    <w:bookmarkStart w:id="14" w:name="page15"/>
    <w:bookmarkEnd w:id="14"/>
    <w:p>
      <w:pPr>
        <w:ind w:left="140" w:hanging="132"/>
        <w:spacing w:after="0"/>
        <w:tabs>
          <w:tab w:leader="none" w:pos="1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expected industry, market and economic conditions, including the impact of these on our customers and suppliers</w:t>
      </w:r>
    </w:p>
    <w:p>
      <w:pPr>
        <w:spacing w:after="0" w:line="49" w:lineRule="exact"/>
        <w:rPr>
          <w:rFonts w:ascii="Arial" w:cs="Arial" w:eastAsia="Arial" w:hAnsi="Arial"/>
          <w:sz w:val="18"/>
          <w:szCs w:val="18"/>
          <w:color w:val="auto"/>
        </w:rPr>
      </w:pPr>
    </w:p>
    <w:p>
      <w:pPr>
        <w:ind w:left="140" w:hanging="132"/>
        <w:spacing w:after="0"/>
        <w:tabs>
          <w:tab w:leader="none" w:pos="1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inflation rates, commodity and labour prices</w:t>
      </w:r>
    </w:p>
    <w:p>
      <w:pPr>
        <w:spacing w:after="0" w:line="49" w:lineRule="exact"/>
        <w:rPr>
          <w:rFonts w:ascii="Arial" w:cs="Arial" w:eastAsia="Arial" w:hAnsi="Arial"/>
          <w:sz w:val="18"/>
          <w:szCs w:val="18"/>
          <w:color w:val="auto"/>
        </w:rPr>
      </w:pPr>
    </w:p>
    <w:p>
      <w:pPr>
        <w:ind w:left="140" w:hanging="132"/>
        <w:spacing w:after="0"/>
        <w:tabs>
          <w:tab w:leader="none" w:pos="1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interest, tax and foreign exchange rates</w:t>
      </w:r>
    </w:p>
    <w:p>
      <w:pPr>
        <w:spacing w:after="0" w:line="63" w:lineRule="exact"/>
        <w:rPr>
          <w:rFonts w:ascii="Arial" w:cs="Arial" w:eastAsia="Arial" w:hAnsi="Arial"/>
          <w:sz w:val="18"/>
          <w:szCs w:val="18"/>
          <w:color w:val="auto"/>
        </w:rPr>
      </w:pPr>
    </w:p>
    <w:p>
      <w:pPr>
        <w:ind w:left="140" w:hanging="132"/>
        <w:spacing w:after="0"/>
        <w:tabs>
          <w:tab w:leader="none" w:pos="1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nature and scope of hedging.</w:t>
      </w:r>
    </w:p>
    <w:p>
      <w:pPr>
        <w:spacing w:after="0" w:line="153" w:lineRule="exact"/>
        <w:rPr>
          <w:sz w:val="20"/>
          <w:szCs w:val="20"/>
          <w:color w:val="auto"/>
        </w:rPr>
      </w:pPr>
    </w:p>
    <w:p>
      <w:pPr>
        <w:spacing w:after="0"/>
        <w:rPr>
          <w:sz w:val="20"/>
          <w:szCs w:val="20"/>
          <w:color w:val="auto"/>
        </w:rPr>
      </w:pPr>
      <w:r>
        <w:rPr>
          <w:rFonts w:ascii="Arial" w:cs="Arial" w:eastAsia="Arial" w:hAnsi="Arial"/>
          <w:sz w:val="20"/>
          <w:szCs w:val="20"/>
          <w:b w:val="1"/>
          <w:bCs w:val="1"/>
          <w:color w:val="0D64EF"/>
        </w:rPr>
        <w:t>Risks and uncertainties</w:t>
      </w:r>
    </w:p>
    <w:p>
      <w:pPr>
        <w:spacing w:after="0" w:line="58" w:lineRule="exact"/>
        <w:rPr>
          <w:sz w:val="20"/>
          <w:szCs w:val="20"/>
          <w:color w:val="auto"/>
        </w:rPr>
      </w:pPr>
    </w:p>
    <w:p>
      <w:pPr>
        <w:ind w:left="140" w:hanging="132"/>
        <w:spacing w:after="0"/>
        <w:tabs>
          <w:tab w:leader="none" w:pos="1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realization of expected impacts from acquisitions and divestitures</w:t>
      </w:r>
    </w:p>
    <w:p>
      <w:pPr>
        <w:spacing w:after="0" w:line="63" w:lineRule="exact"/>
        <w:rPr>
          <w:rFonts w:ascii="Arial" w:cs="Arial" w:eastAsia="Arial" w:hAnsi="Arial"/>
          <w:sz w:val="18"/>
          <w:szCs w:val="18"/>
          <w:color w:val="auto"/>
        </w:rPr>
      </w:pPr>
    </w:p>
    <w:p>
      <w:pPr>
        <w:ind w:left="140" w:hanging="132"/>
        <w:spacing w:after="0"/>
        <w:tabs>
          <w:tab w:leader="none" w:pos="1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successfully implement our strategic priorities and whether they will yield the expected benefits</w:t>
      </w:r>
    </w:p>
    <w:p>
      <w:pPr>
        <w:spacing w:after="0" w:line="49" w:lineRule="exact"/>
        <w:rPr>
          <w:rFonts w:ascii="Arial" w:cs="Arial" w:eastAsia="Arial" w:hAnsi="Arial"/>
          <w:sz w:val="18"/>
          <w:szCs w:val="18"/>
          <w:color w:val="auto"/>
        </w:rPr>
      </w:pPr>
    </w:p>
    <w:p>
      <w:pPr>
        <w:ind w:left="140" w:hanging="132"/>
        <w:spacing w:after="0"/>
        <w:tabs>
          <w:tab w:leader="none" w:pos="1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implement a capital allocation strategy aligned with maximizing shareholder value</w:t>
      </w:r>
    </w:p>
    <w:p>
      <w:pPr>
        <w:spacing w:after="0" w:line="49" w:lineRule="exact"/>
        <w:rPr>
          <w:rFonts w:ascii="Arial" w:cs="Arial" w:eastAsia="Arial" w:hAnsi="Arial"/>
          <w:sz w:val="18"/>
          <w:szCs w:val="18"/>
          <w:color w:val="auto"/>
        </w:rPr>
      </w:pPr>
    </w:p>
    <w:p>
      <w:pPr>
        <w:ind w:left="140" w:hanging="132"/>
        <w:spacing w:after="0"/>
        <w:tabs>
          <w:tab w:leader="none" w:pos="1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operating performance of our pipelines, power generation and storage assets</w:t>
      </w:r>
    </w:p>
    <w:p>
      <w:pPr>
        <w:spacing w:after="0" w:line="63" w:lineRule="exact"/>
        <w:rPr>
          <w:rFonts w:ascii="Arial" w:cs="Arial" w:eastAsia="Arial" w:hAnsi="Arial"/>
          <w:sz w:val="18"/>
          <w:szCs w:val="18"/>
          <w:color w:val="auto"/>
        </w:rPr>
      </w:pPr>
    </w:p>
    <w:p>
      <w:pPr>
        <w:ind w:left="140" w:hanging="132"/>
        <w:spacing w:after="0"/>
        <w:tabs>
          <w:tab w:leader="none" w:pos="1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amount of capacity sold and rates achieved in our pipeline businesses</w:t>
      </w:r>
    </w:p>
    <w:p>
      <w:pPr>
        <w:spacing w:after="0" w:line="49" w:lineRule="exact"/>
        <w:rPr>
          <w:rFonts w:ascii="Arial" w:cs="Arial" w:eastAsia="Arial" w:hAnsi="Arial"/>
          <w:sz w:val="18"/>
          <w:szCs w:val="18"/>
          <w:color w:val="auto"/>
        </w:rPr>
      </w:pPr>
    </w:p>
    <w:p>
      <w:pPr>
        <w:ind w:left="140" w:hanging="132"/>
        <w:spacing w:after="0"/>
        <w:tabs>
          <w:tab w:leader="none" w:pos="1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amount of capacity payments and revenues from power generation assets due to plant availability</w:t>
      </w:r>
    </w:p>
    <w:p>
      <w:pPr>
        <w:spacing w:after="0" w:line="49" w:lineRule="exact"/>
        <w:rPr>
          <w:rFonts w:ascii="Arial" w:cs="Arial" w:eastAsia="Arial" w:hAnsi="Arial"/>
          <w:sz w:val="18"/>
          <w:szCs w:val="18"/>
          <w:color w:val="auto"/>
        </w:rPr>
      </w:pPr>
    </w:p>
    <w:p>
      <w:pPr>
        <w:ind w:left="140" w:hanging="132"/>
        <w:spacing w:after="0"/>
        <w:tabs>
          <w:tab w:leader="none" w:pos="1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production levels within supply basins</w:t>
      </w:r>
    </w:p>
    <w:p>
      <w:pPr>
        <w:spacing w:after="0" w:line="63" w:lineRule="exact"/>
        <w:rPr>
          <w:rFonts w:ascii="Arial" w:cs="Arial" w:eastAsia="Arial" w:hAnsi="Arial"/>
          <w:sz w:val="18"/>
          <w:szCs w:val="18"/>
          <w:color w:val="auto"/>
        </w:rPr>
      </w:pPr>
    </w:p>
    <w:p>
      <w:pPr>
        <w:ind w:left="140" w:hanging="132"/>
        <w:spacing w:after="0"/>
        <w:tabs>
          <w:tab w:leader="none" w:pos="1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construction and completion of capital projects</w:t>
      </w:r>
    </w:p>
    <w:p>
      <w:pPr>
        <w:spacing w:after="0" w:line="49" w:lineRule="exact"/>
        <w:rPr>
          <w:rFonts w:ascii="Arial" w:cs="Arial" w:eastAsia="Arial" w:hAnsi="Arial"/>
          <w:sz w:val="18"/>
          <w:szCs w:val="18"/>
          <w:color w:val="auto"/>
        </w:rPr>
      </w:pPr>
    </w:p>
    <w:p>
      <w:pPr>
        <w:ind w:left="140" w:hanging="132"/>
        <w:spacing w:after="0"/>
        <w:tabs>
          <w:tab w:leader="none" w:pos="1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cost, availability of, and inflationary pressures on, labour, equipment and materials</w:t>
      </w:r>
    </w:p>
    <w:p>
      <w:pPr>
        <w:spacing w:after="0" w:line="49" w:lineRule="exact"/>
        <w:rPr>
          <w:rFonts w:ascii="Arial" w:cs="Arial" w:eastAsia="Arial" w:hAnsi="Arial"/>
          <w:sz w:val="18"/>
          <w:szCs w:val="18"/>
          <w:color w:val="auto"/>
        </w:rPr>
      </w:pPr>
    </w:p>
    <w:p>
      <w:pPr>
        <w:ind w:left="140" w:hanging="132"/>
        <w:spacing w:after="0"/>
        <w:tabs>
          <w:tab w:leader="none" w:pos="1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availability and market prices of commodities</w:t>
      </w:r>
    </w:p>
    <w:p>
      <w:pPr>
        <w:spacing w:after="0" w:line="63" w:lineRule="exact"/>
        <w:rPr>
          <w:rFonts w:ascii="Arial" w:cs="Arial" w:eastAsia="Arial" w:hAnsi="Arial"/>
          <w:sz w:val="18"/>
          <w:szCs w:val="18"/>
          <w:color w:val="auto"/>
        </w:rPr>
      </w:pPr>
    </w:p>
    <w:p>
      <w:pPr>
        <w:ind w:left="140" w:hanging="132"/>
        <w:spacing w:after="0"/>
        <w:tabs>
          <w:tab w:leader="none" w:pos="1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access to capital markets on competitive terms</w:t>
      </w:r>
    </w:p>
    <w:p>
      <w:pPr>
        <w:spacing w:after="0" w:line="49" w:lineRule="exact"/>
        <w:rPr>
          <w:rFonts w:ascii="Arial" w:cs="Arial" w:eastAsia="Arial" w:hAnsi="Arial"/>
          <w:sz w:val="18"/>
          <w:szCs w:val="18"/>
          <w:color w:val="auto"/>
        </w:rPr>
      </w:pPr>
    </w:p>
    <w:p>
      <w:pPr>
        <w:ind w:left="140" w:hanging="132"/>
        <w:spacing w:after="0"/>
        <w:tabs>
          <w:tab w:leader="none" w:pos="1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interest, tax and foreign exchange rates</w:t>
      </w:r>
    </w:p>
    <w:p>
      <w:pPr>
        <w:spacing w:after="0" w:line="49" w:lineRule="exact"/>
        <w:rPr>
          <w:rFonts w:ascii="Arial" w:cs="Arial" w:eastAsia="Arial" w:hAnsi="Arial"/>
          <w:sz w:val="18"/>
          <w:szCs w:val="18"/>
          <w:color w:val="auto"/>
        </w:rPr>
      </w:pPr>
    </w:p>
    <w:p>
      <w:pPr>
        <w:ind w:left="140" w:hanging="132"/>
        <w:spacing w:after="0"/>
        <w:tabs>
          <w:tab w:leader="none" w:pos="1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performance and credit risk of our counterparties</w:t>
      </w:r>
    </w:p>
    <w:p>
      <w:pPr>
        <w:spacing w:after="0" w:line="63" w:lineRule="exact"/>
        <w:rPr>
          <w:rFonts w:ascii="Arial" w:cs="Arial" w:eastAsia="Arial" w:hAnsi="Arial"/>
          <w:sz w:val="18"/>
          <w:szCs w:val="18"/>
          <w:color w:val="auto"/>
        </w:rPr>
      </w:pPr>
    </w:p>
    <w:p>
      <w:pPr>
        <w:ind w:left="140" w:hanging="132"/>
        <w:spacing w:after="0"/>
        <w:tabs>
          <w:tab w:leader="none" w:pos="1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regulatory decisions and outcomes of legal proceedings, including arbitration and insurance claims</w:t>
      </w:r>
    </w:p>
    <w:p>
      <w:pPr>
        <w:spacing w:after="0" w:line="49" w:lineRule="exact"/>
        <w:rPr>
          <w:rFonts w:ascii="Arial" w:cs="Arial" w:eastAsia="Arial" w:hAnsi="Arial"/>
          <w:sz w:val="18"/>
          <w:szCs w:val="18"/>
          <w:color w:val="auto"/>
        </w:rPr>
      </w:pPr>
    </w:p>
    <w:p>
      <w:pPr>
        <w:ind w:left="140" w:hanging="132"/>
        <w:spacing w:after="0"/>
        <w:tabs>
          <w:tab w:leader="none" w:pos="1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effectively anticipate and assess changes to government policies and regulations, including those related to the environment</w:t>
      </w:r>
    </w:p>
    <w:p>
      <w:pPr>
        <w:spacing w:after="0" w:line="49" w:lineRule="exact"/>
        <w:rPr>
          <w:rFonts w:ascii="Arial" w:cs="Arial" w:eastAsia="Arial" w:hAnsi="Arial"/>
          <w:sz w:val="18"/>
          <w:szCs w:val="18"/>
          <w:color w:val="auto"/>
        </w:rPr>
      </w:pPr>
    </w:p>
    <w:p>
      <w:pPr>
        <w:ind w:left="140" w:hanging="132"/>
        <w:spacing w:after="0"/>
        <w:tabs>
          <w:tab w:leader="none" w:pos="1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realize the value of tangible assets and contractual recoveries</w:t>
      </w:r>
    </w:p>
    <w:p>
      <w:pPr>
        <w:spacing w:after="0" w:line="49" w:lineRule="exact"/>
        <w:rPr>
          <w:rFonts w:ascii="Arial" w:cs="Arial" w:eastAsia="Arial" w:hAnsi="Arial"/>
          <w:sz w:val="18"/>
          <w:szCs w:val="18"/>
          <w:color w:val="auto"/>
        </w:rPr>
      </w:pPr>
    </w:p>
    <w:p>
      <w:pPr>
        <w:ind w:left="140" w:hanging="132"/>
        <w:spacing w:after="0"/>
        <w:tabs>
          <w:tab w:leader="none" w:pos="1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competition in the businesses in which we operate</w:t>
      </w:r>
    </w:p>
    <w:p>
      <w:pPr>
        <w:spacing w:after="0" w:line="63" w:lineRule="exact"/>
        <w:rPr>
          <w:rFonts w:ascii="Arial" w:cs="Arial" w:eastAsia="Arial" w:hAnsi="Arial"/>
          <w:sz w:val="18"/>
          <w:szCs w:val="18"/>
          <w:color w:val="auto"/>
        </w:rPr>
      </w:pPr>
    </w:p>
    <w:p>
      <w:pPr>
        <w:ind w:left="140" w:hanging="132"/>
        <w:spacing w:after="0"/>
        <w:tabs>
          <w:tab w:leader="none" w:pos="1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unexpected or unusual weather</w:t>
      </w:r>
    </w:p>
    <w:p>
      <w:pPr>
        <w:spacing w:after="0" w:line="49" w:lineRule="exact"/>
        <w:rPr>
          <w:rFonts w:ascii="Arial" w:cs="Arial" w:eastAsia="Arial" w:hAnsi="Arial"/>
          <w:sz w:val="18"/>
          <w:szCs w:val="18"/>
          <w:color w:val="auto"/>
        </w:rPr>
      </w:pPr>
    </w:p>
    <w:p>
      <w:pPr>
        <w:ind w:left="140" w:hanging="132"/>
        <w:spacing w:after="0"/>
        <w:tabs>
          <w:tab w:leader="none" w:pos="1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acts of civil disobedience</w:t>
      </w:r>
    </w:p>
    <w:p>
      <w:pPr>
        <w:spacing w:after="0" w:line="49" w:lineRule="exact"/>
        <w:rPr>
          <w:rFonts w:ascii="Arial" w:cs="Arial" w:eastAsia="Arial" w:hAnsi="Arial"/>
          <w:sz w:val="18"/>
          <w:szCs w:val="18"/>
          <w:color w:val="auto"/>
        </w:rPr>
      </w:pPr>
    </w:p>
    <w:p>
      <w:pPr>
        <w:ind w:left="140" w:hanging="132"/>
        <w:spacing w:after="0"/>
        <w:tabs>
          <w:tab w:leader="none" w:pos="1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cybersecurity and technological developments</w:t>
      </w:r>
    </w:p>
    <w:p>
      <w:pPr>
        <w:spacing w:after="0" w:line="63" w:lineRule="exact"/>
        <w:rPr>
          <w:rFonts w:ascii="Arial" w:cs="Arial" w:eastAsia="Arial" w:hAnsi="Arial"/>
          <w:sz w:val="18"/>
          <w:szCs w:val="18"/>
          <w:color w:val="auto"/>
        </w:rPr>
      </w:pPr>
    </w:p>
    <w:p>
      <w:pPr>
        <w:ind w:left="140" w:hanging="132"/>
        <w:spacing w:after="0"/>
        <w:tabs>
          <w:tab w:leader="none" w:pos="1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sustainability-related risks including climate-related risks and the impact of energy transition on our business</w:t>
      </w:r>
    </w:p>
    <w:p>
      <w:pPr>
        <w:spacing w:after="0" w:line="49" w:lineRule="exact"/>
        <w:rPr>
          <w:rFonts w:ascii="Arial" w:cs="Arial" w:eastAsia="Arial" w:hAnsi="Arial"/>
          <w:sz w:val="18"/>
          <w:szCs w:val="18"/>
          <w:color w:val="auto"/>
        </w:rPr>
      </w:pPr>
    </w:p>
    <w:p>
      <w:pPr>
        <w:ind w:left="140" w:hanging="132"/>
        <w:spacing w:after="0"/>
        <w:tabs>
          <w:tab w:leader="none" w:pos="1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economic and political conditions, and ongoing trade negotiations in North America, as well as globally</w:t>
      </w:r>
    </w:p>
    <w:p>
      <w:pPr>
        <w:spacing w:after="0" w:line="49" w:lineRule="exact"/>
        <w:rPr>
          <w:rFonts w:ascii="Arial" w:cs="Arial" w:eastAsia="Arial" w:hAnsi="Arial"/>
          <w:sz w:val="18"/>
          <w:szCs w:val="18"/>
          <w:color w:val="auto"/>
        </w:rPr>
      </w:pPr>
    </w:p>
    <w:p>
      <w:pPr>
        <w:ind w:left="140" w:hanging="132"/>
        <w:spacing w:after="0"/>
        <w:tabs>
          <w:tab w:leader="none" w:pos="1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global health crises, such as pandemics and epidemics, and the impacts related thereto.</w:t>
      </w:r>
    </w:p>
    <w:p>
      <w:pPr>
        <w:spacing w:after="0" w:line="144" w:lineRule="exact"/>
        <w:rPr>
          <w:sz w:val="20"/>
          <w:szCs w:val="20"/>
          <w:color w:val="auto"/>
        </w:rPr>
      </w:pPr>
    </w:p>
    <w:p>
      <w:pPr>
        <w:spacing w:after="0" w:line="350" w:lineRule="auto"/>
        <w:rPr>
          <w:sz w:val="20"/>
          <w:szCs w:val="20"/>
          <w:color w:val="auto"/>
        </w:rPr>
      </w:pPr>
      <w:r>
        <w:rPr>
          <w:rFonts w:ascii="Arial" w:cs="Arial" w:eastAsia="Arial" w:hAnsi="Arial"/>
          <w:sz w:val="18"/>
          <w:szCs w:val="18"/>
          <w:color w:val="auto"/>
        </w:rPr>
        <w:t>You can read more about these factors and others in reports we have filed with the Canadian securities regulators and the SEC, including the Management's discussion and analysis (MD&amp;A) of our 2025 Annual Report.</w:t>
      </w:r>
    </w:p>
    <w:p>
      <w:pPr>
        <w:spacing w:after="0" w:line="17" w:lineRule="exact"/>
        <w:rPr>
          <w:sz w:val="20"/>
          <w:szCs w:val="20"/>
          <w:color w:val="auto"/>
        </w:rPr>
      </w:pPr>
    </w:p>
    <w:p>
      <w:pPr>
        <w:ind w:right="360"/>
        <w:spacing w:after="0" w:line="315" w:lineRule="auto"/>
        <w:rPr>
          <w:sz w:val="20"/>
          <w:szCs w:val="20"/>
          <w:color w:val="auto"/>
        </w:rPr>
      </w:pPr>
      <w:r>
        <w:rPr>
          <w:rFonts w:ascii="Arial" w:cs="Arial" w:eastAsia="Arial" w:hAnsi="Arial"/>
          <w:sz w:val="18"/>
          <w:szCs w:val="18"/>
          <w:color w:val="auto"/>
        </w:rPr>
        <w:t>As actual results could vary significantly from the forward-looking information, you should not put undue reliance on forward-looking information and should not use future-oriented information or financial outlooks for anything other than their intended purpose. We do not update our forward-looking statements due to new information or future events unless we are required to by law.</w:t>
      </w:r>
    </w:p>
    <w:p>
      <w:pPr>
        <w:spacing w:after="0" w:line="98" w:lineRule="exact"/>
        <w:rPr>
          <w:sz w:val="20"/>
          <w:szCs w:val="20"/>
          <w:color w:val="auto"/>
        </w:rPr>
      </w:pPr>
    </w:p>
    <w:p>
      <w:pPr>
        <w:spacing w:after="0"/>
        <w:rPr>
          <w:sz w:val="20"/>
          <w:szCs w:val="20"/>
          <w:color w:val="auto"/>
        </w:rPr>
      </w:pPr>
      <w:r>
        <w:rPr>
          <w:rFonts w:ascii="Arial" w:cs="Arial" w:eastAsia="Arial" w:hAnsi="Arial"/>
          <w:sz w:val="20"/>
          <w:szCs w:val="20"/>
          <w:b w:val="1"/>
          <w:bCs w:val="1"/>
          <w:color w:val="0D64EF"/>
        </w:rPr>
        <w:t>FOR MORE INFORMATION</w:t>
      </w:r>
    </w:p>
    <w:p>
      <w:pPr>
        <w:spacing w:after="0" w:line="72" w:lineRule="exact"/>
        <w:rPr>
          <w:sz w:val="20"/>
          <w:szCs w:val="20"/>
          <w:color w:val="auto"/>
        </w:rPr>
      </w:pPr>
    </w:p>
    <w:p>
      <w:pPr>
        <w:ind w:right="420"/>
        <w:spacing w:after="0" w:line="334" w:lineRule="auto"/>
        <w:rPr>
          <w:sz w:val="20"/>
          <w:szCs w:val="20"/>
          <w:color w:val="auto"/>
        </w:rPr>
      </w:pPr>
      <w:r>
        <w:rPr>
          <w:rFonts w:ascii="Arial" w:cs="Arial" w:eastAsia="Arial" w:hAnsi="Arial"/>
          <w:sz w:val="18"/>
          <w:szCs w:val="18"/>
          <w:color w:val="auto"/>
        </w:rPr>
        <w:t>You can find more information about TC Energy in our Annual Information Form and other disclosure documents, which are available on SEDAR+ (www.sedarplus.ca).</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 | TC Energy </w:t>
      </w:r>
      <w:r>
        <w:rPr>
          <w:rFonts w:ascii="Arial" w:cs="Arial" w:eastAsia="Arial" w:hAnsi="Arial"/>
          <w:sz w:val="18"/>
          <w:szCs w:val="18"/>
          <w:b w:val="1"/>
          <w:bCs w:val="1"/>
          <w:color w:val="0D64EF"/>
        </w:rPr>
        <w:t>Fourth Quarter</w:t>
      </w:r>
      <w:r>
        <w:rPr>
          <w:rFonts w:ascii="Arial" w:cs="Arial" w:eastAsia="Arial" w:hAnsi="Arial"/>
          <w:sz w:val="18"/>
          <w:szCs w:val="18"/>
          <w:color w:val="auto"/>
        </w:rPr>
        <w:t xml:space="preserve"> News Release 2025</w:t>
      </w:r>
    </w:p>
    <w:p>
      <w:pPr>
        <w:sectPr>
          <w:pgSz w:w="11900" w:h="16838" w:orient="portrait"/>
          <w:cols w:equalWidth="0" w:num="1">
            <w:col w:w="11240"/>
          </w:cols>
          <w:pgMar w:left="320" w:top="1295" w:right="339" w:bottom="1440" w:gutter="0" w:footer="0" w:header="0"/>
        </w:sectPr>
      </w:pPr>
    </w:p>
    <w:bookmarkStart w:id="15" w:name="page16"/>
    <w:bookmarkEnd w:id="15"/>
    <w:p>
      <w:pPr>
        <w:spacing w:after="0"/>
        <w:rPr>
          <w:sz w:val="20"/>
          <w:szCs w:val="20"/>
          <w:color w:val="auto"/>
        </w:rPr>
      </w:pPr>
      <w:r>
        <w:rPr>
          <w:rFonts w:ascii="Arial" w:cs="Arial" w:eastAsia="Arial" w:hAnsi="Arial"/>
          <w:sz w:val="20"/>
          <w:szCs w:val="20"/>
          <w:b w:val="1"/>
          <w:bCs w:val="1"/>
          <w:color w:val="0D64EF"/>
        </w:rPr>
        <w:t>Fourth quarter 2025 financial highlights</w:t>
      </w:r>
    </w:p>
    <w:p>
      <w:pPr>
        <w:spacing w:after="0" w:line="58" w:lineRule="exact"/>
        <w:rPr>
          <w:sz w:val="20"/>
          <w:szCs w:val="20"/>
          <w:color w:val="auto"/>
        </w:rPr>
      </w:pPr>
    </w:p>
    <w:p>
      <w:pPr>
        <w:ind w:right="80"/>
        <w:spacing w:after="0" w:line="323" w:lineRule="auto"/>
        <w:rPr>
          <w:sz w:val="20"/>
          <w:szCs w:val="20"/>
          <w:color w:val="auto"/>
        </w:rPr>
      </w:pPr>
      <w:r>
        <w:rPr>
          <w:rFonts w:ascii="Arial" w:cs="Arial" w:eastAsia="Arial" w:hAnsi="Arial"/>
          <w:sz w:val="18"/>
          <w:szCs w:val="18"/>
          <w:color w:val="auto"/>
        </w:rPr>
        <w:t>We use certain financial measures that do not have a standardized meaning under GAAP because we believe they improve our ability to compare results between reporting periods and enhance understanding of our operating performance. Known as non-GAAP measures, they may not be comparable to similar measures provided by other companies.</w:t>
      </w:r>
    </w:p>
    <w:p>
      <w:pPr>
        <w:spacing w:after="0" w:line="42" w:lineRule="exact"/>
        <w:rPr>
          <w:sz w:val="20"/>
          <w:szCs w:val="20"/>
          <w:color w:val="auto"/>
        </w:rPr>
      </w:pPr>
    </w:p>
    <w:p>
      <w:pPr>
        <w:ind w:right="40"/>
        <w:spacing w:after="0" w:line="314" w:lineRule="auto"/>
        <w:rPr>
          <w:sz w:val="20"/>
          <w:szCs w:val="20"/>
          <w:color w:val="auto"/>
        </w:rPr>
      </w:pPr>
      <w:r>
        <w:rPr>
          <w:rFonts w:ascii="Arial" w:cs="Arial" w:eastAsia="Arial" w:hAnsi="Arial"/>
          <w:sz w:val="18"/>
          <w:szCs w:val="18"/>
          <w:color w:val="auto"/>
        </w:rPr>
        <w:t>Comparable EBITDA, comparable earnings and comparable earnings per common share from continuing and discontinued operations and comparable funds generated from operations are all non-GAAP measures. Refer to page 6 for more information about the non-GAAP measures we use, as well as the Financial results section in each business segment and Discontinued operations sections for reconciliations to the most directly comparable GAAP measures.</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Discussions throughout this news release are based on continuing operations unless otherwise noted.</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540" w:type="dxa"/>
            <w:vAlign w:val="bottom"/>
            <w:tcBorders>
              <w:top w:val="single" w:sz="8" w:color="0D64EF"/>
            </w:tcBorders>
            <w:shd w:val="clear" w:color="auto" w:fill="D1D0CF"/>
          </w:tcPr>
          <w:p>
            <w:pPr>
              <w:spacing w:after="0"/>
              <w:rPr>
                <w:sz w:val="16"/>
                <w:szCs w:val="16"/>
                <w:color w:val="auto"/>
              </w:rPr>
            </w:pPr>
          </w:p>
        </w:tc>
        <w:tc>
          <w:tcPr>
            <w:tcW w:w="120" w:type="dxa"/>
            <w:vAlign w:val="bottom"/>
            <w:tcBorders>
              <w:top w:val="single" w:sz="8" w:color="0D64EF"/>
            </w:tcBorders>
            <w:shd w:val="clear" w:color="auto" w:fill="D1D0CF"/>
          </w:tcPr>
          <w:p>
            <w:pPr>
              <w:spacing w:after="0"/>
              <w:rPr>
                <w:sz w:val="16"/>
                <w:szCs w:val="16"/>
                <w:color w:val="auto"/>
              </w:rPr>
            </w:pPr>
          </w:p>
        </w:tc>
        <w:tc>
          <w:tcPr>
            <w:tcW w:w="2840" w:type="dxa"/>
            <w:vAlign w:val="bottom"/>
            <w:tcBorders>
              <w:top w:val="single" w:sz="8" w:color="0D64EF"/>
            </w:tcBorders>
            <w:gridSpan w:val="3"/>
            <w:shd w:val="clear" w:color="auto" w:fill="D1D0CF"/>
          </w:tcPr>
          <w:p>
            <w:pPr>
              <w:ind w:left="580"/>
              <w:spacing w:after="0"/>
              <w:rPr>
                <w:sz w:val="20"/>
                <w:szCs w:val="20"/>
                <w:color w:val="auto"/>
              </w:rPr>
            </w:pPr>
            <w:r>
              <w:rPr>
                <w:rFonts w:ascii="Arial" w:cs="Arial" w:eastAsia="Arial" w:hAnsi="Arial"/>
                <w:sz w:val="16"/>
                <w:szCs w:val="16"/>
                <w:b w:val="1"/>
                <w:bCs w:val="1"/>
                <w:color w:val="auto"/>
              </w:rPr>
              <w:t>three months ended</w:t>
            </w:r>
          </w:p>
        </w:tc>
        <w:tc>
          <w:tcPr>
            <w:tcW w:w="1980" w:type="dxa"/>
            <w:vAlign w:val="bottom"/>
            <w:tcBorders>
              <w:top w:val="single" w:sz="8" w:color="0D64EF"/>
            </w:tcBorders>
            <w:shd w:val="clear" w:color="auto" w:fill="D1D0CF"/>
          </w:tcPr>
          <w:p>
            <w:pPr>
              <w:jc w:val="right"/>
              <w:ind w:right="119"/>
              <w:spacing w:after="0"/>
              <w:rPr>
                <w:sz w:val="20"/>
                <w:szCs w:val="20"/>
                <w:color w:val="auto"/>
              </w:rPr>
            </w:pPr>
            <w:r>
              <w:rPr>
                <w:rFonts w:ascii="Arial" w:cs="Arial" w:eastAsia="Arial" w:hAnsi="Arial"/>
                <w:sz w:val="16"/>
                <w:szCs w:val="16"/>
                <w:b w:val="1"/>
                <w:bCs w:val="1"/>
                <w:color w:val="auto"/>
              </w:rPr>
              <w:t>year ended</w:t>
            </w:r>
          </w:p>
        </w:tc>
        <w:tc>
          <w:tcPr>
            <w:tcW w:w="760" w:type="dxa"/>
            <w:vAlign w:val="bottom"/>
            <w:tcBorders>
              <w:top w:val="single" w:sz="8" w:color="0D64EF"/>
            </w:tcBorders>
            <w:shd w:val="clear" w:color="auto" w:fill="D1D0CF"/>
          </w:tcPr>
          <w:p>
            <w:pPr>
              <w:spacing w:after="0"/>
              <w:rPr>
                <w:sz w:val="16"/>
                <w:szCs w:val="16"/>
                <w:color w:val="auto"/>
              </w:rPr>
            </w:pPr>
          </w:p>
        </w:tc>
      </w:tr>
      <w:tr>
        <w:trPr>
          <w:trHeight w:val="224"/>
        </w:trPr>
        <w:tc>
          <w:tcPr>
            <w:tcW w:w="5540" w:type="dxa"/>
            <w:vAlign w:val="bottom"/>
            <w:tcBorders>
              <w:bottom w:val="single" w:sz="8" w:color="D1D0CF"/>
            </w:tcBorders>
            <w:shd w:val="clear" w:color="auto" w:fill="D1D0CF"/>
          </w:tcPr>
          <w:p>
            <w:pPr>
              <w:spacing w:after="0"/>
              <w:rPr>
                <w:sz w:val="19"/>
                <w:szCs w:val="19"/>
                <w:color w:val="auto"/>
              </w:rPr>
            </w:pPr>
          </w:p>
        </w:tc>
        <w:tc>
          <w:tcPr>
            <w:tcW w:w="120" w:type="dxa"/>
            <w:vAlign w:val="bottom"/>
            <w:tcBorders>
              <w:bottom w:val="single" w:sz="8" w:color="D1D0CF"/>
            </w:tcBorders>
            <w:shd w:val="clear" w:color="auto" w:fill="D1D0CF"/>
          </w:tcPr>
          <w:p>
            <w:pPr>
              <w:spacing w:after="0"/>
              <w:rPr>
                <w:sz w:val="19"/>
                <w:szCs w:val="19"/>
                <w:color w:val="auto"/>
              </w:rPr>
            </w:pPr>
          </w:p>
        </w:tc>
        <w:tc>
          <w:tcPr>
            <w:tcW w:w="1960" w:type="dxa"/>
            <w:vAlign w:val="bottom"/>
            <w:tcBorders>
              <w:bottom w:val="single" w:sz="8" w:color="0D64EF"/>
            </w:tcBorders>
            <w:shd w:val="clear" w:color="auto" w:fill="D1D0CF"/>
          </w:tcPr>
          <w:p>
            <w:pPr>
              <w:jc w:val="right"/>
              <w:ind w:right="19"/>
              <w:spacing w:after="0"/>
              <w:rPr>
                <w:sz w:val="20"/>
                <w:szCs w:val="20"/>
                <w:color w:val="auto"/>
              </w:rPr>
            </w:pPr>
            <w:r>
              <w:rPr>
                <w:rFonts w:ascii="Arial" w:cs="Arial" w:eastAsia="Arial" w:hAnsi="Arial"/>
                <w:sz w:val="16"/>
                <w:szCs w:val="16"/>
                <w:b w:val="1"/>
                <w:bCs w:val="1"/>
                <w:color w:val="auto"/>
              </w:rPr>
              <w:t>December 31</w:t>
            </w:r>
          </w:p>
        </w:tc>
        <w:tc>
          <w:tcPr>
            <w:tcW w:w="780" w:type="dxa"/>
            <w:vAlign w:val="bottom"/>
            <w:tcBorders>
              <w:bottom w:val="single" w:sz="8" w:color="0D64EF"/>
            </w:tcBorders>
            <w:shd w:val="clear" w:color="auto" w:fill="D1D0CF"/>
          </w:tcPr>
          <w:p>
            <w:pPr>
              <w:spacing w:after="0"/>
              <w:rPr>
                <w:sz w:val="19"/>
                <w:szCs w:val="19"/>
                <w:color w:val="auto"/>
              </w:rPr>
            </w:pPr>
          </w:p>
        </w:tc>
        <w:tc>
          <w:tcPr>
            <w:tcW w:w="100" w:type="dxa"/>
            <w:vAlign w:val="bottom"/>
            <w:tcBorders>
              <w:bottom w:val="single" w:sz="8" w:color="D1D0CF"/>
            </w:tcBorders>
            <w:shd w:val="clear" w:color="auto" w:fill="D1D0CF"/>
          </w:tcPr>
          <w:p>
            <w:pPr>
              <w:spacing w:after="0"/>
              <w:rPr>
                <w:sz w:val="19"/>
                <w:szCs w:val="19"/>
                <w:color w:val="auto"/>
              </w:rPr>
            </w:pPr>
          </w:p>
        </w:tc>
        <w:tc>
          <w:tcPr>
            <w:tcW w:w="1980" w:type="dxa"/>
            <w:vAlign w:val="bottom"/>
            <w:tcBorders>
              <w:bottom w:val="single" w:sz="8" w:color="0D64EF"/>
            </w:tcBorders>
            <w:shd w:val="clear" w:color="auto" w:fill="D1D0CF"/>
          </w:tcPr>
          <w:p>
            <w:pPr>
              <w:jc w:val="right"/>
              <w:ind w:right="19"/>
              <w:spacing w:after="0"/>
              <w:rPr>
                <w:sz w:val="20"/>
                <w:szCs w:val="20"/>
                <w:color w:val="auto"/>
              </w:rPr>
            </w:pPr>
            <w:r>
              <w:rPr>
                <w:rFonts w:ascii="Arial" w:cs="Arial" w:eastAsia="Arial" w:hAnsi="Arial"/>
                <w:sz w:val="16"/>
                <w:szCs w:val="16"/>
                <w:b w:val="1"/>
                <w:bCs w:val="1"/>
                <w:color w:val="auto"/>
              </w:rPr>
              <w:t>December 31</w:t>
            </w:r>
          </w:p>
        </w:tc>
        <w:tc>
          <w:tcPr>
            <w:tcW w:w="760" w:type="dxa"/>
            <w:vAlign w:val="bottom"/>
            <w:tcBorders>
              <w:bottom w:val="single" w:sz="8" w:color="0D64EF"/>
            </w:tcBorders>
            <w:shd w:val="clear" w:color="auto" w:fill="D1D0CF"/>
          </w:tcPr>
          <w:p>
            <w:pPr>
              <w:spacing w:after="0"/>
              <w:rPr>
                <w:sz w:val="19"/>
                <w:szCs w:val="19"/>
                <w:color w:val="auto"/>
              </w:rPr>
            </w:pPr>
          </w:p>
        </w:tc>
      </w:tr>
      <w:tr>
        <w:trPr>
          <w:trHeight w:val="226"/>
        </w:trPr>
        <w:tc>
          <w:tcPr>
            <w:tcW w:w="5540" w:type="dxa"/>
            <w:vAlign w:val="bottom"/>
            <w:tcBorders>
              <w:bottom w:val="single" w:sz="8" w:color="0D64EF"/>
            </w:tcBorders>
            <w:shd w:val="clear" w:color="auto" w:fill="D1D0CF"/>
          </w:tcPr>
          <w:p>
            <w:pPr>
              <w:ind w:left="20"/>
              <w:spacing w:after="0"/>
              <w:rPr>
                <w:sz w:val="20"/>
                <w:szCs w:val="20"/>
                <w:color w:val="auto"/>
              </w:rPr>
            </w:pPr>
            <w:r>
              <w:rPr>
                <w:rFonts w:ascii="Arial" w:cs="Arial" w:eastAsia="Arial" w:hAnsi="Arial"/>
                <w:sz w:val="16"/>
                <w:szCs w:val="16"/>
                <w:color w:val="auto"/>
              </w:rPr>
              <w:t>(millions of $, except per share amounts)</w:t>
            </w:r>
          </w:p>
        </w:tc>
        <w:tc>
          <w:tcPr>
            <w:tcW w:w="120" w:type="dxa"/>
            <w:vAlign w:val="bottom"/>
            <w:tcBorders>
              <w:bottom w:val="single" w:sz="8" w:color="0D64EF"/>
            </w:tcBorders>
            <w:shd w:val="clear" w:color="auto" w:fill="D1D0CF"/>
          </w:tcPr>
          <w:p>
            <w:pPr>
              <w:spacing w:after="0"/>
              <w:rPr>
                <w:sz w:val="19"/>
                <w:szCs w:val="19"/>
                <w:color w:val="auto"/>
              </w:rPr>
            </w:pPr>
          </w:p>
        </w:tc>
        <w:tc>
          <w:tcPr>
            <w:tcW w:w="1960" w:type="dxa"/>
            <w:vAlign w:val="bottom"/>
            <w:tcBorders>
              <w:bottom w:val="single" w:sz="8" w:color="0D64EF"/>
            </w:tcBorders>
            <w:shd w:val="clear" w:color="auto" w:fill="D1D0CF"/>
          </w:tcPr>
          <w:p>
            <w:pPr>
              <w:jc w:val="right"/>
              <w:ind w:right="599"/>
              <w:spacing w:after="0"/>
              <w:rPr>
                <w:sz w:val="20"/>
                <w:szCs w:val="20"/>
                <w:color w:val="auto"/>
              </w:rPr>
            </w:pPr>
            <w:r>
              <w:rPr>
                <w:rFonts w:ascii="Arial" w:cs="Arial" w:eastAsia="Arial" w:hAnsi="Arial"/>
                <w:sz w:val="16"/>
                <w:szCs w:val="16"/>
                <w:b w:val="1"/>
                <w:bCs w:val="1"/>
                <w:color w:val="auto"/>
              </w:rPr>
              <w:t>2025</w:t>
            </w:r>
          </w:p>
        </w:tc>
        <w:tc>
          <w:tcPr>
            <w:tcW w:w="780" w:type="dxa"/>
            <w:vAlign w:val="bottom"/>
            <w:tcBorders>
              <w:bottom w:val="single" w:sz="8" w:color="0D64EF"/>
            </w:tcBorders>
            <w:shd w:val="clear" w:color="auto" w:fill="D1D0CF"/>
          </w:tcPr>
          <w:p>
            <w:pPr>
              <w:jc w:val="right"/>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bottom w:val="single" w:sz="8" w:color="0D64EF"/>
            </w:tcBorders>
            <w:shd w:val="clear" w:color="auto" w:fill="D1D0CF"/>
          </w:tcPr>
          <w:p>
            <w:pPr>
              <w:spacing w:after="0"/>
              <w:rPr>
                <w:sz w:val="19"/>
                <w:szCs w:val="19"/>
                <w:color w:val="auto"/>
              </w:rPr>
            </w:pPr>
          </w:p>
        </w:tc>
        <w:tc>
          <w:tcPr>
            <w:tcW w:w="1980" w:type="dxa"/>
            <w:vAlign w:val="bottom"/>
            <w:tcBorders>
              <w:bottom w:val="single" w:sz="8" w:color="0D64EF"/>
            </w:tcBorders>
            <w:shd w:val="clear" w:color="auto" w:fill="D1D0CF"/>
          </w:tcPr>
          <w:p>
            <w:pPr>
              <w:jc w:val="right"/>
              <w:ind w:right="599"/>
              <w:spacing w:after="0"/>
              <w:rPr>
                <w:sz w:val="20"/>
                <w:szCs w:val="20"/>
                <w:color w:val="auto"/>
              </w:rPr>
            </w:pPr>
            <w:r>
              <w:rPr>
                <w:rFonts w:ascii="Arial" w:cs="Arial" w:eastAsia="Arial" w:hAnsi="Arial"/>
                <w:sz w:val="16"/>
                <w:szCs w:val="16"/>
                <w:b w:val="1"/>
                <w:bCs w:val="1"/>
                <w:color w:val="auto"/>
              </w:rPr>
              <w:t>2025</w:t>
            </w:r>
          </w:p>
        </w:tc>
        <w:tc>
          <w:tcPr>
            <w:tcW w:w="760" w:type="dxa"/>
            <w:vAlign w:val="bottom"/>
            <w:tcBorders>
              <w:bottom w:val="single" w:sz="8" w:color="0D64EF"/>
            </w:tcBorders>
            <w:shd w:val="clear" w:color="auto" w:fill="D1D0CF"/>
          </w:tcPr>
          <w:p>
            <w:pPr>
              <w:jc w:val="right"/>
              <w:spacing w:after="0"/>
              <w:rPr>
                <w:sz w:val="20"/>
                <w:szCs w:val="20"/>
                <w:color w:val="auto"/>
              </w:rPr>
            </w:pPr>
            <w:r>
              <w:rPr>
                <w:rFonts w:ascii="Arial" w:cs="Arial" w:eastAsia="Arial" w:hAnsi="Arial"/>
                <w:sz w:val="16"/>
                <w:szCs w:val="16"/>
                <w:b w:val="1"/>
                <w:bCs w:val="1"/>
                <w:color w:val="auto"/>
              </w:rPr>
              <w:t>2024</w:t>
            </w:r>
          </w:p>
        </w:tc>
      </w:tr>
      <w:tr>
        <w:trPr>
          <w:trHeight w:val="259"/>
        </w:trPr>
        <w:tc>
          <w:tcPr>
            <w:tcW w:w="5540" w:type="dxa"/>
            <w:vAlign w:val="bottom"/>
          </w:tcPr>
          <w:p>
            <w:pPr>
              <w:ind w:left="20"/>
              <w:spacing w:after="0"/>
              <w:rPr>
                <w:sz w:val="20"/>
                <w:szCs w:val="20"/>
                <w:color w:val="auto"/>
              </w:rPr>
            </w:pPr>
            <w:r>
              <w:rPr>
                <w:rFonts w:ascii="Arial" w:cs="Arial" w:eastAsia="Arial" w:hAnsi="Arial"/>
                <w:sz w:val="16"/>
                <w:szCs w:val="16"/>
                <w:b w:val="1"/>
                <w:bCs w:val="1"/>
                <w:color w:val="0D64EF"/>
              </w:rPr>
              <w:t>Income</w:t>
            </w:r>
          </w:p>
        </w:tc>
        <w:tc>
          <w:tcPr>
            <w:tcW w:w="12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980" w:type="dxa"/>
            <w:vAlign w:val="bottom"/>
          </w:tcPr>
          <w:p>
            <w:pPr>
              <w:spacing w:after="0"/>
              <w:rPr>
                <w:sz w:val="22"/>
                <w:szCs w:val="22"/>
                <w:color w:val="auto"/>
              </w:rPr>
            </w:pPr>
          </w:p>
        </w:tc>
        <w:tc>
          <w:tcPr>
            <w:tcW w:w="760" w:type="dxa"/>
            <w:vAlign w:val="bottom"/>
          </w:tcPr>
          <w:p>
            <w:pPr>
              <w:spacing w:after="0"/>
              <w:rPr>
                <w:sz w:val="22"/>
                <w:szCs w:val="22"/>
                <w:color w:val="auto"/>
              </w:rPr>
            </w:pPr>
          </w:p>
        </w:tc>
      </w:tr>
      <w:tr>
        <w:trPr>
          <w:trHeight w:val="230"/>
        </w:trPr>
        <w:tc>
          <w:tcPr>
            <w:tcW w:w="5540" w:type="dxa"/>
            <w:vAlign w:val="bottom"/>
          </w:tcPr>
          <w:p>
            <w:pPr>
              <w:ind w:left="20"/>
              <w:spacing w:after="0"/>
              <w:rPr>
                <w:sz w:val="20"/>
                <w:szCs w:val="20"/>
                <w:color w:val="auto"/>
              </w:rPr>
            </w:pPr>
            <w:r>
              <w:rPr>
                <w:rFonts w:ascii="Arial" w:cs="Arial" w:eastAsia="Arial" w:hAnsi="Arial"/>
                <w:sz w:val="16"/>
                <w:szCs w:val="16"/>
                <w:color w:val="auto"/>
              </w:rPr>
              <w:t>Revenues</w:t>
            </w:r>
          </w:p>
        </w:tc>
        <w:tc>
          <w:tcPr>
            <w:tcW w:w="2080" w:type="dxa"/>
            <w:vAlign w:val="bottom"/>
            <w:gridSpan w:val="2"/>
          </w:tcPr>
          <w:p>
            <w:pPr>
              <w:jc w:val="right"/>
              <w:ind w:right="659"/>
              <w:spacing w:after="0"/>
              <w:rPr>
                <w:sz w:val="20"/>
                <w:szCs w:val="20"/>
                <w:color w:val="auto"/>
              </w:rPr>
            </w:pPr>
            <w:r>
              <w:rPr>
                <w:rFonts w:ascii="Arial" w:cs="Arial" w:eastAsia="Arial" w:hAnsi="Arial"/>
                <w:sz w:val="16"/>
                <w:szCs w:val="16"/>
                <w:b w:val="1"/>
                <w:bCs w:val="1"/>
                <w:color w:val="auto"/>
              </w:rPr>
              <w:t>4,168</w:t>
            </w:r>
          </w:p>
        </w:tc>
        <w:tc>
          <w:tcPr>
            <w:tcW w:w="780" w:type="dxa"/>
            <w:vAlign w:val="bottom"/>
          </w:tcPr>
          <w:p>
            <w:pPr>
              <w:jc w:val="right"/>
              <w:spacing w:after="0"/>
              <w:rPr>
                <w:sz w:val="20"/>
                <w:szCs w:val="20"/>
                <w:color w:val="auto"/>
              </w:rPr>
            </w:pPr>
            <w:r>
              <w:rPr>
                <w:rFonts w:ascii="Arial" w:cs="Arial" w:eastAsia="Arial" w:hAnsi="Arial"/>
                <w:sz w:val="16"/>
                <w:szCs w:val="16"/>
                <w:color w:val="auto"/>
              </w:rPr>
              <w:t>3,577</w:t>
            </w:r>
          </w:p>
        </w:tc>
        <w:tc>
          <w:tcPr>
            <w:tcW w:w="100" w:type="dxa"/>
            <w:vAlign w:val="bottom"/>
          </w:tcPr>
          <w:p>
            <w:pPr>
              <w:spacing w:after="0"/>
              <w:rPr>
                <w:sz w:val="19"/>
                <w:szCs w:val="19"/>
                <w:color w:val="auto"/>
              </w:rPr>
            </w:pPr>
          </w:p>
        </w:tc>
        <w:tc>
          <w:tcPr>
            <w:tcW w:w="1980" w:type="dxa"/>
            <w:vAlign w:val="bottom"/>
          </w:tcPr>
          <w:p>
            <w:pPr>
              <w:jc w:val="right"/>
              <w:ind w:right="659"/>
              <w:spacing w:after="0"/>
              <w:rPr>
                <w:sz w:val="20"/>
                <w:szCs w:val="20"/>
                <w:color w:val="auto"/>
              </w:rPr>
            </w:pPr>
            <w:r>
              <w:rPr>
                <w:rFonts w:ascii="Arial" w:cs="Arial" w:eastAsia="Arial" w:hAnsi="Arial"/>
                <w:sz w:val="16"/>
                <w:szCs w:val="16"/>
                <w:b w:val="1"/>
                <w:bCs w:val="1"/>
                <w:color w:val="auto"/>
              </w:rPr>
              <w:t>15,239</w:t>
            </w:r>
          </w:p>
        </w:tc>
        <w:tc>
          <w:tcPr>
            <w:tcW w:w="760" w:type="dxa"/>
            <w:vAlign w:val="bottom"/>
          </w:tcPr>
          <w:p>
            <w:pPr>
              <w:jc w:val="right"/>
              <w:spacing w:after="0"/>
              <w:rPr>
                <w:sz w:val="20"/>
                <w:szCs w:val="20"/>
                <w:color w:val="auto"/>
              </w:rPr>
            </w:pPr>
            <w:r>
              <w:rPr>
                <w:rFonts w:ascii="Arial" w:cs="Arial" w:eastAsia="Arial" w:hAnsi="Arial"/>
                <w:sz w:val="16"/>
                <w:szCs w:val="16"/>
                <w:color w:val="auto"/>
              </w:rPr>
              <w:t>13,771</w:t>
            </w:r>
          </w:p>
        </w:tc>
      </w:tr>
      <w:tr>
        <w:trPr>
          <w:trHeight w:val="324"/>
        </w:trPr>
        <w:tc>
          <w:tcPr>
            <w:tcW w:w="5540" w:type="dxa"/>
            <w:vAlign w:val="bottom"/>
          </w:tcPr>
          <w:p>
            <w:pPr>
              <w:ind w:left="20"/>
              <w:spacing w:after="0"/>
              <w:rPr>
                <w:sz w:val="20"/>
                <w:szCs w:val="20"/>
                <w:color w:val="auto"/>
              </w:rPr>
            </w:pPr>
            <w:r>
              <w:rPr>
                <w:rFonts w:ascii="Arial" w:cs="Arial" w:eastAsia="Arial" w:hAnsi="Arial"/>
                <w:sz w:val="16"/>
                <w:szCs w:val="16"/>
                <w:color w:val="auto"/>
              </w:rPr>
              <w:t>Net income (loss) attributable to common shares</w:t>
            </w:r>
          </w:p>
        </w:tc>
        <w:tc>
          <w:tcPr>
            <w:tcW w:w="2080" w:type="dxa"/>
            <w:vAlign w:val="bottom"/>
            <w:gridSpan w:val="2"/>
          </w:tcPr>
          <w:p>
            <w:pPr>
              <w:jc w:val="right"/>
              <w:ind w:right="659"/>
              <w:spacing w:after="0"/>
              <w:rPr>
                <w:sz w:val="20"/>
                <w:szCs w:val="20"/>
                <w:color w:val="auto"/>
              </w:rPr>
            </w:pPr>
            <w:r>
              <w:rPr>
                <w:rFonts w:ascii="Arial" w:cs="Arial" w:eastAsia="Arial" w:hAnsi="Arial"/>
                <w:sz w:val="16"/>
                <w:szCs w:val="16"/>
                <w:b w:val="1"/>
                <w:bCs w:val="1"/>
                <w:color w:val="auto"/>
              </w:rPr>
              <w:t>980</w:t>
            </w:r>
          </w:p>
        </w:tc>
        <w:tc>
          <w:tcPr>
            <w:tcW w:w="780" w:type="dxa"/>
            <w:vAlign w:val="bottom"/>
          </w:tcPr>
          <w:p>
            <w:pPr>
              <w:jc w:val="right"/>
              <w:spacing w:after="0"/>
              <w:rPr>
                <w:sz w:val="20"/>
                <w:szCs w:val="20"/>
                <w:color w:val="auto"/>
              </w:rPr>
            </w:pPr>
            <w:r>
              <w:rPr>
                <w:rFonts w:ascii="Arial" w:cs="Arial" w:eastAsia="Arial" w:hAnsi="Arial"/>
                <w:sz w:val="16"/>
                <w:szCs w:val="16"/>
                <w:color w:val="auto"/>
              </w:rPr>
              <w:t>971</w:t>
            </w:r>
          </w:p>
        </w:tc>
        <w:tc>
          <w:tcPr>
            <w:tcW w:w="100" w:type="dxa"/>
            <w:vAlign w:val="bottom"/>
          </w:tcPr>
          <w:p>
            <w:pPr>
              <w:spacing w:after="0"/>
              <w:rPr>
                <w:sz w:val="24"/>
                <w:szCs w:val="24"/>
                <w:color w:val="auto"/>
              </w:rPr>
            </w:pPr>
          </w:p>
        </w:tc>
        <w:tc>
          <w:tcPr>
            <w:tcW w:w="1980" w:type="dxa"/>
            <w:vAlign w:val="bottom"/>
          </w:tcPr>
          <w:p>
            <w:pPr>
              <w:jc w:val="right"/>
              <w:ind w:right="659"/>
              <w:spacing w:after="0"/>
              <w:rPr>
                <w:sz w:val="20"/>
                <w:szCs w:val="20"/>
                <w:color w:val="auto"/>
              </w:rPr>
            </w:pPr>
            <w:r>
              <w:rPr>
                <w:rFonts w:ascii="Arial" w:cs="Arial" w:eastAsia="Arial" w:hAnsi="Arial"/>
                <w:sz w:val="16"/>
                <w:szCs w:val="16"/>
                <w:b w:val="1"/>
                <w:bCs w:val="1"/>
                <w:color w:val="auto"/>
              </w:rPr>
              <w:t>3,400</w:t>
            </w:r>
          </w:p>
        </w:tc>
        <w:tc>
          <w:tcPr>
            <w:tcW w:w="760" w:type="dxa"/>
            <w:vAlign w:val="bottom"/>
          </w:tcPr>
          <w:p>
            <w:pPr>
              <w:jc w:val="right"/>
              <w:spacing w:after="0"/>
              <w:rPr>
                <w:sz w:val="20"/>
                <w:szCs w:val="20"/>
                <w:color w:val="auto"/>
              </w:rPr>
            </w:pPr>
            <w:r>
              <w:rPr>
                <w:rFonts w:ascii="Arial" w:cs="Arial" w:eastAsia="Arial" w:hAnsi="Arial"/>
                <w:sz w:val="16"/>
                <w:szCs w:val="16"/>
                <w:color w:val="auto"/>
              </w:rPr>
              <w:t>4,594</w:t>
            </w:r>
          </w:p>
        </w:tc>
      </w:tr>
      <w:tr>
        <w:trPr>
          <w:trHeight w:val="226"/>
        </w:trPr>
        <w:tc>
          <w:tcPr>
            <w:tcW w:w="5540" w:type="dxa"/>
            <w:vAlign w:val="bottom"/>
          </w:tcPr>
          <w:p>
            <w:pPr>
              <w:ind w:left="180"/>
              <w:spacing w:after="0"/>
              <w:rPr>
                <w:sz w:val="20"/>
                <w:szCs w:val="20"/>
                <w:color w:val="auto"/>
              </w:rPr>
            </w:pPr>
            <w:r>
              <w:rPr>
                <w:rFonts w:ascii="Arial" w:cs="Arial" w:eastAsia="Arial" w:hAnsi="Arial"/>
                <w:sz w:val="16"/>
                <w:szCs w:val="16"/>
                <w:color w:val="auto"/>
              </w:rPr>
              <w:t>from continuing operations</w:t>
            </w:r>
          </w:p>
        </w:tc>
        <w:tc>
          <w:tcPr>
            <w:tcW w:w="2080" w:type="dxa"/>
            <w:vAlign w:val="bottom"/>
            <w:gridSpan w:val="2"/>
          </w:tcPr>
          <w:p>
            <w:pPr>
              <w:jc w:val="right"/>
              <w:ind w:right="659"/>
              <w:spacing w:after="0"/>
              <w:rPr>
                <w:sz w:val="20"/>
                <w:szCs w:val="20"/>
                <w:color w:val="auto"/>
              </w:rPr>
            </w:pPr>
            <w:r>
              <w:rPr>
                <w:rFonts w:ascii="Arial" w:cs="Arial" w:eastAsia="Arial" w:hAnsi="Arial"/>
                <w:sz w:val="16"/>
                <w:szCs w:val="16"/>
                <w:b w:val="1"/>
                <w:bCs w:val="1"/>
                <w:color w:val="auto"/>
              </w:rPr>
              <w:t>959</w:t>
            </w:r>
          </w:p>
        </w:tc>
        <w:tc>
          <w:tcPr>
            <w:tcW w:w="780" w:type="dxa"/>
            <w:vAlign w:val="bottom"/>
          </w:tcPr>
          <w:p>
            <w:pPr>
              <w:jc w:val="right"/>
              <w:spacing w:after="0"/>
              <w:rPr>
                <w:sz w:val="20"/>
                <w:szCs w:val="20"/>
                <w:color w:val="auto"/>
              </w:rPr>
            </w:pPr>
            <w:r>
              <w:rPr>
                <w:rFonts w:ascii="Arial" w:cs="Arial" w:eastAsia="Arial" w:hAnsi="Arial"/>
                <w:sz w:val="16"/>
                <w:szCs w:val="16"/>
                <w:color w:val="auto"/>
              </w:rPr>
              <w:t>1,069</w:t>
            </w:r>
          </w:p>
        </w:tc>
        <w:tc>
          <w:tcPr>
            <w:tcW w:w="100" w:type="dxa"/>
            <w:vAlign w:val="bottom"/>
          </w:tcPr>
          <w:p>
            <w:pPr>
              <w:spacing w:after="0"/>
              <w:rPr>
                <w:sz w:val="19"/>
                <w:szCs w:val="19"/>
                <w:color w:val="auto"/>
              </w:rPr>
            </w:pPr>
          </w:p>
        </w:tc>
        <w:tc>
          <w:tcPr>
            <w:tcW w:w="1980" w:type="dxa"/>
            <w:vAlign w:val="bottom"/>
          </w:tcPr>
          <w:p>
            <w:pPr>
              <w:jc w:val="right"/>
              <w:ind w:right="659"/>
              <w:spacing w:after="0"/>
              <w:rPr>
                <w:sz w:val="20"/>
                <w:szCs w:val="20"/>
                <w:color w:val="auto"/>
              </w:rPr>
            </w:pPr>
            <w:r>
              <w:rPr>
                <w:rFonts w:ascii="Arial" w:cs="Arial" w:eastAsia="Arial" w:hAnsi="Arial"/>
                <w:sz w:val="16"/>
                <w:szCs w:val="16"/>
                <w:b w:val="1"/>
                <w:bCs w:val="1"/>
                <w:color w:val="auto"/>
              </w:rPr>
              <w:t>3,612</w:t>
            </w:r>
          </w:p>
        </w:tc>
        <w:tc>
          <w:tcPr>
            <w:tcW w:w="760" w:type="dxa"/>
            <w:vAlign w:val="bottom"/>
          </w:tcPr>
          <w:p>
            <w:pPr>
              <w:jc w:val="right"/>
              <w:spacing w:after="0"/>
              <w:rPr>
                <w:sz w:val="20"/>
                <w:szCs w:val="20"/>
                <w:color w:val="auto"/>
              </w:rPr>
            </w:pPr>
            <w:r>
              <w:rPr>
                <w:rFonts w:ascii="Arial" w:cs="Arial" w:eastAsia="Arial" w:hAnsi="Arial"/>
                <w:sz w:val="16"/>
                <w:szCs w:val="16"/>
                <w:color w:val="auto"/>
              </w:rPr>
              <w:t>4,199</w:t>
            </w:r>
          </w:p>
        </w:tc>
      </w:tr>
      <w:tr>
        <w:trPr>
          <w:trHeight w:val="282"/>
        </w:trPr>
        <w:tc>
          <w:tcPr>
            <w:tcW w:w="5540" w:type="dxa"/>
            <w:vAlign w:val="bottom"/>
          </w:tcPr>
          <w:p>
            <w:pPr>
              <w:ind w:left="180"/>
              <w:spacing w:after="0"/>
              <w:rPr>
                <w:sz w:val="20"/>
                <w:szCs w:val="20"/>
                <w:color w:val="auto"/>
              </w:rPr>
            </w:pPr>
            <w:r>
              <w:rPr>
                <w:rFonts w:ascii="Arial" w:cs="Arial" w:eastAsia="Arial" w:hAnsi="Arial"/>
                <w:sz w:val="16"/>
                <w:szCs w:val="16"/>
                <w:color w:val="auto"/>
              </w:rPr>
              <w:t>from discontinued operations</w:t>
            </w:r>
            <w:r>
              <w:rPr>
                <w:rFonts w:ascii="Arial" w:cs="Arial" w:eastAsia="Arial" w:hAnsi="Arial"/>
                <w:sz w:val="21"/>
                <w:szCs w:val="21"/>
                <w:color w:val="auto"/>
                <w:vertAlign w:val="superscript"/>
              </w:rPr>
              <w:t>1</w:t>
            </w:r>
          </w:p>
        </w:tc>
        <w:tc>
          <w:tcPr>
            <w:tcW w:w="2080" w:type="dxa"/>
            <w:vAlign w:val="bottom"/>
            <w:gridSpan w:val="2"/>
          </w:tcPr>
          <w:p>
            <w:pPr>
              <w:jc w:val="right"/>
              <w:ind w:right="659"/>
              <w:spacing w:after="0"/>
              <w:rPr>
                <w:sz w:val="20"/>
                <w:szCs w:val="20"/>
                <w:color w:val="auto"/>
              </w:rPr>
            </w:pPr>
            <w:r>
              <w:rPr>
                <w:rFonts w:ascii="Arial" w:cs="Arial" w:eastAsia="Arial" w:hAnsi="Arial"/>
                <w:sz w:val="16"/>
                <w:szCs w:val="16"/>
                <w:b w:val="1"/>
                <w:bCs w:val="1"/>
                <w:color w:val="auto"/>
              </w:rPr>
              <w:t>21</w:t>
            </w:r>
          </w:p>
        </w:tc>
        <w:tc>
          <w:tcPr>
            <w:tcW w:w="780" w:type="dxa"/>
            <w:vAlign w:val="bottom"/>
          </w:tcPr>
          <w:p>
            <w:pPr>
              <w:jc w:val="right"/>
              <w:spacing w:after="0"/>
              <w:rPr>
                <w:sz w:val="20"/>
                <w:szCs w:val="20"/>
                <w:color w:val="auto"/>
              </w:rPr>
            </w:pPr>
            <w:r>
              <w:rPr>
                <w:rFonts w:ascii="Arial" w:cs="Arial" w:eastAsia="Arial" w:hAnsi="Arial"/>
                <w:sz w:val="16"/>
                <w:szCs w:val="16"/>
                <w:color w:val="auto"/>
              </w:rPr>
              <w:t>(98)</w:t>
            </w:r>
          </w:p>
        </w:tc>
        <w:tc>
          <w:tcPr>
            <w:tcW w:w="100" w:type="dxa"/>
            <w:vAlign w:val="bottom"/>
          </w:tcPr>
          <w:p>
            <w:pPr>
              <w:spacing w:after="0"/>
              <w:rPr>
                <w:sz w:val="24"/>
                <w:szCs w:val="24"/>
                <w:color w:val="auto"/>
              </w:rPr>
            </w:pPr>
          </w:p>
        </w:tc>
        <w:tc>
          <w:tcPr>
            <w:tcW w:w="1980" w:type="dxa"/>
            <w:vAlign w:val="bottom"/>
          </w:tcPr>
          <w:p>
            <w:pPr>
              <w:jc w:val="right"/>
              <w:ind w:right="619"/>
              <w:spacing w:after="0"/>
              <w:rPr>
                <w:sz w:val="20"/>
                <w:szCs w:val="20"/>
                <w:color w:val="auto"/>
              </w:rPr>
            </w:pPr>
            <w:r>
              <w:rPr>
                <w:rFonts w:ascii="Arial" w:cs="Arial" w:eastAsia="Arial" w:hAnsi="Arial"/>
                <w:sz w:val="16"/>
                <w:szCs w:val="16"/>
                <w:b w:val="1"/>
                <w:bCs w:val="1"/>
                <w:color w:val="auto"/>
              </w:rPr>
              <w:t>(212)</w:t>
            </w:r>
          </w:p>
        </w:tc>
        <w:tc>
          <w:tcPr>
            <w:tcW w:w="760" w:type="dxa"/>
            <w:vAlign w:val="bottom"/>
          </w:tcPr>
          <w:p>
            <w:pPr>
              <w:jc w:val="right"/>
              <w:spacing w:after="0"/>
              <w:rPr>
                <w:sz w:val="20"/>
                <w:szCs w:val="20"/>
                <w:color w:val="auto"/>
              </w:rPr>
            </w:pPr>
            <w:r>
              <w:rPr>
                <w:rFonts w:ascii="Arial" w:cs="Arial" w:eastAsia="Arial" w:hAnsi="Arial"/>
                <w:sz w:val="16"/>
                <w:szCs w:val="16"/>
                <w:color w:val="auto"/>
              </w:rPr>
              <w:t>395</w:t>
            </w:r>
          </w:p>
        </w:tc>
      </w:tr>
      <w:tr>
        <w:trPr>
          <w:trHeight w:val="275"/>
        </w:trPr>
        <w:tc>
          <w:tcPr>
            <w:tcW w:w="5540" w:type="dxa"/>
            <w:vAlign w:val="bottom"/>
          </w:tcPr>
          <w:p>
            <w:pPr>
              <w:ind w:left="20"/>
              <w:spacing w:after="0"/>
              <w:rPr>
                <w:sz w:val="20"/>
                <w:szCs w:val="20"/>
                <w:color w:val="auto"/>
              </w:rPr>
            </w:pPr>
            <w:r>
              <w:rPr>
                <w:rFonts w:ascii="Arial" w:cs="Arial" w:eastAsia="Arial" w:hAnsi="Arial"/>
                <w:sz w:val="16"/>
                <w:szCs w:val="16"/>
                <w:color w:val="auto"/>
              </w:rPr>
              <w:t>Net income (loss) per common share – basic</w:t>
            </w:r>
          </w:p>
        </w:tc>
        <w:tc>
          <w:tcPr>
            <w:tcW w:w="2080" w:type="dxa"/>
            <w:vAlign w:val="bottom"/>
            <w:gridSpan w:val="2"/>
          </w:tcPr>
          <w:p>
            <w:pPr>
              <w:jc w:val="right"/>
              <w:ind w:right="659"/>
              <w:spacing w:after="0"/>
              <w:rPr>
                <w:sz w:val="20"/>
                <w:szCs w:val="20"/>
                <w:color w:val="auto"/>
              </w:rPr>
            </w:pPr>
            <w:r>
              <w:rPr>
                <w:rFonts w:ascii="Arial" w:cs="Arial" w:eastAsia="Arial" w:hAnsi="Arial"/>
                <w:sz w:val="16"/>
                <w:szCs w:val="16"/>
                <w:b w:val="1"/>
                <w:bCs w:val="1"/>
                <w:color w:val="auto"/>
              </w:rPr>
              <w:t>$0.94</w:t>
            </w:r>
          </w:p>
        </w:tc>
        <w:tc>
          <w:tcPr>
            <w:tcW w:w="780" w:type="dxa"/>
            <w:vAlign w:val="bottom"/>
          </w:tcPr>
          <w:p>
            <w:pPr>
              <w:jc w:val="right"/>
              <w:spacing w:after="0"/>
              <w:rPr>
                <w:sz w:val="20"/>
                <w:szCs w:val="20"/>
                <w:color w:val="auto"/>
              </w:rPr>
            </w:pPr>
            <w:r>
              <w:rPr>
                <w:rFonts w:ascii="Arial" w:cs="Arial" w:eastAsia="Arial" w:hAnsi="Arial"/>
                <w:sz w:val="16"/>
                <w:szCs w:val="16"/>
                <w:color w:val="auto"/>
              </w:rPr>
              <w:t>$0.94</w:t>
            </w:r>
          </w:p>
        </w:tc>
        <w:tc>
          <w:tcPr>
            <w:tcW w:w="100" w:type="dxa"/>
            <w:vAlign w:val="bottom"/>
          </w:tcPr>
          <w:p>
            <w:pPr>
              <w:spacing w:after="0"/>
              <w:rPr>
                <w:sz w:val="23"/>
                <w:szCs w:val="23"/>
                <w:color w:val="auto"/>
              </w:rPr>
            </w:pPr>
          </w:p>
        </w:tc>
        <w:tc>
          <w:tcPr>
            <w:tcW w:w="1980" w:type="dxa"/>
            <w:vAlign w:val="bottom"/>
          </w:tcPr>
          <w:p>
            <w:pPr>
              <w:jc w:val="right"/>
              <w:ind w:right="659"/>
              <w:spacing w:after="0"/>
              <w:rPr>
                <w:sz w:val="20"/>
                <w:szCs w:val="20"/>
                <w:color w:val="auto"/>
              </w:rPr>
            </w:pPr>
            <w:r>
              <w:rPr>
                <w:rFonts w:ascii="Arial" w:cs="Arial" w:eastAsia="Arial" w:hAnsi="Arial"/>
                <w:sz w:val="16"/>
                <w:szCs w:val="16"/>
                <w:b w:val="1"/>
                <w:bCs w:val="1"/>
                <w:color w:val="auto"/>
              </w:rPr>
              <w:t>$3.27</w:t>
            </w:r>
          </w:p>
        </w:tc>
        <w:tc>
          <w:tcPr>
            <w:tcW w:w="760" w:type="dxa"/>
            <w:vAlign w:val="bottom"/>
          </w:tcPr>
          <w:p>
            <w:pPr>
              <w:jc w:val="right"/>
              <w:spacing w:after="0"/>
              <w:rPr>
                <w:sz w:val="20"/>
                <w:szCs w:val="20"/>
                <w:color w:val="auto"/>
              </w:rPr>
            </w:pPr>
            <w:r>
              <w:rPr>
                <w:rFonts w:ascii="Arial" w:cs="Arial" w:eastAsia="Arial" w:hAnsi="Arial"/>
                <w:sz w:val="16"/>
                <w:szCs w:val="16"/>
                <w:color w:val="auto"/>
              </w:rPr>
              <w:t>$4.43</w:t>
            </w:r>
          </w:p>
        </w:tc>
      </w:tr>
      <w:tr>
        <w:trPr>
          <w:trHeight w:val="226"/>
        </w:trPr>
        <w:tc>
          <w:tcPr>
            <w:tcW w:w="5540" w:type="dxa"/>
            <w:vAlign w:val="bottom"/>
          </w:tcPr>
          <w:p>
            <w:pPr>
              <w:ind w:left="180"/>
              <w:spacing w:after="0"/>
              <w:rPr>
                <w:sz w:val="20"/>
                <w:szCs w:val="20"/>
                <w:color w:val="auto"/>
              </w:rPr>
            </w:pPr>
            <w:r>
              <w:rPr>
                <w:rFonts w:ascii="Arial" w:cs="Arial" w:eastAsia="Arial" w:hAnsi="Arial"/>
                <w:sz w:val="16"/>
                <w:szCs w:val="16"/>
                <w:color w:val="auto"/>
              </w:rPr>
              <w:t>from continuing operations</w:t>
            </w:r>
          </w:p>
        </w:tc>
        <w:tc>
          <w:tcPr>
            <w:tcW w:w="2080" w:type="dxa"/>
            <w:vAlign w:val="bottom"/>
            <w:gridSpan w:val="2"/>
          </w:tcPr>
          <w:p>
            <w:pPr>
              <w:jc w:val="right"/>
              <w:ind w:right="659"/>
              <w:spacing w:after="0"/>
              <w:rPr>
                <w:sz w:val="20"/>
                <w:szCs w:val="20"/>
                <w:color w:val="auto"/>
              </w:rPr>
            </w:pPr>
            <w:r>
              <w:rPr>
                <w:rFonts w:ascii="Arial" w:cs="Arial" w:eastAsia="Arial" w:hAnsi="Arial"/>
                <w:sz w:val="16"/>
                <w:szCs w:val="16"/>
                <w:b w:val="1"/>
                <w:bCs w:val="1"/>
                <w:color w:val="auto"/>
              </w:rPr>
              <w:t>$0.92</w:t>
            </w:r>
          </w:p>
        </w:tc>
        <w:tc>
          <w:tcPr>
            <w:tcW w:w="780" w:type="dxa"/>
            <w:vAlign w:val="bottom"/>
          </w:tcPr>
          <w:p>
            <w:pPr>
              <w:jc w:val="right"/>
              <w:spacing w:after="0"/>
              <w:rPr>
                <w:sz w:val="20"/>
                <w:szCs w:val="20"/>
                <w:color w:val="auto"/>
              </w:rPr>
            </w:pPr>
            <w:r>
              <w:rPr>
                <w:rFonts w:ascii="Arial" w:cs="Arial" w:eastAsia="Arial" w:hAnsi="Arial"/>
                <w:sz w:val="16"/>
                <w:szCs w:val="16"/>
                <w:color w:val="auto"/>
              </w:rPr>
              <w:t>$1.03</w:t>
            </w:r>
          </w:p>
        </w:tc>
        <w:tc>
          <w:tcPr>
            <w:tcW w:w="100" w:type="dxa"/>
            <w:vAlign w:val="bottom"/>
          </w:tcPr>
          <w:p>
            <w:pPr>
              <w:spacing w:after="0"/>
              <w:rPr>
                <w:sz w:val="19"/>
                <w:szCs w:val="19"/>
                <w:color w:val="auto"/>
              </w:rPr>
            </w:pPr>
          </w:p>
        </w:tc>
        <w:tc>
          <w:tcPr>
            <w:tcW w:w="1980" w:type="dxa"/>
            <w:vAlign w:val="bottom"/>
          </w:tcPr>
          <w:p>
            <w:pPr>
              <w:jc w:val="right"/>
              <w:ind w:right="659"/>
              <w:spacing w:after="0"/>
              <w:rPr>
                <w:sz w:val="20"/>
                <w:szCs w:val="20"/>
                <w:color w:val="auto"/>
              </w:rPr>
            </w:pPr>
            <w:r>
              <w:rPr>
                <w:rFonts w:ascii="Arial" w:cs="Arial" w:eastAsia="Arial" w:hAnsi="Arial"/>
                <w:sz w:val="16"/>
                <w:szCs w:val="16"/>
                <w:b w:val="1"/>
                <w:bCs w:val="1"/>
                <w:color w:val="auto"/>
              </w:rPr>
              <w:t>$3.47</w:t>
            </w:r>
          </w:p>
        </w:tc>
        <w:tc>
          <w:tcPr>
            <w:tcW w:w="760" w:type="dxa"/>
            <w:vAlign w:val="bottom"/>
          </w:tcPr>
          <w:p>
            <w:pPr>
              <w:jc w:val="right"/>
              <w:spacing w:after="0"/>
              <w:rPr>
                <w:sz w:val="20"/>
                <w:szCs w:val="20"/>
                <w:color w:val="auto"/>
              </w:rPr>
            </w:pPr>
            <w:r>
              <w:rPr>
                <w:rFonts w:ascii="Arial" w:cs="Arial" w:eastAsia="Arial" w:hAnsi="Arial"/>
                <w:sz w:val="16"/>
                <w:szCs w:val="16"/>
                <w:color w:val="auto"/>
              </w:rPr>
              <w:t>$4.05</w:t>
            </w:r>
          </w:p>
        </w:tc>
      </w:tr>
      <w:tr>
        <w:trPr>
          <w:trHeight w:val="282"/>
        </w:trPr>
        <w:tc>
          <w:tcPr>
            <w:tcW w:w="5540" w:type="dxa"/>
            <w:vAlign w:val="bottom"/>
          </w:tcPr>
          <w:p>
            <w:pPr>
              <w:ind w:left="180"/>
              <w:spacing w:after="0"/>
              <w:rPr>
                <w:sz w:val="20"/>
                <w:szCs w:val="20"/>
                <w:color w:val="auto"/>
              </w:rPr>
            </w:pPr>
            <w:r>
              <w:rPr>
                <w:rFonts w:ascii="Arial" w:cs="Arial" w:eastAsia="Arial" w:hAnsi="Arial"/>
                <w:sz w:val="16"/>
                <w:szCs w:val="16"/>
                <w:color w:val="auto"/>
              </w:rPr>
              <w:t>from discontinued operations</w:t>
            </w:r>
            <w:r>
              <w:rPr>
                <w:rFonts w:ascii="Arial" w:cs="Arial" w:eastAsia="Arial" w:hAnsi="Arial"/>
                <w:sz w:val="21"/>
                <w:szCs w:val="21"/>
                <w:color w:val="auto"/>
                <w:vertAlign w:val="superscript"/>
              </w:rPr>
              <w:t>1</w:t>
            </w:r>
          </w:p>
        </w:tc>
        <w:tc>
          <w:tcPr>
            <w:tcW w:w="2080" w:type="dxa"/>
            <w:vAlign w:val="bottom"/>
            <w:gridSpan w:val="2"/>
          </w:tcPr>
          <w:p>
            <w:pPr>
              <w:jc w:val="right"/>
              <w:ind w:right="659"/>
              <w:spacing w:after="0"/>
              <w:rPr>
                <w:sz w:val="20"/>
                <w:szCs w:val="20"/>
                <w:color w:val="auto"/>
              </w:rPr>
            </w:pPr>
            <w:r>
              <w:rPr>
                <w:rFonts w:ascii="Arial" w:cs="Arial" w:eastAsia="Arial" w:hAnsi="Arial"/>
                <w:sz w:val="16"/>
                <w:szCs w:val="16"/>
                <w:b w:val="1"/>
                <w:bCs w:val="1"/>
                <w:color w:val="auto"/>
              </w:rPr>
              <w:t>$0.02</w:t>
            </w:r>
          </w:p>
        </w:tc>
        <w:tc>
          <w:tcPr>
            <w:tcW w:w="780" w:type="dxa"/>
            <w:vAlign w:val="bottom"/>
          </w:tcPr>
          <w:p>
            <w:pPr>
              <w:jc w:val="right"/>
              <w:spacing w:after="0"/>
              <w:rPr>
                <w:sz w:val="20"/>
                <w:szCs w:val="20"/>
                <w:color w:val="auto"/>
              </w:rPr>
            </w:pPr>
            <w:r>
              <w:rPr>
                <w:rFonts w:ascii="Arial" w:cs="Arial" w:eastAsia="Arial" w:hAnsi="Arial"/>
                <w:sz w:val="16"/>
                <w:szCs w:val="16"/>
                <w:color w:val="auto"/>
              </w:rPr>
              <w:t>($0.09)</w:t>
            </w:r>
          </w:p>
        </w:tc>
        <w:tc>
          <w:tcPr>
            <w:tcW w:w="100" w:type="dxa"/>
            <w:vAlign w:val="bottom"/>
          </w:tcPr>
          <w:p>
            <w:pPr>
              <w:spacing w:after="0"/>
              <w:rPr>
                <w:sz w:val="24"/>
                <w:szCs w:val="24"/>
                <w:color w:val="auto"/>
              </w:rPr>
            </w:pPr>
          </w:p>
        </w:tc>
        <w:tc>
          <w:tcPr>
            <w:tcW w:w="1980" w:type="dxa"/>
            <w:vAlign w:val="bottom"/>
          </w:tcPr>
          <w:p>
            <w:pPr>
              <w:jc w:val="right"/>
              <w:ind w:right="619"/>
              <w:spacing w:after="0"/>
              <w:rPr>
                <w:sz w:val="20"/>
                <w:szCs w:val="20"/>
                <w:color w:val="auto"/>
              </w:rPr>
            </w:pPr>
            <w:r>
              <w:rPr>
                <w:rFonts w:ascii="Arial" w:cs="Arial" w:eastAsia="Arial" w:hAnsi="Arial"/>
                <w:sz w:val="16"/>
                <w:szCs w:val="16"/>
                <w:b w:val="1"/>
                <w:bCs w:val="1"/>
                <w:color w:val="auto"/>
              </w:rPr>
              <w:t>($0.20)</w:t>
            </w:r>
          </w:p>
        </w:tc>
        <w:tc>
          <w:tcPr>
            <w:tcW w:w="760" w:type="dxa"/>
            <w:vAlign w:val="bottom"/>
          </w:tcPr>
          <w:p>
            <w:pPr>
              <w:jc w:val="right"/>
              <w:spacing w:after="0"/>
              <w:rPr>
                <w:sz w:val="20"/>
                <w:szCs w:val="20"/>
                <w:color w:val="auto"/>
              </w:rPr>
            </w:pPr>
            <w:r>
              <w:rPr>
                <w:rFonts w:ascii="Arial" w:cs="Arial" w:eastAsia="Arial" w:hAnsi="Arial"/>
                <w:sz w:val="16"/>
                <w:szCs w:val="16"/>
                <w:color w:val="auto"/>
              </w:rPr>
              <w:t>$0.38</w:t>
            </w:r>
          </w:p>
        </w:tc>
      </w:tr>
      <w:tr>
        <w:trPr>
          <w:trHeight w:val="281"/>
        </w:trPr>
        <w:tc>
          <w:tcPr>
            <w:tcW w:w="5540" w:type="dxa"/>
            <w:vAlign w:val="bottom"/>
          </w:tcPr>
          <w:p>
            <w:pPr>
              <w:ind w:left="20"/>
              <w:spacing w:after="0"/>
              <w:rPr>
                <w:sz w:val="20"/>
                <w:szCs w:val="20"/>
                <w:color w:val="auto"/>
              </w:rPr>
            </w:pPr>
            <w:r>
              <w:rPr>
                <w:rFonts w:ascii="Arial" w:cs="Arial" w:eastAsia="Arial" w:hAnsi="Arial"/>
                <w:sz w:val="16"/>
                <w:szCs w:val="16"/>
                <w:color w:val="auto"/>
              </w:rPr>
              <w:t>Comparable EBITDA</w:t>
            </w:r>
            <w:r>
              <w:rPr>
                <w:rFonts w:ascii="Arial" w:cs="Arial" w:eastAsia="Arial" w:hAnsi="Arial"/>
                <w:sz w:val="21"/>
                <w:szCs w:val="21"/>
                <w:color w:val="auto"/>
                <w:vertAlign w:val="superscript"/>
              </w:rPr>
              <w:t>2</w:t>
            </w:r>
          </w:p>
        </w:tc>
        <w:tc>
          <w:tcPr>
            <w:tcW w:w="2080" w:type="dxa"/>
            <w:vAlign w:val="bottom"/>
            <w:gridSpan w:val="2"/>
          </w:tcPr>
          <w:p>
            <w:pPr>
              <w:jc w:val="right"/>
              <w:ind w:right="659"/>
              <w:spacing w:after="0"/>
              <w:rPr>
                <w:sz w:val="20"/>
                <w:szCs w:val="20"/>
                <w:color w:val="auto"/>
              </w:rPr>
            </w:pPr>
            <w:r>
              <w:rPr>
                <w:rFonts w:ascii="Arial" w:cs="Arial" w:eastAsia="Arial" w:hAnsi="Arial"/>
                <w:sz w:val="16"/>
                <w:szCs w:val="16"/>
                <w:b w:val="1"/>
                <w:bCs w:val="1"/>
                <w:color w:val="auto"/>
              </w:rPr>
              <w:t>2,964</w:t>
            </w:r>
          </w:p>
        </w:tc>
        <w:tc>
          <w:tcPr>
            <w:tcW w:w="780" w:type="dxa"/>
            <w:vAlign w:val="bottom"/>
          </w:tcPr>
          <w:p>
            <w:pPr>
              <w:jc w:val="right"/>
              <w:spacing w:after="0"/>
              <w:rPr>
                <w:sz w:val="20"/>
                <w:szCs w:val="20"/>
                <w:color w:val="auto"/>
              </w:rPr>
            </w:pPr>
            <w:r>
              <w:rPr>
                <w:rFonts w:ascii="Arial" w:cs="Arial" w:eastAsia="Arial" w:hAnsi="Arial"/>
                <w:sz w:val="16"/>
                <w:szCs w:val="16"/>
                <w:color w:val="auto"/>
              </w:rPr>
              <w:t>2,619</w:t>
            </w:r>
          </w:p>
        </w:tc>
        <w:tc>
          <w:tcPr>
            <w:tcW w:w="100" w:type="dxa"/>
            <w:vAlign w:val="bottom"/>
          </w:tcPr>
          <w:p>
            <w:pPr>
              <w:spacing w:after="0"/>
              <w:rPr>
                <w:sz w:val="24"/>
                <w:szCs w:val="24"/>
                <w:color w:val="auto"/>
              </w:rPr>
            </w:pPr>
          </w:p>
        </w:tc>
        <w:tc>
          <w:tcPr>
            <w:tcW w:w="1980" w:type="dxa"/>
            <w:vAlign w:val="bottom"/>
          </w:tcPr>
          <w:p>
            <w:pPr>
              <w:jc w:val="right"/>
              <w:ind w:right="659"/>
              <w:spacing w:after="0"/>
              <w:rPr>
                <w:sz w:val="20"/>
                <w:szCs w:val="20"/>
                <w:color w:val="auto"/>
              </w:rPr>
            </w:pPr>
            <w:r>
              <w:rPr>
                <w:rFonts w:ascii="Arial" w:cs="Arial" w:eastAsia="Arial" w:hAnsi="Arial"/>
                <w:sz w:val="16"/>
                <w:szCs w:val="16"/>
                <w:b w:val="1"/>
                <w:bCs w:val="1"/>
                <w:color w:val="auto"/>
              </w:rPr>
              <w:t>10,952</w:t>
            </w:r>
          </w:p>
        </w:tc>
        <w:tc>
          <w:tcPr>
            <w:tcW w:w="760" w:type="dxa"/>
            <w:vAlign w:val="bottom"/>
          </w:tcPr>
          <w:p>
            <w:pPr>
              <w:jc w:val="right"/>
              <w:spacing w:after="0"/>
              <w:rPr>
                <w:sz w:val="20"/>
                <w:szCs w:val="20"/>
                <w:color w:val="auto"/>
              </w:rPr>
            </w:pPr>
            <w:r>
              <w:rPr>
                <w:rFonts w:ascii="Arial" w:cs="Arial" w:eastAsia="Arial" w:hAnsi="Arial"/>
                <w:sz w:val="16"/>
                <w:szCs w:val="16"/>
                <w:color w:val="auto"/>
              </w:rPr>
              <w:t>11,194</w:t>
            </w:r>
          </w:p>
        </w:tc>
      </w:tr>
      <w:tr>
        <w:trPr>
          <w:trHeight w:val="219"/>
        </w:trPr>
        <w:tc>
          <w:tcPr>
            <w:tcW w:w="5540" w:type="dxa"/>
            <w:vAlign w:val="bottom"/>
          </w:tcPr>
          <w:p>
            <w:pPr>
              <w:ind w:left="180"/>
              <w:spacing w:after="0"/>
              <w:rPr>
                <w:sz w:val="20"/>
                <w:szCs w:val="20"/>
                <w:color w:val="auto"/>
              </w:rPr>
            </w:pPr>
            <w:r>
              <w:rPr>
                <w:rFonts w:ascii="Arial" w:cs="Arial" w:eastAsia="Arial" w:hAnsi="Arial"/>
                <w:sz w:val="16"/>
                <w:szCs w:val="16"/>
                <w:color w:val="auto"/>
              </w:rPr>
              <w:t>from continuing operations</w:t>
            </w:r>
          </w:p>
        </w:tc>
        <w:tc>
          <w:tcPr>
            <w:tcW w:w="2080" w:type="dxa"/>
            <w:vAlign w:val="bottom"/>
            <w:gridSpan w:val="2"/>
          </w:tcPr>
          <w:p>
            <w:pPr>
              <w:jc w:val="right"/>
              <w:ind w:right="659"/>
              <w:spacing w:after="0"/>
              <w:rPr>
                <w:sz w:val="20"/>
                <w:szCs w:val="20"/>
                <w:color w:val="auto"/>
              </w:rPr>
            </w:pPr>
            <w:r>
              <w:rPr>
                <w:rFonts w:ascii="Arial" w:cs="Arial" w:eastAsia="Arial" w:hAnsi="Arial"/>
                <w:sz w:val="16"/>
                <w:szCs w:val="16"/>
                <w:b w:val="1"/>
                <w:bCs w:val="1"/>
                <w:color w:val="auto"/>
              </w:rPr>
              <w:t>2,964</w:t>
            </w:r>
          </w:p>
        </w:tc>
        <w:tc>
          <w:tcPr>
            <w:tcW w:w="780" w:type="dxa"/>
            <w:vAlign w:val="bottom"/>
          </w:tcPr>
          <w:p>
            <w:pPr>
              <w:jc w:val="right"/>
              <w:spacing w:after="0"/>
              <w:rPr>
                <w:sz w:val="20"/>
                <w:szCs w:val="20"/>
                <w:color w:val="auto"/>
              </w:rPr>
            </w:pPr>
            <w:r>
              <w:rPr>
                <w:rFonts w:ascii="Arial" w:cs="Arial" w:eastAsia="Arial" w:hAnsi="Arial"/>
                <w:sz w:val="16"/>
                <w:szCs w:val="16"/>
                <w:color w:val="auto"/>
              </w:rPr>
              <w:t>2,619</w:t>
            </w:r>
          </w:p>
        </w:tc>
        <w:tc>
          <w:tcPr>
            <w:tcW w:w="100" w:type="dxa"/>
            <w:vAlign w:val="bottom"/>
          </w:tcPr>
          <w:p>
            <w:pPr>
              <w:spacing w:after="0"/>
              <w:rPr>
                <w:sz w:val="19"/>
                <w:szCs w:val="19"/>
                <w:color w:val="auto"/>
              </w:rPr>
            </w:pPr>
          </w:p>
        </w:tc>
        <w:tc>
          <w:tcPr>
            <w:tcW w:w="1980" w:type="dxa"/>
            <w:vAlign w:val="bottom"/>
          </w:tcPr>
          <w:p>
            <w:pPr>
              <w:jc w:val="right"/>
              <w:ind w:right="659"/>
              <w:spacing w:after="0"/>
              <w:rPr>
                <w:sz w:val="20"/>
                <w:szCs w:val="20"/>
                <w:color w:val="auto"/>
              </w:rPr>
            </w:pPr>
            <w:r>
              <w:rPr>
                <w:rFonts w:ascii="Arial" w:cs="Arial" w:eastAsia="Arial" w:hAnsi="Arial"/>
                <w:sz w:val="16"/>
                <w:szCs w:val="16"/>
                <w:b w:val="1"/>
                <w:bCs w:val="1"/>
                <w:color w:val="auto"/>
              </w:rPr>
              <w:t>10,952</w:t>
            </w:r>
          </w:p>
        </w:tc>
        <w:tc>
          <w:tcPr>
            <w:tcW w:w="760" w:type="dxa"/>
            <w:vAlign w:val="bottom"/>
          </w:tcPr>
          <w:p>
            <w:pPr>
              <w:jc w:val="right"/>
              <w:spacing w:after="0"/>
              <w:rPr>
                <w:sz w:val="20"/>
                <w:szCs w:val="20"/>
                <w:color w:val="auto"/>
              </w:rPr>
            </w:pPr>
            <w:r>
              <w:rPr>
                <w:rFonts w:ascii="Arial" w:cs="Arial" w:eastAsia="Arial" w:hAnsi="Arial"/>
                <w:sz w:val="16"/>
                <w:szCs w:val="16"/>
                <w:color w:val="auto"/>
              </w:rPr>
              <w:t>10,049</w:t>
            </w:r>
          </w:p>
        </w:tc>
      </w:tr>
      <w:tr>
        <w:trPr>
          <w:trHeight w:val="282"/>
        </w:trPr>
        <w:tc>
          <w:tcPr>
            <w:tcW w:w="5540" w:type="dxa"/>
            <w:vAlign w:val="bottom"/>
          </w:tcPr>
          <w:p>
            <w:pPr>
              <w:ind w:left="180"/>
              <w:spacing w:after="0"/>
              <w:rPr>
                <w:sz w:val="20"/>
                <w:szCs w:val="20"/>
                <w:color w:val="auto"/>
              </w:rPr>
            </w:pPr>
            <w:r>
              <w:rPr>
                <w:rFonts w:ascii="Arial" w:cs="Arial" w:eastAsia="Arial" w:hAnsi="Arial"/>
                <w:sz w:val="16"/>
                <w:szCs w:val="16"/>
                <w:color w:val="auto"/>
              </w:rPr>
              <w:t>from discontinued operations</w:t>
            </w:r>
            <w:r>
              <w:rPr>
                <w:rFonts w:ascii="Arial" w:cs="Arial" w:eastAsia="Arial" w:hAnsi="Arial"/>
                <w:sz w:val="21"/>
                <w:szCs w:val="21"/>
                <w:color w:val="auto"/>
                <w:vertAlign w:val="superscript"/>
              </w:rPr>
              <w:t>1</w:t>
            </w:r>
          </w:p>
        </w:tc>
        <w:tc>
          <w:tcPr>
            <w:tcW w:w="120" w:type="dxa"/>
            <w:vAlign w:val="bottom"/>
          </w:tcPr>
          <w:p>
            <w:pPr>
              <w:spacing w:after="0"/>
              <w:rPr>
                <w:sz w:val="24"/>
                <w:szCs w:val="24"/>
                <w:color w:val="auto"/>
              </w:rPr>
            </w:pPr>
          </w:p>
        </w:tc>
        <w:tc>
          <w:tcPr>
            <w:tcW w:w="1960" w:type="dxa"/>
            <w:vAlign w:val="bottom"/>
          </w:tcPr>
          <w:p>
            <w:pPr>
              <w:jc w:val="right"/>
              <w:ind w:right="659"/>
              <w:spacing w:after="0"/>
              <w:rPr>
                <w:sz w:val="20"/>
                <w:szCs w:val="20"/>
                <w:color w:val="auto"/>
              </w:rPr>
            </w:pPr>
            <w:r>
              <w:rPr>
                <w:rFonts w:ascii="Arial" w:cs="Arial" w:eastAsia="Arial" w:hAnsi="Arial"/>
                <w:sz w:val="16"/>
                <w:szCs w:val="16"/>
                <w:b w:val="1"/>
                <w:bCs w:val="1"/>
                <w:color w:val="auto"/>
              </w:rPr>
              <w:t>—</w:t>
            </w: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980" w:type="dxa"/>
            <w:vAlign w:val="bottom"/>
          </w:tcPr>
          <w:p>
            <w:pPr>
              <w:jc w:val="right"/>
              <w:ind w:right="659"/>
              <w:spacing w:after="0"/>
              <w:rPr>
                <w:sz w:val="20"/>
                <w:szCs w:val="20"/>
                <w:color w:val="auto"/>
              </w:rPr>
            </w:pPr>
            <w:r>
              <w:rPr>
                <w:rFonts w:ascii="Arial" w:cs="Arial" w:eastAsia="Arial" w:hAnsi="Arial"/>
                <w:sz w:val="16"/>
                <w:szCs w:val="16"/>
                <w:b w:val="1"/>
                <w:bCs w:val="1"/>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1,145</w:t>
            </w:r>
          </w:p>
        </w:tc>
      </w:tr>
      <w:tr>
        <w:trPr>
          <w:trHeight w:val="281"/>
        </w:trPr>
        <w:tc>
          <w:tcPr>
            <w:tcW w:w="5540" w:type="dxa"/>
            <w:vAlign w:val="bottom"/>
          </w:tcPr>
          <w:p>
            <w:pPr>
              <w:ind w:left="20"/>
              <w:spacing w:after="0"/>
              <w:rPr>
                <w:sz w:val="20"/>
                <w:szCs w:val="20"/>
                <w:color w:val="auto"/>
              </w:rPr>
            </w:pPr>
            <w:r>
              <w:rPr>
                <w:rFonts w:ascii="Arial" w:cs="Arial" w:eastAsia="Arial" w:hAnsi="Arial"/>
                <w:sz w:val="16"/>
                <w:szCs w:val="16"/>
                <w:color w:val="auto"/>
              </w:rPr>
              <w:t>Comparable earnings</w:t>
            </w:r>
            <w:r>
              <w:rPr>
                <w:rFonts w:ascii="Arial" w:cs="Arial" w:eastAsia="Arial" w:hAnsi="Arial"/>
                <w:sz w:val="21"/>
                <w:szCs w:val="21"/>
                <w:color w:val="auto"/>
                <w:vertAlign w:val="superscript"/>
              </w:rPr>
              <w:t>2</w:t>
            </w:r>
          </w:p>
        </w:tc>
        <w:tc>
          <w:tcPr>
            <w:tcW w:w="2080" w:type="dxa"/>
            <w:vAlign w:val="bottom"/>
            <w:gridSpan w:val="2"/>
          </w:tcPr>
          <w:p>
            <w:pPr>
              <w:jc w:val="right"/>
              <w:ind w:right="659"/>
              <w:spacing w:after="0"/>
              <w:rPr>
                <w:sz w:val="20"/>
                <w:szCs w:val="20"/>
                <w:color w:val="auto"/>
              </w:rPr>
            </w:pPr>
            <w:r>
              <w:rPr>
                <w:rFonts w:ascii="Arial" w:cs="Arial" w:eastAsia="Arial" w:hAnsi="Arial"/>
                <w:sz w:val="16"/>
                <w:szCs w:val="16"/>
                <w:b w:val="1"/>
                <w:bCs w:val="1"/>
                <w:color w:val="auto"/>
              </w:rPr>
              <w:t>1,018</w:t>
            </w:r>
          </w:p>
        </w:tc>
        <w:tc>
          <w:tcPr>
            <w:tcW w:w="780" w:type="dxa"/>
            <w:vAlign w:val="bottom"/>
          </w:tcPr>
          <w:p>
            <w:pPr>
              <w:jc w:val="right"/>
              <w:spacing w:after="0"/>
              <w:rPr>
                <w:sz w:val="20"/>
                <w:szCs w:val="20"/>
                <w:color w:val="auto"/>
              </w:rPr>
            </w:pPr>
            <w:r>
              <w:rPr>
                <w:rFonts w:ascii="Arial" w:cs="Arial" w:eastAsia="Arial" w:hAnsi="Arial"/>
                <w:sz w:val="16"/>
                <w:szCs w:val="16"/>
                <w:color w:val="auto"/>
              </w:rPr>
              <w:t>1,094</w:t>
            </w:r>
          </w:p>
        </w:tc>
        <w:tc>
          <w:tcPr>
            <w:tcW w:w="100" w:type="dxa"/>
            <w:vAlign w:val="bottom"/>
          </w:tcPr>
          <w:p>
            <w:pPr>
              <w:spacing w:after="0"/>
              <w:rPr>
                <w:sz w:val="24"/>
                <w:szCs w:val="24"/>
                <w:color w:val="auto"/>
              </w:rPr>
            </w:pPr>
          </w:p>
        </w:tc>
        <w:tc>
          <w:tcPr>
            <w:tcW w:w="1980" w:type="dxa"/>
            <w:vAlign w:val="bottom"/>
          </w:tcPr>
          <w:p>
            <w:pPr>
              <w:jc w:val="right"/>
              <w:ind w:right="659"/>
              <w:spacing w:after="0"/>
              <w:rPr>
                <w:sz w:val="20"/>
                <w:szCs w:val="20"/>
                <w:color w:val="auto"/>
              </w:rPr>
            </w:pPr>
            <w:r>
              <w:rPr>
                <w:rFonts w:ascii="Arial" w:cs="Arial" w:eastAsia="Arial" w:hAnsi="Arial"/>
                <w:sz w:val="16"/>
                <w:szCs w:val="16"/>
                <w:b w:val="1"/>
                <w:bCs w:val="1"/>
                <w:color w:val="auto"/>
              </w:rPr>
              <w:t>3,654</w:t>
            </w:r>
          </w:p>
        </w:tc>
        <w:tc>
          <w:tcPr>
            <w:tcW w:w="760" w:type="dxa"/>
            <w:vAlign w:val="bottom"/>
          </w:tcPr>
          <w:p>
            <w:pPr>
              <w:jc w:val="right"/>
              <w:spacing w:after="0"/>
              <w:rPr>
                <w:sz w:val="20"/>
                <w:szCs w:val="20"/>
                <w:color w:val="auto"/>
              </w:rPr>
            </w:pPr>
            <w:r>
              <w:rPr>
                <w:rFonts w:ascii="Arial" w:cs="Arial" w:eastAsia="Arial" w:hAnsi="Arial"/>
                <w:sz w:val="16"/>
                <w:szCs w:val="16"/>
                <w:color w:val="auto"/>
              </w:rPr>
              <w:t>4,430</w:t>
            </w:r>
          </w:p>
        </w:tc>
      </w:tr>
      <w:tr>
        <w:trPr>
          <w:trHeight w:val="219"/>
        </w:trPr>
        <w:tc>
          <w:tcPr>
            <w:tcW w:w="5540" w:type="dxa"/>
            <w:vAlign w:val="bottom"/>
          </w:tcPr>
          <w:p>
            <w:pPr>
              <w:ind w:left="180"/>
              <w:spacing w:after="0"/>
              <w:rPr>
                <w:sz w:val="20"/>
                <w:szCs w:val="20"/>
                <w:color w:val="auto"/>
              </w:rPr>
            </w:pPr>
            <w:r>
              <w:rPr>
                <w:rFonts w:ascii="Arial" w:cs="Arial" w:eastAsia="Arial" w:hAnsi="Arial"/>
                <w:sz w:val="16"/>
                <w:szCs w:val="16"/>
                <w:color w:val="auto"/>
              </w:rPr>
              <w:t>from continuing operations</w:t>
            </w:r>
          </w:p>
        </w:tc>
        <w:tc>
          <w:tcPr>
            <w:tcW w:w="2080" w:type="dxa"/>
            <w:vAlign w:val="bottom"/>
            <w:gridSpan w:val="2"/>
          </w:tcPr>
          <w:p>
            <w:pPr>
              <w:jc w:val="right"/>
              <w:ind w:right="659"/>
              <w:spacing w:after="0"/>
              <w:rPr>
                <w:sz w:val="20"/>
                <w:szCs w:val="20"/>
                <w:color w:val="auto"/>
              </w:rPr>
            </w:pPr>
            <w:r>
              <w:rPr>
                <w:rFonts w:ascii="Arial" w:cs="Arial" w:eastAsia="Arial" w:hAnsi="Arial"/>
                <w:sz w:val="16"/>
                <w:szCs w:val="16"/>
                <w:b w:val="1"/>
                <w:bCs w:val="1"/>
                <w:color w:val="auto"/>
              </w:rPr>
              <w:t>1,018</w:t>
            </w:r>
          </w:p>
        </w:tc>
        <w:tc>
          <w:tcPr>
            <w:tcW w:w="780" w:type="dxa"/>
            <w:vAlign w:val="bottom"/>
          </w:tcPr>
          <w:p>
            <w:pPr>
              <w:jc w:val="right"/>
              <w:spacing w:after="0"/>
              <w:rPr>
                <w:sz w:val="20"/>
                <w:szCs w:val="20"/>
                <w:color w:val="auto"/>
              </w:rPr>
            </w:pPr>
            <w:r>
              <w:rPr>
                <w:rFonts w:ascii="Arial" w:cs="Arial" w:eastAsia="Arial" w:hAnsi="Arial"/>
                <w:sz w:val="16"/>
                <w:szCs w:val="16"/>
                <w:color w:val="auto"/>
              </w:rPr>
              <w:t>1,094</w:t>
            </w:r>
          </w:p>
        </w:tc>
        <w:tc>
          <w:tcPr>
            <w:tcW w:w="100" w:type="dxa"/>
            <w:vAlign w:val="bottom"/>
          </w:tcPr>
          <w:p>
            <w:pPr>
              <w:spacing w:after="0"/>
              <w:rPr>
                <w:sz w:val="19"/>
                <w:szCs w:val="19"/>
                <w:color w:val="auto"/>
              </w:rPr>
            </w:pPr>
          </w:p>
        </w:tc>
        <w:tc>
          <w:tcPr>
            <w:tcW w:w="1980" w:type="dxa"/>
            <w:vAlign w:val="bottom"/>
          </w:tcPr>
          <w:p>
            <w:pPr>
              <w:jc w:val="right"/>
              <w:ind w:right="659"/>
              <w:spacing w:after="0"/>
              <w:rPr>
                <w:sz w:val="20"/>
                <w:szCs w:val="20"/>
                <w:color w:val="auto"/>
              </w:rPr>
            </w:pPr>
            <w:r>
              <w:rPr>
                <w:rFonts w:ascii="Arial" w:cs="Arial" w:eastAsia="Arial" w:hAnsi="Arial"/>
                <w:sz w:val="16"/>
                <w:szCs w:val="16"/>
                <w:b w:val="1"/>
                <w:bCs w:val="1"/>
                <w:color w:val="auto"/>
              </w:rPr>
              <w:t>3,654</w:t>
            </w:r>
          </w:p>
        </w:tc>
        <w:tc>
          <w:tcPr>
            <w:tcW w:w="760" w:type="dxa"/>
            <w:vAlign w:val="bottom"/>
          </w:tcPr>
          <w:p>
            <w:pPr>
              <w:jc w:val="right"/>
              <w:spacing w:after="0"/>
              <w:rPr>
                <w:sz w:val="20"/>
                <w:szCs w:val="20"/>
                <w:color w:val="auto"/>
              </w:rPr>
            </w:pPr>
            <w:r>
              <w:rPr>
                <w:rFonts w:ascii="Arial" w:cs="Arial" w:eastAsia="Arial" w:hAnsi="Arial"/>
                <w:sz w:val="16"/>
                <w:szCs w:val="16"/>
                <w:color w:val="auto"/>
              </w:rPr>
              <w:t>3,865</w:t>
            </w:r>
          </w:p>
        </w:tc>
      </w:tr>
      <w:tr>
        <w:trPr>
          <w:trHeight w:val="282"/>
        </w:trPr>
        <w:tc>
          <w:tcPr>
            <w:tcW w:w="5540" w:type="dxa"/>
            <w:vAlign w:val="bottom"/>
          </w:tcPr>
          <w:p>
            <w:pPr>
              <w:ind w:left="180"/>
              <w:spacing w:after="0"/>
              <w:rPr>
                <w:sz w:val="20"/>
                <w:szCs w:val="20"/>
                <w:color w:val="auto"/>
              </w:rPr>
            </w:pPr>
            <w:r>
              <w:rPr>
                <w:rFonts w:ascii="Arial" w:cs="Arial" w:eastAsia="Arial" w:hAnsi="Arial"/>
                <w:sz w:val="16"/>
                <w:szCs w:val="16"/>
                <w:color w:val="auto"/>
              </w:rPr>
              <w:t>from discontinued operations</w:t>
            </w:r>
            <w:r>
              <w:rPr>
                <w:rFonts w:ascii="Arial" w:cs="Arial" w:eastAsia="Arial" w:hAnsi="Arial"/>
                <w:sz w:val="21"/>
                <w:szCs w:val="21"/>
                <w:color w:val="auto"/>
                <w:vertAlign w:val="superscript"/>
              </w:rPr>
              <w:t>1</w:t>
            </w:r>
          </w:p>
        </w:tc>
        <w:tc>
          <w:tcPr>
            <w:tcW w:w="120" w:type="dxa"/>
            <w:vAlign w:val="bottom"/>
          </w:tcPr>
          <w:p>
            <w:pPr>
              <w:spacing w:after="0"/>
              <w:rPr>
                <w:sz w:val="24"/>
                <w:szCs w:val="24"/>
                <w:color w:val="auto"/>
              </w:rPr>
            </w:pPr>
          </w:p>
        </w:tc>
        <w:tc>
          <w:tcPr>
            <w:tcW w:w="1960" w:type="dxa"/>
            <w:vAlign w:val="bottom"/>
          </w:tcPr>
          <w:p>
            <w:pPr>
              <w:jc w:val="right"/>
              <w:ind w:right="659"/>
              <w:spacing w:after="0"/>
              <w:rPr>
                <w:sz w:val="20"/>
                <w:szCs w:val="20"/>
                <w:color w:val="auto"/>
              </w:rPr>
            </w:pPr>
            <w:r>
              <w:rPr>
                <w:rFonts w:ascii="Arial" w:cs="Arial" w:eastAsia="Arial" w:hAnsi="Arial"/>
                <w:sz w:val="16"/>
                <w:szCs w:val="16"/>
                <w:b w:val="1"/>
                <w:bCs w:val="1"/>
                <w:color w:val="auto"/>
              </w:rPr>
              <w:t>—</w:t>
            </w: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980" w:type="dxa"/>
            <w:vAlign w:val="bottom"/>
          </w:tcPr>
          <w:p>
            <w:pPr>
              <w:jc w:val="right"/>
              <w:ind w:right="659"/>
              <w:spacing w:after="0"/>
              <w:rPr>
                <w:sz w:val="20"/>
                <w:szCs w:val="20"/>
                <w:color w:val="auto"/>
              </w:rPr>
            </w:pPr>
            <w:r>
              <w:rPr>
                <w:rFonts w:ascii="Arial" w:cs="Arial" w:eastAsia="Arial" w:hAnsi="Arial"/>
                <w:sz w:val="16"/>
                <w:szCs w:val="16"/>
                <w:b w:val="1"/>
                <w:bCs w:val="1"/>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565</w:t>
            </w:r>
          </w:p>
        </w:tc>
      </w:tr>
      <w:tr>
        <w:trPr>
          <w:trHeight w:val="281"/>
        </w:trPr>
        <w:tc>
          <w:tcPr>
            <w:tcW w:w="5540" w:type="dxa"/>
            <w:vAlign w:val="bottom"/>
          </w:tcPr>
          <w:p>
            <w:pPr>
              <w:ind w:left="20"/>
              <w:spacing w:after="0"/>
              <w:rPr>
                <w:sz w:val="20"/>
                <w:szCs w:val="20"/>
                <w:color w:val="auto"/>
              </w:rPr>
            </w:pPr>
            <w:r>
              <w:rPr>
                <w:rFonts w:ascii="Arial" w:cs="Arial" w:eastAsia="Arial" w:hAnsi="Arial"/>
                <w:sz w:val="16"/>
                <w:szCs w:val="16"/>
                <w:color w:val="auto"/>
              </w:rPr>
              <w:t>Comparable earnings per common share</w:t>
            </w:r>
            <w:r>
              <w:rPr>
                <w:rFonts w:ascii="Arial" w:cs="Arial" w:eastAsia="Arial" w:hAnsi="Arial"/>
                <w:sz w:val="21"/>
                <w:szCs w:val="21"/>
                <w:color w:val="auto"/>
                <w:vertAlign w:val="superscript"/>
              </w:rPr>
              <w:t>2</w:t>
            </w:r>
          </w:p>
        </w:tc>
        <w:tc>
          <w:tcPr>
            <w:tcW w:w="2080" w:type="dxa"/>
            <w:vAlign w:val="bottom"/>
            <w:gridSpan w:val="2"/>
          </w:tcPr>
          <w:p>
            <w:pPr>
              <w:jc w:val="right"/>
              <w:ind w:right="659"/>
              <w:spacing w:after="0"/>
              <w:rPr>
                <w:sz w:val="20"/>
                <w:szCs w:val="20"/>
                <w:color w:val="auto"/>
              </w:rPr>
            </w:pPr>
            <w:r>
              <w:rPr>
                <w:rFonts w:ascii="Arial" w:cs="Arial" w:eastAsia="Arial" w:hAnsi="Arial"/>
                <w:sz w:val="16"/>
                <w:szCs w:val="16"/>
                <w:b w:val="1"/>
                <w:bCs w:val="1"/>
                <w:color w:val="auto"/>
              </w:rPr>
              <w:t>$0.98</w:t>
            </w:r>
          </w:p>
        </w:tc>
        <w:tc>
          <w:tcPr>
            <w:tcW w:w="780" w:type="dxa"/>
            <w:vAlign w:val="bottom"/>
          </w:tcPr>
          <w:p>
            <w:pPr>
              <w:jc w:val="right"/>
              <w:spacing w:after="0"/>
              <w:rPr>
                <w:sz w:val="20"/>
                <w:szCs w:val="20"/>
                <w:color w:val="auto"/>
              </w:rPr>
            </w:pPr>
            <w:r>
              <w:rPr>
                <w:rFonts w:ascii="Arial" w:cs="Arial" w:eastAsia="Arial" w:hAnsi="Arial"/>
                <w:sz w:val="16"/>
                <w:szCs w:val="16"/>
                <w:color w:val="auto"/>
              </w:rPr>
              <w:t>$1.05</w:t>
            </w:r>
          </w:p>
        </w:tc>
        <w:tc>
          <w:tcPr>
            <w:tcW w:w="100" w:type="dxa"/>
            <w:vAlign w:val="bottom"/>
          </w:tcPr>
          <w:p>
            <w:pPr>
              <w:spacing w:after="0"/>
              <w:rPr>
                <w:sz w:val="24"/>
                <w:szCs w:val="24"/>
                <w:color w:val="auto"/>
              </w:rPr>
            </w:pPr>
          </w:p>
        </w:tc>
        <w:tc>
          <w:tcPr>
            <w:tcW w:w="1980" w:type="dxa"/>
            <w:vAlign w:val="bottom"/>
          </w:tcPr>
          <w:p>
            <w:pPr>
              <w:jc w:val="right"/>
              <w:ind w:right="659"/>
              <w:spacing w:after="0"/>
              <w:rPr>
                <w:sz w:val="20"/>
                <w:szCs w:val="20"/>
                <w:color w:val="auto"/>
              </w:rPr>
            </w:pPr>
            <w:r>
              <w:rPr>
                <w:rFonts w:ascii="Arial" w:cs="Arial" w:eastAsia="Arial" w:hAnsi="Arial"/>
                <w:sz w:val="16"/>
                <w:szCs w:val="16"/>
                <w:b w:val="1"/>
                <w:bCs w:val="1"/>
                <w:color w:val="auto"/>
              </w:rPr>
              <w:t>$3.51</w:t>
            </w:r>
          </w:p>
        </w:tc>
        <w:tc>
          <w:tcPr>
            <w:tcW w:w="760" w:type="dxa"/>
            <w:vAlign w:val="bottom"/>
          </w:tcPr>
          <w:p>
            <w:pPr>
              <w:jc w:val="right"/>
              <w:spacing w:after="0"/>
              <w:rPr>
                <w:sz w:val="20"/>
                <w:szCs w:val="20"/>
                <w:color w:val="auto"/>
              </w:rPr>
            </w:pPr>
            <w:r>
              <w:rPr>
                <w:rFonts w:ascii="Arial" w:cs="Arial" w:eastAsia="Arial" w:hAnsi="Arial"/>
                <w:sz w:val="16"/>
                <w:szCs w:val="16"/>
                <w:color w:val="auto"/>
              </w:rPr>
              <w:t>$4.27</w:t>
            </w:r>
          </w:p>
        </w:tc>
      </w:tr>
      <w:tr>
        <w:trPr>
          <w:trHeight w:val="219"/>
        </w:trPr>
        <w:tc>
          <w:tcPr>
            <w:tcW w:w="5540" w:type="dxa"/>
            <w:vAlign w:val="bottom"/>
          </w:tcPr>
          <w:p>
            <w:pPr>
              <w:ind w:left="180"/>
              <w:spacing w:after="0"/>
              <w:rPr>
                <w:sz w:val="20"/>
                <w:szCs w:val="20"/>
                <w:color w:val="auto"/>
              </w:rPr>
            </w:pPr>
            <w:r>
              <w:rPr>
                <w:rFonts w:ascii="Arial" w:cs="Arial" w:eastAsia="Arial" w:hAnsi="Arial"/>
                <w:sz w:val="16"/>
                <w:szCs w:val="16"/>
                <w:color w:val="auto"/>
              </w:rPr>
              <w:t>from continuing operations</w:t>
            </w:r>
          </w:p>
        </w:tc>
        <w:tc>
          <w:tcPr>
            <w:tcW w:w="2080" w:type="dxa"/>
            <w:vAlign w:val="bottom"/>
            <w:gridSpan w:val="2"/>
          </w:tcPr>
          <w:p>
            <w:pPr>
              <w:jc w:val="right"/>
              <w:ind w:right="659"/>
              <w:spacing w:after="0"/>
              <w:rPr>
                <w:sz w:val="20"/>
                <w:szCs w:val="20"/>
                <w:color w:val="auto"/>
              </w:rPr>
            </w:pPr>
            <w:r>
              <w:rPr>
                <w:rFonts w:ascii="Arial" w:cs="Arial" w:eastAsia="Arial" w:hAnsi="Arial"/>
                <w:sz w:val="16"/>
                <w:szCs w:val="16"/>
                <w:b w:val="1"/>
                <w:bCs w:val="1"/>
                <w:color w:val="auto"/>
              </w:rPr>
              <w:t>$0.98</w:t>
            </w:r>
          </w:p>
        </w:tc>
        <w:tc>
          <w:tcPr>
            <w:tcW w:w="780" w:type="dxa"/>
            <w:vAlign w:val="bottom"/>
          </w:tcPr>
          <w:p>
            <w:pPr>
              <w:jc w:val="right"/>
              <w:spacing w:after="0"/>
              <w:rPr>
                <w:sz w:val="20"/>
                <w:szCs w:val="20"/>
                <w:color w:val="auto"/>
              </w:rPr>
            </w:pPr>
            <w:r>
              <w:rPr>
                <w:rFonts w:ascii="Arial" w:cs="Arial" w:eastAsia="Arial" w:hAnsi="Arial"/>
                <w:sz w:val="16"/>
                <w:szCs w:val="16"/>
                <w:color w:val="auto"/>
              </w:rPr>
              <w:t>$1.05</w:t>
            </w:r>
          </w:p>
        </w:tc>
        <w:tc>
          <w:tcPr>
            <w:tcW w:w="100" w:type="dxa"/>
            <w:vAlign w:val="bottom"/>
          </w:tcPr>
          <w:p>
            <w:pPr>
              <w:spacing w:after="0"/>
              <w:rPr>
                <w:sz w:val="19"/>
                <w:szCs w:val="19"/>
                <w:color w:val="auto"/>
              </w:rPr>
            </w:pPr>
          </w:p>
        </w:tc>
        <w:tc>
          <w:tcPr>
            <w:tcW w:w="1980" w:type="dxa"/>
            <w:vAlign w:val="bottom"/>
          </w:tcPr>
          <w:p>
            <w:pPr>
              <w:jc w:val="right"/>
              <w:ind w:right="659"/>
              <w:spacing w:after="0"/>
              <w:rPr>
                <w:sz w:val="20"/>
                <w:szCs w:val="20"/>
                <w:color w:val="auto"/>
              </w:rPr>
            </w:pPr>
            <w:r>
              <w:rPr>
                <w:rFonts w:ascii="Arial" w:cs="Arial" w:eastAsia="Arial" w:hAnsi="Arial"/>
                <w:sz w:val="16"/>
                <w:szCs w:val="16"/>
                <w:b w:val="1"/>
                <w:bCs w:val="1"/>
                <w:color w:val="auto"/>
              </w:rPr>
              <w:t>$3.51</w:t>
            </w:r>
          </w:p>
        </w:tc>
        <w:tc>
          <w:tcPr>
            <w:tcW w:w="760" w:type="dxa"/>
            <w:vAlign w:val="bottom"/>
          </w:tcPr>
          <w:p>
            <w:pPr>
              <w:jc w:val="right"/>
              <w:spacing w:after="0"/>
              <w:rPr>
                <w:sz w:val="20"/>
                <w:szCs w:val="20"/>
                <w:color w:val="auto"/>
              </w:rPr>
            </w:pPr>
            <w:r>
              <w:rPr>
                <w:rFonts w:ascii="Arial" w:cs="Arial" w:eastAsia="Arial" w:hAnsi="Arial"/>
                <w:sz w:val="16"/>
                <w:szCs w:val="16"/>
                <w:color w:val="auto"/>
              </w:rPr>
              <w:t>$3.73</w:t>
            </w:r>
          </w:p>
        </w:tc>
      </w:tr>
      <w:tr>
        <w:trPr>
          <w:trHeight w:val="282"/>
        </w:trPr>
        <w:tc>
          <w:tcPr>
            <w:tcW w:w="5540" w:type="dxa"/>
            <w:vAlign w:val="bottom"/>
          </w:tcPr>
          <w:p>
            <w:pPr>
              <w:ind w:left="180"/>
              <w:spacing w:after="0"/>
              <w:rPr>
                <w:sz w:val="20"/>
                <w:szCs w:val="20"/>
                <w:color w:val="auto"/>
              </w:rPr>
            </w:pPr>
            <w:r>
              <w:rPr>
                <w:rFonts w:ascii="Arial" w:cs="Arial" w:eastAsia="Arial" w:hAnsi="Arial"/>
                <w:sz w:val="16"/>
                <w:szCs w:val="16"/>
                <w:color w:val="auto"/>
              </w:rPr>
              <w:t>from discontinued operations</w:t>
            </w:r>
            <w:r>
              <w:rPr>
                <w:rFonts w:ascii="Arial" w:cs="Arial" w:eastAsia="Arial" w:hAnsi="Arial"/>
                <w:sz w:val="21"/>
                <w:szCs w:val="21"/>
                <w:color w:val="auto"/>
                <w:vertAlign w:val="superscript"/>
              </w:rPr>
              <w:t>1</w:t>
            </w:r>
          </w:p>
        </w:tc>
        <w:tc>
          <w:tcPr>
            <w:tcW w:w="120" w:type="dxa"/>
            <w:vAlign w:val="bottom"/>
          </w:tcPr>
          <w:p>
            <w:pPr>
              <w:spacing w:after="0"/>
              <w:rPr>
                <w:sz w:val="24"/>
                <w:szCs w:val="24"/>
                <w:color w:val="auto"/>
              </w:rPr>
            </w:pPr>
          </w:p>
        </w:tc>
        <w:tc>
          <w:tcPr>
            <w:tcW w:w="1960" w:type="dxa"/>
            <w:vAlign w:val="bottom"/>
          </w:tcPr>
          <w:p>
            <w:pPr>
              <w:jc w:val="right"/>
              <w:ind w:right="659"/>
              <w:spacing w:after="0"/>
              <w:rPr>
                <w:sz w:val="20"/>
                <w:szCs w:val="20"/>
                <w:color w:val="auto"/>
              </w:rPr>
            </w:pPr>
            <w:r>
              <w:rPr>
                <w:rFonts w:ascii="Arial" w:cs="Arial" w:eastAsia="Arial" w:hAnsi="Arial"/>
                <w:sz w:val="16"/>
                <w:szCs w:val="16"/>
                <w:b w:val="1"/>
                <w:bCs w:val="1"/>
                <w:color w:val="auto"/>
              </w:rPr>
              <w:t>—</w:t>
            </w: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980" w:type="dxa"/>
            <w:vAlign w:val="bottom"/>
          </w:tcPr>
          <w:p>
            <w:pPr>
              <w:jc w:val="right"/>
              <w:ind w:right="659"/>
              <w:spacing w:after="0"/>
              <w:rPr>
                <w:sz w:val="20"/>
                <w:szCs w:val="20"/>
                <w:color w:val="auto"/>
              </w:rPr>
            </w:pPr>
            <w:r>
              <w:rPr>
                <w:rFonts w:ascii="Arial" w:cs="Arial" w:eastAsia="Arial" w:hAnsi="Arial"/>
                <w:sz w:val="16"/>
                <w:szCs w:val="16"/>
                <w:b w:val="1"/>
                <w:bCs w:val="1"/>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$0.54</w:t>
            </w:r>
          </w:p>
        </w:tc>
      </w:tr>
      <w:tr>
        <w:trPr>
          <w:trHeight w:val="271"/>
        </w:trPr>
        <w:tc>
          <w:tcPr>
            <w:tcW w:w="5540" w:type="dxa"/>
            <w:vAlign w:val="bottom"/>
          </w:tcPr>
          <w:p>
            <w:pPr>
              <w:ind w:left="20"/>
              <w:spacing w:after="0"/>
              <w:rPr>
                <w:sz w:val="20"/>
                <w:szCs w:val="20"/>
                <w:color w:val="auto"/>
              </w:rPr>
            </w:pPr>
            <w:r>
              <w:rPr>
                <w:rFonts w:ascii="Arial" w:cs="Arial" w:eastAsia="Arial" w:hAnsi="Arial"/>
                <w:sz w:val="16"/>
                <w:szCs w:val="16"/>
                <w:b w:val="1"/>
                <w:bCs w:val="1"/>
                <w:color w:val="0D64EF"/>
              </w:rPr>
              <w:t>Dividends declared</w:t>
            </w:r>
          </w:p>
        </w:tc>
        <w:tc>
          <w:tcPr>
            <w:tcW w:w="120" w:type="dxa"/>
            <w:vAlign w:val="bottom"/>
          </w:tcPr>
          <w:p>
            <w:pPr>
              <w:spacing w:after="0"/>
              <w:rPr>
                <w:sz w:val="23"/>
                <w:szCs w:val="23"/>
                <w:color w:val="auto"/>
              </w:rPr>
            </w:pPr>
          </w:p>
        </w:tc>
        <w:tc>
          <w:tcPr>
            <w:tcW w:w="19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980" w:type="dxa"/>
            <w:vAlign w:val="bottom"/>
          </w:tcPr>
          <w:p>
            <w:pPr>
              <w:spacing w:after="0"/>
              <w:rPr>
                <w:sz w:val="23"/>
                <w:szCs w:val="23"/>
                <w:color w:val="auto"/>
              </w:rPr>
            </w:pPr>
          </w:p>
        </w:tc>
        <w:tc>
          <w:tcPr>
            <w:tcW w:w="760" w:type="dxa"/>
            <w:vAlign w:val="bottom"/>
          </w:tcPr>
          <w:p>
            <w:pPr>
              <w:spacing w:after="0"/>
              <w:rPr>
                <w:sz w:val="23"/>
                <w:szCs w:val="23"/>
                <w:color w:val="auto"/>
              </w:rPr>
            </w:pPr>
          </w:p>
        </w:tc>
      </w:tr>
      <w:tr>
        <w:trPr>
          <w:trHeight w:val="282"/>
        </w:trPr>
        <w:tc>
          <w:tcPr>
            <w:tcW w:w="5540" w:type="dxa"/>
            <w:vAlign w:val="bottom"/>
          </w:tcPr>
          <w:p>
            <w:pPr>
              <w:ind w:left="180"/>
              <w:spacing w:after="0"/>
              <w:rPr>
                <w:sz w:val="20"/>
                <w:szCs w:val="20"/>
                <w:color w:val="auto"/>
              </w:rPr>
            </w:pPr>
            <w:r>
              <w:rPr>
                <w:rFonts w:ascii="Arial" w:cs="Arial" w:eastAsia="Arial" w:hAnsi="Arial"/>
                <w:sz w:val="16"/>
                <w:szCs w:val="16"/>
                <w:color w:val="auto"/>
              </w:rPr>
              <w:t>per common share</w:t>
            </w:r>
            <w:r>
              <w:rPr>
                <w:rFonts w:ascii="Arial" w:cs="Arial" w:eastAsia="Arial" w:hAnsi="Arial"/>
                <w:sz w:val="21"/>
                <w:szCs w:val="21"/>
                <w:color w:val="auto"/>
                <w:vertAlign w:val="superscript"/>
              </w:rPr>
              <w:t>3</w:t>
            </w:r>
          </w:p>
        </w:tc>
        <w:tc>
          <w:tcPr>
            <w:tcW w:w="2080" w:type="dxa"/>
            <w:vAlign w:val="bottom"/>
            <w:gridSpan w:val="2"/>
          </w:tcPr>
          <w:p>
            <w:pPr>
              <w:jc w:val="right"/>
              <w:ind w:right="659"/>
              <w:spacing w:after="0"/>
              <w:rPr>
                <w:sz w:val="20"/>
                <w:szCs w:val="20"/>
                <w:color w:val="auto"/>
              </w:rPr>
            </w:pPr>
            <w:r>
              <w:rPr>
                <w:rFonts w:ascii="Arial" w:cs="Arial" w:eastAsia="Arial" w:hAnsi="Arial"/>
                <w:sz w:val="16"/>
                <w:szCs w:val="16"/>
                <w:b w:val="1"/>
                <w:bCs w:val="1"/>
                <w:color w:val="auto"/>
              </w:rPr>
              <w:t>$0.85</w:t>
            </w:r>
          </w:p>
        </w:tc>
        <w:tc>
          <w:tcPr>
            <w:tcW w:w="780" w:type="dxa"/>
            <w:vAlign w:val="bottom"/>
          </w:tcPr>
          <w:p>
            <w:pPr>
              <w:jc w:val="right"/>
              <w:spacing w:after="0"/>
              <w:rPr>
                <w:sz w:val="20"/>
                <w:szCs w:val="20"/>
                <w:color w:val="auto"/>
              </w:rPr>
            </w:pPr>
            <w:r>
              <w:rPr>
                <w:rFonts w:ascii="Arial" w:cs="Arial" w:eastAsia="Arial" w:hAnsi="Arial"/>
                <w:sz w:val="16"/>
                <w:szCs w:val="16"/>
                <w:color w:val="auto"/>
              </w:rPr>
              <w:t>$0.8225</w:t>
            </w:r>
          </w:p>
        </w:tc>
        <w:tc>
          <w:tcPr>
            <w:tcW w:w="100" w:type="dxa"/>
            <w:vAlign w:val="bottom"/>
          </w:tcPr>
          <w:p>
            <w:pPr>
              <w:spacing w:after="0"/>
              <w:rPr>
                <w:sz w:val="24"/>
                <w:szCs w:val="24"/>
                <w:color w:val="auto"/>
              </w:rPr>
            </w:pPr>
          </w:p>
        </w:tc>
        <w:tc>
          <w:tcPr>
            <w:tcW w:w="1980" w:type="dxa"/>
            <w:vAlign w:val="bottom"/>
          </w:tcPr>
          <w:p>
            <w:pPr>
              <w:jc w:val="right"/>
              <w:ind w:right="659"/>
              <w:spacing w:after="0"/>
              <w:rPr>
                <w:sz w:val="20"/>
                <w:szCs w:val="20"/>
                <w:color w:val="auto"/>
              </w:rPr>
            </w:pPr>
            <w:r>
              <w:rPr>
                <w:rFonts w:ascii="Arial" w:cs="Arial" w:eastAsia="Arial" w:hAnsi="Arial"/>
                <w:sz w:val="16"/>
                <w:szCs w:val="16"/>
                <w:b w:val="1"/>
                <w:bCs w:val="1"/>
                <w:color w:val="auto"/>
              </w:rPr>
              <w:t>$3.40</w:t>
            </w:r>
          </w:p>
        </w:tc>
        <w:tc>
          <w:tcPr>
            <w:tcW w:w="760" w:type="dxa"/>
            <w:vAlign w:val="bottom"/>
          </w:tcPr>
          <w:p>
            <w:pPr>
              <w:jc w:val="right"/>
              <w:spacing w:after="0"/>
              <w:rPr>
                <w:sz w:val="20"/>
                <w:szCs w:val="20"/>
                <w:color w:val="auto"/>
              </w:rPr>
            </w:pPr>
            <w:r>
              <w:rPr>
                <w:rFonts w:ascii="Arial" w:cs="Arial" w:eastAsia="Arial" w:hAnsi="Arial"/>
                <w:sz w:val="16"/>
                <w:szCs w:val="16"/>
                <w:color w:val="auto"/>
              </w:rPr>
              <w:t>$3.7025</w:t>
            </w:r>
          </w:p>
        </w:tc>
      </w:tr>
      <w:tr>
        <w:trPr>
          <w:trHeight w:val="275"/>
        </w:trPr>
        <w:tc>
          <w:tcPr>
            <w:tcW w:w="5540" w:type="dxa"/>
            <w:vAlign w:val="bottom"/>
          </w:tcPr>
          <w:p>
            <w:pPr>
              <w:ind w:left="20"/>
              <w:spacing w:after="0"/>
              <w:rPr>
                <w:sz w:val="20"/>
                <w:szCs w:val="20"/>
                <w:color w:val="auto"/>
              </w:rPr>
            </w:pPr>
            <w:r>
              <w:rPr>
                <w:rFonts w:ascii="Arial" w:cs="Arial" w:eastAsia="Arial" w:hAnsi="Arial"/>
                <w:sz w:val="16"/>
                <w:szCs w:val="16"/>
                <w:b w:val="1"/>
                <w:bCs w:val="1"/>
                <w:color w:val="0D64EF"/>
              </w:rPr>
              <w:t xml:space="preserve">Basic common shares outstanding </w:t>
            </w:r>
            <w:r>
              <w:rPr>
                <w:rFonts w:ascii="Arial" w:cs="Arial" w:eastAsia="Arial" w:hAnsi="Arial"/>
                <w:sz w:val="16"/>
                <w:szCs w:val="16"/>
                <w:color w:val="000000"/>
              </w:rPr>
              <w:t>(millions)</w:t>
            </w:r>
          </w:p>
        </w:tc>
        <w:tc>
          <w:tcPr>
            <w:tcW w:w="120" w:type="dxa"/>
            <w:vAlign w:val="bottom"/>
          </w:tcPr>
          <w:p>
            <w:pPr>
              <w:spacing w:after="0"/>
              <w:rPr>
                <w:sz w:val="23"/>
                <w:szCs w:val="23"/>
                <w:color w:val="auto"/>
              </w:rPr>
            </w:pPr>
          </w:p>
        </w:tc>
        <w:tc>
          <w:tcPr>
            <w:tcW w:w="19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980" w:type="dxa"/>
            <w:vAlign w:val="bottom"/>
          </w:tcPr>
          <w:p>
            <w:pPr>
              <w:spacing w:after="0"/>
              <w:rPr>
                <w:sz w:val="23"/>
                <w:szCs w:val="23"/>
                <w:color w:val="auto"/>
              </w:rPr>
            </w:pPr>
          </w:p>
        </w:tc>
        <w:tc>
          <w:tcPr>
            <w:tcW w:w="760" w:type="dxa"/>
            <w:vAlign w:val="bottom"/>
          </w:tcPr>
          <w:p>
            <w:pPr>
              <w:spacing w:after="0"/>
              <w:rPr>
                <w:sz w:val="23"/>
                <w:szCs w:val="23"/>
                <w:color w:val="auto"/>
              </w:rPr>
            </w:pPr>
          </w:p>
        </w:tc>
      </w:tr>
      <w:tr>
        <w:trPr>
          <w:trHeight w:val="230"/>
        </w:trPr>
        <w:tc>
          <w:tcPr>
            <w:tcW w:w="5540" w:type="dxa"/>
            <w:vAlign w:val="bottom"/>
          </w:tcPr>
          <w:p>
            <w:pPr>
              <w:ind w:left="180"/>
              <w:spacing w:after="0"/>
              <w:rPr>
                <w:sz w:val="20"/>
                <w:szCs w:val="20"/>
                <w:color w:val="auto"/>
              </w:rPr>
            </w:pPr>
            <w:r>
              <w:rPr>
                <w:rFonts w:ascii="Arial" w:cs="Arial" w:eastAsia="Arial" w:hAnsi="Arial"/>
                <w:sz w:val="16"/>
                <w:szCs w:val="16"/>
                <w:color w:val="auto"/>
              </w:rPr>
              <w:t>– weighted average for the period</w:t>
            </w:r>
          </w:p>
        </w:tc>
        <w:tc>
          <w:tcPr>
            <w:tcW w:w="2080" w:type="dxa"/>
            <w:vAlign w:val="bottom"/>
            <w:gridSpan w:val="2"/>
          </w:tcPr>
          <w:p>
            <w:pPr>
              <w:jc w:val="right"/>
              <w:ind w:right="659"/>
              <w:spacing w:after="0"/>
              <w:rPr>
                <w:sz w:val="20"/>
                <w:szCs w:val="20"/>
                <w:color w:val="auto"/>
              </w:rPr>
            </w:pPr>
            <w:r>
              <w:rPr>
                <w:rFonts w:ascii="Arial" w:cs="Arial" w:eastAsia="Arial" w:hAnsi="Arial"/>
                <w:sz w:val="16"/>
                <w:szCs w:val="16"/>
                <w:b w:val="1"/>
                <w:bCs w:val="1"/>
                <w:color w:val="auto"/>
              </w:rPr>
              <w:t>1,041</w:t>
            </w:r>
          </w:p>
        </w:tc>
        <w:tc>
          <w:tcPr>
            <w:tcW w:w="780" w:type="dxa"/>
            <w:vAlign w:val="bottom"/>
          </w:tcPr>
          <w:p>
            <w:pPr>
              <w:jc w:val="right"/>
              <w:spacing w:after="0"/>
              <w:rPr>
                <w:sz w:val="20"/>
                <w:szCs w:val="20"/>
                <w:color w:val="auto"/>
              </w:rPr>
            </w:pPr>
            <w:r>
              <w:rPr>
                <w:rFonts w:ascii="Arial" w:cs="Arial" w:eastAsia="Arial" w:hAnsi="Arial"/>
                <w:sz w:val="16"/>
                <w:szCs w:val="16"/>
                <w:color w:val="auto"/>
              </w:rPr>
              <w:t>1,038</w:t>
            </w:r>
          </w:p>
        </w:tc>
        <w:tc>
          <w:tcPr>
            <w:tcW w:w="100" w:type="dxa"/>
            <w:vAlign w:val="bottom"/>
          </w:tcPr>
          <w:p>
            <w:pPr>
              <w:spacing w:after="0"/>
              <w:rPr>
                <w:sz w:val="19"/>
                <w:szCs w:val="19"/>
                <w:color w:val="auto"/>
              </w:rPr>
            </w:pPr>
          </w:p>
        </w:tc>
        <w:tc>
          <w:tcPr>
            <w:tcW w:w="1980" w:type="dxa"/>
            <w:vAlign w:val="bottom"/>
          </w:tcPr>
          <w:p>
            <w:pPr>
              <w:jc w:val="right"/>
              <w:ind w:right="659"/>
              <w:spacing w:after="0"/>
              <w:rPr>
                <w:sz w:val="20"/>
                <w:szCs w:val="20"/>
                <w:color w:val="auto"/>
              </w:rPr>
            </w:pPr>
            <w:r>
              <w:rPr>
                <w:rFonts w:ascii="Arial" w:cs="Arial" w:eastAsia="Arial" w:hAnsi="Arial"/>
                <w:sz w:val="16"/>
                <w:szCs w:val="16"/>
                <w:b w:val="1"/>
                <w:bCs w:val="1"/>
                <w:color w:val="auto"/>
              </w:rPr>
              <w:t>1,040</w:t>
            </w:r>
          </w:p>
        </w:tc>
        <w:tc>
          <w:tcPr>
            <w:tcW w:w="760" w:type="dxa"/>
            <w:vAlign w:val="bottom"/>
          </w:tcPr>
          <w:p>
            <w:pPr>
              <w:jc w:val="right"/>
              <w:spacing w:after="0"/>
              <w:rPr>
                <w:sz w:val="20"/>
                <w:szCs w:val="20"/>
                <w:color w:val="auto"/>
              </w:rPr>
            </w:pPr>
            <w:r>
              <w:rPr>
                <w:rFonts w:ascii="Arial" w:cs="Arial" w:eastAsia="Arial" w:hAnsi="Arial"/>
                <w:sz w:val="16"/>
                <w:szCs w:val="16"/>
                <w:color w:val="auto"/>
              </w:rPr>
              <w:t>1,038</w:t>
            </w:r>
          </w:p>
        </w:tc>
      </w:tr>
      <w:tr>
        <w:trPr>
          <w:trHeight w:val="233"/>
        </w:trPr>
        <w:tc>
          <w:tcPr>
            <w:tcW w:w="554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auto"/>
              </w:rPr>
              <w:t>– issued and outstanding at end of period</w:t>
            </w:r>
          </w:p>
        </w:tc>
        <w:tc>
          <w:tcPr>
            <w:tcW w:w="2080" w:type="dxa"/>
            <w:vAlign w:val="bottom"/>
            <w:tcBorders>
              <w:bottom w:val="single" w:sz="8" w:color="auto"/>
            </w:tcBorders>
            <w:gridSpan w:val="2"/>
          </w:tcPr>
          <w:p>
            <w:pPr>
              <w:jc w:val="right"/>
              <w:ind w:right="659"/>
              <w:spacing w:after="0"/>
              <w:rPr>
                <w:sz w:val="20"/>
                <w:szCs w:val="20"/>
                <w:color w:val="auto"/>
              </w:rPr>
            </w:pPr>
            <w:r>
              <w:rPr>
                <w:rFonts w:ascii="Arial" w:cs="Arial" w:eastAsia="Arial" w:hAnsi="Arial"/>
                <w:sz w:val="16"/>
                <w:szCs w:val="16"/>
                <w:b w:val="1"/>
                <w:bCs w:val="1"/>
                <w:color w:val="auto"/>
              </w:rPr>
              <w:t>1,041</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1,039</w:t>
            </w:r>
          </w:p>
        </w:tc>
        <w:tc>
          <w:tcPr>
            <w:tcW w:w="10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b w:val="1"/>
                <w:bCs w:val="1"/>
                <w:color w:val="auto"/>
              </w:rPr>
              <w:t>1,041</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1,039</w:t>
            </w:r>
          </w:p>
        </w:tc>
      </w:tr>
    </w:tbl>
    <w:p>
      <w:pPr>
        <w:spacing w:after="0" w:line="180" w:lineRule="exact"/>
        <w:rPr>
          <w:sz w:val="20"/>
          <w:szCs w:val="20"/>
          <w:color w:val="auto"/>
        </w:rPr>
      </w:pPr>
    </w:p>
    <w:p>
      <w:pPr>
        <w:ind w:left="340" w:hanging="332"/>
        <w:spacing w:after="0"/>
        <w:tabs>
          <w:tab w:leader="none" w:pos="3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Represents nine months of Liquids Pipelines earnings for the year ended December 31, 2024. Refer to the Discontinued operations section for additional information.</w:t>
      </w:r>
    </w:p>
    <w:p>
      <w:pPr>
        <w:spacing w:after="0" w:line="41"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4"/>
          <w:szCs w:val="14"/>
          <w:color w:val="auto"/>
        </w:rPr>
        <w:t>2   Additional information on the most directly comparable GAAP measure can be found in the Non-GAAP measures section.</w:t>
      </w:r>
    </w:p>
    <w:p>
      <w:pPr>
        <w:spacing w:after="0" w:line="55" w:lineRule="exact"/>
        <w:rPr>
          <w:rFonts w:ascii="Arial" w:cs="Arial" w:eastAsia="Arial" w:hAnsi="Arial"/>
          <w:sz w:val="14"/>
          <w:szCs w:val="14"/>
          <w:color w:val="auto"/>
        </w:rPr>
      </w:pPr>
    </w:p>
    <w:p>
      <w:pPr>
        <w:ind w:left="340" w:right="480" w:hanging="324"/>
        <w:spacing w:after="0" w:line="345" w:lineRule="auto"/>
        <w:rPr>
          <w:rFonts w:ascii="Arial" w:cs="Arial" w:eastAsia="Arial" w:hAnsi="Arial"/>
          <w:sz w:val="14"/>
          <w:szCs w:val="14"/>
          <w:color w:val="auto"/>
        </w:rPr>
      </w:pPr>
      <w:r>
        <w:rPr>
          <w:rFonts w:ascii="Arial" w:cs="Arial" w:eastAsia="Arial" w:hAnsi="Arial"/>
          <w:sz w:val="14"/>
          <w:szCs w:val="14"/>
          <w:color w:val="auto"/>
        </w:rPr>
        <w:t>3 Dividends declared in the fourth quarter 2024 and thereafter reflect TC Energy's proportionate allocation following the Spinoff Transaction. Refer to the Discontinued operations section for additional information.</w:t>
      </w:r>
    </w:p>
    <w:p>
      <w:pPr>
        <w:spacing w:after="0" w:line="200" w:lineRule="exact"/>
        <w:rPr>
          <w:sz w:val="20"/>
          <w:szCs w:val="20"/>
          <w:color w:val="auto"/>
        </w:rPr>
      </w:pPr>
    </w:p>
    <w:p>
      <w:pPr>
        <w:spacing w:after="0" w:line="381" w:lineRule="exact"/>
        <w:rPr>
          <w:sz w:val="20"/>
          <w:szCs w:val="20"/>
          <w:color w:val="auto"/>
        </w:rPr>
      </w:pPr>
    </w:p>
    <w:p>
      <w:pPr>
        <w:ind w:left="7160"/>
        <w:spacing w:after="0"/>
        <w:rPr>
          <w:sz w:val="20"/>
          <w:szCs w:val="20"/>
          <w:color w:val="auto"/>
        </w:rPr>
      </w:pPr>
      <w:r>
        <w:rPr>
          <w:rFonts w:ascii="Arial" w:cs="Arial" w:eastAsia="Arial" w:hAnsi="Arial"/>
          <w:sz w:val="17"/>
          <w:szCs w:val="17"/>
          <w:color w:val="auto"/>
        </w:rPr>
        <w:t xml:space="preserve">TC Energy </w:t>
      </w:r>
      <w:r>
        <w:rPr>
          <w:rFonts w:ascii="Arial" w:cs="Arial" w:eastAsia="Arial" w:hAnsi="Arial"/>
          <w:sz w:val="17"/>
          <w:szCs w:val="17"/>
          <w:b w:val="1"/>
          <w:bCs w:val="1"/>
          <w:color w:val="0D64EF"/>
        </w:rPr>
        <w:t>Fourth Quarter</w:t>
      </w:r>
      <w:r>
        <w:rPr>
          <w:rFonts w:ascii="Arial" w:cs="Arial" w:eastAsia="Arial" w:hAnsi="Arial"/>
          <w:sz w:val="17"/>
          <w:szCs w:val="17"/>
          <w:color w:val="auto"/>
        </w:rPr>
        <w:t xml:space="preserve"> News Release 2025 | 3</w:t>
      </w:r>
    </w:p>
    <w:p>
      <w:pPr>
        <w:sectPr>
          <w:pgSz w:w="11900" w:h="16838" w:orient="portrait"/>
          <w:cols w:equalWidth="0" w:num="1">
            <w:col w:w="11240"/>
          </w:cols>
          <w:pgMar w:left="320" w:top="1344" w:right="3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188"/>
        </w:trPr>
        <w:tc>
          <w:tcPr>
            <w:tcW w:w="5560" w:type="dxa"/>
            <w:vAlign w:val="bottom"/>
            <w:tcBorders>
              <w:top w:val="single" w:sz="8" w:color="0D64EF"/>
            </w:tcBorders>
            <w:shd w:val="clear" w:color="auto" w:fill="D1D0CF"/>
          </w:tcPr>
          <w:p>
            <w:pPr>
              <w:spacing w:after="0"/>
              <w:rPr>
                <w:sz w:val="16"/>
                <w:szCs w:val="16"/>
                <w:color w:val="auto"/>
              </w:rPr>
            </w:pPr>
          </w:p>
        </w:tc>
        <w:tc>
          <w:tcPr>
            <w:tcW w:w="120" w:type="dxa"/>
            <w:vAlign w:val="bottom"/>
            <w:tcBorders>
              <w:top w:val="single" w:sz="8" w:color="0D64EF"/>
            </w:tcBorders>
            <w:shd w:val="clear" w:color="auto" w:fill="D1D0CF"/>
          </w:tcPr>
          <w:p>
            <w:pPr>
              <w:spacing w:after="0"/>
              <w:rPr>
                <w:sz w:val="16"/>
                <w:szCs w:val="16"/>
                <w:color w:val="auto"/>
              </w:rPr>
            </w:pPr>
          </w:p>
        </w:tc>
        <w:tc>
          <w:tcPr>
            <w:tcW w:w="2200" w:type="dxa"/>
            <w:vAlign w:val="bottom"/>
            <w:tcBorders>
              <w:top w:val="single" w:sz="8" w:color="0D64EF"/>
            </w:tcBorders>
            <w:shd w:val="clear" w:color="auto" w:fill="D1D0CF"/>
          </w:tcPr>
          <w:p>
            <w:pPr>
              <w:jc w:val="right"/>
              <w:spacing w:after="0"/>
              <w:rPr>
                <w:sz w:val="20"/>
                <w:szCs w:val="20"/>
                <w:color w:val="auto"/>
              </w:rPr>
            </w:pPr>
            <w:r>
              <w:rPr>
                <w:rFonts w:ascii="Arial" w:cs="Arial" w:eastAsia="Arial" w:hAnsi="Arial"/>
                <w:sz w:val="16"/>
                <w:szCs w:val="16"/>
                <w:b w:val="1"/>
                <w:bCs w:val="1"/>
                <w:color w:val="auto"/>
              </w:rPr>
              <w:t>three months ended</w:t>
            </w:r>
          </w:p>
        </w:tc>
        <w:tc>
          <w:tcPr>
            <w:tcW w:w="520" w:type="dxa"/>
            <w:vAlign w:val="bottom"/>
            <w:tcBorders>
              <w:top w:val="single" w:sz="8" w:color="0D64EF"/>
            </w:tcBorders>
            <w:shd w:val="clear" w:color="auto" w:fill="D1D0CF"/>
          </w:tcPr>
          <w:p>
            <w:pPr>
              <w:spacing w:after="0"/>
              <w:rPr>
                <w:sz w:val="16"/>
                <w:szCs w:val="16"/>
                <w:color w:val="auto"/>
              </w:rPr>
            </w:pPr>
          </w:p>
        </w:tc>
        <w:tc>
          <w:tcPr>
            <w:tcW w:w="120" w:type="dxa"/>
            <w:vAlign w:val="bottom"/>
            <w:tcBorders>
              <w:top w:val="single" w:sz="8" w:color="0D64EF"/>
            </w:tcBorders>
            <w:shd w:val="clear" w:color="auto" w:fill="D1D0CF"/>
          </w:tcPr>
          <w:p>
            <w:pPr>
              <w:spacing w:after="0"/>
              <w:rPr>
                <w:sz w:val="16"/>
                <w:szCs w:val="16"/>
                <w:color w:val="auto"/>
              </w:rPr>
            </w:pPr>
          </w:p>
        </w:tc>
        <w:tc>
          <w:tcPr>
            <w:tcW w:w="2060" w:type="dxa"/>
            <w:vAlign w:val="bottom"/>
            <w:tcBorders>
              <w:top w:val="single" w:sz="8" w:color="0D64EF"/>
            </w:tcBorders>
            <w:shd w:val="clear" w:color="auto" w:fill="D1D0CF"/>
          </w:tcPr>
          <w:p>
            <w:pPr>
              <w:jc w:val="right"/>
              <w:ind w:right="219"/>
              <w:spacing w:after="0"/>
              <w:rPr>
                <w:sz w:val="20"/>
                <w:szCs w:val="20"/>
                <w:color w:val="auto"/>
              </w:rPr>
            </w:pPr>
            <w:r>
              <w:rPr>
                <w:rFonts w:ascii="Arial" w:cs="Arial" w:eastAsia="Arial" w:hAnsi="Arial"/>
                <w:sz w:val="16"/>
                <w:szCs w:val="16"/>
                <w:b w:val="1"/>
                <w:bCs w:val="1"/>
                <w:color w:val="auto"/>
              </w:rPr>
              <w:t>year ended</w:t>
            </w:r>
          </w:p>
        </w:tc>
        <w:tc>
          <w:tcPr>
            <w:tcW w:w="660" w:type="dxa"/>
            <w:vAlign w:val="bottom"/>
            <w:tcBorders>
              <w:top w:val="single" w:sz="8" w:color="0D64EF"/>
            </w:tcBorders>
            <w:shd w:val="clear" w:color="auto" w:fill="D1D0CF"/>
          </w:tcPr>
          <w:p>
            <w:pPr>
              <w:spacing w:after="0"/>
              <w:rPr>
                <w:sz w:val="16"/>
                <w:szCs w:val="16"/>
                <w:color w:val="auto"/>
              </w:rPr>
            </w:pPr>
          </w:p>
        </w:tc>
      </w:tr>
      <w:tr>
        <w:trPr>
          <w:trHeight w:val="224"/>
        </w:trPr>
        <w:tc>
          <w:tcPr>
            <w:tcW w:w="5560" w:type="dxa"/>
            <w:vAlign w:val="bottom"/>
            <w:tcBorders>
              <w:bottom w:val="single" w:sz="8" w:color="D1D0CF"/>
            </w:tcBorders>
            <w:shd w:val="clear" w:color="auto" w:fill="D1D0CF"/>
          </w:tcPr>
          <w:p>
            <w:pPr>
              <w:spacing w:after="0"/>
              <w:rPr>
                <w:sz w:val="19"/>
                <w:szCs w:val="19"/>
                <w:color w:val="auto"/>
              </w:rPr>
            </w:pPr>
          </w:p>
        </w:tc>
        <w:tc>
          <w:tcPr>
            <w:tcW w:w="120" w:type="dxa"/>
            <w:vAlign w:val="bottom"/>
            <w:tcBorders>
              <w:bottom w:val="single" w:sz="8" w:color="D1D0CF"/>
            </w:tcBorders>
            <w:shd w:val="clear" w:color="auto" w:fill="D1D0CF"/>
          </w:tcPr>
          <w:p>
            <w:pPr>
              <w:spacing w:after="0"/>
              <w:rPr>
                <w:sz w:val="19"/>
                <w:szCs w:val="19"/>
                <w:color w:val="auto"/>
              </w:rPr>
            </w:pPr>
          </w:p>
        </w:tc>
        <w:tc>
          <w:tcPr>
            <w:tcW w:w="2200" w:type="dxa"/>
            <w:vAlign w:val="bottom"/>
            <w:tcBorders>
              <w:bottom w:val="single" w:sz="8" w:color="0D64EF"/>
            </w:tcBorders>
            <w:shd w:val="clear" w:color="auto" w:fill="D1D0CF"/>
          </w:tcPr>
          <w:p>
            <w:pPr>
              <w:jc w:val="right"/>
              <w:ind w:right="259"/>
              <w:spacing w:after="0"/>
              <w:rPr>
                <w:sz w:val="20"/>
                <w:szCs w:val="20"/>
                <w:color w:val="auto"/>
              </w:rPr>
            </w:pPr>
            <w:r>
              <w:rPr>
                <w:rFonts w:ascii="Arial" w:cs="Arial" w:eastAsia="Arial" w:hAnsi="Arial"/>
                <w:sz w:val="16"/>
                <w:szCs w:val="16"/>
                <w:b w:val="1"/>
                <w:bCs w:val="1"/>
                <w:color w:val="auto"/>
              </w:rPr>
              <w:t>December 31</w:t>
            </w:r>
          </w:p>
        </w:tc>
        <w:tc>
          <w:tcPr>
            <w:tcW w:w="520" w:type="dxa"/>
            <w:vAlign w:val="bottom"/>
            <w:tcBorders>
              <w:bottom w:val="single" w:sz="8" w:color="0D64EF"/>
            </w:tcBorders>
            <w:shd w:val="clear" w:color="auto" w:fill="D1D0CF"/>
          </w:tcPr>
          <w:p>
            <w:pPr>
              <w:spacing w:after="0"/>
              <w:rPr>
                <w:sz w:val="19"/>
                <w:szCs w:val="19"/>
                <w:color w:val="auto"/>
              </w:rPr>
            </w:pPr>
          </w:p>
        </w:tc>
        <w:tc>
          <w:tcPr>
            <w:tcW w:w="120" w:type="dxa"/>
            <w:vAlign w:val="bottom"/>
            <w:tcBorders>
              <w:bottom w:val="single" w:sz="8" w:color="D1D0CF"/>
            </w:tcBorders>
            <w:shd w:val="clear" w:color="auto" w:fill="D1D0CF"/>
          </w:tcPr>
          <w:p>
            <w:pPr>
              <w:spacing w:after="0"/>
              <w:rPr>
                <w:sz w:val="19"/>
                <w:szCs w:val="19"/>
                <w:color w:val="auto"/>
              </w:rPr>
            </w:pPr>
          </w:p>
        </w:tc>
        <w:tc>
          <w:tcPr>
            <w:tcW w:w="2060" w:type="dxa"/>
            <w:vAlign w:val="bottom"/>
            <w:tcBorders>
              <w:bottom w:val="single" w:sz="8" w:color="0D64EF"/>
            </w:tcBorders>
            <w:shd w:val="clear" w:color="auto" w:fill="D1D0CF"/>
          </w:tcPr>
          <w:p>
            <w:pPr>
              <w:jc w:val="right"/>
              <w:ind w:right="119"/>
              <w:spacing w:after="0"/>
              <w:rPr>
                <w:sz w:val="20"/>
                <w:szCs w:val="20"/>
                <w:color w:val="auto"/>
              </w:rPr>
            </w:pPr>
            <w:r>
              <w:rPr>
                <w:rFonts w:ascii="Arial" w:cs="Arial" w:eastAsia="Arial" w:hAnsi="Arial"/>
                <w:sz w:val="16"/>
                <w:szCs w:val="16"/>
                <w:b w:val="1"/>
                <w:bCs w:val="1"/>
                <w:color w:val="auto"/>
              </w:rPr>
              <w:t>December 31</w:t>
            </w:r>
          </w:p>
        </w:tc>
        <w:tc>
          <w:tcPr>
            <w:tcW w:w="660" w:type="dxa"/>
            <w:vAlign w:val="bottom"/>
            <w:tcBorders>
              <w:bottom w:val="single" w:sz="8" w:color="0D64EF"/>
            </w:tcBorders>
            <w:shd w:val="clear" w:color="auto" w:fill="D1D0CF"/>
          </w:tcPr>
          <w:p>
            <w:pPr>
              <w:spacing w:after="0"/>
              <w:rPr>
                <w:sz w:val="19"/>
                <w:szCs w:val="19"/>
                <w:color w:val="auto"/>
              </w:rPr>
            </w:pPr>
          </w:p>
        </w:tc>
      </w:tr>
      <w:tr>
        <w:trPr>
          <w:trHeight w:val="226"/>
        </w:trPr>
        <w:tc>
          <w:tcPr>
            <w:tcW w:w="5560" w:type="dxa"/>
            <w:vAlign w:val="bottom"/>
            <w:tcBorders>
              <w:bottom w:val="single" w:sz="8" w:color="0D64EF"/>
            </w:tcBorders>
            <w:shd w:val="clear" w:color="auto" w:fill="D1D0CF"/>
          </w:tcPr>
          <w:p>
            <w:pPr>
              <w:ind w:left="20"/>
              <w:spacing w:after="0"/>
              <w:rPr>
                <w:sz w:val="20"/>
                <w:szCs w:val="20"/>
                <w:color w:val="auto"/>
              </w:rPr>
            </w:pPr>
            <w:r>
              <w:rPr>
                <w:rFonts w:ascii="Arial" w:cs="Arial" w:eastAsia="Arial" w:hAnsi="Arial"/>
                <w:sz w:val="16"/>
                <w:szCs w:val="16"/>
                <w:color w:val="auto"/>
              </w:rPr>
              <w:t>(millions of $)</w:t>
            </w:r>
          </w:p>
        </w:tc>
        <w:tc>
          <w:tcPr>
            <w:tcW w:w="120" w:type="dxa"/>
            <w:vAlign w:val="bottom"/>
            <w:tcBorders>
              <w:bottom w:val="single" w:sz="8" w:color="0D64EF"/>
            </w:tcBorders>
            <w:shd w:val="clear" w:color="auto" w:fill="D1D0CF"/>
          </w:tcPr>
          <w:p>
            <w:pPr>
              <w:spacing w:after="0"/>
              <w:rPr>
                <w:sz w:val="19"/>
                <w:szCs w:val="19"/>
                <w:color w:val="auto"/>
              </w:rPr>
            </w:pPr>
          </w:p>
        </w:tc>
        <w:tc>
          <w:tcPr>
            <w:tcW w:w="2200" w:type="dxa"/>
            <w:vAlign w:val="bottom"/>
            <w:tcBorders>
              <w:bottom w:val="single" w:sz="8" w:color="0D64EF"/>
            </w:tcBorders>
            <w:shd w:val="clear" w:color="auto" w:fill="D1D0CF"/>
          </w:tcPr>
          <w:p>
            <w:pPr>
              <w:jc w:val="right"/>
              <w:ind w:right="839"/>
              <w:spacing w:after="0"/>
              <w:rPr>
                <w:sz w:val="20"/>
                <w:szCs w:val="20"/>
                <w:color w:val="auto"/>
              </w:rPr>
            </w:pPr>
            <w:r>
              <w:rPr>
                <w:rFonts w:ascii="Arial" w:cs="Arial" w:eastAsia="Arial" w:hAnsi="Arial"/>
                <w:sz w:val="16"/>
                <w:szCs w:val="16"/>
                <w:b w:val="1"/>
                <w:bCs w:val="1"/>
                <w:color w:val="auto"/>
              </w:rPr>
              <w:t>2025</w:t>
            </w:r>
          </w:p>
        </w:tc>
        <w:tc>
          <w:tcPr>
            <w:tcW w:w="520" w:type="dxa"/>
            <w:vAlign w:val="bottom"/>
            <w:tcBorders>
              <w:bottom w:val="single" w:sz="8" w:color="0D64EF"/>
            </w:tcBorders>
            <w:shd w:val="clear" w:color="auto" w:fill="D1D0CF"/>
          </w:tcPr>
          <w:p>
            <w:pPr>
              <w:jc w:val="right"/>
              <w:spacing w:after="0"/>
              <w:rPr>
                <w:sz w:val="20"/>
                <w:szCs w:val="20"/>
                <w:color w:val="auto"/>
              </w:rPr>
            </w:pPr>
            <w:r>
              <w:rPr>
                <w:rFonts w:ascii="Arial" w:cs="Arial" w:eastAsia="Arial" w:hAnsi="Arial"/>
                <w:sz w:val="16"/>
                <w:szCs w:val="16"/>
                <w:b w:val="1"/>
                <w:bCs w:val="1"/>
                <w:color w:val="auto"/>
              </w:rPr>
              <w:t>2024</w:t>
            </w:r>
          </w:p>
        </w:tc>
        <w:tc>
          <w:tcPr>
            <w:tcW w:w="120" w:type="dxa"/>
            <w:vAlign w:val="bottom"/>
            <w:tcBorders>
              <w:bottom w:val="single" w:sz="8" w:color="0D64EF"/>
            </w:tcBorders>
            <w:shd w:val="clear" w:color="auto" w:fill="D1D0CF"/>
          </w:tcPr>
          <w:p>
            <w:pPr>
              <w:spacing w:after="0"/>
              <w:rPr>
                <w:sz w:val="19"/>
                <w:szCs w:val="19"/>
                <w:color w:val="auto"/>
              </w:rPr>
            </w:pPr>
          </w:p>
        </w:tc>
        <w:tc>
          <w:tcPr>
            <w:tcW w:w="2060" w:type="dxa"/>
            <w:vAlign w:val="bottom"/>
            <w:tcBorders>
              <w:bottom w:val="single" w:sz="8" w:color="0D64EF"/>
            </w:tcBorders>
            <w:shd w:val="clear" w:color="auto" w:fill="D1D0CF"/>
          </w:tcPr>
          <w:p>
            <w:pPr>
              <w:jc w:val="right"/>
              <w:ind w:right="699"/>
              <w:spacing w:after="0"/>
              <w:rPr>
                <w:sz w:val="20"/>
                <w:szCs w:val="20"/>
                <w:color w:val="auto"/>
              </w:rPr>
            </w:pPr>
            <w:r>
              <w:rPr>
                <w:rFonts w:ascii="Arial" w:cs="Arial" w:eastAsia="Arial" w:hAnsi="Arial"/>
                <w:sz w:val="16"/>
                <w:szCs w:val="16"/>
                <w:b w:val="1"/>
                <w:bCs w:val="1"/>
                <w:color w:val="auto"/>
              </w:rPr>
              <w:t>2025</w:t>
            </w:r>
          </w:p>
        </w:tc>
        <w:tc>
          <w:tcPr>
            <w:tcW w:w="660" w:type="dxa"/>
            <w:vAlign w:val="bottom"/>
            <w:tcBorders>
              <w:bottom w:val="single" w:sz="8" w:color="0D64EF"/>
            </w:tcBorders>
            <w:shd w:val="clear" w:color="auto" w:fill="D1D0CF"/>
          </w:tcPr>
          <w:p>
            <w:pPr>
              <w:jc w:val="right"/>
              <w:spacing w:after="0"/>
              <w:rPr>
                <w:sz w:val="20"/>
                <w:szCs w:val="20"/>
                <w:color w:val="auto"/>
              </w:rPr>
            </w:pPr>
            <w:r>
              <w:rPr>
                <w:rFonts w:ascii="Arial" w:cs="Arial" w:eastAsia="Arial" w:hAnsi="Arial"/>
                <w:sz w:val="16"/>
                <w:szCs w:val="16"/>
                <w:b w:val="1"/>
                <w:bCs w:val="1"/>
                <w:color w:val="auto"/>
              </w:rPr>
              <w:t>2024</w:t>
            </w:r>
          </w:p>
        </w:tc>
      </w:tr>
      <w:tr>
        <w:trPr>
          <w:trHeight w:val="256"/>
        </w:trPr>
        <w:tc>
          <w:tcPr>
            <w:tcW w:w="5560" w:type="dxa"/>
            <w:vAlign w:val="bottom"/>
          </w:tcPr>
          <w:p>
            <w:pPr>
              <w:ind w:left="20"/>
              <w:spacing w:after="0"/>
              <w:rPr>
                <w:sz w:val="20"/>
                <w:szCs w:val="20"/>
                <w:color w:val="auto"/>
              </w:rPr>
            </w:pPr>
            <w:r>
              <w:rPr>
                <w:rFonts w:ascii="Arial" w:cs="Arial" w:eastAsia="Arial" w:hAnsi="Arial"/>
                <w:sz w:val="16"/>
                <w:szCs w:val="16"/>
                <w:b w:val="1"/>
                <w:bCs w:val="1"/>
                <w:color w:val="0D64EF"/>
              </w:rPr>
              <w:t>Cash flows</w:t>
            </w:r>
            <w:r>
              <w:rPr>
                <w:rFonts w:ascii="Arial" w:cs="Arial" w:eastAsia="Arial" w:hAnsi="Arial"/>
                <w:sz w:val="21"/>
                <w:szCs w:val="21"/>
                <w:color w:val="000000"/>
                <w:vertAlign w:val="superscript"/>
              </w:rPr>
              <w:t>1</w:t>
            </w:r>
          </w:p>
        </w:tc>
        <w:tc>
          <w:tcPr>
            <w:tcW w:w="120" w:type="dxa"/>
            <w:vAlign w:val="bottom"/>
          </w:tcPr>
          <w:p>
            <w:pPr>
              <w:spacing w:after="0"/>
              <w:rPr>
                <w:sz w:val="22"/>
                <w:szCs w:val="22"/>
                <w:color w:val="auto"/>
              </w:rPr>
            </w:pPr>
          </w:p>
        </w:tc>
        <w:tc>
          <w:tcPr>
            <w:tcW w:w="22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60" w:type="dxa"/>
            <w:vAlign w:val="bottom"/>
          </w:tcPr>
          <w:p>
            <w:pPr>
              <w:spacing w:after="0"/>
              <w:rPr>
                <w:sz w:val="22"/>
                <w:szCs w:val="22"/>
                <w:color w:val="auto"/>
              </w:rPr>
            </w:pPr>
          </w:p>
        </w:tc>
        <w:tc>
          <w:tcPr>
            <w:tcW w:w="660" w:type="dxa"/>
            <w:vAlign w:val="bottom"/>
          </w:tcPr>
          <w:p>
            <w:pPr>
              <w:spacing w:after="0"/>
              <w:rPr>
                <w:sz w:val="22"/>
                <w:szCs w:val="22"/>
                <w:color w:val="auto"/>
              </w:rPr>
            </w:pPr>
          </w:p>
        </w:tc>
      </w:tr>
      <w:tr>
        <w:trPr>
          <w:trHeight w:val="230"/>
        </w:trPr>
        <w:tc>
          <w:tcPr>
            <w:tcW w:w="5560" w:type="dxa"/>
            <w:vAlign w:val="bottom"/>
          </w:tcPr>
          <w:p>
            <w:pPr>
              <w:ind w:left="20"/>
              <w:spacing w:after="0" w:line="230" w:lineRule="exact"/>
              <w:rPr>
                <w:sz w:val="20"/>
                <w:szCs w:val="20"/>
                <w:color w:val="auto"/>
              </w:rPr>
            </w:pPr>
            <w:r>
              <w:rPr>
                <w:rFonts w:ascii="Arial" w:cs="Arial" w:eastAsia="Arial" w:hAnsi="Arial"/>
                <w:sz w:val="16"/>
                <w:szCs w:val="16"/>
                <w:color w:val="auto"/>
              </w:rPr>
              <w:t>Net cash provided by operations</w:t>
            </w:r>
            <w:r>
              <w:rPr>
                <w:rFonts w:ascii="Arial" w:cs="Arial" w:eastAsia="Arial" w:hAnsi="Arial"/>
                <w:sz w:val="21"/>
                <w:szCs w:val="21"/>
                <w:color w:val="auto"/>
                <w:vertAlign w:val="superscript"/>
              </w:rPr>
              <w:t>2</w:t>
            </w:r>
          </w:p>
        </w:tc>
        <w:tc>
          <w:tcPr>
            <w:tcW w:w="2320" w:type="dxa"/>
            <w:vAlign w:val="bottom"/>
            <w:gridSpan w:val="2"/>
          </w:tcPr>
          <w:p>
            <w:pPr>
              <w:jc w:val="right"/>
              <w:ind w:right="879"/>
              <w:spacing w:after="0"/>
              <w:rPr>
                <w:sz w:val="20"/>
                <w:szCs w:val="20"/>
                <w:color w:val="auto"/>
              </w:rPr>
            </w:pPr>
            <w:r>
              <w:rPr>
                <w:rFonts w:ascii="Arial" w:cs="Arial" w:eastAsia="Arial" w:hAnsi="Arial"/>
                <w:sz w:val="16"/>
                <w:szCs w:val="16"/>
                <w:b w:val="1"/>
                <w:bCs w:val="1"/>
                <w:color w:val="auto"/>
              </w:rPr>
              <w:t>1,894</w:t>
            </w:r>
          </w:p>
        </w:tc>
        <w:tc>
          <w:tcPr>
            <w:tcW w:w="520" w:type="dxa"/>
            <w:vAlign w:val="bottom"/>
          </w:tcPr>
          <w:p>
            <w:pPr>
              <w:jc w:val="right"/>
              <w:spacing w:after="0"/>
              <w:rPr>
                <w:sz w:val="20"/>
                <w:szCs w:val="20"/>
                <w:color w:val="auto"/>
              </w:rPr>
            </w:pPr>
            <w:r>
              <w:rPr>
                <w:rFonts w:ascii="Arial" w:cs="Arial" w:eastAsia="Arial" w:hAnsi="Arial"/>
                <w:sz w:val="16"/>
                <w:szCs w:val="16"/>
                <w:color w:val="auto"/>
              </w:rPr>
              <w:t>2,084</w:t>
            </w:r>
          </w:p>
        </w:tc>
        <w:tc>
          <w:tcPr>
            <w:tcW w:w="120" w:type="dxa"/>
            <w:vAlign w:val="bottom"/>
          </w:tcPr>
          <w:p>
            <w:pPr>
              <w:spacing w:after="0"/>
              <w:rPr>
                <w:sz w:val="19"/>
                <w:szCs w:val="19"/>
                <w:color w:val="auto"/>
              </w:rPr>
            </w:pPr>
          </w:p>
        </w:tc>
        <w:tc>
          <w:tcPr>
            <w:tcW w:w="2060" w:type="dxa"/>
            <w:vAlign w:val="bottom"/>
          </w:tcPr>
          <w:p>
            <w:pPr>
              <w:jc w:val="right"/>
              <w:ind w:right="739"/>
              <w:spacing w:after="0"/>
              <w:rPr>
                <w:sz w:val="20"/>
                <w:szCs w:val="20"/>
                <w:color w:val="auto"/>
              </w:rPr>
            </w:pPr>
            <w:r>
              <w:rPr>
                <w:rFonts w:ascii="Arial" w:cs="Arial" w:eastAsia="Arial" w:hAnsi="Arial"/>
                <w:sz w:val="16"/>
                <w:szCs w:val="16"/>
                <w:b w:val="1"/>
                <w:bCs w:val="1"/>
                <w:color w:val="auto"/>
              </w:rPr>
              <w:t>7,346</w:t>
            </w:r>
          </w:p>
        </w:tc>
        <w:tc>
          <w:tcPr>
            <w:tcW w:w="660" w:type="dxa"/>
            <w:vAlign w:val="bottom"/>
          </w:tcPr>
          <w:p>
            <w:pPr>
              <w:jc w:val="right"/>
              <w:spacing w:after="0"/>
              <w:rPr>
                <w:sz w:val="20"/>
                <w:szCs w:val="20"/>
                <w:color w:val="auto"/>
              </w:rPr>
            </w:pPr>
            <w:r>
              <w:rPr>
                <w:rFonts w:ascii="Arial" w:cs="Arial" w:eastAsia="Arial" w:hAnsi="Arial"/>
                <w:sz w:val="16"/>
                <w:szCs w:val="16"/>
                <w:color w:val="auto"/>
              </w:rPr>
              <w:t>7,696</w:t>
            </w:r>
          </w:p>
        </w:tc>
      </w:tr>
      <w:tr>
        <w:trPr>
          <w:trHeight w:val="229"/>
        </w:trPr>
        <w:tc>
          <w:tcPr>
            <w:tcW w:w="5560" w:type="dxa"/>
            <w:vAlign w:val="bottom"/>
          </w:tcPr>
          <w:p>
            <w:pPr>
              <w:ind w:left="20"/>
              <w:spacing w:after="0" w:line="230" w:lineRule="exact"/>
              <w:rPr>
                <w:sz w:val="20"/>
                <w:szCs w:val="20"/>
                <w:color w:val="auto"/>
              </w:rPr>
            </w:pPr>
            <w:r>
              <w:rPr>
                <w:rFonts w:ascii="Arial" w:cs="Arial" w:eastAsia="Arial" w:hAnsi="Arial"/>
                <w:sz w:val="16"/>
                <w:szCs w:val="16"/>
                <w:color w:val="auto"/>
              </w:rPr>
              <w:t>Comparable funds generated from operations</w:t>
            </w:r>
            <w:r>
              <w:rPr>
                <w:rFonts w:ascii="Arial" w:cs="Arial" w:eastAsia="Arial" w:hAnsi="Arial"/>
                <w:sz w:val="21"/>
                <w:szCs w:val="21"/>
                <w:color w:val="auto"/>
                <w:vertAlign w:val="superscript"/>
              </w:rPr>
              <w:t>2,3</w:t>
            </w:r>
          </w:p>
        </w:tc>
        <w:tc>
          <w:tcPr>
            <w:tcW w:w="2320" w:type="dxa"/>
            <w:vAlign w:val="bottom"/>
            <w:gridSpan w:val="2"/>
          </w:tcPr>
          <w:p>
            <w:pPr>
              <w:jc w:val="right"/>
              <w:ind w:right="879"/>
              <w:spacing w:after="0"/>
              <w:rPr>
                <w:sz w:val="20"/>
                <w:szCs w:val="20"/>
                <w:color w:val="auto"/>
              </w:rPr>
            </w:pPr>
            <w:r>
              <w:rPr>
                <w:rFonts w:ascii="Arial" w:cs="Arial" w:eastAsia="Arial" w:hAnsi="Arial"/>
                <w:sz w:val="16"/>
                <w:szCs w:val="16"/>
                <w:b w:val="1"/>
                <w:bCs w:val="1"/>
                <w:color w:val="auto"/>
              </w:rPr>
              <w:t>2,293</w:t>
            </w:r>
          </w:p>
        </w:tc>
        <w:tc>
          <w:tcPr>
            <w:tcW w:w="520" w:type="dxa"/>
            <w:vAlign w:val="bottom"/>
          </w:tcPr>
          <w:p>
            <w:pPr>
              <w:jc w:val="right"/>
              <w:spacing w:after="0"/>
              <w:rPr>
                <w:sz w:val="20"/>
                <w:szCs w:val="20"/>
                <w:color w:val="auto"/>
              </w:rPr>
            </w:pPr>
            <w:r>
              <w:rPr>
                <w:rFonts w:ascii="Arial" w:cs="Arial" w:eastAsia="Arial" w:hAnsi="Arial"/>
                <w:sz w:val="16"/>
                <w:szCs w:val="16"/>
                <w:color w:val="auto"/>
              </w:rPr>
              <w:t>1,665</w:t>
            </w:r>
          </w:p>
        </w:tc>
        <w:tc>
          <w:tcPr>
            <w:tcW w:w="120" w:type="dxa"/>
            <w:vAlign w:val="bottom"/>
          </w:tcPr>
          <w:p>
            <w:pPr>
              <w:spacing w:after="0"/>
              <w:rPr>
                <w:sz w:val="19"/>
                <w:szCs w:val="19"/>
                <w:color w:val="auto"/>
              </w:rPr>
            </w:pPr>
          </w:p>
        </w:tc>
        <w:tc>
          <w:tcPr>
            <w:tcW w:w="2060" w:type="dxa"/>
            <w:vAlign w:val="bottom"/>
          </w:tcPr>
          <w:p>
            <w:pPr>
              <w:jc w:val="right"/>
              <w:ind w:right="739"/>
              <w:spacing w:after="0"/>
              <w:rPr>
                <w:sz w:val="20"/>
                <w:szCs w:val="20"/>
                <w:color w:val="auto"/>
              </w:rPr>
            </w:pPr>
            <w:r>
              <w:rPr>
                <w:rFonts w:ascii="Arial" w:cs="Arial" w:eastAsia="Arial" w:hAnsi="Arial"/>
                <w:sz w:val="16"/>
                <w:szCs w:val="16"/>
                <w:b w:val="1"/>
                <w:bCs w:val="1"/>
                <w:color w:val="auto"/>
              </w:rPr>
              <w:t>7,996</w:t>
            </w:r>
          </w:p>
        </w:tc>
        <w:tc>
          <w:tcPr>
            <w:tcW w:w="660" w:type="dxa"/>
            <w:vAlign w:val="bottom"/>
          </w:tcPr>
          <w:p>
            <w:pPr>
              <w:jc w:val="right"/>
              <w:spacing w:after="0"/>
              <w:rPr>
                <w:sz w:val="20"/>
                <w:szCs w:val="20"/>
                <w:color w:val="auto"/>
              </w:rPr>
            </w:pPr>
            <w:r>
              <w:rPr>
                <w:rFonts w:ascii="Arial" w:cs="Arial" w:eastAsia="Arial" w:hAnsi="Arial"/>
                <w:sz w:val="16"/>
                <w:szCs w:val="16"/>
                <w:color w:val="auto"/>
              </w:rPr>
              <w:t>7,890</w:t>
            </w:r>
          </w:p>
        </w:tc>
      </w:tr>
      <w:tr>
        <w:trPr>
          <w:trHeight w:val="240"/>
        </w:trPr>
        <w:tc>
          <w:tcPr>
            <w:tcW w:w="5560" w:type="dxa"/>
            <w:vAlign w:val="bottom"/>
          </w:tcPr>
          <w:p>
            <w:pPr>
              <w:ind w:left="20"/>
              <w:spacing w:after="0" w:line="240" w:lineRule="exact"/>
              <w:rPr>
                <w:sz w:val="20"/>
                <w:szCs w:val="20"/>
                <w:color w:val="auto"/>
              </w:rPr>
            </w:pPr>
            <w:r>
              <w:rPr>
                <w:rFonts w:ascii="Arial" w:cs="Arial" w:eastAsia="Arial" w:hAnsi="Arial"/>
                <w:sz w:val="16"/>
                <w:szCs w:val="16"/>
                <w:color w:val="auto"/>
              </w:rPr>
              <w:t>Capital spending</w:t>
            </w:r>
            <w:r>
              <w:rPr>
                <w:rFonts w:ascii="Arial" w:cs="Arial" w:eastAsia="Arial" w:hAnsi="Arial"/>
                <w:sz w:val="21"/>
                <w:szCs w:val="21"/>
                <w:color w:val="auto"/>
                <w:vertAlign w:val="superscript"/>
              </w:rPr>
              <w:t>4</w:t>
            </w:r>
          </w:p>
        </w:tc>
        <w:tc>
          <w:tcPr>
            <w:tcW w:w="2320" w:type="dxa"/>
            <w:vAlign w:val="bottom"/>
            <w:gridSpan w:val="2"/>
          </w:tcPr>
          <w:p>
            <w:pPr>
              <w:jc w:val="right"/>
              <w:ind w:right="879"/>
              <w:spacing w:after="0"/>
              <w:rPr>
                <w:sz w:val="20"/>
                <w:szCs w:val="20"/>
                <w:color w:val="auto"/>
              </w:rPr>
            </w:pPr>
            <w:r>
              <w:rPr>
                <w:rFonts w:ascii="Arial" w:cs="Arial" w:eastAsia="Arial" w:hAnsi="Arial"/>
                <w:sz w:val="16"/>
                <w:szCs w:val="16"/>
                <w:b w:val="1"/>
                <w:bCs w:val="1"/>
                <w:color w:val="auto"/>
              </w:rPr>
              <w:t>1,643</w:t>
            </w:r>
          </w:p>
        </w:tc>
        <w:tc>
          <w:tcPr>
            <w:tcW w:w="520" w:type="dxa"/>
            <w:vAlign w:val="bottom"/>
          </w:tcPr>
          <w:p>
            <w:pPr>
              <w:jc w:val="right"/>
              <w:spacing w:after="0"/>
              <w:rPr>
                <w:sz w:val="20"/>
                <w:szCs w:val="20"/>
                <w:color w:val="auto"/>
              </w:rPr>
            </w:pPr>
            <w:r>
              <w:rPr>
                <w:rFonts w:ascii="Arial" w:cs="Arial" w:eastAsia="Arial" w:hAnsi="Arial"/>
                <w:sz w:val="16"/>
                <w:szCs w:val="16"/>
                <w:color w:val="auto"/>
              </w:rPr>
              <w:t>2,307</w:t>
            </w:r>
          </w:p>
        </w:tc>
        <w:tc>
          <w:tcPr>
            <w:tcW w:w="120" w:type="dxa"/>
            <w:vAlign w:val="bottom"/>
          </w:tcPr>
          <w:p>
            <w:pPr>
              <w:spacing w:after="0"/>
              <w:rPr>
                <w:sz w:val="20"/>
                <w:szCs w:val="20"/>
                <w:color w:val="auto"/>
              </w:rPr>
            </w:pPr>
          </w:p>
        </w:tc>
        <w:tc>
          <w:tcPr>
            <w:tcW w:w="2060" w:type="dxa"/>
            <w:vAlign w:val="bottom"/>
          </w:tcPr>
          <w:p>
            <w:pPr>
              <w:jc w:val="right"/>
              <w:ind w:right="739"/>
              <w:spacing w:after="0"/>
              <w:rPr>
                <w:sz w:val="20"/>
                <w:szCs w:val="20"/>
                <w:color w:val="auto"/>
              </w:rPr>
            </w:pPr>
            <w:r>
              <w:rPr>
                <w:rFonts w:ascii="Arial" w:cs="Arial" w:eastAsia="Arial" w:hAnsi="Arial"/>
                <w:sz w:val="16"/>
                <w:szCs w:val="16"/>
                <w:b w:val="1"/>
                <w:bCs w:val="1"/>
                <w:color w:val="auto"/>
              </w:rPr>
              <w:t>6,337</w:t>
            </w:r>
          </w:p>
        </w:tc>
        <w:tc>
          <w:tcPr>
            <w:tcW w:w="660" w:type="dxa"/>
            <w:vAlign w:val="bottom"/>
          </w:tcPr>
          <w:p>
            <w:pPr>
              <w:jc w:val="right"/>
              <w:spacing w:after="0"/>
              <w:rPr>
                <w:sz w:val="20"/>
                <w:szCs w:val="20"/>
                <w:color w:val="auto"/>
              </w:rPr>
            </w:pPr>
            <w:r>
              <w:rPr>
                <w:rFonts w:ascii="Arial" w:cs="Arial" w:eastAsia="Arial" w:hAnsi="Arial"/>
                <w:sz w:val="16"/>
                <w:szCs w:val="16"/>
                <w:color w:val="auto"/>
              </w:rPr>
              <w:t>7,904</w:t>
            </w:r>
          </w:p>
        </w:tc>
      </w:tr>
      <w:tr>
        <w:trPr>
          <w:trHeight w:val="219"/>
        </w:trPr>
        <w:tc>
          <w:tcPr>
            <w:tcW w:w="5560" w:type="dxa"/>
            <w:vAlign w:val="bottom"/>
          </w:tcPr>
          <w:p>
            <w:pPr>
              <w:ind w:left="20"/>
              <w:spacing w:after="0"/>
              <w:rPr>
                <w:sz w:val="20"/>
                <w:szCs w:val="20"/>
                <w:color w:val="auto"/>
              </w:rPr>
            </w:pPr>
            <w:r>
              <w:rPr>
                <w:rFonts w:ascii="Arial" w:cs="Arial" w:eastAsia="Arial" w:hAnsi="Arial"/>
                <w:sz w:val="16"/>
                <w:szCs w:val="16"/>
                <w:color w:val="auto"/>
              </w:rPr>
              <w:t>Proceeds from sales of assets, net of transaction costs</w:t>
            </w:r>
          </w:p>
        </w:tc>
        <w:tc>
          <w:tcPr>
            <w:tcW w:w="120" w:type="dxa"/>
            <w:vAlign w:val="bottom"/>
          </w:tcPr>
          <w:p>
            <w:pPr>
              <w:spacing w:after="0"/>
              <w:rPr>
                <w:sz w:val="19"/>
                <w:szCs w:val="19"/>
                <w:color w:val="auto"/>
              </w:rPr>
            </w:pPr>
          </w:p>
        </w:tc>
        <w:tc>
          <w:tcPr>
            <w:tcW w:w="2200" w:type="dxa"/>
            <w:vAlign w:val="bottom"/>
          </w:tcPr>
          <w:p>
            <w:pPr>
              <w:jc w:val="right"/>
              <w:ind w:right="879"/>
              <w:spacing w:after="0"/>
              <w:rPr>
                <w:sz w:val="20"/>
                <w:szCs w:val="20"/>
                <w:color w:val="auto"/>
              </w:rPr>
            </w:pPr>
            <w:r>
              <w:rPr>
                <w:rFonts w:ascii="Arial" w:cs="Arial" w:eastAsia="Arial" w:hAnsi="Arial"/>
                <w:sz w:val="16"/>
                <w:szCs w:val="16"/>
                <w:b w:val="1"/>
                <w:bCs w:val="1"/>
                <w:color w:val="auto"/>
              </w:rPr>
              <w:t>—</w:t>
            </w:r>
          </w:p>
        </w:tc>
        <w:tc>
          <w:tcPr>
            <w:tcW w:w="6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60" w:type="dxa"/>
            <w:vAlign w:val="bottom"/>
          </w:tcPr>
          <w:p>
            <w:pPr>
              <w:jc w:val="right"/>
              <w:ind w:right="739"/>
              <w:spacing w:after="0"/>
              <w:rPr>
                <w:sz w:val="20"/>
                <w:szCs w:val="20"/>
                <w:color w:val="auto"/>
              </w:rPr>
            </w:pPr>
            <w:r>
              <w:rPr>
                <w:rFonts w:ascii="Arial" w:cs="Arial" w:eastAsia="Arial" w:hAnsi="Arial"/>
                <w:sz w:val="16"/>
                <w:szCs w:val="16"/>
                <w:b w:val="1"/>
                <w:bCs w:val="1"/>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791</w:t>
            </w:r>
          </w:p>
        </w:tc>
      </w:tr>
      <w:tr>
        <w:trPr>
          <w:trHeight w:val="240"/>
        </w:trPr>
        <w:tc>
          <w:tcPr>
            <w:tcW w:w="5560" w:type="dxa"/>
            <w:vAlign w:val="bottom"/>
            <w:tcBorders>
              <w:bottom w:val="single" w:sz="8" w:color="auto"/>
            </w:tcBorders>
          </w:tcPr>
          <w:p>
            <w:pPr>
              <w:ind w:left="20"/>
              <w:spacing w:after="0" w:line="240" w:lineRule="exact"/>
              <w:rPr>
                <w:sz w:val="20"/>
                <w:szCs w:val="20"/>
                <w:color w:val="auto"/>
              </w:rPr>
            </w:pPr>
            <w:r>
              <w:rPr>
                <w:rFonts w:ascii="Arial" w:cs="Arial" w:eastAsia="Arial" w:hAnsi="Arial"/>
                <w:sz w:val="16"/>
                <w:szCs w:val="16"/>
                <w:color w:val="auto"/>
              </w:rPr>
              <w:t>Disposition of equity interest, net of transaction costs</w:t>
            </w:r>
            <w:r>
              <w:rPr>
                <w:rFonts w:ascii="Arial" w:cs="Arial" w:eastAsia="Arial" w:hAnsi="Arial"/>
                <w:sz w:val="21"/>
                <w:szCs w:val="21"/>
                <w:color w:val="auto"/>
                <w:vertAlign w:val="superscript"/>
              </w:rPr>
              <w:t>5</w:t>
            </w:r>
          </w:p>
        </w:tc>
        <w:tc>
          <w:tcPr>
            <w:tcW w:w="12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tcPr>
          <w:p>
            <w:pPr>
              <w:jc w:val="right"/>
              <w:ind w:right="879"/>
              <w:spacing w:after="0"/>
              <w:rPr>
                <w:sz w:val="20"/>
                <w:szCs w:val="20"/>
                <w:color w:val="auto"/>
              </w:rPr>
            </w:pPr>
            <w:r>
              <w:rPr>
                <w:rFonts w:ascii="Arial" w:cs="Arial" w:eastAsia="Arial" w:hAnsi="Arial"/>
                <w:sz w:val="16"/>
                <w:szCs w:val="16"/>
                <w:b w:val="1"/>
                <w:bCs w:val="1"/>
                <w:color w:val="auto"/>
              </w:rPr>
              <w:t>—</w:t>
            </w:r>
          </w:p>
        </w:tc>
        <w:tc>
          <w:tcPr>
            <w:tcW w:w="64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2060" w:type="dxa"/>
            <w:vAlign w:val="bottom"/>
            <w:tcBorders>
              <w:bottom w:val="single" w:sz="8" w:color="auto"/>
            </w:tcBorders>
          </w:tcPr>
          <w:p>
            <w:pPr>
              <w:jc w:val="right"/>
              <w:ind w:right="739"/>
              <w:spacing w:after="0"/>
              <w:rPr>
                <w:sz w:val="20"/>
                <w:szCs w:val="20"/>
                <w:color w:val="auto"/>
              </w:rPr>
            </w:pPr>
            <w:r>
              <w:rPr>
                <w:rFonts w:ascii="Arial" w:cs="Arial" w:eastAsia="Arial" w:hAnsi="Arial"/>
                <w:sz w:val="16"/>
                <w:szCs w:val="16"/>
                <w:b w:val="1"/>
                <w:bCs w:val="1"/>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419</w:t>
            </w:r>
          </w:p>
        </w:tc>
      </w:tr>
    </w:tbl>
    <w:p>
      <w:pPr>
        <w:spacing w:after="0" w:line="180" w:lineRule="exact"/>
        <w:rPr>
          <w:sz w:val="20"/>
          <w:szCs w:val="20"/>
          <w:color w:val="auto"/>
        </w:rPr>
      </w:pPr>
    </w:p>
    <w:p>
      <w:pPr>
        <w:ind w:left="340" w:hanging="332"/>
        <w:spacing w:after="0"/>
        <w:tabs>
          <w:tab w:leader="none" w:pos="3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Includes continuing and discontinued operations.</w:t>
      </w:r>
    </w:p>
    <w:p>
      <w:pPr>
        <w:spacing w:after="0" w:line="42" w:lineRule="exact"/>
        <w:rPr>
          <w:sz w:val="20"/>
          <w:szCs w:val="20"/>
          <w:color w:val="auto"/>
        </w:rPr>
      </w:pPr>
    </w:p>
    <w:p>
      <w:pPr>
        <w:ind w:left="340" w:hanging="332"/>
        <w:spacing w:after="0"/>
        <w:tabs>
          <w:tab w:leader="none" w:pos="340" w:val="left"/>
        </w:tabs>
        <w:numPr>
          <w:ilvl w:val="0"/>
          <w:numId w:val="23"/>
        </w:numPr>
        <w:rPr>
          <w:rFonts w:ascii="Arial" w:cs="Arial" w:eastAsia="Arial" w:hAnsi="Arial"/>
          <w:sz w:val="14"/>
          <w:szCs w:val="14"/>
          <w:color w:val="auto"/>
        </w:rPr>
      </w:pPr>
      <w:r>
        <w:rPr>
          <w:rFonts w:ascii="Arial" w:cs="Arial" w:eastAsia="Arial" w:hAnsi="Arial"/>
          <w:sz w:val="14"/>
          <w:szCs w:val="14"/>
          <w:color w:val="auto"/>
        </w:rPr>
        <w:t>Includes nine months of Liquids Pipelines earnings for the year ended December 31, 2024. Refer to the Discontinued operations section for additional information.</w:t>
      </w:r>
    </w:p>
    <w:p>
      <w:pPr>
        <w:spacing w:after="0" w:line="55"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4"/>
          <w:szCs w:val="14"/>
          <w:color w:val="auto"/>
        </w:rPr>
        <w:t>3   Additional information on the most directly comparable GAAP measure can be found in the Non-GAAP measures section.</w:t>
      </w:r>
    </w:p>
    <w:p>
      <w:pPr>
        <w:spacing w:after="0" w:line="41"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4"/>
          <w:szCs w:val="14"/>
          <w:color w:val="auto"/>
        </w:rPr>
        <w:t>4   Capital spending reflects cash flows associated with our Capital expenditures, Capital projects in development and Contributions to equity investments. For the year ended</w:t>
      </w:r>
    </w:p>
    <w:p>
      <w:pPr>
        <w:spacing w:after="0" w:line="55" w:lineRule="exact"/>
        <w:rPr>
          <w:rFonts w:ascii="Arial" w:cs="Arial" w:eastAsia="Arial" w:hAnsi="Arial"/>
          <w:sz w:val="14"/>
          <w:szCs w:val="14"/>
          <w:color w:val="auto"/>
        </w:rPr>
      </w:pPr>
    </w:p>
    <w:p>
      <w:pPr>
        <w:ind w:left="340" w:right="360"/>
        <w:spacing w:after="0" w:line="311" w:lineRule="auto"/>
        <w:rPr>
          <w:rFonts w:ascii="Arial" w:cs="Arial" w:eastAsia="Arial" w:hAnsi="Arial"/>
          <w:sz w:val="14"/>
          <w:szCs w:val="14"/>
          <w:color w:val="auto"/>
        </w:rPr>
      </w:pPr>
      <w:r>
        <w:rPr>
          <w:rFonts w:ascii="Arial" w:cs="Arial" w:eastAsia="Arial" w:hAnsi="Arial"/>
          <w:sz w:val="14"/>
          <w:szCs w:val="14"/>
          <w:color w:val="auto"/>
        </w:rPr>
        <w:t>December 31, 2024, Contributions to equity investments were net of Other distributions from equity investments of $3.1 billion in the Canadian Natural Gas Pipelines segment. Refer to Note 5, Segmented information, Note 10, Equity investments and Note 11, Loans with affiliates in the Consolidated financial statements of our 2025</w:t>
      </w:r>
    </w:p>
    <w:p>
      <w:pPr>
        <w:spacing w:after="0" w:line="1" w:lineRule="exact"/>
        <w:rPr>
          <w:rFonts w:ascii="Arial" w:cs="Arial" w:eastAsia="Arial" w:hAnsi="Arial"/>
          <w:sz w:val="14"/>
          <w:szCs w:val="14"/>
          <w:color w:val="auto"/>
        </w:rPr>
      </w:pPr>
    </w:p>
    <w:p>
      <w:pPr>
        <w:ind w:left="340"/>
        <w:spacing w:after="0"/>
        <w:rPr>
          <w:rFonts w:ascii="Arial" w:cs="Arial" w:eastAsia="Arial" w:hAnsi="Arial"/>
          <w:sz w:val="14"/>
          <w:szCs w:val="14"/>
          <w:color w:val="auto"/>
        </w:rPr>
      </w:pPr>
      <w:r>
        <w:rPr>
          <w:rFonts w:ascii="Arial" w:cs="Arial" w:eastAsia="Arial" w:hAnsi="Arial"/>
          <w:sz w:val="14"/>
          <w:szCs w:val="14"/>
          <w:color w:val="auto"/>
        </w:rPr>
        <w:t>Annual Report and the Segmented information of our Condensed consolidated financial statements for additional information.</w:t>
      </w:r>
    </w:p>
    <w:p>
      <w:pPr>
        <w:spacing w:after="0" w:line="41"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4"/>
          <w:szCs w:val="14"/>
          <w:color w:val="auto"/>
        </w:rPr>
        <w:t>5   Included in the Financing activities section of the Condensed consolidated statement of cash flows.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4 | TC Energy </w:t>
      </w:r>
      <w:r>
        <w:rPr>
          <w:rFonts w:ascii="Arial" w:cs="Arial" w:eastAsia="Arial" w:hAnsi="Arial"/>
          <w:sz w:val="18"/>
          <w:szCs w:val="18"/>
          <w:b w:val="1"/>
          <w:bCs w:val="1"/>
          <w:color w:val="0D64EF"/>
        </w:rPr>
        <w:t>Fourth Quarter</w:t>
      </w:r>
      <w:r>
        <w:rPr>
          <w:rFonts w:ascii="Arial" w:cs="Arial" w:eastAsia="Arial" w:hAnsi="Arial"/>
          <w:sz w:val="18"/>
          <w:szCs w:val="18"/>
          <w:color w:val="auto"/>
        </w:rPr>
        <w:t xml:space="preserve"> News Release 2025</w:t>
      </w:r>
    </w:p>
    <w:p>
      <w:pPr>
        <w:sectPr>
          <w:pgSz w:w="11900" w:h="16838" w:orient="portrait"/>
          <w:cols w:equalWidth="0" w:num="1">
            <w:col w:w="11240"/>
          </w:cols>
          <w:pgMar w:left="320" w:top="1294" w:right="339" w:bottom="1440" w:gutter="0" w:footer="0" w:header="0"/>
        </w:sectPr>
      </w:pPr>
    </w:p>
    <w:bookmarkStart w:id="17" w:name="page18"/>
    <w:bookmarkEnd w:id="17"/>
    <w:p>
      <w:pPr>
        <w:spacing w:after="0"/>
        <w:rPr>
          <w:sz w:val="20"/>
          <w:szCs w:val="20"/>
          <w:color w:val="auto"/>
        </w:rPr>
      </w:pPr>
      <w:r>
        <w:rPr>
          <w:rFonts w:ascii="Arial" w:cs="Arial" w:eastAsia="Arial" w:hAnsi="Arial"/>
          <w:sz w:val="25"/>
          <w:szCs w:val="25"/>
          <w:color w:val="0D64EF"/>
        </w:rPr>
        <w:t>Consolidated results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5560" w:type="dxa"/>
            <w:vAlign w:val="bottom"/>
            <w:tcBorders>
              <w:top w:val="single" w:sz="8" w:color="0D64EF"/>
            </w:tcBorders>
            <w:shd w:val="clear" w:color="auto" w:fill="D1D0CF"/>
          </w:tcPr>
          <w:p>
            <w:pPr>
              <w:spacing w:after="0"/>
              <w:rPr>
                <w:sz w:val="17"/>
                <w:szCs w:val="17"/>
                <w:color w:val="auto"/>
              </w:rPr>
            </w:pPr>
          </w:p>
        </w:tc>
        <w:tc>
          <w:tcPr>
            <w:tcW w:w="100" w:type="dxa"/>
            <w:vAlign w:val="bottom"/>
            <w:tcBorders>
              <w:top w:val="single" w:sz="8" w:color="0D64EF"/>
            </w:tcBorders>
            <w:shd w:val="clear" w:color="auto" w:fill="D1D0CF"/>
          </w:tcPr>
          <w:p>
            <w:pPr>
              <w:spacing w:after="0"/>
              <w:rPr>
                <w:sz w:val="17"/>
                <w:szCs w:val="17"/>
                <w:color w:val="auto"/>
              </w:rPr>
            </w:pPr>
          </w:p>
        </w:tc>
        <w:tc>
          <w:tcPr>
            <w:tcW w:w="2160" w:type="dxa"/>
            <w:vAlign w:val="bottom"/>
            <w:tcBorders>
              <w:top w:val="single" w:sz="8" w:color="0D64EF"/>
            </w:tcBorders>
            <w:shd w:val="clear" w:color="auto" w:fill="D1D0CF"/>
          </w:tcPr>
          <w:p>
            <w:pPr>
              <w:jc w:val="right"/>
              <w:spacing w:after="0"/>
              <w:rPr>
                <w:sz w:val="20"/>
                <w:szCs w:val="20"/>
                <w:color w:val="auto"/>
              </w:rPr>
            </w:pPr>
            <w:r>
              <w:rPr>
                <w:rFonts w:ascii="Arial" w:cs="Arial" w:eastAsia="Arial" w:hAnsi="Arial"/>
                <w:sz w:val="16"/>
                <w:szCs w:val="16"/>
                <w:b w:val="1"/>
                <w:bCs w:val="1"/>
                <w:color w:val="auto"/>
              </w:rPr>
              <w:t>three months ended</w:t>
            </w:r>
          </w:p>
        </w:tc>
        <w:tc>
          <w:tcPr>
            <w:tcW w:w="580" w:type="dxa"/>
            <w:vAlign w:val="bottom"/>
            <w:tcBorders>
              <w:top w:val="single" w:sz="8" w:color="0D64EF"/>
            </w:tcBorders>
            <w:shd w:val="clear" w:color="auto" w:fill="D1D0CF"/>
          </w:tcPr>
          <w:p>
            <w:pPr>
              <w:spacing w:after="0"/>
              <w:rPr>
                <w:sz w:val="17"/>
                <w:szCs w:val="17"/>
                <w:color w:val="auto"/>
              </w:rPr>
            </w:pPr>
          </w:p>
        </w:tc>
        <w:tc>
          <w:tcPr>
            <w:tcW w:w="100" w:type="dxa"/>
            <w:vAlign w:val="bottom"/>
            <w:tcBorders>
              <w:top w:val="single" w:sz="8" w:color="0D64EF"/>
            </w:tcBorders>
            <w:shd w:val="clear" w:color="auto" w:fill="D1D0CF"/>
          </w:tcPr>
          <w:p>
            <w:pPr>
              <w:spacing w:after="0"/>
              <w:rPr>
                <w:sz w:val="17"/>
                <w:szCs w:val="17"/>
                <w:color w:val="auto"/>
              </w:rPr>
            </w:pPr>
          </w:p>
        </w:tc>
        <w:tc>
          <w:tcPr>
            <w:tcW w:w="2040" w:type="dxa"/>
            <w:vAlign w:val="bottom"/>
            <w:tcBorders>
              <w:top w:val="single" w:sz="8" w:color="0D64EF"/>
            </w:tcBorders>
            <w:shd w:val="clear" w:color="auto" w:fill="D1D0CF"/>
          </w:tcPr>
          <w:p>
            <w:pPr>
              <w:jc w:val="right"/>
              <w:ind w:right="179"/>
              <w:spacing w:after="0"/>
              <w:rPr>
                <w:sz w:val="20"/>
                <w:szCs w:val="20"/>
                <w:color w:val="auto"/>
              </w:rPr>
            </w:pPr>
            <w:r>
              <w:rPr>
                <w:rFonts w:ascii="Arial" w:cs="Arial" w:eastAsia="Arial" w:hAnsi="Arial"/>
                <w:sz w:val="16"/>
                <w:szCs w:val="16"/>
                <w:b w:val="1"/>
                <w:bCs w:val="1"/>
                <w:color w:val="auto"/>
              </w:rPr>
              <w:t>year ended</w:t>
            </w:r>
          </w:p>
        </w:tc>
        <w:tc>
          <w:tcPr>
            <w:tcW w:w="700" w:type="dxa"/>
            <w:vAlign w:val="bottom"/>
            <w:tcBorders>
              <w:top w:val="single" w:sz="8" w:color="0D64EF"/>
            </w:tcBorders>
            <w:shd w:val="clear" w:color="auto" w:fill="D1D0CF"/>
          </w:tcPr>
          <w:p>
            <w:pPr>
              <w:spacing w:after="0"/>
              <w:rPr>
                <w:sz w:val="17"/>
                <w:szCs w:val="17"/>
                <w:color w:val="auto"/>
              </w:rPr>
            </w:pPr>
          </w:p>
        </w:tc>
      </w:tr>
      <w:tr>
        <w:trPr>
          <w:trHeight w:val="217"/>
        </w:trPr>
        <w:tc>
          <w:tcPr>
            <w:tcW w:w="5560" w:type="dxa"/>
            <w:vAlign w:val="bottom"/>
            <w:tcBorders>
              <w:bottom w:val="single" w:sz="8" w:color="D1D0CF"/>
            </w:tcBorders>
            <w:shd w:val="clear" w:color="auto" w:fill="D1D0CF"/>
          </w:tcPr>
          <w:p>
            <w:pPr>
              <w:spacing w:after="0"/>
              <w:rPr>
                <w:sz w:val="18"/>
                <w:szCs w:val="18"/>
                <w:color w:val="auto"/>
              </w:rPr>
            </w:pPr>
          </w:p>
        </w:tc>
        <w:tc>
          <w:tcPr>
            <w:tcW w:w="100" w:type="dxa"/>
            <w:vAlign w:val="bottom"/>
            <w:tcBorders>
              <w:bottom w:val="single" w:sz="8" w:color="D1D0CF"/>
            </w:tcBorders>
            <w:shd w:val="clear" w:color="auto" w:fill="D1D0CF"/>
          </w:tcPr>
          <w:p>
            <w:pPr>
              <w:spacing w:after="0"/>
              <w:rPr>
                <w:sz w:val="18"/>
                <w:szCs w:val="18"/>
                <w:color w:val="auto"/>
              </w:rPr>
            </w:pPr>
          </w:p>
        </w:tc>
        <w:tc>
          <w:tcPr>
            <w:tcW w:w="2160" w:type="dxa"/>
            <w:vAlign w:val="bottom"/>
            <w:tcBorders>
              <w:bottom w:val="single" w:sz="8" w:color="0D64EF"/>
            </w:tcBorders>
            <w:shd w:val="clear" w:color="auto" w:fill="D1D0CF"/>
          </w:tcPr>
          <w:p>
            <w:pPr>
              <w:jc w:val="right"/>
              <w:ind w:right="199"/>
              <w:spacing w:after="0"/>
              <w:rPr>
                <w:sz w:val="20"/>
                <w:szCs w:val="20"/>
                <w:color w:val="auto"/>
              </w:rPr>
            </w:pPr>
            <w:r>
              <w:rPr>
                <w:rFonts w:ascii="Arial" w:cs="Arial" w:eastAsia="Arial" w:hAnsi="Arial"/>
                <w:sz w:val="16"/>
                <w:szCs w:val="16"/>
                <w:b w:val="1"/>
                <w:bCs w:val="1"/>
                <w:color w:val="auto"/>
              </w:rPr>
              <w:t>December 31</w:t>
            </w:r>
          </w:p>
        </w:tc>
        <w:tc>
          <w:tcPr>
            <w:tcW w:w="580" w:type="dxa"/>
            <w:vAlign w:val="bottom"/>
            <w:tcBorders>
              <w:bottom w:val="single" w:sz="8" w:color="0D64EF"/>
            </w:tcBorders>
            <w:shd w:val="clear" w:color="auto" w:fill="D1D0CF"/>
          </w:tcPr>
          <w:p>
            <w:pPr>
              <w:spacing w:after="0"/>
              <w:rPr>
                <w:sz w:val="18"/>
                <w:szCs w:val="18"/>
                <w:color w:val="auto"/>
              </w:rPr>
            </w:pPr>
          </w:p>
        </w:tc>
        <w:tc>
          <w:tcPr>
            <w:tcW w:w="100" w:type="dxa"/>
            <w:vAlign w:val="bottom"/>
            <w:tcBorders>
              <w:bottom w:val="single" w:sz="8" w:color="D1D0CF"/>
            </w:tcBorders>
            <w:shd w:val="clear" w:color="auto" w:fill="D1D0CF"/>
          </w:tcPr>
          <w:p>
            <w:pPr>
              <w:spacing w:after="0"/>
              <w:rPr>
                <w:sz w:val="18"/>
                <w:szCs w:val="18"/>
                <w:color w:val="auto"/>
              </w:rPr>
            </w:pPr>
          </w:p>
        </w:tc>
        <w:tc>
          <w:tcPr>
            <w:tcW w:w="2040" w:type="dxa"/>
            <w:vAlign w:val="bottom"/>
            <w:tcBorders>
              <w:bottom w:val="single" w:sz="8" w:color="0D64EF"/>
            </w:tcBorders>
            <w:shd w:val="clear" w:color="auto" w:fill="D1D0CF"/>
          </w:tcPr>
          <w:p>
            <w:pPr>
              <w:jc w:val="right"/>
              <w:ind w:right="79"/>
              <w:spacing w:after="0"/>
              <w:rPr>
                <w:sz w:val="20"/>
                <w:szCs w:val="20"/>
                <w:color w:val="auto"/>
              </w:rPr>
            </w:pPr>
            <w:r>
              <w:rPr>
                <w:rFonts w:ascii="Arial" w:cs="Arial" w:eastAsia="Arial" w:hAnsi="Arial"/>
                <w:sz w:val="16"/>
                <w:szCs w:val="16"/>
                <w:b w:val="1"/>
                <w:bCs w:val="1"/>
                <w:color w:val="auto"/>
              </w:rPr>
              <w:t>December 31</w:t>
            </w:r>
          </w:p>
        </w:tc>
        <w:tc>
          <w:tcPr>
            <w:tcW w:w="700" w:type="dxa"/>
            <w:vAlign w:val="bottom"/>
            <w:tcBorders>
              <w:bottom w:val="single" w:sz="8" w:color="0D64EF"/>
            </w:tcBorders>
            <w:shd w:val="clear" w:color="auto" w:fill="D1D0CF"/>
          </w:tcPr>
          <w:p>
            <w:pPr>
              <w:spacing w:after="0"/>
              <w:rPr>
                <w:sz w:val="18"/>
                <w:szCs w:val="18"/>
                <w:color w:val="auto"/>
              </w:rPr>
            </w:pPr>
          </w:p>
        </w:tc>
      </w:tr>
      <w:tr>
        <w:trPr>
          <w:trHeight w:val="220"/>
        </w:trPr>
        <w:tc>
          <w:tcPr>
            <w:tcW w:w="5560" w:type="dxa"/>
            <w:vAlign w:val="bottom"/>
            <w:tcBorders>
              <w:bottom w:val="single" w:sz="8" w:color="0D64EF"/>
            </w:tcBorders>
            <w:shd w:val="clear" w:color="auto" w:fill="D1D0CF"/>
          </w:tcPr>
          <w:p>
            <w:pPr>
              <w:ind w:left="20"/>
              <w:spacing w:after="0"/>
              <w:rPr>
                <w:sz w:val="20"/>
                <w:szCs w:val="20"/>
                <w:color w:val="auto"/>
              </w:rPr>
            </w:pPr>
            <w:r>
              <w:rPr>
                <w:rFonts w:ascii="Arial" w:cs="Arial" w:eastAsia="Arial" w:hAnsi="Arial"/>
                <w:sz w:val="16"/>
                <w:szCs w:val="16"/>
                <w:color w:val="auto"/>
              </w:rPr>
              <w:t>(millions of $, except per share amounts)</w:t>
            </w:r>
          </w:p>
        </w:tc>
        <w:tc>
          <w:tcPr>
            <w:tcW w:w="100" w:type="dxa"/>
            <w:vAlign w:val="bottom"/>
            <w:tcBorders>
              <w:bottom w:val="single" w:sz="8" w:color="0D64EF"/>
            </w:tcBorders>
            <w:shd w:val="clear" w:color="auto" w:fill="D1D0CF"/>
          </w:tcPr>
          <w:p>
            <w:pPr>
              <w:spacing w:after="0"/>
              <w:rPr>
                <w:sz w:val="19"/>
                <w:szCs w:val="19"/>
                <w:color w:val="auto"/>
              </w:rPr>
            </w:pPr>
          </w:p>
        </w:tc>
        <w:tc>
          <w:tcPr>
            <w:tcW w:w="2160" w:type="dxa"/>
            <w:vAlign w:val="bottom"/>
            <w:tcBorders>
              <w:bottom w:val="single" w:sz="8" w:color="0D64EF"/>
            </w:tcBorders>
            <w:shd w:val="clear" w:color="auto" w:fill="D1D0CF"/>
          </w:tcPr>
          <w:p>
            <w:pPr>
              <w:jc w:val="right"/>
              <w:ind w:right="779"/>
              <w:spacing w:after="0"/>
              <w:rPr>
                <w:sz w:val="20"/>
                <w:szCs w:val="20"/>
                <w:color w:val="auto"/>
              </w:rPr>
            </w:pPr>
            <w:r>
              <w:rPr>
                <w:rFonts w:ascii="Arial" w:cs="Arial" w:eastAsia="Arial" w:hAnsi="Arial"/>
                <w:sz w:val="16"/>
                <w:szCs w:val="16"/>
                <w:b w:val="1"/>
                <w:bCs w:val="1"/>
                <w:color w:val="auto"/>
              </w:rPr>
              <w:t>2025</w:t>
            </w:r>
          </w:p>
        </w:tc>
        <w:tc>
          <w:tcPr>
            <w:tcW w:w="580" w:type="dxa"/>
            <w:vAlign w:val="bottom"/>
            <w:tcBorders>
              <w:bottom w:val="single" w:sz="8" w:color="0D64EF"/>
            </w:tcBorders>
            <w:shd w:val="clear" w:color="auto" w:fill="D1D0CF"/>
          </w:tcPr>
          <w:p>
            <w:pPr>
              <w:jc w:val="right"/>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bottom w:val="single" w:sz="8" w:color="0D64EF"/>
            </w:tcBorders>
            <w:shd w:val="clear" w:color="auto" w:fill="D1D0CF"/>
          </w:tcPr>
          <w:p>
            <w:pPr>
              <w:spacing w:after="0"/>
              <w:rPr>
                <w:sz w:val="19"/>
                <w:szCs w:val="19"/>
                <w:color w:val="auto"/>
              </w:rPr>
            </w:pPr>
          </w:p>
        </w:tc>
        <w:tc>
          <w:tcPr>
            <w:tcW w:w="2040" w:type="dxa"/>
            <w:vAlign w:val="bottom"/>
            <w:tcBorders>
              <w:bottom w:val="single" w:sz="8" w:color="0D64EF"/>
            </w:tcBorders>
            <w:shd w:val="clear" w:color="auto" w:fill="D1D0CF"/>
          </w:tcPr>
          <w:p>
            <w:pPr>
              <w:jc w:val="right"/>
              <w:ind w:right="659"/>
              <w:spacing w:after="0"/>
              <w:rPr>
                <w:sz w:val="20"/>
                <w:szCs w:val="20"/>
                <w:color w:val="auto"/>
              </w:rPr>
            </w:pPr>
            <w:r>
              <w:rPr>
                <w:rFonts w:ascii="Arial" w:cs="Arial" w:eastAsia="Arial" w:hAnsi="Arial"/>
                <w:sz w:val="16"/>
                <w:szCs w:val="16"/>
                <w:b w:val="1"/>
                <w:bCs w:val="1"/>
                <w:color w:val="auto"/>
              </w:rPr>
              <w:t>2025</w:t>
            </w:r>
          </w:p>
        </w:tc>
        <w:tc>
          <w:tcPr>
            <w:tcW w:w="700" w:type="dxa"/>
            <w:vAlign w:val="bottom"/>
            <w:tcBorders>
              <w:bottom w:val="single" w:sz="8" w:color="0D64EF"/>
            </w:tcBorders>
            <w:shd w:val="clear" w:color="auto" w:fill="D1D0CF"/>
          </w:tcPr>
          <w:p>
            <w:pPr>
              <w:jc w:val="right"/>
              <w:spacing w:after="0"/>
              <w:rPr>
                <w:sz w:val="20"/>
                <w:szCs w:val="20"/>
                <w:color w:val="auto"/>
              </w:rPr>
            </w:pPr>
            <w:r>
              <w:rPr>
                <w:rFonts w:ascii="Arial" w:cs="Arial" w:eastAsia="Arial" w:hAnsi="Arial"/>
                <w:sz w:val="16"/>
                <w:szCs w:val="16"/>
                <w:b w:val="1"/>
                <w:bCs w:val="1"/>
                <w:color w:val="auto"/>
              </w:rPr>
              <w:t>2024</w:t>
            </w:r>
          </w:p>
        </w:tc>
      </w:tr>
      <w:tr>
        <w:trPr>
          <w:trHeight w:val="259"/>
        </w:trPr>
        <w:tc>
          <w:tcPr>
            <w:tcW w:w="5560" w:type="dxa"/>
            <w:vAlign w:val="bottom"/>
          </w:tcPr>
          <w:p>
            <w:pPr>
              <w:ind w:left="20"/>
              <w:spacing w:after="0"/>
              <w:rPr>
                <w:sz w:val="20"/>
                <w:szCs w:val="20"/>
                <w:color w:val="auto"/>
              </w:rPr>
            </w:pPr>
            <w:r>
              <w:rPr>
                <w:rFonts w:ascii="Arial" w:cs="Arial" w:eastAsia="Arial" w:hAnsi="Arial"/>
                <w:sz w:val="16"/>
                <w:szCs w:val="16"/>
                <w:color w:val="auto"/>
              </w:rPr>
              <w:t>Canadian Natural Gas Pipelines</w:t>
            </w:r>
          </w:p>
        </w:tc>
        <w:tc>
          <w:tcPr>
            <w:tcW w:w="2260" w:type="dxa"/>
            <w:vAlign w:val="bottom"/>
            <w:gridSpan w:val="2"/>
          </w:tcPr>
          <w:p>
            <w:pPr>
              <w:jc w:val="right"/>
              <w:ind w:right="839"/>
              <w:spacing w:after="0"/>
              <w:rPr>
                <w:sz w:val="20"/>
                <w:szCs w:val="20"/>
                <w:color w:val="auto"/>
              </w:rPr>
            </w:pPr>
            <w:r>
              <w:rPr>
                <w:rFonts w:ascii="Arial" w:cs="Arial" w:eastAsia="Arial" w:hAnsi="Arial"/>
                <w:sz w:val="16"/>
                <w:szCs w:val="16"/>
                <w:b w:val="1"/>
                <w:bCs w:val="1"/>
                <w:color w:val="auto"/>
              </w:rPr>
              <w:t>564</w:t>
            </w:r>
          </w:p>
        </w:tc>
        <w:tc>
          <w:tcPr>
            <w:tcW w:w="580" w:type="dxa"/>
            <w:vAlign w:val="bottom"/>
          </w:tcPr>
          <w:p>
            <w:pPr>
              <w:jc w:val="right"/>
              <w:spacing w:after="0"/>
              <w:rPr>
                <w:sz w:val="20"/>
                <w:szCs w:val="20"/>
                <w:color w:val="auto"/>
              </w:rPr>
            </w:pPr>
            <w:r>
              <w:rPr>
                <w:rFonts w:ascii="Arial" w:cs="Arial" w:eastAsia="Arial" w:hAnsi="Arial"/>
                <w:sz w:val="16"/>
                <w:szCs w:val="16"/>
                <w:color w:val="auto"/>
              </w:rPr>
              <w:t>506</w:t>
            </w:r>
          </w:p>
        </w:tc>
        <w:tc>
          <w:tcPr>
            <w:tcW w:w="100" w:type="dxa"/>
            <w:vAlign w:val="bottom"/>
          </w:tcPr>
          <w:p>
            <w:pPr>
              <w:spacing w:after="0"/>
              <w:rPr>
                <w:sz w:val="22"/>
                <w:szCs w:val="22"/>
                <w:color w:val="auto"/>
              </w:rPr>
            </w:pPr>
          </w:p>
        </w:tc>
        <w:tc>
          <w:tcPr>
            <w:tcW w:w="2040" w:type="dxa"/>
            <w:vAlign w:val="bottom"/>
          </w:tcPr>
          <w:p>
            <w:pPr>
              <w:jc w:val="right"/>
              <w:ind w:right="719"/>
              <w:spacing w:after="0"/>
              <w:rPr>
                <w:sz w:val="20"/>
                <w:szCs w:val="20"/>
                <w:color w:val="auto"/>
              </w:rPr>
            </w:pPr>
            <w:r>
              <w:rPr>
                <w:rFonts w:ascii="Arial" w:cs="Arial" w:eastAsia="Arial" w:hAnsi="Arial"/>
                <w:sz w:val="16"/>
                <w:szCs w:val="16"/>
                <w:b w:val="1"/>
                <w:bCs w:val="1"/>
                <w:color w:val="auto"/>
              </w:rPr>
              <w:t>2,164</w:t>
            </w:r>
          </w:p>
        </w:tc>
        <w:tc>
          <w:tcPr>
            <w:tcW w:w="700" w:type="dxa"/>
            <w:vAlign w:val="bottom"/>
          </w:tcPr>
          <w:p>
            <w:pPr>
              <w:jc w:val="right"/>
              <w:spacing w:after="0"/>
              <w:rPr>
                <w:sz w:val="20"/>
                <w:szCs w:val="20"/>
                <w:color w:val="auto"/>
              </w:rPr>
            </w:pPr>
            <w:r>
              <w:rPr>
                <w:rFonts w:ascii="Arial" w:cs="Arial" w:eastAsia="Arial" w:hAnsi="Arial"/>
                <w:sz w:val="16"/>
                <w:szCs w:val="16"/>
                <w:color w:val="auto"/>
              </w:rPr>
              <w:t>2,016</w:t>
            </w:r>
          </w:p>
        </w:tc>
      </w:tr>
      <w:tr>
        <w:trPr>
          <w:trHeight w:val="230"/>
        </w:trPr>
        <w:tc>
          <w:tcPr>
            <w:tcW w:w="5560" w:type="dxa"/>
            <w:vAlign w:val="bottom"/>
          </w:tcPr>
          <w:p>
            <w:pPr>
              <w:ind w:left="20"/>
              <w:spacing w:after="0"/>
              <w:rPr>
                <w:sz w:val="20"/>
                <w:szCs w:val="20"/>
                <w:color w:val="auto"/>
              </w:rPr>
            </w:pPr>
            <w:r>
              <w:rPr>
                <w:rFonts w:ascii="Arial" w:cs="Arial" w:eastAsia="Arial" w:hAnsi="Arial"/>
                <w:sz w:val="16"/>
                <w:szCs w:val="16"/>
                <w:color w:val="auto"/>
              </w:rPr>
              <w:t>U.S. Natural Gas Pipelines</w:t>
            </w:r>
          </w:p>
        </w:tc>
        <w:tc>
          <w:tcPr>
            <w:tcW w:w="2260" w:type="dxa"/>
            <w:vAlign w:val="bottom"/>
            <w:gridSpan w:val="2"/>
          </w:tcPr>
          <w:p>
            <w:pPr>
              <w:jc w:val="right"/>
              <w:ind w:right="839"/>
              <w:spacing w:after="0"/>
              <w:rPr>
                <w:sz w:val="20"/>
                <w:szCs w:val="20"/>
                <w:color w:val="auto"/>
              </w:rPr>
            </w:pPr>
            <w:r>
              <w:rPr>
                <w:rFonts w:ascii="Arial" w:cs="Arial" w:eastAsia="Arial" w:hAnsi="Arial"/>
                <w:sz w:val="16"/>
                <w:szCs w:val="16"/>
                <w:b w:val="1"/>
                <w:bCs w:val="1"/>
                <w:color w:val="auto"/>
              </w:rPr>
              <w:t>1,110</w:t>
            </w:r>
          </w:p>
        </w:tc>
        <w:tc>
          <w:tcPr>
            <w:tcW w:w="580" w:type="dxa"/>
            <w:vAlign w:val="bottom"/>
          </w:tcPr>
          <w:p>
            <w:pPr>
              <w:jc w:val="right"/>
              <w:spacing w:after="0"/>
              <w:rPr>
                <w:sz w:val="20"/>
                <w:szCs w:val="20"/>
                <w:color w:val="auto"/>
              </w:rPr>
            </w:pPr>
            <w:r>
              <w:rPr>
                <w:rFonts w:ascii="Arial" w:cs="Arial" w:eastAsia="Arial" w:hAnsi="Arial"/>
                <w:sz w:val="16"/>
                <w:szCs w:val="16"/>
                <w:color w:val="auto"/>
              </w:rPr>
              <w:t>918</w:t>
            </w:r>
          </w:p>
        </w:tc>
        <w:tc>
          <w:tcPr>
            <w:tcW w:w="100" w:type="dxa"/>
            <w:vAlign w:val="bottom"/>
          </w:tcPr>
          <w:p>
            <w:pPr>
              <w:spacing w:after="0"/>
              <w:rPr>
                <w:sz w:val="19"/>
                <w:szCs w:val="19"/>
                <w:color w:val="auto"/>
              </w:rPr>
            </w:pPr>
          </w:p>
        </w:tc>
        <w:tc>
          <w:tcPr>
            <w:tcW w:w="2040" w:type="dxa"/>
            <w:vAlign w:val="bottom"/>
          </w:tcPr>
          <w:p>
            <w:pPr>
              <w:jc w:val="right"/>
              <w:ind w:right="719"/>
              <w:spacing w:after="0"/>
              <w:rPr>
                <w:sz w:val="20"/>
                <w:szCs w:val="20"/>
                <w:color w:val="auto"/>
              </w:rPr>
            </w:pPr>
            <w:r>
              <w:rPr>
                <w:rFonts w:ascii="Arial" w:cs="Arial" w:eastAsia="Arial" w:hAnsi="Arial"/>
                <w:sz w:val="16"/>
                <w:szCs w:val="16"/>
                <w:b w:val="1"/>
                <w:bCs w:val="1"/>
                <w:color w:val="auto"/>
              </w:rPr>
              <w:t>3,927</w:t>
            </w:r>
          </w:p>
        </w:tc>
        <w:tc>
          <w:tcPr>
            <w:tcW w:w="700" w:type="dxa"/>
            <w:vAlign w:val="bottom"/>
          </w:tcPr>
          <w:p>
            <w:pPr>
              <w:jc w:val="right"/>
              <w:spacing w:after="0"/>
              <w:rPr>
                <w:sz w:val="20"/>
                <w:szCs w:val="20"/>
                <w:color w:val="auto"/>
              </w:rPr>
            </w:pPr>
            <w:r>
              <w:rPr>
                <w:rFonts w:ascii="Arial" w:cs="Arial" w:eastAsia="Arial" w:hAnsi="Arial"/>
                <w:sz w:val="16"/>
                <w:szCs w:val="16"/>
                <w:color w:val="auto"/>
              </w:rPr>
              <w:t>4,053</w:t>
            </w:r>
          </w:p>
        </w:tc>
      </w:tr>
      <w:tr>
        <w:trPr>
          <w:trHeight w:val="229"/>
        </w:trPr>
        <w:tc>
          <w:tcPr>
            <w:tcW w:w="5560" w:type="dxa"/>
            <w:vAlign w:val="bottom"/>
          </w:tcPr>
          <w:p>
            <w:pPr>
              <w:ind w:left="20"/>
              <w:spacing w:after="0"/>
              <w:rPr>
                <w:sz w:val="20"/>
                <w:szCs w:val="20"/>
                <w:color w:val="auto"/>
              </w:rPr>
            </w:pPr>
            <w:r>
              <w:rPr>
                <w:rFonts w:ascii="Arial" w:cs="Arial" w:eastAsia="Arial" w:hAnsi="Arial"/>
                <w:sz w:val="16"/>
                <w:szCs w:val="16"/>
                <w:color w:val="auto"/>
              </w:rPr>
              <w:t>Mexico Natural Gas Pipelines</w:t>
            </w:r>
          </w:p>
        </w:tc>
        <w:tc>
          <w:tcPr>
            <w:tcW w:w="2260" w:type="dxa"/>
            <w:vAlign w:val="bottom"/>
            <w:gridSpan w:val="2"/>
          </w:tcPr>
          <w:p>
            <w:pPr>
              <w:jc w:val="right"/>
              <w:ind w:right="839"/>
              <w:spacing w:after="0"/>
              <w:rPr>
                <w:sz w:val="20"/>
                <w:szCs w:val="20"/>
                <w:color w:val="auto"/>
              </w:rPr>
            </w:pPr>
            <w:r>
              <w:rPr>
                <w:rFonts w:ascii="Arial" w:cs="Arial" w:eastAsia="Arial" w:hAnsi="Arial"/>
                <w:sz w:val="16"/>
                <w:szCs w:val="16"/>
                <w:b w:val="1"/>
                <w:bCs w:val="1"/>
                <w:color w:val="auto"/>
              </w:rPr>
              <w:t>377</w:t>
            </w:r>
          </w:p>
        </w:tc>
        <w:tc>
          <w:tcPr>
            <w:tcW w:w="580" w:type="dxa"/>
            <w:vAlign w:val="bottom"/>
          </w:tcPr>
          <w:p>
            <w:pPr>
              <w:jc w:val="right"/>
              <w:spacing w:after="0"/>
              <w:rPr>
                <w:sz w:val="20"/>
                <w:szCs w:val="20"/>
                <w:color w:val="auto"/>
              </w:rPr>
            </w:pPr>
            <w:r>
              <w:rPr>
                <w:rFonts w:ascii="Arial" w:cs="Arial" w:eastAsia="Arial" w:hAnsi="Arial"/>
                <w:sz w:val="16"/>
                <w:szCs w:val="16"/>
                <w:color w:val="auto"/>
              </w:rPr>
              <w:t>214</w:t>
            </w:r>
          </w:p>
        </w:tc>
        <w:tc>
          <w:tcPr>
            <w:tcW w:w="100" w:type="dxa"/>
            <w:vAlign w:val="bottom"/>
          </w:tcPr>
          <w:p>
            <w:pPr>
              <w:spacing w:after="0"/>
              <w:rPr>
                <w:sz w:val="19"/>
                <w:szCs w:val="19"/>
                <w:color w:val="auto"/>
              </w:rPr>
            </w:pPr>
          </w:p>
        </w:tc>
        <w:tc>
          <w:tcPr>
            <w:tcW w:w="2040" w:type="dxa"/>
            <w:vAlign w:val="bottom"/>
          </w:tcPr>
          <w:p>
            <w:pPr>
              <w:jc w:val="right"/>
              <w:ind w:right="719"/>
              <w:spacing w:after="0"/>
              <w:rPr>
                <w:sz w:val="20"/>
                <w:szCs w:val="20"/>
                <w:color w:val="auto"/>
              </w:rPr>
            </w:pPr>
            <w:r>
              <w:rPr>
                <w:rFonts w:ascii="Arial" w:cs="Arial" w:eastAsia="Arial" w:hAnsi="Arial"/>
                <w:sz w:val="16"/>
                <w:szCs w:val="16"/>
                <w:b w:val="1"/>
                <w:bCs w:val="1"/>
                <w:color w:val="auto"/>
              </w:rPr>
              <w:t>1,186</w:t>
            </w:r>
          </w:p>
        </w:tc>
        <w:tc>
          <w:tcPr>
            <w:tcW w:w="700" w:type="dxa"/>
            <w:vAlign w:val="bottom"/>
          </w:tcPr>
          <w:p>
            <w:pPr>
              <w:jc w:val="right"/>
              <w:spacing w:after="0"/>
              <w:rPr>
                <w:sz w:val="20"/>
                <w:szCs w:val="20"/>
                <w:color w:val="auto"/>
              </w:rPr>
            </w:pPr>
            <w:r>
              <w:rPr>
                <w:rFonts w:ascii="Arial" w:cs="Arial" w:eastAsia="Arial" w:hAnsi="Arial"/>
                <w:sz w:val="16"/>
                <w:szCs w:val="16"/>
                <w:color w:val="auto"/>
              </w:rPr>
              <w:t>929</w:t>
            </w:r>
          </w:p>
        </w:tc>
      </w:tr>
      <w:tr>
        <w:trPr>
          <w:trHeight w:val="229"/>
        </w:trPr>
        <w:tc>
          <w:tcPr>
            <w:tcW w:w="5560" w:type="dxa"/>
            <w:vAlign w:val="bottom"/>
          </w:tcPr>
          <w:p>
            <w:pPr>
              <w:ind w:left="20"/>
              <w:spacing w:after="0"/>
              <w:rPr>
                <w:sz w:val="20"/>
                <w:szCs w:val="20"/>
                <w:color w:val="auto"/>
              </w:rPr>
            </w:pPr>
            <w:r>
              <w:rPr>
                <w:rFonts w:ascii="Arial" w:cs="Arial" w:eastAsia="Arial" w:hAnsi="Arial"/>
                <w:sz w:val="16"/>
                <w:szCs w:val="16"/>
                <w:color w:val="auto"/>
              </w:rPr>
              <w:t>Power and Energy Solutions</w:t>
            </w:r>
          </w:p>
        </w:tc>
        <w:tc>
          <w:tcPr>
            <w:tcW w:w="2260" w:type="dxa"/>
            <w:vAlign w:val="bottom"/>
            <w:gridSpan w:val="2"/>
          </w:tcPr>
          <w:p>
            <w:pPr>
              <w:jc w:val="right"/>
              <w:ind w:right="839"/>
              <w:spacing w:after="0"/>
              <w:rPr>
                <w:sz w:val="20"/>
                <w:szCs w:val="20"/>
                <w:color w:val="auto"/>
              </w:rPr>
            </w:pPr>
            <w:r>
              <w:rPr>
                <w:rFonts w:ascii="Arial" w:cs="Arial" w:eastAsia="Arial" w:hAnsi="Arial"/>
                <w:sz w:val="16"/>
                <w:szCs w:val="16"/>
                <w:b w:val="1"/>
                <w:bCs w:val="1"/>
                <w:color w:val="auto"/>
              </w:rPr>
              <w:t>136</w:t>
            </w:r>
          </w:p>
        </w:tc>
        <w:tc>
          <w:tcPr>
            <w:tcW w:w="580" w:type="dxa"/>
            <w:vAlign w:val="bottom"/>
          </w:tcPr>
          <w:p>
            <w:pPr>
              <w:jc w:val="right"/>
              <w:spacing w:after="0"/>
              <w:rPr>
                <w:sz w:val="20"/>
                <w:szCs w:val="20"/>
                <w:color w:val="auto"/>
              </w:rPr>
            </w:pPr>
            <w:r>
              <w:rPr>
                <w:rFonts w:ascii="Arial" w:cs="Arial" w:eastAsia="Arial" w:hAnsi="Arial"/>
                <w:sz w:val="16"/>
                <w:szCs w:val="16"/>
                <w:color w:val="auto"/>
              </w:rPr>
              <w:t>276</w:t>
            </w:r>
          </w:p>
        </w:tc>
        <w:tc>
          <w:tcPr>
            <w:tcW w:w="100" w:type="dxa"/>
            <w:vAlign w:val="bottom"/>
          </w:tcPr>
          <w:p>
            <w:pPr>
              <w:spacing w:after="0"/>
              <w:rPr>
                <w:sz w:val="19"/>
                <w:szCs w:val="19"/>
                <w:color w:val="auto"/>
              </w:rPr>
            </w:pPr>
          </w:p>
        </w:tc>
        <w:tc>
          <w:tcPr>
            <w:tcW w:w="2040" w:type="dxa"/>
            <w:vAlign w:val="bottom"/>
          </w:tcPr>
          <w:p>
            <w:pPr>
              <w:jc w:val="right"/>
              <w:ind w:right="719"/>
              <w:spacing w:after="0"/>
              <w:rPr>
                <w:sz w:val="20"/>
                <w:szCs w:val="20"/>
                <w:color w:val="auto"/>
              </w:rPr>
            </w:pPr>
            <w:r>
              <w:rPr>
                <w:rFonts w:ascii="Arial" w:cs="Arial" w:eastAsia="Arial" w:hAnsi="Arial"/>
                <w:sz w:val="16"/>
                <w:szCs w:val="16"/>
                <w:b w:val="1"/>
                <w:bCs w:val="1"/>
                <w:color w:val="auto"/>
              </w:rPr>
              <w:t>773</w:t>
            </w:r>
          </w:p>
        </w:tc>
        <w:tc>
          <w:tcPr>
            <w:tcW w:w="700" w:type="dxa"/>
            <w:vAlign w:val="bottom"/>
          </w:tcPr>
          <w:p>
            <w:pPr>
              <w:jc w:val="right"/>
              <w:spacing w:after="0"/>
              <w:rPr>
                <w:sz w:val="20"/>
                <w:szCs w:val="20"/>
                <w:color w:val="auto"/>
              </w:rPr>
            </w:pPr>
            <w:r>
              <w:rPr>
                <w:rFonts w:ascii="Arial" w:cs="Arial" w:eastAsia="Arial" w:hAnsi="Arial"/>
                <w:sz w:val="16"/>
                <w:szCs w:val="16"/>
                <w:color w:val="auto"/>
              </w:rPr>
              <w:t>1,102</w:t>
            </w:r>
          </w:p>
        </w:tc>
      </w:tr>
      <w:tr>
        <w:trPr>
          <w:trHeight w:val="233"/>
        </w:trPr>
        <w:tc>
          <w:tcPr>
            <w:tcW w:w="55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Corporate</w:t>
            </w:r>
          </w:p>
        </w:tc>
        <w:tc>
          <w:tcPr>
            <w:tcW w:w="2260" w:type="dxa"/>
            <w:vAlign w:val="bottom"/>
            <w:tcBorders>
              <w:bottom w:val="single" w:sz="8" w:color="auto"/>
            </w:tcBorders>
            <w:gridSpan w:val="2"/>
          </w:tcPr>
          <w:p>
            <w:pPr>
              <w:jc w:val="right"/>
              <w:ind w:right="839"/>
              <w:spacing w:after="0"/>
              <w:rPr>
                <w:sz w:val="20"/>
                <w:szCs w:val="20"/>
                <w:color w:val="auto"/>
              </w:rPr>
            </w:pPr>
            <w:r>
              <w:rPr>
                <w:rFonts w:ascii="Arial" w:cs="Arial" w:eastAsia="Arial" w:hAnsi="Arial"/>
                <w:sz w:val="16"/>
                <w:szCs w:val="16"/>
                <w:b w:val="1"/>
                <w:bCs w:val="1"/>
                <w:color w:val="auto"/>
              </w:rPr>
              <w:t>1</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w:t>
            </w:r>
          </w:p>
        </w:tc>
        <w:tc>
          <w:tcPr>
            <w:tcW w:w="10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b w:val="1"/>
                <w:bCs w:val="1"/>
                <w:color w:val="auto"/>
              </w:rPr>
              <w:t>(14)</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w:t>
            </w:r>
          </w:p>
        </w:tc>
      </w:tr>
      <w:tr>
        <w:trPr>
          <w:trHeight w:val="220"/>
        </w:trPr>
        <w:tc>
          <w:tcPr>
            <w:tcW w:w="5560" w:type="dxa"/>
            <w:vAlign w:val="bottom"/>
          </w:tcPr>
          <w:p>
            <w:pPr>
              <w:ind w:left="20"/>
              <w:spacing w:after="0"/>
              <w:rPr>
                <w:sz w:val="20"/>
                <w:szCs w:val="20"/>
                <w:color w:val="auto"/>
              </w:rPr>
            </w:pPr>
            <w:r>
              <w:rPr>
                <w:rFonts w:ascii="Arial" w:cs="Arial" w:eastAsia="Arial" w:hAnsi="Arial"/>
                <w:sz w:val="16"/>
                <w:szCs w:val="16"/>
                <w:b w:val="1"/>
                <w:bCs w:val="1"/>
                <w:color w:val="0D64EF"/>
              </w:rPr>
              <w:t>Total segmented earnings (losses)</w:t>
            </w:r>
          </w:p>
        </w:tc>
        <w:tc>
          <w:tcPr>
            <w:tcW w:w="2260" w:type="dxa"/>
            <w:vAlign w:val="bottom"/>
            <w:gridSpan w:val="2"/>
          </w:tcPr>
          <w:p>
            <w:pPr>
              <w:jc w:val="right"/>
              <w:ind w:right="839"/>
              <w:spacing w:after="0"/>
              <w:rPr>
                <w:sz w:val="20"/>
                <w:szCs w:val="20"/>
                <w:color w:val="auto"/>
              </w:rPr>
            </w:pPr>
            <w:r>
              <w:rPr>
                <w:rFonts w:ascii="Arial" w:cs="Arial" w:eastAsia="Arial" w:hAnsi="Arial"/>
                <w:sz w:val="16"/>
                <w:szCs w:val="16"/>
                <w:b w:val="1"/>
                <w:bCs w:val="1"/>
                <w:color w:val="auto"/>
              </w:rPr>
              <w:t>2,188</w:t>
            </w:r>
          </w:p>
        </w:tc>
        <w:tc>
          <w:tcPr>
            <w:tcW w:w="580" w:type="dxa"/>
            <w:vAlign w:val="bottom"/>
          </w:tcPr>
          <w:p>
            <w:pPr>
              <w:jc w:val="right"/>
              <w:spacing w:after="0"/>
              <w:rPr>
                <w:sz w:val="20"/>
                <w:szCs w:val="20"/>
                <w:color w:val="auto"/>
              </w:rPr>
            </w:pPr>
            <w:r>
              <w:rPr>
                <w:rFonts w:ascii="Arial" w:cs="Arial" w:eastAsia="Arial" w:hAnsi="Arial"/>
                <w:sz w:val="16"/>
                <w:szCs w:val="16"/>
                <w:color w:val="auto"/>
              </w:rPr>
              <w:t>1,898</w:t>
            </w:r>
          </w:p>
        </w:tc>
        <w:tc>
          <w:tcPr>
            <w:tcW w:w="100" w:type="dxa"/>
            <w:vAlign w:val="bottom"/>
          </w:tcPr>
          <w:p>
            <w:pPr>
              <w:spacing w:after="0"/>
              <w:rPr>
                <w:sz w:val="19"/>
                <w:szCs w:val="19"/>
                <w:color w:val="auto"/>
              </w:rPr>
            </w:pPr>
          </w:p>
        </w:tc>
        <w:tc>
          <w:tcPr>
            <w:tcW w:w="2040" w:type="dxa"/>
            <w:vAlign w:val="bottom"/>
          </w:tcPr>
          <w:p>
            <w:pPr>
              <w:jc w:val="right"/>
              <w:ind w:right="719"/>
              <w:spacing w:after="0"/>
              <w:rPr>
                <w:sz w:val="20"/>
                <w:szCs w:val="20"/>
                <w:color w:val="auto"/>
              </w:rPr>
            </w:pPr>
            <w:r>
              <w:rPr>
                <w:rFonts w:ascii="Arial" w:cs="Arial" w:eastAsia="Arial" w:hAnsi="Arial"/>
                <w:sz w:val="16"/>
                <w:szCs w:val="16"/>
                <w:b w:val="1"/>
                <w:bCs w:val="1"/>
                <w:color w:val="auto"/>
              </w:rPr>
              <w:t>8,036</w:t>
            </w:r>
          </w:p>
        </w:tc>
        <w:tc>
          <w:tcPr>
            <w:tcW w:w="700" w:type="dxa"/>
            <w:vAlign w:val="bottom"/>
          </w:tcPr>
          <w:p>
            <w:pPr>
              <w:jc w:val="right"/>
              <w:spacing w:after="0"/>
              <w:rPr>
                <w:sz w:val="20"/>
                <w:szCs w:val="20"/>
                <w:color w:val="auto"/>
              </w:rPr>
            </w:pPr>
            <w:r>
              <w:rPr>
                <w:rFonts w:ascii="Arial" w:cs="Arial" w:eastAsia="Arial" w:hAnsi="Arial"/>
                <w:sz w:val="16"/>
                <w:szCs w:val="16"/>
                <w:color w:val="auto"/>
              </w:rPr>
              <w:t>7,964</w:t>
            </w:r>
          </w:p>
        </w:tc>
      </w:tr>
      <w:tr>
        <w:trPr>
          <w:trHeight w:val="229"/>
        </w:trPr>
        <w:tc>
          <w:tcPr>
            <w:tcW w:w="556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2260" w:type="dxa"/>
            <w:vAlign w:val="bottom"/>
            <w:gridSpan w:val="2"/>
          </w:tcPr>
          <w:p>
            <w:pPr>
              <w:jc w:val="right"/>
              <w:ind w:right="799"/>
              <w:spacing w:after="0"/>
              <w:rPr>
                <w:sz w:val="20"/>
                <w:szCs w:val="20"/>
                <w:color w:val="auto"/>
              </w:rPr>
            </w:pPr>
            <w:r>
              <w:rPr>
                <w:rFonts w:ascii="Arial" w:cs="Arial" w:eastAsia="Arial" w:hAnsi="Arial"/>
                <w:sz w:val="16"/>
                <w:szCs w:val="16"/>
                <w:b w:val="1"/>
                <w:bCs w:val="1"/>
                <w:color w:val="auto"/>
              </w:rPr>
              <w:t>(873)</w:t>
            </w:r>
          </w:p>
        </w:tc>
        <w:tc>
          <w:tcPr>
            <w:tcW w:w="580" w:type="dxa"/>
            <w:vAlign w:val="bottom"/>
          </w:tcPr>
          <w:p>
            <w:pPr>
              <w:jc w:val="right"/>
              <w:spacing w:after="0"/>
              <w:rPr>
                <w:sz w:val="20"/>
                <w:szCs w:val="20"/>
                <w:color w:val="auto"/>
              </w:rPr>
            </w:pPr>
            <w:r>
              <w:rPr>
                <w:rFonts w:ascii="Arial" w:cs="Arial" w:eastAsia="Arial" w:hAnsi="Arial"/>
                <w:sz w:val="16"/>
                <w:szCs w:val="16"/>
                <w:color w:val="auto"/>
              </w:rPr>
              <w:t>(679)</w:t>
            </w:r>
          </w:p>
        </w:tc>
        <w:tc>
          <w:tcPr>
            <w:tcW w:w="100" w:type="dxa"/>
            <w:vAlign w:val="bottom"/>
          </w:tcPr>
          <w:p>
            <w:pPr>
              <w:spacing w:after="0"/>
              <w:rPr>
                <w:sz w:val="19"/>
                <w:szCs w:val="19"/>
                <w:color w:val="auto"/>
              </w:rPr>
            </w:pPr>
          </w:p>
        </w:tc>
        <w:tc>
          <w:tcPr>
            <w:tcW w:w="2040" w:type="dxa"/>
            <w:vAlign w:val="bottom"/>
          </w:tcPr>
          <w:p>
            <w:pPr>
              <w:jc w:val="right"/>
              <w:ind w:right="679"/>
              <w:spacing w:after="0"/>
              <w:rPr>
                <w:sz w:val="20"/>
                <w:szCs w:val="20"/>
                <w:color w:val="auto"/>
              </w:rPr>
            </w:pPr>
            <w:r>
              <w:rPr>
                <w:rFonts w:ascii="Arial" w:cs="Arial" w:eastAsia="Arial" w:hAnsi="Arial"/>
                <w:sz w:val="16"/>
                <w:szCs w:val="16"/>
                <w:b w:val="1"/>
                <w:bCs w:val="1"/>
                <w:color w:val="auto"/>
              </w:rPr>
              <w:t>(3,407)</w:t>
            </w:r>
          </w:p>
        </w:tc>
        <w:tc>
          <w:tcPr>
            <w:tcW w:w="700" w:type="dxa"/>
            <w:vAlign w:val="bottom"/>
          </w:tcPr>
          <w:p>
            <w:pPr>
              <w:jc w:val="right"/>
              <w:spacing w:after="0"/>
              <w:rPr>
                <w:sz w:val="20"/>
                <w:szCs w:val="20"/>
                <w:color w:val="auto"/>
              </w:rPr>
            </w:pPr>
            <w:r>
              <w:rPr>
                <w:rFonts w:ascii="Arial" w:cs="Arial" w:eastAsia="Arial" w:hAnsi="Arial"/>
                <w:sz w:val="16"/>
                <w:szCs w:val="16"/>
                <w:color w:val="auto"/>
              </w:rPr>
              <w:t>(3,019)</w:t>
            </w:r>
          </w:p>
        </w:tc>
      </w:tr>
      <w:tr>
        <w:trPr>
          <w:trHeight w:val="229"/>
        </w:trPr>
        <w:tc>
          <w:tcPr>
            <w:tcW w:w="5560" w:type="dxa"/>
            <w:vAlign w:val="bottom"/>
          </w:tcPr>
          <w:p>
            <w:pPr>
              <w:ind w:left="20"/>
              <w:spacing w:after="0"/>
              <w:rPr>
                <w:sz w:val="20"/>
                <w:szCs w:val="20"/>
                <w:color w:val="auto"/>
              </w:rPr>
            </w:pPr>
            <w:r>
              <w:rPr>
                <w:rFonts w:ascii="Arial" w:cs="Arial" w:eastAsia="Arial" w:hAnsi="Arial"/>
                <w:sz w:val="16"/>
                <w:szCs w:val="16"/>
                <w:color w:val="auto"/>
              </w:rPr>
              <w:t>Allowance for funds used during construction</w:t>
            </w:r>
          </w:p>
        </w:tc>
        <w:tc>
          <w:tcPr>
            <w:tcW w:w="2260" w:type="dxa"/>
            <w:vAlign w:val="bottom"/>
            <w:gridSpan w:val="2"/>
          </w:tcPr>
          <w:p>
            <w:pPr>
              <w:jc w:val="right"/>
              <w:ind w:right="839"/>
              <w:spacing w:after="0"/>
              <w:rPr>
                <w:sz w:val="20"/>
                <w:szCs w:val="20"/>
                <w:color w:val="auto"/>
              </w:rPr>
            </w:pPr>
            <w:r>
              <w:rPr>
                <w:rFonts w:ascii="Arial" w:cs="Arial" w:eastAsia="Arial" w:hAnsi="Arial"/>
                <w:sz w:val="16"/>
                <w:szCs w:val="16"/>
                <w:b w:val="1"/>
                <w:bCs w:val="1"/>
                <w:color w:val="auto"/>
              </w:rPr>
              <w:t>36</w:t>
            </w:r>
          </w:p>
        </w:tc>
        <w:tc>
          <w:tcPr>
            <w:tcW w:w="580" w:type="dxa"/>
            <w:vAlign w:val="bottom"/>
          </w:tcPr>
          <w:p>
            <w:pPr>
              <w:jc w:val="right"/>
              <w:spacing w:after="0"/>
              <w:rPr>
                <w:sz w:val="20"/>
                <w:szCs w:val="20"/>
                <w:color w:val="auto"/>
              </w:rPr>
            </w:pPr>
            <w:r>
              <w:rPr>
                <w:rFonts w:ascii="Arial" w:cs="Arial" w:eastAsia="Arial" w:hAnsi="Arial"/>
                <w:sz w:val="16"/>
                <w:szCs w:val="16"/>
                <w:color w:val="auto"/>
              </w:rPr>
              <w:t>233</w:t>
            </w:r>
          </w:p>
        </w:tc>
        <w:tc>
          <w:tcPr>
            <w:tcW w:w="100" w:type="dxa"/>
            <w:vAlign w:val="bottom"/>
          </w:tcPr>
          <w:p>
            <w:pPr>
              <w:spacing w:after="0"/>
              <w:rPr>
                <w:sz w:val="19"/>
                <w:szCs w:val="19"/>
                <w:color w:val="auto"/>
              </w:rPr>
            </w:pPr>
          </w:p>
        </w:tc>
        <w:tc>
          <w:tcPr>
            <w:tcW w:w="2040" w:type="dxa"/>
            <w:vAlign w:val="bottom"/>
          </w:tcPr>
          <w:p>
            <w:pPr>
              <w:jc w:val="right"/>
              <w:ind w:right="719"/>
              <w:spacing w:after="0"/>
              <w:rPr>
                <w:sz w:val="20"/>
                <w:szCs w:val="20"/>
                <w:color w:val="auto"/>
              </w:rPr>
            </w:pPr>
            <w:r>
              <w:rPr>
                <w:rFonts w:ascii="Arial" w:cs="Arial" w:eastAsia="Arial" w:hAnsi="Arial"/>
                <w:sz w:val="16"/>
                <w:szCs w:val="16"/>
                <w:b w:val="1"/>
                <w:bCs w:val="1"/>
                <w:color w:val="auto"/>
              </w:rPr>
              <w:t>453</w:t>
            </w:r>
          </w:p>
        </w:tc>
        <w:tc>
          <w:tcPr>
            <w:tcW w:w="700" w:type="dxa"/>
            <w:vAlign w:val="bottom"/>
          </w:tcPr>
          <w:p>
            <w:pPr>
              <w:jc w:val="right"/>
              <w:spacing w:after="0"/>
              <w:rPr>
                <w:sz w:val="20"/>
                <w:szCs w:val="20"/>
                <w:color w:val="auto"/>
              </w:rPr>
            </w:pPr>
            <w:r>
              <w:rPr>
                <w:rFonts w:ascii="Arial" w:cs="Arial" w:eastAsia="Arial" w:hAnsi="Arial"/>
                <w:sz w:val="16"/>
                <w:szCs w:val="16"/>
                <w:color w:val="auto"/>
              </w:rPr>
              <w:t>784</w:t>
            </w:r>
          </w:p>
        </w:tc>
      </w:tr>
      <w:tr>
        <w:trPr>
          <w:trHeight w:val="229"/>
        </w:trPr>
        <w:tc>
          <w:tcPr>
            <w:tcW w:w="5560" w:type="dxa"/>
            <w:vAlign w:val="bottom"/>
          </w:tcPr>
          <w:p>
            <w:pPr>
              <w:ind w:left="20"/>
              <w:spacing w:after="0"/>
              <w:rPr>
                <w:sz w:val="20"/>
                <w:szCs w:val="20"/>
                <w:color w:val="auto"/>
              </w:rPr>
            </w:pPr>
            <w:r>
              <w:rPr>
                <w:rFonts w:ascii="Arial" w:cs="Arial" w:eastAsia="Arial" w:hAnsi="Arial"/>
                <w:sz w:val="16"/>
                <w:szCs w:val="16"/>
                <w:color w:val="auto"/>
              </w:rPr>
              <w:t>Foreign exchange gains (losses), net</w:t>
            </w:r>
          </w:p>
        </w:tc>
        <w:tc>
          <w:tcPr>
            <w:tcW w:w="2260" w:type="dxa"/>
            <w:vAlign w:val="bottom"/>
            <w:gridSpan w:val="2"/>
          </w:tcPr>
          <w:p>
            <w:pPr>
              <w:jc w:val="right"/>
              <w:ind w:right="839"/>
              <w:spacing w:after="0"/>
              <w:rPr>
                <w:sz w:val="20"/>
                <w:szCs w:val="20"/>
                <w:color w:val="auto"/>
              </w:rPr>
            </w:pPr>
            <w:r>
              <w:rPr>
                <w:rFonts w:ascii="Arial" w:cs="Arial" w:eastAsia="Arial" w:hAnsi="Arial"/>
                <w:sz w:val="16"/>
                <w:szCs w:val="16"/>
                <w:b w:val="1"/>
                <w:bCs w:val="1"/>
                <w:color w:val="auto"/>
              </w:rPr>
              <w:t>15</w:t>
            </w:r>
          </w:p>
        </w:tc>
        <w:tc>
          <w:tcPr>
            <w:tcW w:w="580" w:type="dxa"/>
            <w:vAlign w:val="bottom"/>
          </w:tcPr>
          <w:p>
            <w:pPr>
              <w:jc w:val="right"/>
              <w:spacing w:after="0"/>
              <w:rPr>
                <w:sz w:val="20"/>
                <w:szCs w:val="20"/>
                <w:color w:val="auto"/>
              </w:rPr>
            </w:pPr>
            <w:r>
              <w:rPr>
                <w:rFonts w:ascii="Arial" w:cs="Arial" w:eastAsia="Arial" w:hAnsi="Arial"/>
                <w:sz w:val="16"/>
                <w:szCs w:val="16"/>
                <w:color w:val="auto"/>
              </w:rPr>
              <w:t>(69)</w:t>
            </w:r>
          </w:p>
        </w:tc>
        <w:tc>
          <w:tcPr>
            <w:tcW w:w="100" w:type="dxa"/>
            <w:vAlign w:val="bottom"/>
          </w:tcPr>
          <w:p>
            <w:pPr>
              <w:spacing w:after="0"/>
              <w:rPr>
                <w:sz w:val="19"/>
                <w:szCs w:val="19"/>
                <w:color w:val="auto"/>
              </w:rPr>
            </w:pPr>
          </w:p>
        </w:tc>
        <w:tc>
          <w:tcPr>
            <w:tcW w:w="2040" w:type="dxa"/>
            <w:vAlign w:val="bottom"/>
          </w:tcPr>
          <w:p>
            <w:pPr>
              <w:jc w:val="right"/>
              <w:ind w:right="719"/>
              <w:spacing w:after="0"/>
              <w:rPr>
                <w:sz w:val="20"/>
                <w:szCs w:val="20"/>
                <w:color w:val="auto"/>
              </w:rPr>
            </w:pPr>
            <w:r>
              <w:rPr>
                <w:rFonts w:ascii="Arial" w:cs="Arial" w:eastAsia="Arial" w:hAnsi="Arial"/>
                <w:sz w:val="16"/>
                <w:szCs w:val="16"/>
                <w:b w:val="1"/>
                <w:bCs w:val="1"/>
                <w:color w:val="auto"/>
              </w:rPr>
              <w:t>157</w:t>
            </w:r>
          </w:p>
        </w:tc>
        <w:tc>
          <w:tcPr>
            <w:tcW w:w="700" w:type="dxa"/>
            <w:vAlign w:val="bottom"/>
          </w:tcPr>
          <w:p>
            <w:pPr>
              <w:jc w:val="right"/>
              <w:spacing w:after="0"/>
              <w:rPr>
                <w:sz w:val="20"/>
                <w:szCs w:val="20"/>
                <w:color w:val="auto"/>
              </w:rPr>
            </w:pPr>
            <w:r>
              <w:rPr>
                <w:rFonts w:ascii="Arial" w:cs="Arial" w:eastAsia="Arial" w:hAnsi="Arial"/>
                <w:sz w:val="16"/>
                <w:szCs w:val="16"/>
                <w:color w:val="auto"/>
              </w:rPr>
              <w:t>(147)</w:t>
            </w:r>
          </w:p>
        </w:tc>
      </w:tr>
      <w:tr>
        <w:trPr>
          <w:trHeight w:val="233"/>
        </w:trPr>
        <w:tc>
          <w:tcPr>
            <w:tcW w:w="55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Interest income and other</w:t>
            </w:r>
          </w:p>
        </w:tc>
        <w:tc>
          <w:tcPr>
            <w:tcW w:w="2260" w:type="dxa"/>
            <w:vAlign w:val="bottom"/>
            <w:tcBorders>
              <w:bottom w:val="single" w:sz="8" w:color="auto"/>
            </w:tcBorders>
            <w:gridSpan w:val="2"/>
          </w:tcPr>
          <w:p>
            <w:pPr>
              <w:jc w:val="right"/>
              <w:ind w:right="839"/>
              <w:spacing w:after="0"/>
              <w:rPr>
                <w:sz w:val="20"/>
                <w:szCs w:val="20"/>
                <w:color w:val="auto"/>
              </w:rPr>
            </w:pPr>
            <w:r>
              <w:rPr>
                <w:rFonts w:ascii="Arial" w:cs="Arial" w:eastAsia="Arial" w:hAnsi="Arial"/>
                <w:sz w:val="16"/>
                <w:szCs w:val="16"/>
                <w:b w:val="1"/>
                <w:bCs w:val="1"/>
                <w:color w:val="auto"/>
              </w:rPr>
              <w:t>58</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w:t>
            </w:r>
          </w:p>
        </w:tc>
        <w:tc>
          <w:tcPr>
            <w:tcW w:w="10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tcPr>
          <w:p>
            <w:pPr>
              <w:jc w:val="right"/>
              <w:ind w:right="719"/>
              <w:spacing w:after="0"/>
              <w:rPr>
                <w:sz w:val="20"/>
                <w:szCs w:val="20"/>
                <w:color w:val="auto"/>
              </w:rPr>
            </w:pPr>
            <w:r>
              <w:rPr>
                <w:rFonts w:ascii="Arial" w:cs="Arial" w:eastAsia="Arial" w:hAnsi="Arial"/>
                <w:sz w:val="16"/>
                <w:szCs w:val="16"/>
                <w:b w:val="1"/>
                <w:bCs w:val="1"/>
                <w:color w:val="auto"/>
              </w:rPr>
              <w:t>205</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324</w:t>
            </w:r>
          </w:p>
        </w:tc>
      </w:tr>
      <w:tr>
        <w:trPr>
          <w:trHeight w:val="220"/>
        </w:trPr>
        <w:tc>
          <w:tcPr>
            <w:tcW w:w="5560" w:type="dxa"/>
            <w:vAlign w:val="bottom"/>
          </w:tcPr>
          <w:p>
            <w:pPr>
              <w:ind w:left="20"/>
              <w:spacing w:after="0"/>
              <w:rPr>
                <w:sz w:val="20"/>
                <w:szCs w:val="20"/>
                <w:color w:val="auto"/>
              </w:rPr>
            </w:pPr>
            <w:r>
              <w:rPr>
                <w:rFonts w:ascii="Arial" w:cs="Arial" w:eastAsia="Arial" w:hAnsi="Arial"/>
                <w:sz w:val="16"/>
                <w:szCs w:val="16"/>
                <w:b w:val="1"/>
                <w:bCs w:val="1"/>
                <w:color w:val="0D64EF"/>
              </w:rPr>
              <w:t>Income (loss) from continuing operations before income taxes</w:t>
            </w:r>
          </w:p>
        </w:tc>
        <w:tc>
          <w:tcPr>
            <w:tcW w:w="2260" w:type="dxa"/>
            <w:vAlign w:val="bottom"/>
            <w:gridSpan w:val="2"/>
          </w:tcPr>
          <w:p>
            <w:pPr>
              <w:jc w:val="right"/>
              <w:ind w:right="839"/>
              <w:spacing w:after="0"/>
              <w:rPr>
                <w:sz w:val="20"/>
                <w:szCs w:val="20"/>
                <w:color w:val="auto"/>
              </w:rPr>
            </w:pPr>
            <w:r>
              <w:rPr>
                <w:rFonts w:ascii="Arial" w:cs="Arial" w:eastAsia="Arial" w:hAnsi="Arial"/>
                <w:sz w:val="16"/>
                <w:szCs w:val="16"/>
                <w:b w:val="1"/>
                <w:bCs w:val="1"/>
                <w:color w:val="auto"/>
              </w:rPr>
              <w:t>1,424</w:t>
            </w:r>
          </w:p>
        </w:tc>
        <w:tc>
          <w:tcPr>
            <w:tcW w:w="580" w:type="dxa"/>
            <w:vAlign w:val="bottom"/>
          </w:tcPr>
          <w:p>
            <w:pPr>
              <w:jc w:val="right"/>
              <w:spacing w:after="0"/>
              <w:rPr>
                <w:sz w:val="20"/>
                <w:szCs w:val="20"/>
                <w:color w:val="auto"/>
              </w:rPr>
            </w:pPr>
            <w:r>
              <w:rPr>
                <w:rFonts w:ascii="Arial" w:cs="Arial" w:eastAsia="Arial" w:hAnsi="Arial"/>
                <w:sz w:val="16"/>
                <w:szCs w:val="16"/>
                <w:color w:val="auto"/>
              </w:rPr>
              <w:t>1,503</w:t>
            </w:r>
          </w:p>
        </w:tc>
        <w:tc>
          <w:tcPr>
            <w:tcW w:w="100" w:type="dxa"/>
            <w:vAlign w:val="bottom"/>
          </w:tcPr>
          <w:p>
            <w:pPr>
              <w:spacing w:after="0"/>
              <w:rPr>
                <w:sz w:val="19"/>
                <w:szCs w:val="19"/>
                <w:color w:val="auto"/>
              </w:rPr>
            </w:pPr>
          </w:p>
        </w:tc>
        <w:tc>
          <w:tcPr>
            <w:tcW w:w="2040" w:type="dxa"/>
            <w:vAlign w:val="bottom"/>
          </w:tcPr>
          <w:p>
            <w:pPr>
              <w:jc w:val="right"/>
              <w:ind w:right="719"/>
              <w:spacing w:after="0"/>
              <w:rPr>
                <w:sz w:val="20"/>
                <w:szCs w:val="20"/>
                <w:color w:val="auto"/>
              </w:rPr>
            </w:pPr>
            <w:r>
              <w:rPr>
                <w:rFonts w:ascii="Arial" w:cs="Arial" w:eastAsia="Arial" w:hAnsi="Arial"/>
                <w:sz w:val="16"/>
                <w:szCs w:val="16"/>
                <w:b w:val="1"/>
                <w:bCs w:val="1"/>
                <w:color w:val="auto"/>
              </w:rPr>
              <w:t>5,444</w:t>
            </w:r>
          </w:p>
        </w:tc>
        <w:tc>
          <w:tcPr>
            <w:tcW w:w="700" w:type="dxa"/>
            <w:vAlign w:val="bottom"/>
          </w:tcPr>
          <w:p>
            <w:pPr>
              <w:jc w:val="right"/>
              <w:spacing w:after="0"/>
              <w:rPr>
                <w:sz w:val="20"/>
                <w:szCs w:val="20"/>
                <w:color w:val="auto"/>
              </w:rPr>
            </w:pPr>
            <w:r>
              <w:rPr>
                <w:rFonts w:ascii="Arial" w:cs="Arial" w:eastAsia="Arial" w:hAnsi="Arial"/>
                <w:sz w:val="16"/>
                <w:szCs w:val="16"/>
                <w:color w:val="auto"/>
              </w:rPr>
              <w:t>5,906</w:t>
            </w:r>
          </w:p>
        </w:tc>
      </w:tr>
      <w:tr>
        <w:trPr>
          <w:trHeight w:val="233"/>
        </w:trPr>
        <w:tc>
          <w:tcPr>
            <w:tcW w:w="55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Income tax (expense) recovery from continuing operations</w:t>
            </w:r>
          </w:p>
        </w:tc>
        <w:tc>
          <w:tcPr>
            <w:tcW w:w="2260" w:type="dxa"/>
            <w:vAlign w:val="bottom"/>
            <w:tcBorders>
              <w:bottom w:val="single" w:sz="8" w:color="auto"/>
            </w:tcBorders>
            <w:gridSpan w:val="2"/>
          </w:tcPr>
          <w:p>
            <w:pPr>
              <w:jc w:val="right"/>
              <w:ind w:right="799"/>
              <w:spacing w:after="0"/>
              <w:rPr>
                <w:sz w:val="20"/>
                <w:szCs w:val="20"/>
                <w:color w:val="auto"/>
              </w:rPr>
            </w:pPr>
            <w:r>
              <w:rPr>
                <w:rFonts w:ascii="Arial" w:cs="Arial" w:eastAsia="Arial" w:hAnsi="Arial"/>
                <w:sz w:val="16"/>
                <w:szCs w:val="16"/>
                <w:b w:val="1"/>
                <w:bCs w:val="1"/>
                <w:color w:val="auto"/>
              </w:rPr>
              <w:t>(263)</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(223)</w:t>
            </w:r>
          </w:p>
        </w:tc>
        <w:tc>
          <w:tcPr>
            <w:tcW w:w="10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b w:val="1"/>
                <w:bCs w:val="1"/>
                <w:color w:val="auto"/>
              </w:rPr>
              <w:t>(1,138)</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(922)</w:t>
            </w:r>
          </w:p>
        </w:tc>
      </w:tr>
      <w:tr>
        <w:trPr>
          <w:trHeight w:val="220"/>
        </w:trPr>
        <w:tc>
          <w:tcPr>
            <w:tcW w:w="5560" w:type="dxa"/>
            <w:vAlign w:val="bottom"/>
          </w:tcPr>
          <w:p>
            <w:pPr>
              <w:ind w:left="20"/>
              <w:spacing w:after="0"/>
              <w:rPr>
                <w:sz w:val="20"/>
                <w:szCs w:val="20"/>
                <w:color w:val="auto"/>
              </w:rPr>
            </w:pPr>
            <w:r>
              <w:rPr>
                <w:rFonts w:ascii="Arial" w:cs="Arial" w:eastAsia="Arial" w:hAnsi="Arial"/>
                <w:sz w:val="16"/>
                <w:szCs w:val="16"/>
                <w:b w:val="1"/>
                <w:bCs w:val="1"/>
                <w:color w:val="0D64EF"/>
              </w:rPr>
              <w:t>Net income (loss) from continuing operations</w:t>
            </w:r>
          </w:p>
        </w:tc>
        <w:tc>
          <w:tcPr>
            <w:tcW w:w="2260" w:type="dxa"/>
            <w:vAlign w:val="bottom"/>
            <w:gridSpan w:val="2"/>
          </w:tcPr>
          <w:p>
            <w:pPr>
              <w:jc w:val="right"/>
              <w:ind w:right="839"/>
              <w:spacing w:after="0"/>
              <w:rPr>
                <w:sz w:val="20"/>
                <w:szCs w:val="20"/>
                <w:color w:val="auto"/>
              </w:rPr>
            </w:pPr>
            <w:r>
              <w:rPr>
                <w:rFonts w:ascii="Arial" w:cs="Arial" w:eastAsia="Arial" w:hAnsi="Arial"/>
                <w:sz w:val="16"/>
                <w:szCs w:val="16"/>
                <w:b w:val="1"/>
                <w:bCs w:val="1"/>
                <w:color w:val="auto"/>
              </w:rPr>
              <w:t>1,161</w:t>
            </w:r>
          </w:p>
        </w:tc>
        <w:tc>
          <w:tcPr>
            <w:tcW w:w="580" w:type="dxa"/>
            <w:vAlign w:val="bottom"/>
          </w:tcPr>
          <w:p>
            <w:pPr>
              <w:jc w:val="right"/>
              <w:spacing w:after="0"/>
              <w:rPr>
                <w:sz w:val="20"/>
                <w:szCs w:val="20"/>
                <w:color w:val="auto"/>
              </w:rPr>
            </w:pPr>
            <w:r>
              <w:rPr>
                <w:rFonts w:ascii="Arial" w:cs="Arial" w:eastAsia="Arial" w:hAnsi="Arial"/>
                <w:sz w:val="16"/>
                <w:szCs w:val="16"/>
                <w:color w:val="auto"/>
              </w:rPr>
              <w:t>1,280</w:t>
            </w:r>
          </w:p>
        </w:tc>
        <w:tc>
          <w:tcPr>
            <w:tcW w:w="100" w:type="dxa"/>
            <w:vAlign w:val="bottom"/>
          </w:tcPr>
          <w:p>
            <w:pPr>
              <w:spacing w:after="0"/>
              <w:rPr>
                <w:sz w:val="19"/>
                <w:szCs w:val="19"/>
                <w:color w:val="auto"/>
              </w:rPr>
            </w:pPr>
          </w:p>
        </w:tc>
        <w:tc>
          <w:tcPr>
            <w:tcW w:w="2040" w:type="dxa"/>
            <w:vAlign w:val="bottom"/>
          </w:tcPr>
          <w:p>
            <w:pPr>
              <w:jc w:val="right"/>
              <w:ind w:right="719"/>
              <w:spacing w:after="0"/>
              <w:rPr>
                <w:sz w:val="20"/>
                <w:szCs w:val="20"/>
                <w:color w:val="auto"/>
              </w:rPr>
            </w:pPr>
            <w:r>
              <w:rPr>
                <w:rFonts w:ascii="Arial" w:cs="Arial" w:eastAsia="Arial" w:hAnsi="Arial"/>
                <w:sz w:val="16"/>
                <w:szCs w:val="16"/>
                <w:b w:val="1"/>
                <w:bCs w:val="1"/>
                <w:color w:val="auto"/>
              </w:rPr>
              <w:t>4,306</w:t>
            </w:r>
          </w:p>
        </w:tc>
        <w:tc>
          <w:tcPr>
            <w:tcW w:w="700" w:type="dxa"/>
            <w:vAlign w:val="bottom"/>
          </w:tcPr>
          <w:p>
            <w:pPr>
              <w:jc w:val="right"/>
              <w:spacing w:after="0"/>
              <w:rPr>
                <w:sz w:val="20"/>
                <w:szCs w:val="20"/>
                <w:color w:val="auto"/>
              </w:rPr>
            </w:pPr>
            <w:r>
              <w:rPr>
                <w:rFonts w:ascii="Arial" w:cs="Arial" w:eastAsia="Arial" w:hAnsi="Arial"/>
                <w:sz w:val="16"/>
                <w:szCs w:val="16"/>
                <w:color w:val="auto"/>
              </w:rPr>
              <w:t>4,984</w:t>
            </w:r>
          </w:p>
        </w:tc>
      </w:tr>
      <w:tr>
        <w:trPr>
          <w:trHeight w:val="236"/>
        </w:trPr>
        <w:tc>
          <w:tcPr>
            <w:tcW w:w="5560" w:type="dxa"/>
            <w:vAlign w:val="bottom"/>
            <w:tcBorders>
              <w:bottom w:val="single" w:sz="8" w:color="auto"/>
            </w:tcBorders>
          </w:tcPr>
          <w:p>
            <w:pPr>
              <w:ind w:left="20"/>
              <w:spacing w:after="0" w:line="236" w:lineRule="exact"/>
              <w:rPr>
                <w:sz w:val="20"/>
                <w:szCs w:val="20"/>
                <w:color w:val="auto"/>
              </w:rPr>
            </w:pPr>
            <w:r>
              <w:rPr>
                <w:rFonts w:ascii="Arial" w:cs="Arial" w:eastAsia="Arial" w:hAnsi="Arial"/>
                <w:sz w:val="16"/>
                <w:szCs w:val="16"/>
                <w:b w:val="1"/>
                <w:bCs w:val="1"/>
                <w:color w:val="0D64EF"/>
              </w:rPr>
              <w:t>Net income (loss) from discontinued operations, net of tax</w:t>
            </w:r>
            <w:r>
              <w:rPr>
                <w:rFonts w:ascii="Arial" w:cs="Arial" w:eastAsia="Arial" w:hAnsi="Arial"/>
                <w:sz w:val="21"/>
                <w:szCs w:val="21"/>
                <w:color w:val="000000"/>
                <w:vertAlign w:val="superscript"/>
              </w:rPr>
              <w:t>1</w:t>
            </w:r>
          </w:p>
        </w:tc>
        <w:tc>
          <w:tcPr>
            <w:tcW w:w="2260" w:type="dxa"/>
            <w:vAlign w:val="bottom"/>
            <w:tcBorders>
              <w:bottom w:val="single" w:sz="8" w:color="auto"/>
            </w:tcBorders>
            <w:gridSpan w:val="2"/>
          </w:tcPr>
          <w:p>
            <w:pPr>
              <w:jc w:val="right"/>
              <w:ind w:right="839"/>
              <w:spacing w:after="0"/>
              <w:rPr>
                <w:sz w:val="20"/>
                <w:szCs w:val="20"/>
                <w:color w:val="auto"/>
              </w:rPr>
            </w:pPr>
            <w:r>
              <w:rPr>
                <w:rFonts w:ascii="Arial" w:cs="Arial" w:eastAsia="Arial" w:hAnsi="Arial"/>
                <w:sz w:val="16"/>
                <w:szCs w:val="16"/>
                <w:b w:val="1"/>
                <w:bCs w:val="1"/>
                <w:color w:val="auto"/>
              </w:rPr>
              <w:t>21</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w:t>
            </w:r>
          </w:p>
        </w:tc>
        <w:tc>
          <w:tcPr>
            <w:tcW w:w="10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b w:val="1"/>
                <w:bCs w:val="1"/>
                <w:color w:val="auto"/>
              </w:rPr>
              <w:t>(212)</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395</w:t>
            </w:r>
          </w:p>
        </w:tc>
      </w:tr>
      <w:tr>
        <w:trPr>
          <w:trHeight w:val="216"/>
        </w:trPr>
        <w:tc>
          <w:tcPr>
            <w:tcW w:w="5560" w:type="dxa"/>
            <w:vAlign w:val="bottom"/>
          </w:tcPr>
          <w:p>
            <w:pPr>
              <w:ind w:left="20"/>
              <w:spacing w:after="0"/>
              <w:rPr>
                <w:sz w:val="20"/>
                <w:szCs w:val="20"/>
                <w:color w:val="auto"/>
              </w:rPr>
            </w:pPr>
            <w:r>
              <w:rPr>
                <w:rFonts w:ascii="Arial" w:cs="Arial" w:eastAsia="Arial" w:hAnsi="Arial"/>
                <w:sz w:val="16"/>
                <w:szCs w:val="16"/>
                <w:b w:val="1"/>
                <w:bCs w:val="1"/>
                <w:color w:val="0D64EF"/>
              </w:rPr>
              <w:t>Net income (loss)</w:t>
            </w:r>
          </w:p>
        </w:tc>
        <w:tc>
          <w:tcPr>
            <w:tcW w:w="2260" w:type="dxa"/>
            <w:vAlign w:val="bottom"/>
            <w:gridSpan w:val="2"/>
          </w:tcPr>
          <w:p>
            <w:pPr>
              <w:jc w:val="right"/>
              <w:ind w:right="839"/>
              <w:spacing w:after="0"/>
              <w:rPr>
                <w:sz w:val="20"/>
                <w:szCs w:val="20"/>
                <w:color w:val="auto"/>
              </w:rPr>
            </w:pPr>
            <w:r>
              <w:rPr>
                <w:rFonts w:ascii="Arial" w:cs="Arial" w:eastAsia="Arial" w:hAnsi="Arial"/>
                <w:sz w:val="16"/>
                <w:szCs w:val="16"/>
                <w:b w:val="1"/>
                <w:bCs w:val="1"/>
                <w:color w:val="auto"/>
              </w:rPr>
              <w:t>1,182</w:t>
            </w:r>
          </w:p>
        </w:tc>
        <w:tc>
          <w:tcPr>
            <w:tcW w:w="580" w:type="dxa"/>
            <w:vAlign w:val="bottom"/>
          </w:tcPr>
          <w:p>
            <w:pPr>
              <w:jc w:val="right"/>
              <w:spacing w:after="0"/>
              <w:rPr>
                <w:sz w:val="20"/>
                <w:szCs w:val="20"/>
                <w:color w:val="auto"/>
              </w:rPr>
            </w:pPr>
            <w:r>
              <w:rPr>
                <w:rFonts w:ascii="Arial" w:cs="Arial" w:eastAsia="Arial" w:hAnsi="Arial"/>
                <w:sz w:val="16"/>
                <w:szCs w:val="16"/>
                <w:color w:val="auto"/>
              </w:rPr>
              <w:t>1,182</w:t>
            </w:r>
          </w:p>
        </w:tc>
        <w:tc>
          <w:tcPr>
            <w:tcW w:w="100" w:type="dxa"/>
            <w:vAlign w:val="bottom"/>
          </w:tcPr>
          <w:p>
            <w:pPr>
              <w:spacing w:after="0"/>
              <w:rPr>
                <w:sz w:val="18"/>
                <w:szCs w:val="18"/>
                <w:color w:val="auto"/>
              </w:rPr>
            </w:pPr>
          </w:p>
        </w:tc>
        <w:tc>
          <w:tcPr>
            <w:tcW w:w="2040" w:type="dxa"/>
            <w:vAlign w:val="bottom"/>
          </w:tcPr>
          <w:p>
            <w:pPr>
              <w:jc w:val="right"/>
              <w:ind w:right="719"/>
              <w:spacing w:after="0"/>
              <w:rPr>
                <w:sz w:val="20"/>
                <w:szCs w:val="20"/>
                <w:color w:val="auto"/>
              </w:rPr>
            </w:pPr>
            <w:r>
              <w:rPr>
                <w:rFonts w:ascii="Arial" w:cs="Arial" w:eastAsia="Arial" w:hAnsi="Arial"/>
                <w:sz w:val="16"/>
                <w:szCs w:val="16"/>
                <w:b w:val="1"/>
                <w:bCs w:val="1"/>
                <w:color w:val="auto"/>
              </w:rPr>
              <w:t>4,094</w:t>
            </w:r>
          </w:p>
        </w:tc>
        <w:tc>
          <w:tcPr>
            <w:tcW w:w="700" w:type="dxa"/>
            <w:vAlign w:val="bottom"/>
          </w:tcPr>
          <w:p>
            <w:pPr>
              <w:jc w:val="right"/>
              <w:spacing w:after="0"/>
              <w:rPr>
                <w:sz w:val="20"/>
                <w:szCs w:val="20"/>
                <w:color w:val="auto"/>
              </w:rPr>
            </w:pPr>
            <w:r>
              <w:rPr>
                <w:rFonts w:ascii="Arial" w:cs="Arial" w:eastAsia="Arial" w:hAnsi="Arial"/>
                <w:sz w:val="16"/>
                <w:szCs w:val="16"/>
                <w:color w:val="auto"/>
              </w:rPr>
              <w:t>5,379</w:t>
            </w:r>
          </w:p>
        </w:tc>
      </w:tr>
      <w:tr>
        <w:trPr>
          <w:trHeight w:val="233"/>
        </w:trPr>
        <w:tc>
          <w:tcPr>
            <w:tcW w:w="55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Net (income) loss attributable to non-controlling interests</w:t>
            </w:r>
          </w:p>
        </w:tc>
        <w:tc>
          <w:tcPr>
            <w:tcW w:w="2260" w:type="dxa"/>
            <w:vAlign w:val="bottom"/>
            <w:tcBorders>
              <w:bottom w:val="single" w:sz="8" w:color="auto"/>
            </w:tcBorders>
            <w:gridSpan w:val="2"/>
          </w:tcPr>
          <w:p>
            <w:pPr>
              <w:jc w:val="right"/>
              <w:ind w:right="799"/>
              <w:spacing w:after="0"/>
              <w:rPr>
                <w:sz w:val="20"/>
                <w:szCs w:val="20"/>
                <w:color w:val="auto"/>
              </w:rPr>
            </w:pPr>
            <w:r>
              <w:rPr>
                <w:rFonts w:ascii="Arial" w:cs="Arial" w:eastAsia="Arial" w:hAnsi="Arial"/>
                <w:sz w:val="16"/>
                <w:szCs w:val="16"/>
                <w:b w:val="1"/>
                <w:bCs w:val="1"/>
                <w:color w:val="auto"/>
              </w:rPr>
              <w:t>(167)</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(183)</w:t>
            </w:r>
          </w:p>
        </w:tc>
        <w:tc>
          <w:tcPr>
            <w:tcW w:w="10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b w:val="1"/>
                <w:bCs w:val="1"/>
                <w:color w:val="auto"/>
              </w:rPr>
              <w:t>(575)</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(681)</w:t>
            </w:r>
          </w:p>
        </w:tc>
      </w:tr>
      <w:tr>
        <w:trPr>
          <w:trHeight w:val="220"/>
        </w:trPr>
        <w:tc>
          <w:tcPr>
            <w:tcW w:w="5560" w:type="dxa"/>
            <w:vAlign w:val="bottom"/>
          </w:tcPr>
          <w:p>
            <w:pPr>
              <w:ind w:left="20"/>
              <w:spacing w:after="0"/>
              <w:rPr>
                <w:sz w:val="20"/>
                <w:szCs w:val="20"/>
                <w:color w:val="auto"/>
              </w:rPr>
            </w:pPr>
            <w:r>
              <w:rPr>
                <w:rFonts w:ascii="Arial" w:cs="Arial" w:eastAsia="Arial" w:hAnsi="Arial"/>
                <w:sz w:val="16"/>
                <w:szCs w:val="16"/>
                <w:b w:val="1"/>
                <w:bCs w:val="1"/>
                <w:color w:val="0D64EF"/>
              </w:rPr>
              <w:t>Net income (loss) attributable to controlling interests</w:t>
            </w:r>
          </w:p>
        </w:tc>
        <w:tc>
          <w:tcPr>
            <w:tcW w:w="2260" w:type="dxa"/>
            <w:vAlign w:val="bottom"/>
            <w:gridSpan w:val="2"/>
          </w:tcPr>
          <w:p>
            <w:pPr>
              <w:jc w:val="right"/>
              <w:ind w:right="839"/>
              <w:spacing w:after="0"/>
              <w:rPr>
                <w:sz w:val="20"/>
                <w:szCs w:val="20"/>
                <w:color w:val="auto"/>
              </w:rPr>
            </w:pPr>
            <w:r>
              <w:rPr>
                <w:rFonts w:ascii="Arial" w:cs="Arial" w:eastAsia="Arial" w:hAnsi="Arial"/>
                <w:sz w:val="16"/>
                <w:szCs w:val="16"/>
                <w:b w:val="1"/>
                <w:bCs w:val="1"/>
                <w:color w:val="auto"/>
              </w:rPr>
              <w:t>1,015</w:t>
            </w:r>
          </w:p>
        </w:tc>
        <w:tc>
          <w:tcPr>
            <w:tcW w:w="580" w:type="dxa"/>
            <w:vAlign w:val="bottom"/>
          </w:tcPr>
          <w:p>
            <w:pPr>
              <w:jc w:val="right"/>
              <w:spacing w:after="0"/>
              <w:rPr>
                <w:sz w:val="20"/>
                <w:szCs w:val="20"/>
                <w:color w:val="auto"/>
              </w:rPr>
            </w:pPr>
            <w:r>
              <w:rPr>
                <w:rFonts w:ascii="Arial" w:cs="Arial" w:eastAsia="Arial" w:hAnsi="Arial"/>
                <w:sz w:val="16"/>
                <w:szCs w:val="16"/>
                <w:color w:val="auto"/>
              </w:rPr>
              <w:t>999</w:t>
            </w:r>
          </w:p>
        </w:tc>
        <w:tc>
          <w:tcPr>
            <w:tcW w:w="100" w:type="dxa"/>
            <w:vAlign w:val="bottom"/>
          </w:tcPr>
          <w:p>
            <w:pPr>
              <w:spacing w:after="0"/>
              <w:rPr>
                <w:sz w:val="19"/>
                <w:szCs w:val="19"/>
                <w:color w:val="auto"/>
              </w:rPr>
            </w:pPr>
          </w:p>
        </w:tc>
        <w:tc>
          <w:tcPr>
            <w:tcW w:w="2040" w:type="dxa"/>
            <w:vAlign w:val="bottom"/>
          </w:tcPr>
          <w:p>
            <w:pPr>
              <w:jc w:val="right"/>
              <w:ind w:right="719"/>
              <w:spacing w:after="0"/>
              <w:rPr>
                <w:sz w:val="20"/>
                <w:szCs w:val="20"/>
                <w:color w:val="auto"/>
              </w:rPr>
            </w:pPr>
            <w:r>
              <w:rPr>
                <w:rFonts w:ascii="Arial" w:cs="Arial" w:eastAsia="Arial" w:hAnsi="Arial"/>
                <w:sz w:val="16"/>
                <w:szCs w:val="16"/>
                <w:b w:val="1"/>
                <w:bCs w:val="1"/>
                <w:color w:val="auto"/>
              </w:rPr>
              <w:t>3,519</w:t>
            </w:r>
          </w:p>
        </w:tc>
        <w:tc>
          <w:tcPr>
            <w:tcW w:w="700" w:type="dxa"/>
            <w:vAlign w:val="bottom"/>
          </w:tcPr>
          <w:p>
            <w:pPr>
              <w:jc w:val="right"/>
              <w:spacing w:after="0"/>
              <w:rPr>
                <w:sz w:val="20"/>
                <w:szCs w:val="20"/>
                <w:color w:val="auto"/>
              </w:rPr>
            </w:pPr>
            <w:r>
              <w:rPr>
                <w:rFonts w:ascii="Arial" w:cs="Arial" w:eastAsia="Arial" w:hAnsi="Arial"/>
                <w:sz w:val="16"/>
                <w:szCs w:val="16"/>
                <w:color w:val="auto"/>
              </w:rPr>
              <w:t>4,698</w:t>
            </w:r>
          </w:p>
        </w:tc>
      </w:tr>
      <w:tr>
        <w:trPr>
          <w:trHeight w:val="233"/>
        </w:trPr>
        <w:tc>
          <w:tcPr>
            <w:tcW w:w="55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Preferred share dividends</w:t>
            </w:r>
          </w:p>
        </w:tc>
        <w:tc>
          <w:tcPr>
            <w:tcW w:w="2260" w:type="dxa"/>
            <w:vAlign w:val="bottom"/>
            <w:tcBorders>
              <w:bottom w:val="single" w:sz="8" w:color="auto"/>
            </w:tcBorders>
            <w:gridSpan w:val="2"/>
          </w:tcPr>
          <w:p>
            <w:pPr>
              <w:jc w:val="right"/>
              <w:ind w:right="799"/>
              <w:spacing w:after="0"/>
              <w:rPr>
                <w:sz w:val="20"/>
                <w:szCs w:val="20"/>
                <w:color w:val="auto"/>
              </w:rPr>
            </w:pPr>
            <w:r>
              <w:rPr>
                <w:rFonts w:ascii="Arial" w:cs="Arial" w:eastAsia="Arial" w:hAnsi="Arial"/>
                <w:sz w:val="16"/>
                <w:szCs w:val="16"/>
                <w:b w:val="1"/>
                <w:bCs w:val="1"/>
                <w:color w:val="auto"/>
              </w:rPr>
              <w:t>(35)</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w:t>
            </w:r>
          </w:p>
        </w:tc>
        <w:tc>
          <w:tcPr>
            <w:tcW w:w="10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b w:val="1"/>
                <w:bCs w:val="1"/>
                <w:color w:val="auto"/>
              </w:rPr>
              <w:t>(119)</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w:t>
            </w:r>
          </w:p>
        </w:tc>
      </w:tr>
      <w:tr>
        <w:trPr>
          <w:trHeight w:val="223"/>
        </w:trPr>
        <w:tc>
          <w:tcPr>
            <w:tcW w:w="55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0D64EF"/>
              </w:rPr>
              <w:t>Net income (loss) attributable to common shares</w:t>
            </w:r>
          </w:p>
        </w:tc>
        <w:tc>
          <w:tcPr>
            <w:tcW w:w="2260" w:type="dxa"/>
            <w:vAlign w:val="bottom"/>
            <w:tcBorders>
              <w:bottom w:val="single" w:sz="8" w:color="auto"/>
            </w:tcBorders>
            <w:gridSpan w:val="2"/>
          </w:tcPr>
          <w:p>
            <w:pPr>
              <w:jc w:val="right"/>
              <w:ind w:right="839"/>
              <w:spacing w:after="0"/>
              <w:rPr>
                <w:sz w:val="20"/>
                <w:szCs w:val="20"/>
                <w:color w:val="auto"/>
              </w:rPr>
            </w:pPr>
            <w:r>
              <w:rPr>
                <w:rFonts w:ascii="Arial" w:cs="Arial" w:eastAsia="Arial" w:hAnsi="Arial"/>
                <w:sz w:val="16"/>
                <w:szCs w:val="16"/>
                <w:b w:val="1"/>
                <w:bCs w:val="1"/>
                <w:color w:val="auto"/>
              </w:rPr>
              <w:t>980</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971</w:t>
            </w:r>
          </w:p>
        </w:tc>
        <w:tc>
          <w:tcPr>
            <w:tcW w:w="10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jc w:val="right"/>
              <w:ind w:right="719"/>
              <w:spacing w:after="0"/>
              <w:rPr>
                <w:sz w:val="20"/>
                <w:szCs w:val="20"/>
                <w:color w:val="auto"/>
              </w:rPr>
            </w:pPr>
            <w:r>
              <w:rPr>
                <w:rFonts w:ascii="Arial" w:cs="Arial" w:eastAsia="Arial" w:hAnsi="Arial"/>
                <w:sz w:val="16"/>
                <w:szCs w:val="16"/>
                <w:b w:val="1"/>
                <w:bCs w:val="1"/>
                <w:color w:val="auto"/>
              </w:rPr>
              <w:t>3,400</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4,594</w:t>
            </w:r>
          </w:p>
        </w:tc>
      </w:tr>
      <w:tr>
        <w:trPr>
          <w:trHeight w:val="220"/>
        </w:trPr>
        <w:tc>
          <w:tcPr>
            <w:tcW w:w="5560" w:type="dxa"/>
            <w:vAlign w:val="bottom"/>
          </w:tcPr>
          <w:p>
            <w:pPr>
              <w:ind w:left="20"/>
              <w:spacing w:after="0"/>
              <w:rPr>
                <w:sz w:val="20"/>
                <w:szCs w:val="20"/>
                <w:color w:val="auto"/>
              </w:rPr>
            </w:pPr>
            <w:r>
              <w:rPr>
                <w:rFonts w:ascii="Arial" w:cs="Arial" w:eastAsia="Arial" w:hAnsi="Arial"/>
                <w:sz w:val="16"/>
                <w:szCs w:val="16"/>
                <w:b w:val="1"/>
                <w:bCs w:val="1"/>
                <w:color w:val="0D64EF"/>
              </w:rPr>
              <w:t>Net income (loss) per common share – basic</w:t>
            </w:r>
          </w:p>
        </w:tc>
        <w:tc>
          <w:tcPr>
            <w:tcW w:w="2260" w:type="dxa"/>
            <w:vAlign w:val="bottom"/>
            <w:gridSpan w:val="2"/>
          </w:tcPr>
          <w:p>
            <w:pPr>
              <w:jc w:val="right"/>
              <w:ind w:right="839"/>
              <w:spacing w:after="0"/>
              <w:rPr>
                <w:sz w:val="20"/>
                <w:szCs w:val="20"/>
                <w:color w:val="auto"/>
              </w:rPr>
            </w:pPr>
            <w:r>
              <w:rPr>
                <w:rFonts w:ascii="Arial" w:cs="Arial" w:eastAsia="Arial" w:hAnsi="Arial"/>
                <w:sz w:val="16"/>
                <w:szCs w:val="16"/>
                <w:b w:val="1"/>
                <w:bCs w:val="1"/>
                <w:color w:val="auto"/>
              </w:rPr>
              <w:t>$0.94</w:t>
            </w:r>
          </w:p>
        </w:tc>
        <w:tc>
          <w:tcPr>
            <w:tcW w:w="580" w:type="dxa"/>
            <w:vAlign w:val="bottom"/>
          </w:tcPr>
          <w:p>
            <w:pPr>
              <w:jc w:val="right"/>
              <w:spacing w:after="0"/>
              <w:rPr>
                <w:sz w:val="20"/>
                <w:szCs w:val="20"/>
                <w:color w:val="auto"/>
              </w:rPr>
            </w:pPr>
            <w:r>
              <w:rPr>
                <w:rFonts w:ascii="Arial" w:cs="Arial" w:eastAsia="Arial" w:hAnsi="Arial"/>
                <w:sz w:val="16"/>
                <w:szCs w:val="16"/>
                <w:color w:val="auto"/>
              </w:rPr>
              <w:t>$0.94</w:t>
            </w:r>
          </w:p>
        </w:tc>
        <w:tc>
          <w:tcPr>
            <w:tcW w:w="100" w:type="dxa"/>
            <w:vAlign w:val="bottom"/>
          </w:tcPr>
          <w:p>
            <w:pPr>
              <w:spacing w:after="0"/>
              <w:rPr>
                <w:sz w:val="19"/>
                <w:szCs w:val="19"/>
                <w:color w:val="auto"/>
              </w:rPr>
            </w:pPr>
          </w:p>
        </w:tc>
        <w:tc>
          <w:tcPr>
            <w:tcW w:w="2040" w:type="dxa"/>
            <w:vAlign w:val="bottom"/>
          </w:tcPr>
          <w:p>
            <w:pPr>
              <w:jc w:val="right"/>
              <w:ind w:right="719"/>
              <w:spacing w:after="0"/>
              <w:rPr>
                <w:sz w:val="20"/>
                <w:szCs w:val="20"/>
                <w:color w:val="auto"/>
              </w:rPr>
            </w:pPr>
            <w:r>
              <w:rPr>
                <w:rFonts w:ascii="Arial" w:cs="Arial" w:eastAsia="Arial" w:hAnsi="Arial"/>
                <w:sz w:val="16"/>
                <w:szCs w:val="16"/>
                <w:b w:val="1"/>
                <w:bCs w:val="1"/>
                <w:color w:val="auto"/>
              </w:rPr>
              <w:t>$3.27</w:t>
            </w:r>
          </w:p>
        </w:tc>
        <w:tc>
          <w:tcPr>
            <w:tcW w:w="700" w:type="dxa"/>
            <w:vAlign w:val="bottom"/>
          </w:tcPr>
          <w:p>
            <w:pPr>
              <w:jc w:val="right"/>
              <w:spacing w:after="0"/>
              <w:rPr>
                <w:sz w:val="20"/>
                <w:szCs w:val="20"/>
                <w:color w:val="auto"/>
              </w:rPr>
            </w:pPr>
            <w:r>
              <w:rPr>
                <w:rFonts w:ascii="Arial" w:cs="Arial" w:eastAsia="Arial" w:hAnsi="Arial"/>
                <w:sz w:val="16"/>
                <w:szCs w:val="16"/>
                <w:color w:val="auto"/>
              </w:rPr>
              <w:t>$4.43</w:t>
            </w:r>
          </w:p>
        </w:tc>
      </w:tr>
      <w:tr>
        <w:trPr>
          <w:trHeight w:val="229"/>
        </w:trPr>
        <w:tc>
          <w:tcPr>
            <w:tcW w:w="5560" w:type="dxa"/>
            <w:vAlign w:val="bottom"/>
          </w:tcPr>
          <w:p>
            <w:pPr>
              <w:ind w:left="140"/>
              <w:spacing w:after="0"/>
              <w:rPr>
                <w:sz w:val="20"/>
                <w:szCs w:val="20"/>
                <w:color w:val="auto"/>
              </w:rPr>
            </w:pPr>
            <w:r>
              <w:rPr>
                <w:rFonts w:ascii="Arial" w:cs="Arial" w:eastAsia="Arial" w:hAnsi="Arial"/>
                <w:sz w:val="16"/>
                <w:szCs w:val="16"/>
                <w:color w:val="auto"/>
              </w:rPr>
              <w:t>from continuing operations</w:t>
            </w:r>
          </w:p>
        </w:tc>
        <w:tc>
          <w:tcPr>
            <w:tcW w:w="2260" w:type="dxa"/>
            <w:vAlign w:val="bottom"/>
            <w:gridSpan w:val="2"/>
          </w:tcPr>
          <w:p>
            <w:pPr>
              <w:jc w:val="right"/>
              <w:ind w:right="839"/>
              <w:spacing w:after="0"/>
              <w:rPr>
                <w:sz w:val="20"/>
                <w:szCs w:val="20"/>
                <w:color w:val="auto"/>
              </w:rPr>
            </w:pPr>
            <w:r>
              <w:rPr>
                <w:rFonts w:ascii="Arial" w:cs="Arial" w:eastAsia="Arial" w:hAnsi="Arial"/>
                <w:sz w:val="16"/>
                <w:szCs w:val="16"/>
                <w:b w:val="1"/>
                <w:bCs w:val="1"/>
                <w:color w:val="auto"/>
              </w:rPr>
              <w:t>$0.92</w:t>
            </w:r>
          </w:p>
        </w:tc>
        <w:tc>
          <w:tcPr>
            <w:tcW w:w="580" w:type="dxa"/>
            <w:vAlign w:val="bottom"/>
          </w:tcPr>
          <w:p>
            <w:pPr>
              <w:jc w:val="right"/>
              <w:spacing w:after="0"/>
              <w:rPr>
                <w:sz w:val="20"/>
                <w:szCs w:val="20"/>
                <w:color w:val="auto"/>
              </w:rPr>
            </w:pPr>
            <w:r>
              <w:rPr>
                <w:rFonts w:ascii="Arial" w:cs="Arial" w:eastAsia="Arial" w:hAnsi="Arial"/>
                <w:sz w:val="16"/>
                <w:szCs w:val="16"/>
                <w:color w:val="auto"/>
              </w:rPr>
              <w:t>$1.03</w:t>
            </w:r>
          </w:p>
        </w:tc>
        <w:tc>
          <w:tcPr>
            <w:tcW w:w="100" w:type="dxa"/>
            <w:vAlign w:val="bottom"/>
          </w:tcPr>
          <w:p>
            <w:pPr>
              <w:spacing w:after="0"/>
              <w:rPr>
                <w:sz w:val="19"/>
                <w:szCs w:val="19"/>
                <w:color w:val="auto"/>
              </w:rPr>
            </w:pPr>
          </w:p>
        </w:tc>
        <w:tc>
          <w:tcPr>
            <w:tcW w:w="2040" w:type="dxa"/>
            <w:vAlign w:val="bottom"/>
          </w:tcPr>
          <w:p>
            <w:pPr>
              <w:jc w:val="right"/>
              <w:ind w:right="719"/>
              <w:spacing w:after="0"/>
              <w:rPr>
                <w:sz w:val="20"/>
                <w:szCs w:val="20"/>
                <w:color w:val="auto"/>
              </w:rPr>
            </w:pPr>
            <w:r>
              <w:rPr>
                <w:rFonts w:ascii="Arial" w:cs="Arial" w:eastAsia="Arial" w:hAnsi="Arial"/>
                <w:sz w:val="16"/>
                <w:szCs w:val="16"/>
                <w:b w:val="1"/>
                <w:bCs w:val="1"/>
                <w:color w:val="auto"/>
              </w:rPr>
              <w:t>$3.47</w:t>
            </w:r>
          </w:p>
        </w:tc>
        <w:tc>
          <w:tcPr>
            <w:tcW w:w="700" w:type="dxa"/>
            <w:vAlign w:val="bottom"/>
          </w:tcPr>
          <w:p>
            <w:pPr>
              <w:jc w:val="right"/>
              <w:spacing w:after="0"/>
              <w:rPr>
                <w:sz w:val="20"/>
                <w:szCs w:val="20"/>
                <w:color w:val="auto"/>
              </w:rPr>
            </w:pPr>
            <w:r>
              <w:rPr>
                <w:rFonts w:ascii="Arial" w:cs="Arial" w:eastAsia="Arial" w:hAnsi="Arial"/>
                <w:sz w:val="16"/>
                <w:szCs w:val="16"/>
                <w:color w:val="auto"/>
              </w:rPr>
              <w:t>$4.05</w:t>
            </w:r>
          </w:p>
        </w:tc>
      </w:tr>
      <w:tr>
        <w:trPr>
          <w:trHeight w:val="237"/>
        </w:trPr>
        <w:tc>
          <w:tcPr>
            <w:tcW w:w="5560" w:type="dxa"/>
            <w:vAlign w:val="bottom"/>
            <w:tcBorders>
              <w:bottom w:val="single" w:sz="8" w:color="auto"/>
            </w:tcBorders>
          </w:tcPr>
          <w:p>
            <w:pPr>
              <w:ind w:left="140"/>
              <w:spacing w:after="0" w:line="237" w:lineRule="exact"/>
              <w:rPr>
                <w:sz w:val="20"/>
                <w:szCs w:val="20"/>
                <w:color w:val="auto"/>
              </w:rPr>
            </w:pPr>
            <w:r>
              <w:rPr>
                <w:rFonts w:ascii="Arial" w:cs="Arial" w:eastAsia="Arial" w:hAnsi="Arial"/>
                <w:sz w:val="16"/>
                <w:szCs w:val="16"/>
                <w:color w:val="auto"/>
              </w:rPr>
              <w:t>from discontinued operations</w:t>
            </w:r>
            <w:r>
              <w:rPr>
                <w:rFonts w:ascii="Arial" w:cs="Arial" w:eastAsia="Arial" w:hAnsi="Arial"/>
                <w:sz w:val="21"/>
                <w:szCs w:val="21"/>
                <w:color w:val="auto"/>
                <w:vertAlign w:val="superscript"/>
              </w:rPr>
              <w:t>1</w:t>
            </w:r>
          </w:p>
        </w:tc>
        <w:tc>
          <w:tcPr>
            <w:tcW w:w="2260" w:type="dxa"/>
            <w:vAlign w:val="bottom"/>
            <w:tcBorders>
              <w:bottom w:val="single" w:sz="8" w:color="auto"/>
            </w:tcBorders>
            <w:gridSpan w:val="2"/>
          </w:tcPr>
          <w:p>
            <w:pPr>
              <w:jc w:val="right"/>
              <w:ind w:right="839"/>
              <w:spacing w:after="0"/>
              <w:rPr>
                <w:sz w:val="20"/>
                <w:szCs w:val="20"/>
                <w:color w:val="auto"/>
              </w:rPr>
            </w:pPr>
            <w:r>
              <w:rPr>
                <w:rFonts w:ascii="Arial" w:cs="Arial" w:eastAsia="Arial" w:hAnsi="Arial"/>
                <w:sz w:val="16"/>
                <w:szCs w:val="16"/>
                <w:b w:val="1"/>
                <w:bCs w:val="1"/>
                <w:color w:val="auto"/>
              </w:rPr>
              <w:t>$0.02</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($0.09)</w:t>
            </w:r>
          </w:p>
        </w:tc>
        <w:tc>
          <w:tcPr>
            <w:tcW w:w="10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b w:val="1"/>
                <w:bCs w:val="1"/>
                <w:color w:val="auto"/>
              </w:rPr>
              <w:t>($0.20)</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$0.38</w:t>
            </w:r>
          </w:p>
        </w:tc>
      </w:tr>
    </w:tbl>
    <w:p>
      <w:pPr>
        <w:spacing w:after="0" w:line="193" w:lineRule="exact"/>
        <w:rPr>
          <w:sz w:val="20"/>
          <w:szCs w:val="20"/>
          <w:color w:val="auto"/>
        </w:rPr>
      </w:pPr>
    </w:p>
    <w:p>
      <w:pPr>
        <w:ind w:left="340" w:hanging="332"/>
        <w:spacing w:after="0"/>
        <w:tabs>
          <w:tab w:leader="none" w:pos="340" w:val="left"/>
        </w:tabs>
        <w:numPr>
          <w:ilvl w:val="0"/>
          <w:numId w:val="24"/>
        </w:numPr>
        <w:rPr>
          <w:rFonts w:ascii="Arial" w:cs="Arial" w:eastAsia="Arial" w:hAnsi="Arial"/>
          <w:sz w:val="14"/>
          <w:szCs w:val="14"/>
          <w:color w:val="auto"/>
        </w:rPr>
      </w:pPr>
      <w:r>
        <w:rPr>
          <w:rFonts w:ascii="Arial" w:cs="Arial" w:eastAsia="Arial" w:hAnsi="Arial"/>
          <w:sz w:val="14"/>
          <w:szCs w:val="14"/>
          <w:color w:val="auto"/>
        </w:rPr>
        <w:t>Represents nine months of Liquids Pipelines earnings for the year ended December 31, 2024. Refer to the Discontinued operations section for additional information.</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400" w:type="dxa"/>
            <w:vAlign w:val="bottom"/>
            <w:tcBorders>
              <w:top w:val="single" w:sz="8" w:color="0D64EF"/>
            </w:tcBorders>
            <w:shd w:val="clear" w:color="auto" w:fill="D1D0CF"/>
          </w:tcPr>
          <w:p>
            <w:pPr>
              <w:spacing w:after="0"/>
              <w:rPr>
                <w:sz w:val="16"/>
                <w:szCs w:val="16"/>
                <w:color w:val="auto"/>
              </w:rPr>
            </w:pPr>
          </w:p>
        </w:tc>
        <w:tc>
          <w:tcPr>
            <w:tcW w:w="120" w:type="dxa"/>
            <w:vAlign w:val="bottom"/>
            <w:tcBorders>
              <w:top w:val="single" w:sz="8" w:color="0D64EF"/>
            </w:tcBorders>
            <w:shd w:val="clear" w:color="auto" w:fill="D1D0CF"/>
          </w:tcPr>
          <w:p>
            <w:pPr>
              <w:spacing w:after="0"/>
              <w:rPr>
                <w:sz w:val="16"/>
                <w:szCs w:val="16"/>
                <w:color w:val="auto"/>
              </w:rPr>
            </w:pPr>
          </w:p>
        </w:tc>
        <w:tc>
          <w:tcPr>
            <w:tcW w:w="2120" w:type="dxa"/>
            <w:vAlign w:val="bottom"/>
            <w:tcBorders>
              <w:top w:val="single" w:sz="8" w:color="0D64EF"/>
            </w:tcBorders>
            <w:shd w:val="clear" w:color="auto" w:fill="D1D0CF"/>
          </w:tcPr>
          <w:p>
            <w:pPr>
              <w:jc w:val="right"/>
              <w:spacing w:after="0"/>
              <w:rPr>
                <w:sz w:val="20"/>
                <w:szCs w:val="20"/>
                <w:color w:val="auto"/>
              </w:rPr>
            </w:pPr>
            <w:r>
              <w:rPr>
                <w:rFonts w:ascii="Arial" w:cs="Arial" w:eastAsia="Arial" w:hAnsi="Arial"/>
                <w:sz w:val="16"/>
                <w:szCs w:val="16"/>
                <w:b w:val="1"/>
                <w:bCs w:val="1"/>
                <w:color w:val="auto"/>
              </w:rPr>
              <w:t>three months ended</w:t>
            </w:r>
          </w:p>
        </w:tc>
        <w:tc>
          <w:tcPr>
            <w:tcW w:w="520" w:type="dxa"/>
            <w:vAlign w:val="bottom"/>
            <w:tcBorders>
              <w:top w:val="single" w:sz="8" w:color="0D64EF"/>
            </w:tcBorders>
            <w:shd w:val="clear" w:color="auto" w:fill="D1D0CF"/>
          </w:tcPr>
          <w:p>
            <w:pPr>
              <w:spacing w:after="0"/>
              <w:rPr>
                <w:sz w:val="16"/>
                <w:szCs w:val="16"/>
                <w:color w:val="auto"/>
              </w:rPr>
            </w:pPr>
          </w:p>
        </w:tc>
        <w:tc>
          <w:tcPr>
            <w:tcW w:w="100" w:type="dxa"/>
            <w:vAlign w:val="bottom"/>
            <w:tcBorders>
              <w:top w:val="single" w:sz="8" w:color="0D64EF"/>
            </w:tcBorders>
            <w:shd w:val="clear" w:color="auto" w:fill="D1D0CF"/>
          </w:tcPr>
          <w:p>
            <w:pPr>
              <w:spacing w:after="0"/>
              <w:rPr>
                <w:sz w:val="16"/>
                <w:szCs w:val="16"/>
                <w:color w:val="auto"/>
              </w:rPr>
            </w:pPr>
          </w:p>
        </w:tc>
        <w:tc>
          <w:tcPr>
            <w:tcW w:w="2000" w:type="dxa"/>
            <w:vAlign w:val="bottom"/>
            <w:tcBorders>
              <w:top w:val="single" w:sz="8" w:color="0D64EF"/>
            </w:tcBorders>
            <w:shd w:val="clear" w:color="auto" w:fill="D1D0CF"/>
          </w:tcPr>
          <w:p>
            <w:pPr>
              <w:jc w:val="right"/>
              <w:ind w:right="179"/>
              <w:spacing w:after="0"/>
              <w:rPr>
                <w:sz w:val="20"/>
                <w:szCs w:val="20"/>
                <w:color w:val="auto"/>
              </w:rPr>
            </w:pPr>
            <w:r>
              <w:rPr>
                <w:rFonts w:ascii="Arial" w:cs="Arial" w:eastAsia="Arial" w:hAnsi="Arial"/>
                <w:sz w:val="16"/>
                <w:szCs w:val="16"/>
                <w:b w:val="1"/>
                <w:bCs w:val="1"/>
                <w:color w:val="auto"/>
              </w:rPr>
              <w:t>year ended</w:t>
            </w:r>
          </w:p>
        </w:tc>
        <w:tc>
          <w:tcPr>
            <w:tcW w:w="660" w:type="dxa"/>
            <w:vAlign w:val="bottom"/>
            <w:tcBorders>
              <w:top w:val="single" w:sz="8" w:color="0D64EF"/>
            </w:tcBorders>
            <w:shd w:val="clear" w:color="auto" w:fill="D1D0CF"/>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5400" w:type="dxa"/>
            <w:vAlign w:val="bottom"/>
            <w:tcBorders>
              <w:bottom w:val="single" w:sz="8" w:color="D1D0CF"/>
            </w:tcBorders>
            <w:shd w:val="clear" w:color="auto" w:fill="D1D0CF"/>
          </w:tcPr>
          <w:p>
            <w:pPr>
              <w:spacing w:after="0"/>
              <w:rPr>
                <w:sz w:val="19"/>
                <w:szCs w:val="19"/>
                <w:color w:val="auto"/>
              </w:rPr>
            </w:pPr>
          </w:p>
        </w:tc>
        <w:tc>
          <w:tcPr>
            <w:tcW w:w="120" w:type="dxa"/>
            <w:vAlign w:val="bottom"/>
            <w:tcBorders>
              <w:bottom w:val="single" w:sz="8" w:color="D1D0CF"/>
            </w:tcBorders>
            <w:shd w:val="clear" w:color="auto" w:fill="D1D0CF"/>
          </w:tcPr>
          <w:p>
            <w:pPr>
              <w:spacing w:after="0"/>
              <w:rPr>
                <w:sz w:val="19"/>
                <w:szCs w:val="19"/>
                <w:color w:val="auto"/>
              </w:rPr>
            </w:pPr>
          </w:p>
        </w:tc>
        <w:tc>
          <w:tcPr>
            <w:tcW w:w="2120" w:type="dxa"/>
            <w:vAlign w:val="bottom"/>
            <w:tcBorders>
              <w:bottom w:val="single" w:sz="8" w:color="0D64EF"/>
            </w:tcBorders>
            <w:shd w:val="clear" w:color="auto" w:fill="D1D0CF"/>
          </w:tcPr>
          <w:p>
            <w:pPr>
              <w:jc w:val="right"/>
              <w:ind w:right="219"/>
              <w:spacing w:after="0"/>
              <w:rPr>
                <w:sz w:val="20"/>
                <w:szCs w:val="20"/>
                <w:color w:val="auto"/>
              </w:rPr>
            </w:pPr>
            <w:r>
              <w:rPr>
                <w:rFonts w:ascii="Arial" w:cs="Arial" w:eastAsia="Arial" w:hAnsi="Arial"/>
                <w:sz w:val="16"/>
                <w:szCs w:val="16"/>
                <w:b w:val="1"/>
                <w:bCs w:val="1"/>
                <w:color w:val="auto"/>
              </w:rPr>
              <w:t>December 31</w:t>
            </w:r>
          </w:p>
        </w:tc>
        <w:tc>
          <w:tcPr>
            <w:tcW w:w="520" w:type="dxa"/>
            <w:vAlign w:val="bottom"/>
            <w:tcBorders>
              <w:bottom w:val="single" w:sz="8" w:color="0D64EF"/>
            </w:tcBorders>
            <w:shd w:val="clear" w:color="auto" w:fill="D1D0CF"/>
          </w:tcPr>
          <w:p>
            <w:pPr>
              <w:spacing w:after="0"/>
              <w:rPr>
                <w:sz w:val="19"/>
                <w:szCs w:val="19"/>
                <w:color w:val="auto"/>
              </w:rPr>
            </w:pPr>
          </w:p>
        </w:tc>
        <w:tc>
          <w:tcPr>
            <w:tcW w:w="100" w:type="dxa"/>
            <w:vAlign w:val="bottom"/>
            <w:tcBorders>
              <w:bottom w:val="single" w:sz="8" w:color="D1D0CF"/>
            </w:tcBorders>
            <w:shd w:val="clear" w:color="auto" w:fill="D1D0CF"/>
          </w:tcPr>
          <w:p>
            <w:pPr>
              <w:spacing w:after="0"/>
              <w:rPr>
                <w:sz w:val="19"/>
                <w:szCs w:val="19"/>
                <w:color w:val="auto"/>
              </w:rPr>
            </w:pPr>
          </w:p>
        </w:tc>
        <w:tc>
          <w:tcPr>
            <w:tcW w:w="2000" w:type="dxa"/>
            <w:vAlign w:val="bottom"/>
            <w:tcBorders>
              <w:bottom w:val="single" w:sz="8" w:color="0D64EF"/>
            </w:tcBorders>
            <w:shd w:val="clear" w:color="auto" w:fill="D1D0CF"/>
          </w:tcPr>
          <w:p>
            <w:pPr>
              <w:jc w:val="right"/>
              <w:ind w:right="79"/>
              <w:spacing w:after="0"/>
              <w:rPr>
                <w:sz w:val="20"/>
                <w:szCs w:val="20"/>
                <w:color w:val="auto"/>
              </w:rPr>
            </w:pPr>
            <w:r>
              <w:rPr>
                <w:rFonts w:ascii="Arial" w:cs="Arial" w:eastAsia="Arial" w:hAnsi="Arial"/>
                <w:sz w:val="16"/>
                <w:szCs w:val="16"/>
                <w:b w:val="1"/>
                <w:bCs w:val="1"/>
                <w:color w:val="auto"/>
              </w:rPr>
              <w:t>December 31</w:t>
            </w:r>
          </w:p>
        </w:tc>
        <w:tc>
          <w:tcPr>
            <w:tcW w:w="660" w:type="dxa"/>
            <w:vAlign w:val="bottom"/>
            <w:tcBorders>
              <w:bottom w:val="single" w:sz="8" w:color="0D64EF"/>
            </w:tcBorders>
            <w:shd w:val="clear" w:color="auto" w:fill="D1D0C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400" w:type="dxa"/>
            <w:vAlign w:val="bottom"/>
            <w:tcBorders>
              <w:bottom w:val="single" w:sz="8" w:color="0D64EF"/>
            </w:tcBorders>
            <w:shd w:val="clear" w:color="auto" w:fill="D1D0CF"/>
          </w:tcPr>
          <w:p>
            <w:pPr>
              <w:ind w:left="20"/>
              <w:spacing w:after="0"/>
              <w:rPr>
                <w:sz w:val="20"/>
                <w:szCs w:val="20"/>
                <w:color w:val="auto"/>
              </w:rPr>
            </w:pPr>
            <w:r>
              <w:rPr>
                <w:rFonts w:ascii="Arial" w:cs="Arial" w:eastAsia="Arial" w:hAnsi="Arial"/>
                <w:sz w:val="16"/>
                <w:szCs w:val="16"/>
                <w:color w:val="auto"/>
              </w:rPr>
              <w:t>(millions of $)</w:t>
            </w:r>
          </w:p>
        </w:tc>
        <w:tc>
          <w:tcPr>
            <w:tcW w:w="120" w:type="dxa"/>
            <w:vAlign w:val="bottom"/>
            <w:tcBorders>
              <w:bottom w:val="single" w:sz="8" w:color="0D64EF"/>
            </w:tcBorders>
            <w:shd w:val="clear" w:color="auto" w:fill="D1D0CF"/>
          </w:tcPr>
          <w:p>
            <w:pPr>
              <w:spacing w:after="0"/>
              <w:rPr>
                <w:sz w:val="19"/>
                <w:szCs w:val="19"/>
                <w:color w:val="auto"/>
              </w:rPr>
            </w:pPr>
          </w:p>
        </w:tc>
        <w:tc>
          <w:tcPr>
            <w:tcW w:w="2120" w:type="dxa"/>
            <w:vAlign w:val="bottom"/>
            <w:tcBorders>
              <w:bottom w:val="single" w:sz="8" w:color="0D64EF"/>
            </w:tcBorders>
            <w:shd w:val="clear" w:color="auto" w:fill="D1D0CF"/>
          </w:tcPr>
          <w:p>
            <w:pPr>
              <w:jc w:val="right"/>
              <w:ind w:right="799"/>
              <w:spacing w:after="0"/>
              <w:rPr>
                <w:sz w:val="20"/>
                <w:szCs w:val="20"/>
                <w:color w:val="auto"/>
              </w:rPr>
            </w:pPr>
            <w:r>
              <w:rPr>
                <w:rFonts w:ascii="Arial" w:cs="Arial" w:eastAsia="Arial" w:hAnsi="Arial"/>
                <w:sz w:val="16"/>
                <w:szCs w:val="16"/>
                <w:b w:val="1"/>
                <w:bCs w:val="1"/>
                <w:color w:val="auto"/>
              </w:rPr>
              <w:t>2025</w:t>
            </w:r>
          </w:p>
        </w:tc>
        <w:tc>
          <w:tcPr>
            <w:tcW w:w="520" w:type="dxa"/>
            <w:vAlign w:val="bottom"/>
            <w:tcBorders>
              <w:bottom w:val="single" w:sz="8" w:color="0D64EF"/>
            </w:tcBorders>
            <w:shd w:val="clear" w:color="auto" w:fill="D1D0CF"/>
          </w:tcPr>
          <w:p>
            <w:pPr>
              <w:jc w:val="right"/>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bottom w:val="single" w:sz="8" w:color="0D64EF"/>
            </w:tcBorders>
            <w:shd w:val="clear" w:color="auto" w:fill="D1D0CF"/>
          </w:tcPr>
          <w:p>
            <w:pPr>
              <w:spacing w:after="0"/>
              <w:rPr>
                <w:sz w:val="19"/>
                <w:szCs w:val="19"/>
                <w:color w:val="auto"/>
              </w:rPr>
            </w:pPr>
          </w:p>
        </w:tc>
        <w:tc>
          <w:tcPr>
            <w:tcW w:w="2000" w:type="dxa"/>
            <w:vAlign w:val="bottom"/>
            <w:tcBorders>
              <w:bottom w:val="single" w:sz="8" w:color="0D64EF"/>
            </w:tcBorders>
            <w:shd w:val="clear" w:color="auto" w:fill="D1D0CF"/>
          </w:tcPr>
          <w:p>
            <w:pPr>
              <w:jc w:val="right"/>
              <w:ind w:right="659"/>
              <w:spacing w:after="0"/>
              <w:rPr>
                <w:sz w:val="20"/>
                <w:szCs w:val="20"/>
                <w:color w:val="auto"/>
              </w:rPr>
            </w:pPr>
            <w:r>
              <w:rPr>
                <w:rFonts w:ascii="Arial" w:cs="Arial" w:eastAsia="Arial" w:hAnsi="Arial"/>
                <w:sz w:val="16"/>
                <w:szCs w:val="16"/>
                <w:b w:val="1"/>
                <w:bCs w:val="1"/>
                <w:color w:val="auto"/>
              </w:rPr>
              <w:t>2025</w:t>
            </w:r>
          </w:p>
        </w:tc>
        <w:tc>
          <w:tcPr>
            <w:tcW w:w="660" w:type="dxa"/>
            <w:vAlign w:val="bottom"/>
            <w:tcBorders>
              <w:bottom w:val="single" w:sz="8" w:color="0D64EF"/>
            </w:tcBorders>
            <w:shd w:val="clear" w:color="auto" w:fill="D1D0CF"/>
          </w:tcPr>
          <w:p>
            <w:pPr>
              <w:jc w:val="right"/>
              <w:spacing w:after="0"/>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259"/>
        </w:trPr>
        <w:tc>
          <w:tcPr>
            <w:tcW w:w="5400" w:type="dxa"/>
            <w:vAlign w:val="bottom"/>
          </w:tcPr>
          <w:p>
            <w:pPr>
              <w:ind w:left="20"/>
              <w:spacing w:after="0"/>
              <w:rPr>
                <w:sz w:val="20"/>
                <w:szCs w:val="20"/>
                <w:color w:val="auto"/>
              </w:rPr>
            </w:pPr>
            <w:r>
              <w:rPr>
                <w:rFonts w:ascii="Arial" w:cs="Arial" w:eastAsia="Arial" w:hAnsi="Arial"/>
                <w:sz w:val="16"/>
                <w:szCs w:val="16"/>
                <w:b w:val="1"/>
                <w:bCs w:val="1"/>
                <w:color w:val="0D64EF"/>
              </w:rPr>
              <w:t>Amounts attributable to common shares</w:t>
            </w:r>
          </w:p>
        </w:tc>
        <w:tc>
          <w:tcPr>
            <w:tcW w:w="120" w:type="dxa"/>
            <w:vAlign w:val="bottom"/>
          </w:tcPr>
          <w:p>
            <w:pPr>
              <w:spacing w:after="0"/>
              <w:rPr>
                <w:sz w:val="22"/>
                <w:szCs w:val="22"/>
                <w:color w:val="auto"/>
              </w:rPr>
            </w:pPr>
          </w:p>
        </w:tc>
        <w:tc>
          <w:tcPr>
            <w:tcW w:w="2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5400" w:type="dxa"/>
            <w:vAlign w:val="bottom"/>
          </w:tcPr>
          <w:p>
            <w:pPr>
              <w:ind w:left="140"/>
              <w:spacing w:after="0"/>
              <w:rPr>
                <w:sz w:val="20"/>
                <w:szCs w:val="20"/>
                <w:color w:val="auto"/>
              </w:rPr>
            </w:pPr>
            <w:r>
              <w:rPr>
                <w:rFonts w:ascii="Arial" w:cs="Arial" w:eastAsia="Arial" w:hAnsi="Arial"/>
                <w:sz w:val="16"/>
                <w:szCs w:val="16"/>
                <w:color w:val="auto"/>
              </w:rPr>
              <w:t>Net income (loss) from continuing operations</w:t>
            </w:r>
          </w:p>
        </w:tc>
        <w:tc>
          <w:tcPr>
            <w:tcW w:w="2240" w:type="dxa"/>
            <w:vAlign w:val="bottom"/>
            <w:gridSpan w:val="2"/>
          </w:tcPr>
          <w:p>
            <w:pPr>
              <w:jc w:val="right"/>
              <w:ind w:right="839"/>
              <w:spacing w:after="0"/>
              <w:rPr>
                <w:sz w:val="20"/>
                <w:szCs w:val="20"/>
                <w:color w:val="auto"/>
              </w:rPr>
            </w:pPr>
            <w:r>
              <w:rPr>
                <w:rFonts w:ascii="Arial" w:cs="Arial" w:eastAsia="Arial" w:hAnsi="Arial"/>
                <w:sz w:val="16"/>
                <w:szCs w:val="16"/>
                <w:b w:val="1"/>
                <w:bCs w:val="1"/>
                <w:color w:val="auto"/>
              </w:rPr>
              <w:t>1,161</w:t>
            </w:r>
          </w:p>
        </w:tc>
        <w:tc>
          <w:tcPr>
            <w:tcW w:w="520" w:type="dxa"/>
            <w:vAlign w:val="bottom"/>
          </w:tcPr>
          <w:p>
            <w:pPr>
              <w:jc w:val="right"/>
              <w:spacing w:after="0"/>
              <w:rPr>
                <w:sz w:val="20"/>
                <w:szCs w:val="20"/>
                <w:color w:val="auto"/>
              </w:rPr>
            </w:pPr>
            <w:r>
              <w:rPr>
                <w:rFonts w:ascii="Arial" w:cs="Arial" w:eastAsia="Arial" w:hAnsi="Arial"/>
                <w:sz w:val="16"/>
                <w:szCs w:val="16"/>
                <w:color w:val="auto"/>
              </w:rPr>
              <w:t>1,280</w:t>
            </w:r>
          </w:p>
        </w:tc>
        <w:tc>
          <w:tcPr>
            <w:tcW w:w="100" w:type="dxa"/>
            <w:vAlign w:val="bottom"/>
          </w:tcPr>
          <w:p>
            <w:pPr>
              <w:spacing w:after="0"/>
              <w:rPr>
                <w:sz w:val="19"/>
                <w:szCs w:val="19"/>
                <w:color w:val="auto"/>
              </w:rPr>
            </w:pPr>
          </w:p>
        </w:tc>
        <w:tc>
          <w:tcPr>
            <w:tcW w:w="2000" w:type="dxa"/>
            <w:vAlign w:val="bottom"/>
          </w:tcPr>
          <w:p>
            <w:pPr>
              <w:jc w:val="right"/>
              <w:ind w:right="719"/>
              <w:spacing w:after="0"/>
              <w:rPr>
                <w:sz w:val="20"/>
                <w:szCs w:val="20"/>
                <w:color w:val="auto"/>
              </w:rPr>
            </w:pPr>
            <w:r>
              <w:rPr>
                <w:rFonts w:ascii="Arial" w:cs="Arial" w:eastAsia="Arial" w:hAnsi="Arial"/>
                <w:sz w:val="16"/>
                <w:szCs w:val="16"/>
                <w:b w:val="1"/>
                <w:bCs w:val="1"/>
                <w:color w:val="auto"/>
              </w:rPr>
              <w:t>4,306</w:t>
            </w:r>
          </w:p>
        </w:tc>
        <w:tc>
          <w:tcPr>
            <w:tcW w:w="660" w:type="dxa"/>
            <w:vAlign w:val="bottom"/>
          </w:tcPr>
          <w:p>
            <w:pPr>
              <w:jc w:val="right"/>
              <w:spacing w:after="0"/>
              <w:rPr>
                <w:sz w:val="20"/>
                <w:szCs w:val="20"/>
                <w:color w:val="auto"/>
              </w:rPr>
            </w:pPr>
            <w:r>
              <w:rPr>
                <w:rFonts w:ascii="Arial" w:cs="Arial" w:eastAsia="Arial" w:hAnsi="Arial"/>
                <w:sz w:val="16"/>
                <w:szCs w:val="16"/>
                <w:color w:val="auto"/>
              </w:rPr>
              <w:t>4,984</w:t>
            </w:r>
          </w:p>
        </w:tc>
        <w:tc>
          <w:tcPr>
            <w:tcW w:w="0" w:type="dxa"/>
            <w:vAlign w:val="bottom"/>
          </w:tcPr>
          <w:p>
            <w:pPr>
              <w:spacing w:after="0"/>
              <w:rPr>
                <w:sz w:val="1"/>
                <w:szCs w:val="1"/>
                <w:color w:val="auto"/>
              </w:rPr>
            </w:pPr>
          </w:p>
        </w:tc>
      </w:tr>
      <w:tr>
        <w:trPr>
          <w:trHeight w:val="233"/>
        </w:trPr>
        <w:tc>
          <w:tcPr>
            <w:tcW w:w="540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Net (income) loss attributable to non-controlling interests</w:t>
            </w:r>
          </w:p>
        </w:tc>
        <w:tc>
          <w:tcPr>
            <w:tcW w:w="2240" w:type="dxa"/>
            <w:vAlign w:val="bottom"/>
            <w:tcBorders>
              <w:bottom w:val="single" w:sz="8" w:color="auto"/>
            </w:tcBorders>
            <w:gridSpan w:val="2"/>
          </w:tcPr>
          <w:p>
            <w:pPr>
              <w:jc w:val="right"/>
              <w:ind w:right="799"/>
              <w:spacing w:after="0"/>
              <w:rPr>
                <w:sz w:val="20"/>
                <w:szCs w:val="20"/>
                <w:color w:val="auto"/>
              </w:rPr>
            </w:pPr>
            <w:r>
              <w:rPr>
                <w:rFonts w:ascii="Arial" w:cs="Arial" w:eastAsia="Arial" w:hAnsi="Arial"/>
                <w:sz w:val="16"/>
                <w:szCs w:val="16"/>
                <w:b w:val="1"/>
                <w:bCs w:val="1"/>
                <w:color w:val="auto"/>
              </w:rPr>
              <w:t>(167)</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(183)</w:t>
            </w:r>
          </w:p>
        </w:tc>
        <w:tc>
          <w:tcPr>
            <w:tcW w:w="10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b w:val="1"/>
                <w:bCs w:val="1"/>
                <w:color w:val="auto"/>
              </w:rPr>
              <w:t>(575)</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(681)</w:t>
            </w:r>
          </w:p>
        </w:tc>
        <w:tc>
          <w:tcPr>
            <w:tcW w:w="0" w:type="dxa"/>
            <w:vAlign w:val="bottom"/>
          </w:tcPr>
          <w:p>
            <w:pPr>
              <w:spacing w:after="0"/>
              <w:rPr>
                <w:sz w:val="1"/>
                <w:szCs w:val="1"/>
                <w:color w:val="auto"/>
              </w:rPr>
            </w:pPr>
          </w:p>
        </w:tc>
      </w:tr>
      <w:tr>
        <w:trPr>
          <w:trHeight w:val="172"/>
        </w:trPr>
        <w:tc>
          <w:tcPr>
            <w:tcW w:w="5400" w:type="dxa"/>
            <w:vAlign w:val="bottom"/>
          </w:tcPr>
          <w:p>
            <w:pPr>
              <w:ind w:left="120"/>
              <w:spacing w:after="0" w:line="172" w:lineRule="exact"/>
              <w:rPr>
                <w:sz w:val="20"/>
                <w:szCs w:val="20"/>
                <w:color w:val="auto"/>
              </w:rPr>
            </w:pPr>
            <w:r>
              <w:rPr>
                <w:rFonts w:ascii="Arial" w:cs="Arial" w:eastAsia="Arial" w:hAnsi="Arial"/>
                <w:sz w:val="16"/>
                <w:szCs w:val="16"/>
                <w:color w:val="auto"/>
              </w:rPr>
              <w:t>Net income (loss) attributable to controlling interests from continuing</w:t>
            </w:r>
          </w:p>
        </w:tc>
        <w:tc>
          <w:tcPr>
            <w:tcW w:w="2240" w:type="dxa"/>
            <w:vAlign w:val="bottom"/>
            <w:gridSpan w:val="2"/>
            <w:vMerge w:val="restart"/>
          </w:tcPr>
          <w:p>
            <w:pPr>
              <w:jc w:val="right"/>
              <w:ind w:right="839"/>
              <w:spacing w:after="0"/>
              <w:rPr>
                <w:sz w:val="20"/>
                <w:szCs w:val="20"/>
                <w:color w:val="auto"/>
              </w:rPr>
            </w:pPr>
            <w:r>
              <w:rPr>
                <w:rFonts w:ascii="Arial" w:cs="Arial" w:eastAsia="Arial" w:hAnsi="Arial"/>
                <w:sz w:val="16"/>
                <w:szCs w:val="16"/>
                <w:b w:val="1"/>
                <w:bCs w:val="1"/>
                <w:color w:val="auto"/>
              </w:rPr>
              <w:t>994</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0" w:type="dxa"/>
            <w:vAlign w:val="bottom"/>
            <w:vMerge w:val="restart"/>
          </w:tcPr>
          <w:p>
            <w:pPr>
              <w:jc w:val="right"/>
              <w:ind w:right="719"/>
              <w:spacing w:after="0"/>
              <w:rPr>
                <w:sz w:val="20"/>
                <w:szCs w:val="20"/>
                <w:color w:val="auto"/>
              </w:rPr>
            </w:pPr>
            <w:r>
              <w:rPr>
                <w:rFonts w:ascii="Arial" w:cs="Arial" w:eastAsia="Arial" w:hAnsi="Arial"/>
                <w:sz w:val="16"/>
                <w:szCs w:val="16"/>
                <w:b w:val="1"/>
                <w:bCs w:val="1"/>
                <w:color w:val="auto"/>
              </w:rPr>
              <w:t>3,731</w:t>
            </w: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400" w:type="dxa"/>
            <w:vAlign w:val="bottom"/>
          </w:tcPr>
          <w:p>
            <w:pPr>
              <w:ind w:left="240"/>
              <w:spacing w:after="0"/>
              <w:rPr>
                <w:sz w:val="20"/>
                <w:szCs w:val="20"/>
                <w:color w:val="auto"/>
              </w:rPr>
            </w:pPr>
            <w:r>
              <w:rPr>
                <w:rFonts w:ascii="Arial" w:cs="Arial" w:eastAsia="Arial" w:hAnsi="Arial"/>
                <w:sz w:val="16"/>
                <w:szCs w:val="16"/>
                <w:color w:val="auto"/>
              </w:rPr>
              <w:t>operations</w:t>
            </w:r>
          </w:p>
        </w:tc>
        <w:tc>
          <w:tcPr>
            <w:tcW w:w="2240" w:type="dxa"/>
            <w:vAlign w:val="bottom"/>
            <w:gridSpan w:val="2"/>
            <w:vMerge w:val="continue"/>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1,097</w:t>
            </w:r>
          </w:p>
        </w:tc>
        <w:tc>
          <w:tcPr>
            <w:tcW w:w="100" w:type="dxa"/>
            <w:vAlign w:val="bottom"/>
          </w:tcPr>
          <w:p>
            <w:pPr>
              <w:spacing w:after="0"/>
              <w:rPr>
                <w:sz w:val="19"/>
                <w:szCs w:val="19"/>
                <w:color w:val="auto"/>
              </w:rPr>
            </w:pPr>
          </w:p>
        </w:tc>
        <w:tc>
          <w:tcPr>
            <w:tcW w:w="2000" w:type="dxa"/>
            <w:vAlign w:val="bottom"/>
            <w:vMerge w:val="continue"/>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4,303</w:t>
            </w:r>
          </w:p>
        </w:tc>
        <w:tc>
          <w:tcPr>
            <w:tcW w:w="0" w:type="dxa"/>
            <w:vAlign w:val="bottom"/>
          </w:tcPr>
          <w:p>
            <w:pPr>
              <w:spacing w:after="0"/>
              <w:rPr>
                <w:sz w:val="1"/>
                <w:szCs w:val="1"/>
                <w:color w:val="auto"/>
              </w:rPr>
            </w:pPr>
          </w:p>
        </w:tc>
      </w:tr>
      <w:tr>
        <w:trPr>
          <w:trHeight w:val="233"/>
        </w:trPr>
        <w:tc>
          <w:tcPr>
            <w:tcW w:w="540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Preferred share dividends</w:t>
            </w:r>
          </w:p>
        </w:tc>
        <w:tc>
          <w:tcPr>
            <w:tcW w:w="2240" w:type="dxa"/>
            <w:vAlign w:val="bottom"/>
            <w:tcBorders>
              <w:bottom w:val="single" w:sz="8" w:color="auto"/>
            </w:tcBorders>
            <w:gridSpan w:val="2"/>
          </w:tcPr>
          <w:p>
            <w:pPr>
              <w:jc w:val="right"/>
              <w:ind w:right="799"/>
              <w:spacing w:after="0"/>
              <w:rPr>
                <w:sz w:val="20"/>
                <w:szCs w:val="20"/>
                <w:color w:val="auto"/>
              </w:rPr>
            </w:pPr>
            <w:r>
              <w:rPr>
                <w:rFonts w:ascii="Arial" w:cs="Arial" w:eastAsia="Arial" w:hAnsi="Arial"/>
                <w:sz w:val="16"/>
                <w:szCs w:val="16"/>
                <w:b w:val="1"/>
                <w:bCs w:val="1"/>
                <w:color w:val="auto"/>
              </w:rPr>
              <w:t>(35)</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w:t>
            </w:r>
          </w:p>
        </w:tc>
        <w:tc>
          <w:tcPr>
            <w:tcW w:w="10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b w:val="1"/>
                <w:bCs w:val="1"/>
                <w:color w:val="auto"/>
              </w:rPr>
              <w:t>(119)</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w:t>
            </w:r>
          </w:p>
        </w:tc>
        <w:tc>
          <w:tcPr>
            <w:tcW w:w="0" w:type="dxa"/>
            <w:vAlign w:val="bottom"/>
          </w:tcPr>
          <w:p>
            <w:pPr>
              <w:spacing w:after="0"/>
              <w:rPr>
                <w:sz w:val="1"/>
                <w:szCs w:val="1"/>
                <w:color w:val="auto"/>
              </w:rPr>
            </w:pPr>
          </w:p>
        </w:tc>
      </w:tr>
      <w:tr>
        <w:trPr>
          <w:trHeight w:val="172"/>
        </w:trPr>
        <w:tc>
          <w:tcPr>
            <w:tcW w:w="5400" w:type="dxa"/>
            <w:vAlign w:val="bottom"/>
          </w:tcPr>
          <w:p>
            <w:pPr>
              <w:ind w:left="140"/>
              <w:spacing w:after="0" w:line="172" w:lineRule="exact"/>
              <w:rPr>
                <w:sz w:val="20"/>
                <w:szCs w:val="20"/>
                <w:color w:val="auto"/>
              </w:rPr>
            </w:pPr>
            <w:r>
              <w:rPr>
                <w:rFonts w:ascii="Arial" w:cs="Arial" w:eastAsia="Arial" w:hAnsi="Arial"/>
                <w:sz w:val="16"/>
                <w:szCs w:val="16"/>
                <w:color w:val="auto"/>
              </w:rPr>
              <w:t>Net income (loss) attributable to common shares from continuing</w:t>
            </w:r>
          </w:p>
        </w:tc>
        <w:tc>
          <w:tcPr>
            <w:tcW w:w="2240" w:type="dxa"/>
            <w:vAlign w:val="bottom"/>
            <w:gridSpan w:val="2"/>
            <w:vMerge w:val="restart"/>
          </w:tcPr>
          <w:p>
            <w:pPr>
              <w:jc w:val="right"/>
              <w:ind w:right="839"/>
              <w:spacing w:after="0"/>
              <w:rPr>
                <w:sz w:val="20"/>
                <w:szCs w:val="20"/>
                <w:color w:val="auto"/>
              </w:rPr>
            </w:pPr>
            <w:r>
              <w:rPr>
                <w:rFonts w:ascii="Arial" w:cs="Arial" w:eastAsia="Arial" w:hAnsi="Arial"/>
                <w:sz w:val="16"/>
                <w:szCs w:val="16"/>
                <w:b w:val="1"/>
                <w:bCs w:val="1"/>
                <w:color w:val="auto"/>
              </w:rPr>
              <w:t>959</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0" w:type="dxa"/>
            <w:vAlign w:val="bottom"/>
            <w:vMerge w:val="restart"/>
          </w:tcPr>
          <w:p>
            <w:pPr>
              <w:jc w:val="right"/>
              <w:ind w:right="719"/>
              <w:spacing w:after="0"/>
              <w:rPr>
                <w:sz w:val="20"/>
                <w:szCs w:val="20"/>
                <w:color w:val="auto"/>
              </w:rPr>
            </w:pPr>
            <w:r>
              <w:rPr>
                <w:rFonts w:ascii="Arial" w:cs="Arial" w:eastAsia="Arial" w:hAnsi="Arial"/>
                <w:sz w:val="16"/>
                <w:szCs w:val="16"/>
                <w:b w:val="1"/>
                <w:bCs w:val="1"/>
                <w:color w:val="auto"/>
              </w:rPr>
              <w:t>3,612</w:t>
            </w: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400" w:type="dxa"/>
            <w:vAlign w:val="bottom"/>
          </w:tcPr>
          <w:p>
            <w:pPr>
              <w:ind w:left="220"/>
              <w:spacing w:after="0"/>
              <w:rPr>
                <w:sz w:val="20"/>
                <w:szCs w:val="20"/>
                <w:color w:val="auto"/>
              </w:rPr>
            </w:pPr>
            <w:r>
              <w:rPr>
                <w:rFonts w:ascii="Arial" w:cs="Arial" w:eastAsia="Arial" w:hAnsi="Arial"/>
                <w:sz w:val="16"/>
                <w:szCs w:val="16"/>
                <w:color w:val="auto"/>
              </w:rPr>
              <w:t>operations</w:t>
            </w:r>
          </w:p>
        </w:tc>
        <w:tc>
          <w:tcPr>
            <w:tcW w:w="2240" w:type="dxa"/>
            <w:vAlign w:val="bottom"/>
            <w:gridSpan w:val="2"/>
            <w:vMerge w:val="continue"/>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1,069</w:t>
            </w:r>
          </w:p>
        </w:tc>
        <w:tc>
          <w:tcPr>
            <w:tcW w:w="100" w:type="dxa"/>
            <w:vAlign w:val="bottom"/>
          </w:tcPr>
          <w:p>
            <w:pPr>
              <w:spacing w:after="0"/>
              <w:rPr>
                <w:sz w:val="19"/>
                <w:szCs w:val="19"/>
                <w:color w:val="auto"/>
              </w:rPr>
            </w:pPr>
          </w:p>
        </w:tc>
        <w:tc>
          <w:tcPr>
            <w:tcW w:w="2000" w:type="dxa"/>
            <w:vAlign w:val="bottom"/>
            <w:vMerge w:val="continue"/>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4,199</w:t>
            </w:r>
          </w:p>
        </w:tc>
        <w:tc>
          <w:tcPr>
            <w:tcW w:w="0" w:type="dxa"/>
            <w:vAlign w:val="bottom"/>
          </w:tcPr>
          <w:p>
            <w:pPr>
              <w:spacing w:after="0"/>
              <w:rPr>
                <w:sz w:val="1"/>
                <w:szCs w:val="1"/>
                <w:color w:val="auto"/>
              </w:rPr>
            </w:pPr>
          </w:p>
        </w:tc>
      </w:tr>
      <w:tr>
        <w:trPr>
          <w:trHeight w:val="237"/>
        </w:trPr>
        <w:tc>
          <w:tcPr>
            <w:tcW w:w="5400" w:type="dxa"/>
            <w:vAlign w:val="bottom"/>
            <w:tcBorders>
              <w:bottom w:val="single" w:sz="8" w:color="auto"/>
            </w:tcBorders>
          </w:tcPr>
          <w:p>
            <w:pPr>
              <w:ind w:left="120"/>
              <w:spacing w:after="0" w:line="237" w:lineRule="exact"/>
              <w:rPr>
                <w:sz w:val="20"/>
                <w:szCs w:val="20"/>
                <w:color w:val="auto"/>
              </w:rPr>
            </w:pPr>
            <w:r>
              <w:rPr>
                <w:rFonts w:ascii="Arial" w:cs="Arial" w:eastAsia="Arial" w:hAnsi="Arial"/>
                <w:sz w:val="16"/>
                <w:szCs w:val="16"/>
                <w:color w:val="auto"/>
              </w:rPr>
              <w:t>Net income (loss) from discontinued operations, net of tax</w:t>
            </w:r>
            <w:r>
              <w:rPr>
                <w:rFonts w:ascii="Arial" w:cs="Arial" w:eastAsia="Arial" w:hAnsi="Arial"/>
                <w:sz w:val="21"/>
                <w:szCs w:val="21"/>
                <w:color w:val="auto"/>
                <w:vertAlign w:val="superscript"/>
              </w:rPr>
              <w:t>1</w:t>
            </w:r>
          </w:p>
        </w:tc>
        <w:tc>
          <w:tcPr>
            <w:tcW w:w="2240" w:type="dxa"/>
            <w:vAlign w:val="bottom"/>
            <w:tcBorders>
              <w:bottom w:val="single" w:sz="8" w:color="auto"/>
            </w:tcBorders>
            <w:gridSpan w:val="2"/>
          </w:tcPr>
          <w:p>
            <w:pPr>
              <w:jc w:val="right"/>
              <w:ind w:right="839"/>
              <w:spacing w:after="0"/>
              <w:rPr>
                <w:sz w:val="20"/>
                <w:szCs w:val="20"/>
                <w:color w:val="auto"/>
              </w:rPr>
            </w:pPr>
            <w:r>
              <w:rPr>
                <w:rFonts w:ascii="Arial" w:cs="Arial" w:eastAsia="Arial" w:hAnsi="Arial"/>
                <w:sz w:val="16"/>
                <w:szCs w:val="16"/>
                <w:b w:val="1"/>
                <w:bCs w:val="1"/>
                <w:color w:val="auto"/>
              </w:rPr>
              <w:t>21</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w:t>
            </w:r>
          </w:p>
        </w:tc>
        <w:tc>
          <w:tcPr>
            <w:tcW w:w="10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b w:val="1"/>
                <w:bCs w:val="1"/>
                <w:color w:val="auto"/>
              </w:rPr>
              <w:t>(212)</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395</w:t>
            </w:r>
          </w:p>
        </w:tc>
        <w:tc>
          <w:tcPr>
            <w:tcW w:w="0" w:type="dxa"/>
            <w:vAlign w:val="bottom"/>
          </w:tcPr>
          <w:p>
            <w:pPr>
              <w:spacing w:after="0"/>
              <w:rPr>
                <w:sz w:val="1"/>
                <w:szCs w:val="1"/>
                <w:color w:val="auto"/>
              </w:rPr>
            </w:pPr>
          </w:p>
        </w:tc>
      </w:tr>
      <w:tr>
        <w:trPr>
          <w:trHeight w:val="220"/>
        </w:trPr>
        <w:tc>
          <w:tcPr>
            <w:tcW w:w="54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0D64EF"/>
              </w:rPr>
              <w:t>Net income (loss) attributable to common shares</w:t>
            </w:r>
          </w:p>
        </w:tc>
        <w:tc>
          <w:tcPr>
            <w:tcW w:w="2240" w:type="dxa"/>
            <w:vAlign w:val="bottom"/>
            <w:tcBorders>
              <w:bottom w:val="single" w:sz="8" w:color="auto"/>
            </w:tcBorders>
            <w:gridSpan w:val="2"/>
          </w:tcPr>
          <w:p>
            <w:pPr>
              <w:jc w:val="right"/>
              <w:ind w:right="839"/>
              <w:spacing w:after="0"/>
              <w:rPr>
                <w:sz w:val="20"/>
                <w:szCs w:val="20"/>
                <w:color w:val="auto"/>
              </w:rPr>
            </w:pPr>
            <w:r>
              <w:rPr>
                <w:rFonts w:ascii="Arial" w:cs="Arial" w:eastAsia="Arial" w:hAnsi="Arial"/>
                <w:sz w:val="16"/>
                <w:szCs w:val="16"/>
                <w:b w:val="1"/>
                <w:bCs w:val="1"/>
                <w:color w:val="auto"/>
              </w:rPr>
              <w:t>980</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971</w:t>
            </w:r>
          </w:p>
        </w:tc>
        <w:tc>
          <w:tcPr>
            <w:tcW w:w="10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ind w:right="719"/>
              <w:spacing w:after="0"/>
              <w:rPr>
                <w:sz w:val="20"/>
                <w:szCs w:val="20"/>
                <w:color w:val="auto"/>
              </w:rPr>
            </w:pPr>
            <w:r>
              <w:rPr>
                <w:rFonts w:ascii="Arial" w:cs="Arial" w:eastAsia="Arial" w:hAnsi="Arial"/>
                <w:sz w:val="16"/>
                <w:szCs w:val="16"/>
                <w:b w:val="1"/>
                <w:bCs w:val="1"/>
                <w:color w:val="auto"/>
              </w:rPr>
              <w:t>3,400</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4,594</w:t>
            </w: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340" w:hanging="332"/>
        <w:spacing w:after="0"/>
        <w:tabs>
          <w:tab w:leader="none" w:pos="340" w:val="left"/>
        </w:tabs>
        <w:numPr>
          <w:ilvl w:val="0"/>
          <w:numId w:val="25"/>
        </w:numPr>
        <w:rPr>
          <w:rFonts w:ascii="Arial" w:cs="Arial" w:eastAsia="Arial" w:hAnsi="Arial"/>
          <w:sz w:val="14"/>
          <w:szCs w:val="14"/>
          <w:color w:val="auto"/>
        </w:rPr>
      </w:pPr>
      <w:r>
        <w:rPr>
          <w:rFonts w:ascii="Arial" w:cs="Arial" w:eastAsia="Arial" w:hAnsi="Arial"/>
          <w:sz w:val="14"/>
          <w:szCs w:val="14"/>
          <w:color w:val="auto"/>
        </w:rPr>
        <w:t>Represents nine months of Liquids Pipelines earnings for the year ended December 31, 2024. Refer to the Discontinued operations section for additional information.</w:t>
      </w:r>
    </w:p>
    <w:p>
      <w:pPr>
        <w:spacing w:after="0" w:line="140" w:lineRule="exact"/>
        <w:rPr>
          <w:sz w:val="20"/>
          <w:szCs w:val="20"/>
          <w:color w:val="auto"/>
        </w:rPr>
      </w:pPr>
    </w:p>
    <w:p>
      <w:pPr>
        <w:ind w:right="260"/>
        <w:spacing w:after="0" w:line="350" w:lineRule="auto"/>
        <w:rPr>
          <w:sz w:val="20"/>
          <w:szCs w:val="20"/>
          <w:color w:val="auto"/>
        </w:rPr>
      </w:pPr>
      <w:r>
        <w:rPr>
          <w:rFonts w:ascii="Arial" w:cs="Arial" w:eastAsia="Arial" w:hAnsi="Arial"/>
          <w:sz w:val="18"/>
          <w:szCs w:val="18"/>
          <w:color w:val="auto"/>
        </w:rPr>
        <w:t>Net income (loss) attributable to common shares from continuing operations decreased by $110 million or $0.11 per common share for the three months ended December 31, 2025 compared to the same period in 2024.</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TC Energy </w:t>
      </w:r>
      <w:r>
        <w:rPr>
          <w:rFonts w:ascii="Arial" w:cs="Arial" w:eastAsia="Arial" w:hAnsi="Arial"/>
          <w:sz w:val="18"/>
          <w:szCs w:val="18"/>
          <w:b w:val="1"/>
          <w:bCs w:val="1"/>
          <w:color w:val="0D64EF"/>
        </w:rPr>
        <w:t>Fourth Quarter</w:t>
      </w:r>
      <w:r>
        <w:rPr>
          <w:rFonts w:ascii="Arial" w:cs="Arial" w:eastAsia="Arial" w:hAnsi="Arial"/>
          <w:sz w:val="18"/>
          <w:szCs w:val="18"/>
          <w:color w:val="auto"/>
        </w:rPr>
        <w:t xml:space="preserve"> News Release 2025 | 5</w:t>
      </w:r>
    </w:p>
    <w:p>
      <w:pPr>
        <w:sectPr>
          <w:pgSz w:w="11900" w:h="16838" w:orient="portrait"/>
          <w:cols w:equalWidth="0" w:num="1">
            <w:col w:w="11240"/>
          </w:cols>
          <w:pgMar w:left="320" w:top="1359" w:right="339" w:bottom="1440" w:gutter="0" w:footer="0" w:header="0"/>
        </w:sectPr>
      </w:pPr>
    </w:p>
    <w:bookmarkStart w:id="18" w:name="page19"/>
    <w:bookmarkEnd w:id="18"/>
    <w:p>
      <w:pPr>
        <w:spacing w:after="0"/>
        <w:rPr>
          <w:sz w:val="20"/>
          <w:szCs w:val="20"/>
          <w:color w:val="auto"/>
        </w:rPr>
      </w:pPr>
      <w:r>
        <w:rPr>
          <w:rFonts w:ascii="Arial" w:cs="Arial" w:eastAsia="Arial" w:hAnsi="Arial"/>
          <w:sz w:val="20"/>
          <w:szCs w:val="20"/>
          <w:b w:val="1"/>
          <w:bCs w:val="1"/>
          <w:color w:val="0D64EF"/>
        </w:rPr>
        <w:t>NON-GAAP MEASURES</w:t>
      </w:r>
    </w:p>
    <w:p>
      <w:pPr>
        <w:spacing w:after="0" w:line="58" w:lineRule="exact"/>
        <w:rPr>
          <w:sz w:val="20"/>
          <w:szCs w:val="20"/>
          <w:color w:val="auto"/>
        </w:rPr>
      </w:pPr>
    </w:p>
    <w:p>
      <w:pPr>
        <w:spacing w:after="0" w:line="307" w:lineRule="auto"/>
        <w:rPr>
          <w:sz w:val="20"/>
          <w:szCs w:val="20"/>
          <w:color w:val="auto"/>
        </w:rPr>
      </w:pPr>
      <w:r>
        <w:rPr>
          <w:rFonts w:ascii="Arial" w:cs="Arial" w:eastAsia="Arial" w:hAnsi="Arial"/>
          <w:sz w:val="18"/>
          <w:szCs w:val="18"/>
          <w:color w:val="auto"/>
        </w:rPr>
        <w:t>This news release references non-GAAP measures, which are identified in the table below. These measures do not have any standardized meaning as prescribed by GAAP and therefore may not be comparable to similar measures presented by other entities. These measures are reviewed regularly by our President and Chief Executive Officer, management and the Board of Directors in assessing our performance and making decisions regarding the ongoing operations of our business and its ability to generate cash flows. Some or all of these measures may also be used by investors and other external users of our financial statements as a supplemental measure to provide decision-useful information regarding our period-over-period performance and ability to generate earnings that are core to our ongoing operations. Discussions throughout this news release on the factors impacting comparable earnings before interest, taxes, depreciation and amortization (comparable EBITDA) and comparable earnings before interest and taxes (comparable EBIT) are consistent with the factors that impact segmented earnings, except where noted otherwise.</w:t>
      </w:r>
    </w:p>
    <w:p>
      <w:pPr>
        <w:spacing w:after="0" w:line="69" w:lineRule="exact"/>
        <w:rPr>
          <w:sz w:val="20"/>
          <w:szCs w:val="20"/>
          <w:color w:val="auto"/>
        </w:rPr>
      </w:pPr>
    </w:p>
    <w:p>
      <w:pPr>
        <w:spacing w:after="0"/>
        <w:rPr>
          <w:sz w:val="20"/>
          <w:szCs w:val="20"/>
          <w:color w:val="auto"/>
        </w:rPr>
      </w:pPr>
      <w:r>
        <w:rPr>
          <w:rFonts w:ascii="Arial" w:cs="Arial" w:eastAsia="Arial" w:hAnsi="Arial"/>
          <w:sz w:val="20"/>
          <w:szCs w:val="20"/>
          <w:b w:val="1"/>
          <w:bCs w:val="1"/>
          <w:color w:val="0D64EF"/>
        </w:rPr>
        <w:t>Comparable measures</w:t>
      </w:r>
    </w:p>
    <w:p>
      <w:pPr>
        <w:spacing w:after="0" w:line="58" w:lineRule="exact"/>
        <w:rPr>
          <w:sz w:val="20"/>
          <w:szCs w:val="20"/>
          <w:color w:val="auto"/>
        </w:rPr>
      </w:pPr>
    </w:p>
    <w:p>
      <w:pPr>
        <w:jc w:val="both"/>
        <w:ind w:right="40"/>
        <w:spacing w:after="0" w:line="323" w:lineRule="auto"/>
        <w:rPr>
          <w:sz w:val="20"/>
          <w:szCs w:val="20"/>
          <w:color w:val="auto"/>
        </w:rPr>
      </w:pPr>
      <w:r>
        <w:rPr>
          <w:rFonts w:ascii="Arial" w:cs="Arial" w:eastAsia="Arial" w:hAnsi="Arial"/>
          <w:sz w:val="18"/>
          <w:szCs w:val="18"/>
          <w:color w:val="auto"/>
        </w:rPr>
        <w:t>We calculate comparable measures by adjusting certain GAAP measures for specific items we believe are significant but not reflective of our underlying operations in the period. Except as otherwise described herein, these comparable measures are calculated on a consistent basis from period to period and are adjusted for specific items in each period, as applicable.</w:t>
      </w:r>
    </w:p>
    <w:p>
      <w:pPr>
        <w:spacing w:after="0" w:line="42" w:lineRule="exact"/>
        <w:rPr>
          <w:sz w:val="20"/>
          <w:szCs w:val="20"/>
          <w:color w:val="auto"/>
        </w:rPr>
      </w:pPr>
    </w:p>
    <w:p>
      <w:pPr>
        <w:spacing w:after="0" w:line="297" w:lineRule="auto"/>
        <w:rPr>
          <w:sz w:val="20"/>
          <w:szCs w:val="20"/>
          <w:color w:val="auto"/>
        </w:rPr>
      </w:pPr>
      <w:r>
        <w:rPr>
          <w:rFonts w:ascii="Arial" w:cs="Arial" w:eastAsia="Arial" w:hAnsi="Arial"/>
          <w:sz w:val="18"/>
          <w:szCs w:val="18"/>
          <w:color w:val="auto"/>
        </w:rPr>
        <w:t>Our decision to adjust for a specific item in reporting comparable measures is subjective and made after careful consideration. We maintain a consistent approach to adjustments, which generally fall into the categories described below:</w:t>
      </w:r>
    </w:p>
    <w:p>
      <w:pPr>
        <w:spacing w:after="0" w:line="1" w:lineRule="exact"/>
        <w:rPr>
          <w:sz w:val="20"/>
          <w:szCs w:val="20"/>
          <w:color w:val="auto"/>
        </w:rPr>
      </w:pPr>
    </w:p>
    <w:p>
      <w:pPr>
        <w:ind w:left="180" w:right="80" w:hanging="172"/>
        <w:spacing w:after="0" w:line="305" w:lineRule="auto"/>
        <w:tabs>
          <w:tab w:leader="none" w:pos="148" w:val="left"/>
        </w:tabs>
        <w:numPr>
          <w:ilvl w:val="0"/>
          <w:numId w:val="26"/>
        </w:numPr>
        <w:rPr>
          <w:rFonts w:ascii="Arial" w:cs="Arial" w:eastAsia="Arial" w:hAnsi="Arial"/>
          <w:sz w:val="18"/>
          <w:szCs w:val="18"/>
          <w:color w:val="auto"/>
        </w:rPr>
      </w:pPr>
      <w:r>
        <w:rPr>
          <w:rFonts w:ascii="Arial" w:cs="Arial" w:eastAsia="Arial" w:hAnsi="Arial"/>
          <w:sz w:val="18"/>
          <w:szCs w:val="18"/>
          <w:color w:val="auto"/>
        </w:rPr>
        <w:t>by their nature are unusual, infrequent and separately identifiable from our normal business operations and in our view are not reflective of our underlying operations in the period and generally include the following:</w:t>
      </w:r>
    </w:p>
    <w:p>
      <w:pPr>
        <w:ind w:left="340" w:right="80" w:hanging="170"/>
        <w:spacing w:after="0" w:line="323" w:lineRule="auto"/>
        <w:tabs>
          <w:tab w:leader="none" w:pos="336" w:val="left"/>
        </w:tabs>
        <w:numPr>
          <w:ilvl w:val="1"/>
          <w:numId w:val="26"/>
        </w:numPr>
        <w:rPr>
          <w:rFonts w:ascii="Arial" w:cs="Arial" w:eastAsia="Arial" w:hAnsi="Arial"/>
          <w:sz w:val="17"/>
          <w:szCs w:val="17"/>
          <w:color w:val="auto"/>
        </w:rPr>
      </w:pPr>
      <w:r>
        <w:rPr>
          <w:rFonts w:ascii="Arial" w:cs="Arial" w:eastAsia="Arial" w:hAnsi="Arial"/>
          <w:sz w:val="17"/>
          <w:szCs w:val="17"/>
          <w:color w:val="auto"/>
        </w:rPr>
        <w:t>gains or losses on sales of assets or assets held for sale; impairment of goodwill, plant, property and equipment, equity investments and other assets; legal, contractual and other infrequent settlements; acquisition, integration and restructuring costs; expected credit loss</w:t>
      </w:r>
    </w:p>
    <w:p>
      <w:pPr>
        <w:ind w:left="340" w:right="160"/>
        <w:spacing w:after="0" w:line="297" w:lineRule="auto"/>
        <w:rPr>
          <w:rFonts w:ascii="Arial" w:cs="Arial" w:eastAsia="Arial" w:hAnsi="Arial"/>
          <w:sz w:val="17"/>
          <w:szCs w:val="17"/>
          <w:color w:val="auto"/>
        </w:rPr>
      </w:pPr>
      <w:r>
        <w:rPr>
          <w:rFonts w:ascii="Arial" w:cs="Arial" w:eastAsia="Arial" w:hAnsi="Arial"/>
          <w:sz w:val="18"/>
          <w:szCs w:val="18"/>
          <w:color w:val="auto"/>
        </w:rPr>
        <w:t>provisions on net investment in leases and certain contract assets in Mexico; impacts resulting from changes in legislation and enacted tax rates and unusual tax refunds/payments and valuation allowance adjustments</w:t>
      </w:r>
    </w:p>
    <w:p>
      <w:pPr>
        <w:ind w:left="180" w:right="120" w:hanging="172"/>
        <w:spacing w:after="0" w:line="305" w:lineRule="auto"/>
        <w:tabs>
          <w:tab w:leader="none" w:pos="148" w:val="left"/>
        </w:tabs>
        <w:numPr>
          <w:ilvl w:val="0"/>
          <w:numId w:val="26"/>
        </w:numPr>
        <w:rPr>
          <w:rFonts w:ascii="Arial" w:cs="Arial" w:eastAsia="Arial" w:hAnsi="Arial"/>
          <w:sz w:val="18"/>
          <w:szCs w:val="18"/>
          <w:color w:val="auto"/>
        </w:rPr>
      </w:pPr>
      <w:r>
        <w:rPr>
          <w:rFonts w:ascii="Arial" w:cs="Arial" w:eastAsia="Arial" w:hAnsi="Arial"/>
          <w:sz w:val="18"/>
          <w:szCs w:val="18"/>
          <w:color w:val="auto"/>
        </w:rPr>
        <w:t>unrealized gains and losses related to fair value adjustments that do not reflect realized earnings or losses or cash impacts incurred in the current period from our underlying operations and generally include the following:</w:t>
      </w:r>
    </w:p>
    <w:p>
      <w:pPr>
        <w:ind w:left="340" w:right="100" w:hanging="170"/>
        <w:spacing w:after="0" w:line="323" w:lineRule="auto"/>
        <w:tabs>
          <w:tab w:leader="none" w:pos="336" w:val="left"/>
        </w:tabs>
        <w:numPr>
          <w:ilvl w:val="1"/>
          <w:numId w:val="26"/>
        </w:numPr>
        <w:rPr>
          <w:rFonts w:ascii="Arial" w:cs="Arial" w:eastAsia="Arial" w:hAnsi="Arial"/>
          <w:sz w:val="17"/>
          <w:szCs w:val="17"/>
          <w:color w:val="auto"/>
        </w:rPr>
      </w:pPr>
      <w:r>
        <w:rPr>
          <w:rFonts w:ascii="Arial" w:cs="Arial" w:eastAsia="Arial" w:hAnsi="Arial"/>
          <w:sz w:val="17"/>
          <w:szCs w:val="17"/>
          <w:color w:val="auto"/>
        </w:rPr>
        <w:t>unrealized gains and losses from changes in the fair value of derivatives related to financial and commodity price risk management activities; unrealized fair value adjustments related to our proportionate share of Bruce Power’s risk management activities and its funds</w:t>
      </w:r>
    </w:p>
    <w:p>
      <w:pPr>
        <w:ind w:left="340" w:right="420"/>
        <w:spacing w:after="0" w:line="334" w:lineRule="auto"/>
        <w:rPr>
          <w:rFonts w:ascii="Arial" w:cs="Arial" w:eastAsia="Arial" w:hAnsi="Arial"/>
          <w:sz w:val="17"/>
          <w:szCs w:val="17"/>
          <w:color w:val="auto"/>
        </w:rPr>
      </w:pPr>
      <w:r>
        <w:rPr>
          <w:rFonts w:ascii="Arial" w:cs="Arial" w:eastAsia="Arial" w:hAnsi="Arial"/>
          <w:sz w:val="18"/>
          <w:szCs w:val="18"/>
          <w:color w:val="auto"/>
        </w:rPr>
        <w:t>invested for post-retirement benefits; unrealized foreign exchange gains and losses on intercompany loans that impact consolidated earnings.</w:t>
      </w:r>
    </w:p>
    <w:p>
      <w:pPr>
        <w:spacing w:after="0" w:line="31" w:lineRule="exact"/>
        <w:rPr>
          <w:sz w:val="20"/>
          <w:szCs w:val="20"/>
          <w:color w:val="auto"/>
        </w:rPr>
      </w:pPr>
    </w:p>
    <w:p>
      <w:pPr>
        <w:ind w:right="140"/>
        <w:spacing w:after="0" w:line="310" w:lineRule="auto"/>
        <w:rPr>
          <w:sz w:val="20"/>
          <w:szCs w:val="20"/>
          <w:color w:val="auto"/>
        </w:rPr>
      </w:pPr>
      <w:r>
        <w:rPr>
          <w:rFonts w:ascii="Arial" w:cs="Arial" w:eastAsia="Arial" w:hAnsi="Arial"/>
          <w:sz w:val="18"/>
          <w:szCs w:val="18"/>
          <w:color w:val="auto"/>
        </w:rPr>
        <w:t>The following table identifies our non-GAAP measures against their most directly comparable GAAP measures. These measures are applicable to our continuing and discontinued operations. Quantitative reconciliations of our comparable measures to their GAAP measures and a discussion of specific adjustments made for the three months and year ended December 31, 2025 and comparative periods can be found on pages 7 and 8, each business segment section and the Cash provided by operating activities section. Non-GAAP measures for discontinued operations are found in the Discontinued operations section on page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132320" cy="1543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65" w:lineRule="exact"/>
        <w:rPr>
          <w:sz w:val="20"/>
          <w:szCs w:val="20"/>
          <w:color w:val="auto"/>
        </w:rPr>
      </w:pPr>
    </w:p>
    <w:p>
      <w:pPr>
        <w:ind w:left="20"/>
        <w:spacing w:after="0"/>
        <w:tabs>
          <w:tab w:leader="none" w:pos="5620" w:val="left"/>
        </w:tabs>
        <w:rPr>
          <w:sz w:val="20"/>
          <w:szCs w:val="20"/>
          <w:color w:val="auto"/>
        </w:rPr>
      </w:pPr>
      <w:r>
        <w:rPr>
          <w:rFonts w:ascii="Arial" w:cs="Arial" w:eastAsia="Arial" w:hAnsi="Arial"/>
          <w:sz w:val="16"/>
          <w:szCs w:val="16"/>
          <w:b w:val="1"/>
          <w:bCs w:val="1"/>
          <w:color w:val="auto"/>
        </w:rPr>
        <w:t>Non-GAAP measure</w:t>
      </w:r>
      <w:r>
        <w:rPr>
          <w:sz w:val="20"/>
          <w:szCs w:val="20"/>
          <w:color w:val="auto"/>
        </w:rPr>
        <w:tab/>
      </w:r>
      <w:r>
        <w:rPr>
          <w:rFonts w:ascii="Arial" w:cs="Arial" w:eastAsia="Arial" w:hAnsi="Arial"/>
          <w:sz w:val="16"/>
          <w:szCs w:val="16"/>
          <w:b w:val="1"/>
          <w:bCs w:val="1"/>
          <w:color w:val="auto"/>
        </w:rPr>
        <w:t>GAAP measure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1344" w:right="359" w:bottom="1440" w:gutter="0" w:footer="0" w:header="0"/>
        </w:sectPr>
      </w:pPr>
    </w:p>
    <w:p>
      <w:pPr>
        <w:spacing w:after="0" w:line="100" w:lineRule="exact"/>
        <w:rPr>
          <w:sz w:val="20"/>
          <w:szCs w:val="20"/>
          <w:color w:val="auto"/>
        </w:rPr>
      </w:pPr>
    </w:p>
    <w:p>
      <w:pPr>
        <w:ind w:left="20"/>
        <w:spacing w:after="0"/>
        <w:rPr>
          <w:sz w:val="20"/>
          <w:szCs w:val="20"/>
          <w:color w:val="auto"/>
        </w:rPr>
      </w:pPr>
      <w:r>
        <w:rPr>
          <w:rFonts w:ascii="Arial" w:cs="Arial" w:eastAsia="Arial" w:hAnsi="Arial"/>
          <w:sz w:val="16"/>
          <w:szCs w:val="16"/>
          <w:color w:val="auto"/>
        </w:rPr>
        <w:t>comparable EBITDA</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comparable EBIT</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comparable earnings</w:t>
      </w:r>
    </w:p>
    <w:p>
      <w:pPr>
        <w:spacing w:after="0" w:line="46" w:lineRule="exact"/>
        <w:rPr>
          <w:sz w:val="20"/>
          <w:szCs w:val="20"/>
          <w:color w:val="auto"/>
        </w:rPr>
      </w:pPr>
    </w:p>
    <w:p>
      <w:pPr>
        <w:ind w:left="20" w:right="1660"/>
        <w:spacing w:after="0" w:line="319" w:lineRule="auto"/>
        <w:rPr>
          <w:sz w:val="20"/>
          <w:szCs w:val="20"/>
          <w:color w:val="auto"/>
        </w:rPr>
      </w:pPr>
      <w:r>
        <w:rPr>
          <w:rFonts w:ascii="Arial" w:cs="Arial" w:eastAsia="Arial" w:hAnsi="Arial"/>
          <w:sz w:val="16"/>
          <w:szCs w:val="16"/>
          <w:color w:val="auto"/>
        </w:rPr>
        <w:t>comparable earnings per common share funds generated from operations comparable funds generated from operations</w:t>
      </w:r>
    </w:p>
    <w:p>
      <w:pPr>
        <w:spacing w:after="0" w:line="20" w:lineRule="exact"/>
        <w:rPr>
          <w:sz w:val="20"/>
          <w:szCs w:val="20"/>
          <w:color w:val="auto"/>
        </w:rPr>
      </w:pPr>
      <w:r>
        <w:rPr>
          <w:sz w:val="20"/>
          <w:szCs w:val="20"/>
          <w:color w:val="auto"/>
        </w:rPr>
        <w:br w:type="column"/>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segmented earnings (losses)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segmented earnings (losses)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net income (loss) attributable to common shares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net income (loss) per common share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net cash provided by operations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net cash provided by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-3575685</wp:posOffset>
            </wp:positionH>
            <wp:positionV relativeFrom="paragraph">
              <wp:posOffset>29210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90" w:lineRule="exact"/>
        <w:rPr>
          <w:sz w:val="20"/>
          <w:szCs w:val="20"/>
          <w:color w:val="auto"/>
        </w:rPr>
      </w:pPr>
    </w:p>
    <w:p>
      <w:pPr>
        <w:sectPr>
          <w:pgSz w:w="11900" w:h="16838" w:orient="portrait"/>
          <w:cols w:equalWidth="0" w:num="2">
            <w:col w:w="4920" w:space="720"/>
            <w:col w:w="5580"/>
          </w:cols>
          <w:pgMar w:left="320" w:top="1344" w:right="359" w:bottom="1440" w:gutter="0" w:footer="0" w:header="0"/>
          <w:type w:val="continuous"/>
        </w:sect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6 | TC Energy </w:t>
      </w:r>
      <w:r>
        <w:rPr>
          <w:rFonts w:ascii="Arial" w:cs="Arial" w:eastAsia="Arial" w:hAnsi="Arial"/>
          <w:sz w:val="18"/>
          <w:szCs w:val="18"/>
          <w:b w:val="1"/>
          <w:bCs w:val="1"/>
          <w:color w:val="0D64EF"/>
        </w:rPr>
        <w:t>Fourth Quarter</w:t>
      </w:r>
      <w:r>
        <w:rPr>
          <w:rFonts w:ascii="Arial" w:cs="Arial" w:eastAsia="Arial" w:hAnsi="Arial"/>
          <w:sz w:val="18"/>
          <w:szCs w:val="18"/>
          <w:color w:val="auto"/>
        </w:rPr>
        <w:t xml:space="preserve"> News Release 2025</w:t>
      </w:r>
    </w:p>
    <w:p>
      <w:pPr>
        <w:sectPr>
          <w:pgSz w:w="11900" w:h="16838" w:orient="portrait"/>
          <w:cols w:equalWidth="0" w:num="1">
            <w:col w:w="11220"/>
          </w:cols>
          <w:pgMar w:left="320" w:top="1344" w:right="359" w:bottom="1440" w:gutter="0" w:footer="0" w:header="0"/>
          <w:type w:val="continuous"/>
        </w:sectPr>
      </w:pPr>
    </w:p>
    <w:bookmarkStart w:id="19" w:name="page20"/>
    <w:bookmarkEnd w:id="19"/>
    <w:p>
      <w:pPr>
        <w:spacing w:after="0"/>
        <w:rPr>
          <w:sz w:val="20"/>
          <w:szCs w:val="20"/>
          <w:color w:val="auto"/>
        </w:rPr>
      </w:pPr>
      <w:r>
        <w:rPr>
          <w:rFonts w:ascii="Arial" w:cs="Arial" w:eastAsia="Arial" w:hAnsi="Arial"/>
          <w:sz w:val="20"/>
          <w:szCs w:val="20"/>
          <w:b w:val="1"/>
          <w:bCs w:val="1"/>
          <w:color w:val="0D64EF"/>
        </w:rPr>
        <w:t>Comparable EBITDA and comparable EBIT</w:t>
      </w:r>
    </w:p>
    <w:p>
      <w:pPr>
        <w:spacing w:after="0" w:line="58" w:lineRule="exact"/>
        <w:rPr>
          <w:sz w:val="20"/>
          <w:szCs w:val="20"/>
          <w:color w:val="auto"/>
        </w:rPr>
      </w:pPr>
    </w:p>
    <w:p>
      <w:pPr>
        <w:ind w:right="100"/>
        <w:spacing w:after="0" w:line="314" w:lineRule="auto"/>
        <w:rPr>
          <w:sz w:val="20"/>
          <w:szCs w:val="20"/>
          <w:color w:val="auto"/>
        </w:rPr>
      </w:pPr>
      <w:r>
        <w:rPr>
          <w:rFonts w:ascii="Arial" w:cs="Arial" w:eastAsia="Arial" w:hAnsi="Arial"/>
          <w:sz w:val="18"/>
          <w:szCs w:val="18"/>
          <w:color w:val="auto"/>
        </w:rPr>
        <w:t>Comparable EBITDA represents segmented earnings (losses) adjusted for specific items described in the Comparable measures section, excluding charges for depreciation and amortization. We use comparable EBITDA as a measure of our earnings from ongoing operations as it is a useful indicator of our performance and is also presented on a consolidated basis. Comparable EBIT represents segmented earnings (losses) adjusted for specific items and is an effective tool for evaluating trends in each segment. Refer to each business segment and the Discontinued operations section for a reconciliation to segmented earnings (losses).</w:t>
      </w:r>
    </w:p>
    <w:p>
      <w:pPr>
        <w:spacing w:after="0" w:line="59" w:lineRule="exact"/>
        <w:rPr>
          <w:sz w:val="20"/>
          <w:szCs w:val="20"/>
          <w:color w:val="auto"/>
        </w:rPr>
      </w:pPr>
    </w:p>
    <w:p>
      <w:pPr>
        <w:spacing w:after="0"/>
        <w:rPr>
          <w:sz w:val="20"/>
          <w:szCs w:val="20"/>
          <w:color w:val="auto"/>
        </w:rPr>
      </w:pPr>
      <w:r>
        <w:rPr>
          <w:rFonts w:ascii="Arial" w:cs="Arial" w:eastAsia="Arial" w:hAnsi="Arial"/>
          <w:sz w:val="20"/>
          <w:szCs w:val="20"/>
          <w:b w:val="1"/>
          <w:bCs w:val="1"/>
          <w:color w:val="0D64EF"/>
        </w:rPr>
        <w:t>Funds generated from operations and comparable funds generated from operations</w:t>
      </w:r>
    </w:p>
    <w:p>
      <w:pPr>
        <w:spacing w:after="0" w:line="58" w:lineRule="exact"/>
        <w:rPr>
          <w:sz w:val="20"/>
          <w:szCs w:val="20"/>
          <w:color w:val="auto"/>
        </w:rPr>
      </w:pPr>
    </w:p>
    <w:p>
      <w:pPr>
        <w:ind w:right="20"/>
        <w:spacing w:after="0" w:line="302" w:lineRule="auto"/>
        <w:rPr>
          <w:sz w:val="20"/>
          <w:szCs w:val="20"/>
          <w:color w:val="auto"/>
        </w:rPr>
      </w:pPr>
      <w:r>
        <w:rPr>
          <w:rFonts w:ascii="Arial" w:cs="Arial" w:eastAsia="Arial" w:hAnsi="Arial"/>
          <w:sz w:val="18"/>
          <w:szCs w:val="18"/>
          <w:color w:val="auto"/>
        </w:rPr>
        <w:t>Funds generated from operations reflects net cash provided by operations before changes in operating working capital. The components of changes in working capital are disclosed in the Consolidated financial statements of our 2025 Annual Report. Comparable funds generated from operations is adjusted for the cash impact of specific items described in the Comparable measures section. We believe funds generated from operations and comparable funds generated from operations are useful measures of our consolidated operating cash flows because they exclude fluctuations from working capital balances, which do not necessarily reflect underlying operations in the same period, and are used to provide a consistent measure of the cash-generating ability of our businesses. Refer to the Cash provided by operating activities</w:t>
      </w:r>
    </w:p>
    <w:p>
      <w:pPr>
        <w:spacing w:after="0" w:line="3" w:lineRule="exact"/>
        <w:rPr>
          <w:sz w:val="20"/>
          <w:szCs w:val="20"/>
          <w:color w:val="auto"/>
        </w:rPr>
      </w:pPr>
    </w:p>
    <w:p>
      <w:pPr>
        <w:spacing w:after="0"/>
        <w:tabs>
          <w:tab w:leader="none" w:pos="2720" w:val="left"/>
        </w:tabs>
        <w:rPr>
          <w:sz w:val="20"/>
          <w:szCs w:val="20"/>
          <w:color w:val="auto"/>
        </w:rPr>
      </w:pPr>
      <w:r>
        <w:rPr>
          <w:rFonts w:ascii="Arial" w:cs="Arial" w:eastAsia="Arial" w:hAnsi="Arial"/>
          <w:sz w:val="18"/>
          <w:szCs w:val="18"/>
          <w:color w:val="auto"/>
        </w:rPr>
        <w:t>section for a reconciliation to</w:t>
      </w:r>
      <w:r>
        <w:rPr>
          <w:sz w:val="20"/>
          <w:szCs w:val="20"/>
          <w:color w:val="auto"/>
        </w:rPr>
        <w:tab/>
      </w:r>
      <w:r>
        <w:rPr>
          <w:rFonts w:ascii="Arial" w:cs="Arial" w:eastAsia="Arial" w:hAnsi="Arial"/>
          <w:sz w:val="17"/>
          <w:szCs w:val="17"/>
          <w:color w:val="auto"/>
        </w:rPr>
        <w:t>Net cash provided by operations.</w:t>
      </w:r>
    </w:p>
    <w:p>
      <w:pPr>
        <w:spacing w:after="0" w:line="153" w:lineRule="exact"/>
        <w:rPr>
          <w:sz w:val="20"/>
          <w:szCs w:val="20"/>
          <w:color w:val="auto"/>
        </w:rPr>
      </w:pPr>
    </w:p>
    <w:p>
      <w:pPr>
        <w:spacing w:after="0"/>
        <w:rPr>
          <w:sz w:val="20"/>
          <w:szCs w:val="20"/>
          <w:color w:val="auto"/>
        </w:rPr>
      </w:pPr>
      <w:r>
        <w:rPr>
          <w:rFonts w:ascii="Arial" w:cs="Arial" w:eastAsia="Arial" w:hAnsi="Arial"/>
          <w:sz w:val="20"/>
          <w:szCs w:val="20"/>
          <w:b w:val="1"/>
          <w:bCs w:val="1"/>
          <w:color w:val="0D64EF"/>
        </w:rPr>
        <w:t>Comparable earnings and comparable earnings per common share</w:t>
      </w:r>
    </w:p>
    <w:p>
      <w:pPr>
        <w:spacing w:after="0" w:line="72" w:lineRule="exact"/>
        <w:rPr>
          <w:sz w:val="20"/>
          <w:szCs w:val="20"/>
          <w:color w:val="auto"/>
        </w:rPr>
      </w:pPr>
    </w:p>
    <w:p>
      <w:pPr>
        <w:ind w:right="60"/>
        <w:spacing w:after="0" w:line="308" w:lineRule="auto"/>
        <w:rPr>
          <w:sz w:val="20"/>
          <w:szCs w:val="20"/>
          <w:color w:val="auto"/>
        </w:rPr>
      </w:pPr>
      <w:r>
        <w:rPr>
          <w:rFonts w:ascii="Arial" w:cs="Arial" w:eastAsia="Arial" w:hAnsi="Arial"/>
          <w:sz w:val="18"/>
          <w:szCs w:val="18"/>
          <w:color w:val="auto"/>
        </w:rPr>
        <w:t>Comparable earnings represents earnings attributable to common shareholders on a consolidated basis, adjusted for specific items described in the Comparable measures section. Comparable earnings is comprised of segmented earnings (losses), Interest expense, AFUDC, Foreign exchange (gains) losses, net, Interest income and other, Income tax expense (recovery), Net income (loss) attributable to non-controlling interests and Preferred share dividends on our Condensed consolidated statement of income, adjusted for specific items. We use comparable earnings as a measure of our earnings from ongoing operations as it is a useful indicator of our performance and is also presented on a consolidated basis. Refer to page 8 as well as the Discontinued operations section for reconciliations to Net income (loss) attributable to common shares and Net income (loss) per common share for our continuing operations and discontinued operations.</w:t>
      </w:r>
    </w:p>
    <w:p>
      <w:pPr>
        <w:spacing w:after="0" w:line="66" w:lineRule="exact"/>
        <w:rPr>
          <w:sz w:val="20"/>
          <w:szCs w:val="20"/>
          <w:color w:val="auto"/>
        </w:rPr>
      </w:pPr>
    </w:p>
    <w:p>
      <w:pPr>
        <w:spacing w:after="0"/>
        <w:rPr>
          <w:sz w:val="20"/>
          <w:szCs w:val="20"/>
          <w:color w:val="auto"/>
        </w:rPr>
      </w:pPr>
      <w:r>
        <w:rPr>
          <w:rFonts w:ascii="Arial" w:cs="Arial" w:eastAsia="Arial" w:hAnsi="Arial"/>
          <w:sz w:val="20"/>
          <w:szCs w:val="20"/>
          <w:b w:val="1"/>
          <w:bCs w:val="1"/>
          <w:color w:val="0D64EF"/>
        </w:rPr>
        <w:t>Comparable earnings and comparable earnings per common share - from continuing operations</w:t>
      </w:r>
    </w:p>
    <w:p>
      <w:pPr>
        <w:spacing w:after="0" w:line="58" w:lineRule="exact"/>
        <w:rPr>
          <w:sz w:val="20"/>
          <w:szCs w:val="20"/>
          <w:color w:val="auto"/>
        </w:rPr>
      </w:pPr>
    </w:p>
    <w:p>
      <w:pPr>
        <w:ind w:right="600"/>
        <w:spacing w:after="0" w:line="350" w:lineRule="auto"/>
        <w:rPr>
          <w:sz w:val="20"/>
          <w:szCs w:val="20"/>
          <w:color w:val="auto"/>
        </w:rPr>
      </w:pPr>
      <w:r>
        <w:rPr>
          <w:rFonts w:ascii="Arial" w:cs="Arial" w:eastAsia="Arial" w:hAnsi="Arial"/>
          <w:sz w:val="18"/>
          <w:szCs w:val="18"/>
          <w:color w:val="auto"/>
        </w:rPr>
        <w:t>The following specific items were recognized in Net income (loss) attributable to common shares from continuing operations and were excluded from comparable earnings from continuing operations:</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Fourth quarter 2025 results</w:t>
      </w:r>
    </w:p>
    <w:p>
      <w:pPr>
        <w:spacing w:after="0" w:line="50" w:lineRule="exact"/>
        <w:rPr>
          <w:sz w:val="20"/>
          <w:szCs w:val="20"/>
          <w:color w:val="auto"/>
        </w:rPr>
      </w:pPr>
    </w:p>
    <w:p>
      <w:pPr>
        <w:ind w:left="180" w:right="880" w:hanging="172"/>
        <w:spacing w:after="0" w:line="305" w:lineRule="auto"/>
        <w:tabs>
          <w:tab w:leader="none" w:pos="148"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pre-tax impairment charge of $110 million for certain Power and Energy Solutions projects following our decision to discontinue development along with updated forecast assumptions as we refocus our Power and Energy Solutions strategy</w:t>
      </w:r>
    </w:p>
    <w:p>
      <w:pPr>
        <w:ind w:left="180" w:right="680" w:hanging="172"/>
        <w:spacing w:after="0" w:line="314" w:lineRule="auto"/>
        <w:tabs>
          <w:tab w:leader="none" w:pos="148" w:val="left"/>
        </w:tabs>
        <w:numPr>
          <w:ilvl w:val="0"/>
          <w:numId w:val="27"/>
        </w:numPr>
        <w:rPr>
          <w:rFonts w:ascii="Arial" w:cs="Arial" w:eastAsia="Arial" w:hAnsi="Arial"/>
          <w:sz w:val="17"/>
          <w:szCs w:val="17"/>
          <w:color w:val="auto"/>
        </w:rPr>
      </w:pPr>
      <w:r>
        <w:rPr>
          <w:rFonts w:ascii="Arial" w:cs="Arial" w:eastAsia="Arial" w:hAnsi="Arial"/>
          <w:sz w:val="17"/>
          <w:szCs w:val="17"/>
          <w:color w:val="auto"/>
        </w:rPr>
        <w:t>pre-tax unrealized foreign exchange losses, net, of $47 million on the peso-denominated intercompany loan between TransCanada PipeLines Limited (TCPL) and Transportadora de Gas Natural de la Huasteca (TGNH), net of non-controlling interest</w:t>
      </w:r>
    </w:p>
    <w:p>
      <w:pPr>
        <w:spacing w:after="0" w:line="2" w:lineRule="exact"/>
        <w:rPr>
          <w:sz w:val="20"/>
          <w:szCs w:val="20"/>
          <w:color w:val="auto"/>
        </w:rPr>
      </w:pPr>
    </w:p>
    <w:p>
      <w:pPr>
        <w:ind w:left="180" w:right="360" w:hanging="161"/>
        <w:spacing w:after="0" w:line="295" w:lineRule="auto"/>
        <w:rPr>
          <w:sz w:val="20"/>
          <w:szCs w:val="20"/>
          <w:color w:val="auto"/>
        </w:rPr>
      </w:pPr>
      <w:r>
        <w:rPr>
          <w:rFonts w:ascii="Arial" w:cs="Arial" w:eastAsia="Arial" w:hAnsi="Arial"/>
          <w:sz w:val="18"/>
          <w:szCs w:val="18"/>
          <w:color w:val="auto"/>
        </w:rPr>
        <w:t>• a pre-tax recovery of $4 million on the expected credit loss provision related to TGNH net investment in leases, net of</w:t>
      </w:r>
      <w:r>
        <w:rPr>
          <w:sz w:val="20"/>
          <w:szCs w:val="20"/>
          <w:color w:val="auto"/>
        </w:rPr>
        <w:t xml:space="preserve"> </w:t>
      </w:r>
      <w:r>
        <w:rPr>
          <w:rFonts w:ascii="Arial" w:cs="Arial" w:eastAsia="Arial" w:hAnsi="Arial"/>
          <w:sz w:val="18"/>
          <w:szCs w:val="18"/>
          <w:color w:val="auto"/>
        </w:rPr>
        <w:t>non-controlling interest as well as certain contract assets in Mexico.</w:t>
      </w: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Fourth quarter 2024 results</w:t>
      </w:r>
    </w:p>
    <w:p>
      <w:pPr>
        <w:spacing w:after="0" w:line="50" w:lineRule="exact"/>
        <w:rPr>
          <w:sz w:val="20"/>
          <w:szCs w:val="20"/>
          <w:color w:val="auto"/>
        </w:rPr>
      </w:pPr>
    </w:p>
    <w:p>
      <w:pPr>
        <w:ind w:left="180" w:right="280" w:hanging="172"/>
        <w:spacing w:after="0" w:line="305" w:lineRule="auto"/>
        <w:tabs>
          <w:tab w:leader="none" w:pos="148"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pre-tax net gain on debt extinguishment of $228 million related to the purchase and cancellation of certain senior unsecured notes and medium term notes and the retirement of outstanding callable notes in October 2024</w:t>
      </w:r>
    </w:p>
    <w:p>
      <w:pPr>
        <w:ind w:left="140" w:hanging="132"/>
        <w:spacing w:after="0"/>
        <w:tabs>
          <w:tab w:leader="none" w:pos="1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pre-tax unrealized foreign exchange gains, net of $143 million on the peso-denominated intercompany loan between TCPL and TGNH, net</w:t>
      </w:r>
    </w:p>
    <w:p>
      <w:pPr>
        <w:spacing w:after="0" w:line="5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of non-controlling interest</w:t>
      </w:r>
    </w:p>
    <w:p>
      <w:pPr>
        <w:spacing w:after="0" w:line="50" w:lineRule="exact"/>
        <w:rPr>
          <w:sz w:val="20"/>
          <w:szCs w:val="20"/>
          <w:color w:val="auto"/>
        </w:rPr>
      </w:pPr>
    </w:p>
    <w:p>
      <w:pPr>
        <w:ind w:left="180" w:right="360" w:hanging="161"/>
        <w:spacing w:after="0" w:line="295" w:lineRule="auto"/>
        <w:rPr>
          <w:sz w:val="20"/>
          <w:szCs w:val="20"/>
          <w:color w:val="auto"/>
        </w:rPr>
      </w:pPr>
      <w:r>
        <w:rPr>
          <w:rFonts w:ascii="Arial" w:cs="Arial" w:eastAsia="Arial" w:hAnsi="Arial"/>
          <w:sz w:val="18"/>
          <w:szCs w:val="18"/>
          <w:color w:val="auto"/>
        </w:rPr>
        <w:t>• a pre-tax recovery of $3 million on the expected credit loss provision related to TGNH net investment in leases, net of</w:t>
      </w:r>
      <w:r>
        <w:rPr>
          <w:sz w:val="20"/>
          <w:szCs w:val="20"/>
          <w:color w:val="auto"/>
        </w:rPr>
        <w:t xml:space="preserve"> </w:t>
      </w:r>
      <w:r>
        <w:rPr>
          <w:rFonts w:ascii="Arial" w:cs="Arial" w:eastAsia="Arial" w:hAnsi="Arial"/>
          <w:sz w:val="18"/>
          <w:szCs w:val="18"/>
          <w:color w:val="auto"/>
        </w:rPr>
        <w:t>non-controlling interest as well as certain contract assets in Mexico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TC Energy </w:t>
      </w:r>
      <w:r>
        <w:rPr>
          <w:rFonts w:ascii="Arial" w:cs="Arial" w:eastAsia="Arial" w:hAnsi="Arial"/>
          <w:sz w:val="18"/>
          <w:szCs w:val="18"/>
          <w:b w:val="1"/>
          <w:bCs w:val="1"/>
          <w:color w:val="0D64EF"/>
        </w:rPr>
        <w:t>Fourth Quarter</w:t>
      </w:r>
      <w:r>
        <w:rPr>
          <w:rFonts w:ascii="Arial" w:cs="Arial" w:eastAsia="Arial" w:hAnsi="Arial"/>
          <w:sz w:val="18"/>
          <w:szCs w:val="18"/>
          <w:color w:val="auto"/>
        </w:rPr>
        <w:t xml:space="preserve"> News Release 2025 | 7</w:t>
      </w:r>
    </w:p>
    <w:p>
      <w:pPr>
        <w:sectPr>
          <w:pgSz w:w="11900" w:h="16838" w:orient="portrait"/>
          <w:cols w:equalWidth="0" w:num="1">
            <w:col w:w="11240"/>
          </w:cols>
          <w:pgMar w:left="320" w:top="1304" w:right="339" w:bottom="1440" w:gutter="0" w:footer="0" w:header="0"/>
        </w:sectPr>
      </w:pPr>
    </w:p>
    <w:bookmarkStart w:id="20" w:name="page21"/>
    <w:bookmarkEnd w:id="20"/>
    <w:p>
      <w:pPr>
        <w:ind w:left="180" w:right="680" w:hanging="172"/>
        <w:spacing w:after="0" w:line="297" w:lineRule="auto"/>
        <w:tabs>
          <w:tab w:leader="none" w:pos="148"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deferred income tax expense of $96 million resulting from the revaluation of remaining deferred tax balances following the Spinoff Transaction</w:t>
      </w:r>
    </w:p>
    <w:p>
      <w:pPr>
        <w:ind w:left="180" w:right="160" w:hanging="172"/>
        <w:spacing w:after="0" w:line="305" w:lineRule="auto"/>
        <w:tabs>
          <w:tab w:leader="none" w:pos="148"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pre-tax impairment charge of $36 million for a Power and Energy Solutions project following our decision to discontinue development as we refocus our Power and Energy Solutions strategy</w:t>
      </w:r>
    </w:p>
    <w:p>
      <w:pPr>
        <w:ind w:left="140" w:hanging="132"/>
        <w:spacing w:after="0"/>
        <w:tabs>
          <w:tab w:leader="none" w:pos="1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pre-tax expense of $9 million related to Focus Project costs.</w:t>
      </w:r>
    </w:p>
    <w:p>
      <w:pPr>
        <w:spacing w:after="0" w:line="193" w:lineRule="exact"/>
        <w:rPr>
          <w:sz w:val="20"/>
          <w:szCs w:val="20"/>
          <w:color w:val="auto"/>
        </w:rPr>
      </w:pPr>
    </w:p>
    <w:p>
      <w:pPr>
        <w:ind w:right="440"/>
        <w:spacing w:after="0" w:line="308" w:lineRule="auto"/>
        <w:rPr>
          <w:sz w:val="20"/>
          <w:szCs w:val="20"/>
          <w:color w:val="auto"/>
        </w:rPr>
      </w:pPr>
      <w:r>
        <w:rPr>
          <w:rFonts w:ascii="Arial" w:cs="Arial" w:eastAsia="Arial" w:hAnsi="Arial"/>
          <w:sz w:val="20"/>
          <w:szCs w:val="20"/>
          <w:b w:val="1"/>
          <w:bCs w:val="1"/>
          <w:color w:val="0D64EF"/>
        </w:rPr>
        <w:t>RECONCILIATION OF NET INCOME (LOSS) ATTRIBUTABLE TO COMMON SHARES TO COMPARABLE EARNINGS - FROM CONTINUING OPERATIONS</w:t>
      </w:r>
    </w:p>
    <w:tbl>
      <w:tblPr>
        <w:tblLayout w:type="fixed"/>
        <w:tblInd w:w="0" w:type="dxa"/>
        <w:tblCellMar>
          <w:top w:w="0" w:type="dxa"/>
          <w:left w:w="0" w:type="dxa"/>
          <w:bottom w:w="0" w:type="dxa"/>
          <w:right w:w="0" w:type="dxa"/>
        </w:tblCellMar>
      </w:tblPr>
      <w:tr>
        <w:trPr>
          <w:trHeight w:val="182"/>
        </w:trPr>
        <w:tc>
          <w:tcPr>
            <w:tcW w:w="5660" w:type="dxa"/>
            <w:vAlign w:val="bottom"/>
            <w:tcBorders>
              <w:top w:val="single" w:sz="8" w:color="0D64EF"/>
            </w:tcBorders>
            <w:shd w:val="clear" w:color="auto" w:fill="D1D0CF"/>
          </w:tcPr>
          <w:p>
            <w:pPr>
              <w:spacing w:after="0"/>
              <w:rPr>
                <w:sz w:val="15"/>
                <w:szCs w:val="15"/>
                <w:color w:val="auto"/>
              </w:rPr>
            </w:pPr>
          </w:p>
        </w:tc>
        <w:tc>
          <w:tcPr>
            <w:tcW w:w="120" w:type="dxa"/>
            <w:vAlign w:val="bottom"/>
            <w:tcBorders>
              <w:top w:val="single" w:sz="8" w:color="0D64EF"/>
            </w:tcBorders>
            <w:shd w:val="clear" w:color="auto" w:fill="D1D0CF"/>
          </w:tcPr>
          <w:p>
            <w:pPr>
              <w:spacing w:after="0"/>
              <w:rPr>
                <w:sz w:val="15"/>
                <w:szCs w:val="15"/>
                <w:color w:val="auto"/>
              </w:rPr>
            </w:pPr>
          </w:p>
        </w:tc>
        <w:tc>
          <w:tcPr>
            <w:tcW w:w="2140" w:type="dxa"/>
            <w:vAlign w:val="bottom"/>
            <w:tcBorders>
              <w:top w:val="single" w:sz="8" w:color="0D64EF"/>
            </w:tcBorders>
            <w:shd w:val="clear" w:color="auto" w:fill="D1D0CF"/>
          </w:tcPr>
          <w:p>
            <w:pPr>
              <w:jc w:val="right"/>
              <w:spacing w:after="0" w:line="182" w:lineRule="exact"/>
              <w:rPr>
                <w:sz w:val="20"/>
                <w:szCs w:val="20"/>
                <w:color w:val="auto"/>
              </w:rPr>
            </w:pPr>
            <w:r>
              <w:rPr>
                <w:rFonts w:ascii="Arial" w:cs="Arial" w:eastAsia="Arial" w:hAnsi="Arial"/>
                <w:sz w:val="16"/>
                <w:szCs w:val="16"/>
                <w:b w:val="1"/>
                <w:bCs w:val="1"/>
                <w:color w:val="auto"/>
              </w:rPr>
              <w:t>three months ended</w:t>
            </w:r>
          </w:p>
        </w:tc>
        <w:tc>
          <w:tcPr>
            <w:tcW w:w="520" w:type="dxa"/>
            <w:vAlign w:val="bottom"/>
            <w:tcBorders>
              <w:top w:val="single" w:sz="8" w:color="0D64EF"/>
            </w:tcBorders>
            <w:shd w:val="clear" w:color="auto" w:fill="D1D0CF"/>
          </w:tcPr>
          <w:p>
            <w:pPr>
              <w:spacing w:after="0"/>
              <w:rPr>
                <w:sz w:val="15"/>
                <w:szCs w:val="15"/>
                <w:color w:val="auto"/>
              </w:rPr>
            </w:pPr>
          </w:p>
        </w:tc>
        <w:tc>
          <w:tcPr>
            <w:tcW w:w="120" w:type="dxa"/>
            <w:vAlign w:val="bottom"/>
            <w:tcBorders>
              <w:top w:val="single" w:sz="8" w:color="0D64EF"/>
            </w:tcBorders>
            <w:shd w:val="clear" w:color="auto" w:fill="D1D0CF"/>
          </w:tcPr>
          <w:p>
            <w:pPr>
              <w:spacing w:after="0"/>
              <w:rPr>
                <w:sz w:val="15"/>
                <w:szCs w:val="15"/>
                <w:color w:val="auto"/>
              </w:rPr>
            </w:pPr>
          </w:p>
        </w:tc>
        <w:tc>
          <w:tcPr>
            <w:tcW w:w="2020" w:type="dxa"/>
            <w:vAlign w:val="bottom"/>
            <w:tcBorders>
              <w:top w:val="single" w:sz="8" w:color="0D64EF"/>
            </w:tcBorders>
            <w:shd w:val="clear" w:color="auto" w:fill="D1D0CF"/>
          </w:tcPr>
          <w:p>
            <w:pPr>
              <w:jc w:val="right"/>
              <w:ind w:right="199"/>
              <w:spacing w:after="0" w:line="182" w:lineRule="exact"/>
              <w:rPr>
                <w:sz w:val="20"/>
                <w:szCs w:val="20"/>
                <w:color w:val="auto"/>
              </w:rPr>
            </w:pPr>
            <w:r>
              <w:rPr>
                <w:rFonts w:ascii="Arial" w:cs="Arial" w:eastAsia="Arial" w:hAnsi="Arial"/>
                <w:sz w:val="16"/>
                <w:szCs w:val="16"/>
                <w:b w:val="1"/>
                <w:bCs w:val="1"/>
                <w:color w:val="auto"/>
              </w:rPr>
              <w:t>year ended</w:t>
            </w:r>
          </w:p>
        </w:tc>
        <w:tc>
          <w:tcPr>
            <w:tcW w:w="660" w:type="dxa"/>
            <w:vAlign w:val="bottom"/>
            <w:tcBorders>
              <w:top w:val="single" w:sz="8" w:color="0D64EF"/>
            </w:tcBorders>
            <w:shd w:val="clear" w:color="auto" w:fill="D1D0CF"/>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5660" w:type="dxa"/>
            <w:vAlign w:val="bottom"/>
            <w:tcBorders>
              <w:bottom w:val="single" w:sz="8" w:color="D1D0CF"/>
            </w:tcBorders>
            <w:shd w:val="clear" w:color="auto" w:fill="D1D0CF"/>
          </w:tcPr>
          <w:p>
            <w:pPr>
              <w:spacing w:after="0"/>
              <w:rPr>
                <w:sz w:val="18"/>
                <w:szCs w:val="18"/>
                <w:color w:val="auto"/>
              </w:rPr>
            </w:pPr>
          </w:p>
        </w:tc>
        <w:tc>
          <w:tcPr>
            <w:tcW w:w="120" w:type="dxa"/>
            <w:vAlign w:val="bottom"/>
            <w:tcBorders>
              <w:bottom w:val="single" w:sz="8" w:color="D1D0CF"/>
            </w:tcBorders>
            <w:shd w:val="clear" w:color="auto" w:fill="D1D0CF"/>
          </w:tcPr>
          <w:p>
            <w:pPr>
              <w:spacing w:after="0"/>
              <w:rPr>
                <w:sz w:val="18"/>
                <w:szCs w:val="18"/>
                <w:color w:val="auto"/>
              </w:rPr>
            </w:pPr>
          </w:p>
        </w:tc>
        <w:tc>
          <w:tcPr>
            <w:tcW w:w="2140" w:type="dxa"/>
            <w:vAlign w:val="bottom"/>
            <w:tcBorders>
              <w:bottom w:val="single" w:sz="8" w:color="0D64EF"/>
            </w:tcBorders>
            <w:shd w:val="clear" w:color="auto" w:fill="D1D0CF"/>
          </w:tcPr>
          <w:p>
            <w:pPr>
              <w:jc w:val="right"/>
              <w:ind w:right="219"/>
              <w:spacing w:after="0"/>
              <w:rPr>
                <w:sz w:val="20"/>
                <w:szCs w:val="20"/>
                <w:color w:val="auto"/>
              </w:rPr>
            </w:pPr>
            <w:r>
              <w:rPr>
                <w:rFonts w:ascii="Arial" w:cs="Arial" w:eastAsia="Arial" w:hAnsi="Arial"/>
                <w:sz w:val="16"/>
                <w:szCs w:val="16"/>
                <w:b w:val="1"/>
                <w:bCs w:val="1"/>
                <w:color w:val="auto"/>
              </w:rPr>
              <w:t>December 31</w:t>
            </w:r>
          </w:p>
        </w:tc>
        <w:tc>
          <w:tcPr>
            <w:tcW w:w="520" w:type="dxa"/>
            <w:vAlign w:val="bottom"/>
            <w:tcBorders>
              <w:bottom w:val="single" w:sz="8" w:color="0D64EF"/>
            </w:tcBorders>
            <w:shd w:val="clear" w:color="auto" w:fill="D1D0CF"/>
          </w:tcPr>
          <w:p>
            <w:pPr>
              <w:spacing w:after="0"/>
              <w:rPr>
                <w:sz w:val="18"/>
                <w:szCs w:val="18"/>
                <w:color w:val="auto"/>
              </w:rPr>
            </w:pPr>
          </w:p>
        </w:tc>
        <w:tc>
          <w:tcPr>
            <w:tcW w:w="120" w:type="dxa"/>
            <w:vAlign w:val="bottom"/>
            <w:tcBorders>
              <w:bottom w:val="single" w:sz="8" w:color="D1D0CF"/>
            </w:tcBorders>
            <w:shd w:val="clear" w:color="auto" w:fill="D1D0CF"/>
          </w:tcPr>
          <w:p>
            <w:pPr>
              <w:spacing w:after="0"/>
              <w:rPr>
                <w:sz w:val="18"/>
                <w:szCs w:val="18"/>
                <w:color w:val="auto"/>
              </w:rPr>
            </w:pPr>
          </w:p>
        </w:tc>
        <w:tc>
          <w:tcPr>
            <w:tcW w:w="2020" w:type="dxa"/>
            <w:vAlign w:val="bottom"/>
            <w:tcBorders>
              <w:bottom w:val="single" w:sz="8" w:color="0D64EF"/>
            </w:tcBorders>
            <w:shd w:val="clear" w:color="auto" w:fill="D1D0CF"/>
          </w:tcPr>
          <w:p>
            <w:pPr>
              <w:jc w:val="right"/>
              <w:ind w:right="99"/>
              <w:spacing w:after="0"/>
              <w:rPr>
                <w:sz w:val="20"/>
                <w:szCs w:val="20"/>
                <w:color w:val="auto"/>
              </w:rPr>
            </w:pPr>
            <w:r>
              <w:rPr>
                <w:rFonts w:ascii="Arial" w:cs="Arial" w:eastAsia="Arial" w:hAnsi="Arial"/>
                <w:sz w:val="16"/>
                <w:szCs w:val="16"/>
                <w:b w:val="1"/>
                <w:bCs w:val="1"/>
                <w:color w:val="auto"/>
              </w:rPr>
              <w:t>December 31</w:t>
            </w:r>
          </w:p>
        </w:tc>
        <w:tc>
          <w:tcPr>
            <w:tcW w:w="660" w:type="dxa"/>
            <w:vAlign w:val="bottom"/>
            <w:tcBorders>
              <w:bottom w:val="single" w:sz="8" w:color="0D64EF"/>
            </w:tcBorders>
            <w:shd w:val="clear" w:color="auto" w:fill="D1D0C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5660" w:type="dxa"/>
            <w:vAlign w:val="bottom"/>
            <w:tcBorders>
              <w:bottom w:val="single" w:sz="8" w:color="0D64EF"/>
            </w:tcBorders>
            <w:shd w:val="clear" w:color="auto" w:fill="D1D0CF"/>
          </w:tcPr>
          <w:p>
            <w:pPr>
              <w:ind w:left="20"/>
              <w:spacing w:after="0"/>
              <w:rPr>
                <w:sz w:val="20"/>
                <w:szCs w:val="20"/>
                <w:color w:val="auto"/>
              </w:rPr>
            </w:pPr>
            <w:r>
              <w:rPr>
                <w:rFonts w:ascii="Arial" w:cs="Arial" w:eastAsia="Arial" w:hAnsi="Arial"/>
                <w:sz w:val="16"/>
                <w:szCs w:val="16"/>
                <w:color w:val="auto"/>
              </w:rPr>
              <w:t>(millions of $, except per share amounts)</w:t>
            </w:r>
          </w:p>
        </w:tc>
        <w:tc>
          <w:tcPr>
            <w:tcW w:w="120" w:type="dxa"/>
            <w:vAlign w:val="bottom"/>
            <w:tcBorders>
              <w:bottom w:val="single" w:sz="8" w:color="0D64EF"/>
            </w:tcBorders>
            <w:shd w:val="clear" w:color="auto" w:fill="D1D0CF"/>
          </w:tcPr>
          <w:p>
            <w:pPr>
              <w:spacing w:after="0"/>
              <w:rPr>
                <w:sz w:val="19"/>
                <w:szCs w:val="19"/>
                <w:color w:val="auto"/>
              </w:rPr>
            </w:pPr>
          </w:p>
        </w:tc>
        <w:tc>
          <w:tcPr>
            <w:tcW w:w="2140" w:type="dxa"/>
            <w:vAlign w:val="bottom"/>
            <w:tcBorders>
              <w:bottom w:val="single" w:sz="8" w:color="0D64EF"/>
            </w:tcBorders>
            <w:shd w:val="clear" w:color="auto" w:fill="D1D0CF"/>
          </w:tcPr>
          <w:p>
            <w:pPr>
              <w:jc w:val="right"/>
              <w:ind w:right="799"/>
              <w:spacing w:after="0"/>
              <w:rPr>
                <w:sz w:val="20"/>
                <w:szCs w:val="20"/>
                <w:color w:val="auto"/>
              </w:rPr>
            </w:pPr>
            <w:r>
              <w:rPr>
                <w:rFonts w:ascii="Arial" w:cs="Arial" w:eastAsia="Arial" w:hAnsi="Arial"/>
                <w:sz w:val="16"/>
                <w:szCs w:val="16"/>
                <w:b w:val="1"/>
                <w:bCs w:val="1"/>
                <w:color w:val="auto"/>
              </w:rPr>
              <w:t>2025</w:t>
            </w:r>
          </w:p>
        </w:tc>
        <w:tc>
          <w:tcPr>
            <w:tcW w:w="520" w:type="dxa"/>
            <w:vAlign w:val="bottom"/>
            <w:tcBorders>
              <w:bottom w:val="single" w:sz="8" w:color="0D64EF"/>
            </w:tcBorders>
            <w:shd w:val="clear" w:color="auto" w:fill="D1D0CF"/>
          </w:tcPr>
          <w:p>
            <w:pPr>
              <w:jc w:val="right"/>
              <w:spacing w:after="0"/>
              <w:rPr>
                <w:sz w:val="20"/>
                <w:szCs w:val="20"/>
                <w:color w:val="auto"/>
              </w:rPr>
            </w:pPr>
            <w:r>
              <w:rPr>
                <w:rFonts w:ascii="Arial" w:cs="Arial" w:eastAsia="Arial" w:hAnsi="Arial"/>
                <w:sz w:val="16"/>
                <w:szCs w:val="16"/>
                <w:b w:val="1"/>
                <w:bCs w:val="1"/>
                <w:color w:val="auto"/>
              </w:rPr>
              <w:t>2024</w:t>
            </w:r>
          </w:p>
        </w:tc>
        <w:tc>
          <w:tcPr>
            <w:tcW w:w="120" w:type="dxa"/>
            <w:vAlign w:val="bottom"/>
            <w:tcBorders>
              <w:bottom w:val="single" w:sz="8" w:color="0D64EF"/>
            </w:tcBorders>
            <w:shd w:val="clear" w:color="auto" w:fill="D1D0CF"/>
          </w:tcPr>
          <w:p>
            <w:pPr>
              <w:spacing w:after="0"/>
              <w:rPr>
                <w:sz w:val="19"/>
                <w:szCs w:val="19"/>
                <w:color w:val="auto"/>
              </w:rPr>
            </w:pPr>
          </w:p>
        </w:tc>
        <w:tc>
          <w:tcPr>
            <w:tcW w:w="2020" w:type="dxa"/>
            <w:vAlign w:val="bottom"/>
            <w:tcBorders>
              <w:bottom w:val="single" w:sz="8" w:color="0D64EF"/>
            </w:tcBorders>
            <w:shd w:val="clear" w:color="auto" w:fill="D1D0CF"/>
          </w:tcPr>
          <w:p>
            <w:pPr>
              <w:jc w:val="right"/>
              <w:ind w:right="679"/>
              <w:spacing w:after="0"/>
              <w:rPr>
                <w:sz w:val="20"/>
                <w:szCs w:val="20"/>
                <w:color w:val="auto"/>
              </w:rPr>
            </w:pPr>
            <w:r>
              <w:rPr>
                <w:rFonts w:ascii="Arial" w:cs="Arial" w:eastAsia="Arial" w:hAnsi="Arial"/>
                <w:sz w:val="16"/>
                <w:szCs w:val="16"/>
                <w:b w:val="1"/>
                <w:bCs w:val="1"/>
                <w:color w:val="auto"/>
              </w:rPr>
              <w:t>2025</w:t>
            </w:r>
          </w:p>
        </w:tc>
        <w:tc>
          <w:tcPr>
            <w:tcW w:w="660" w:type="dxa"/>
            <w:vAlign w:val="bottom"/>
            <w:tcBorders>
              <w:bottom w:val="single" w:sz="8" w:color="0D64EF"/>
            </w:tcBorders>
            <w:shd w:val="clear" w:color="auto" w:fill="D1D0CF"/>
          </w:tcPr>
          <w:p>
            <w:pPr>
              <w:jc w:val="right"/>
              <w:spacing w:after="0"/>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226"/>
        </w:trPr>
        <w:tc>
          <w:tcPr>
            <w:tcW w:w="5660" w:type="dxa"/>
            <w:vAlign w:val="bottom"/>
          </w:tcPr>
          <w:p>
            <w:pPr>
              <w:ind w:left="20"/>
              <w:spacing w:after="0"/>
              <w:rPr>
                <w:sz w:val="20"/>
                <w:szCs w:val="20"/>
                <w:color w:val="auto"/>
              </w:rPr>
            </w:pPr>
            <w:r>
              <w:rPr>
                <w:rFonts w:ascii="Arial" w:cs="Arial" w:eastAsia="Arial" w:hAnsi="Arial"/>
                <w:sz w:val="16"/>
                <w:szCs w:val="16"/>
                <w:b w:val="1"/>
                <w:bCs w:val="1"/>
                <w:color w:val="0D64EF"/>
              </w:rPr>
              <w:t>Net income (loss) attributable to common shares from continuing</w:t>
            </w:r>
          </w:p>
        </w:tc>
        <w:tc>
          <w:tcPr>
            <w:tcW w:w="2260" w:type="dxa"/>
            <w:vAlign w:val="bottom"/>
            <w:gridSpan w:val="2"/>
            <w:vMerge w:val="restart"/>
          </w:tcPr>
          <w:p>
            <w:pPr>
              <w:jc w:val="right"/>
              <w:ind w:right="859"/>
              <w:spacing w:after="0"/>
              <w:rPr>
                <w:sz w:val="20"/>
                <w:szCs w:val="20"/>
                <w:color w:val="auto"/>
              </w:rPr>
            </w:pPr>
            <w:r>
              <w:rPr>
                <w:rFonts w:ascii="Arial" w:cs="Arial" w:eastAsia="Arial" w:hAnsi="Arial"/>
                <w:sz w:val="16"/>
                <w:szCs w:val="16"/>
                <w:b w:val="1"/>
                <w:bCs w:val="1"/>
                <w:color w:val="auto"/>
              </w:rPr>
              <w:t>959</w:t>
            </w:r>
          </w:p>
        </w:tc>
        <w:tc>
          <w:tcPr>
            <w:tcW w:w="520" w:type="dxa"/>
            <w:vAlign w:val="bottom"/>
            <w:vMerge w:val="restart"/>
          </w:tcPr>
          <w:p>
            <w:pPr>
              <w:jc w:val="right"/>
              <w:spacing w:after="0"/>
              <w:rPr>
                <w:sz w:val="20"/>
                <w:szCs w:val="20"/>
                <w:color w:val="auto"/>
              </w:rPr>
            </w:pPr>
            <w:r>
              <w:rPr>
                <w:rFonts w:ascii="Arial" w:cs="Arial" w:eastAsia="Arial" w:hAnsi="Arial"/>
                <w:sz w:val="16"/>
                <w:szCs w:val="16"/>
                <w:color w:val="auto"/>
              </w:rPr>
              <w:t>1,069</w:t>
            </w:r>
          </w:p>
        </w:tc>
        <w:tc>
          <w:tcPr>
            <w:tcW w:w="120" w:type="dxa"/>
            <w:vAlign w:val="bottom"/>
          </w:tcPr>
          <w:p>
            <w:pPr>
              <w:spacing w:after="0"/>
              <w:rPr>
                <w:sz w:val="19"/>
                <w:szCs w:val="19"/>
                <w:color w:val="auto"/>
              </w:rPr>
            </w:pPr>
          </w:p>
        </w:tc>
        <w:tc>
          <w:tcPr>
            <w:tcW w:w="2020" w:type="dxa"/>
            <w:vAlign w:val="bottom"/>
            <w:vMerge w:val="restart"/>
          </w:tcPr>
          <w:p>
            <w:pPr>
              <w:jc w:val="right"/>
              <w:ind w:right="739"/>
              <w:spacing w:after="0"/>
              <w:rPr>
                <w:sz w:val="20"/>
                <w:szCs w:val="20"/>
                <w:color w:val="auto"/>
              </w:rPr>
            </w:pPr>
            <w:r>
              <w:rPr>
                <w:rFonts w:ascii="Arial" w:cs="Arial" w:eastAsia="Arial" w:hAnsi="Arial"/>
                <w:sz w:val="16"/>
                <w:szCs w:val="16"/>
                <w:b w:val="1"/>
                <w:bCs w:val="1"/>
                <w:color w:val="auto"/>
              </w:rPr>
              <w:t>3,612</w:t>
            </w:r>
          </w:p>
        </w:tc>
        <w:tc>
          <w:tcPr>
            <w:tcW w:w="660" w:type="dxa"/>
            <w:vAlign w:val="bottom"/>
            <w:vMerge w:val="restart"/>
          </w:tcPr>
          <w:p>
            <w:pPr>
              <w:jc w:val="right"/>
              <w:spacing w:after="0"/>
              <w:rPr>
                <w:sz w:val="20"/>
                <w:szCs w:val="20"/>
                <w:color w:val="auto"/>
              </w:rPr>
            </w:pPr>
            <w:r>
              <w:rPr>
                <w:rFonts w:ascii="Arial" w:cs="Arial" w:eastAsia="Arial" w:hAnsi="Arial"/>
                <w:sz w:val="16"/>
                <w:szCs w:val="16"/>
                <w:color w:val="auto"/>
              </w:rPr>
              <w:t>4,199</w:t>
            </w:r>
          </w:p>
        </w:tc>
        <w:tc>
          <w:tcPr>
            <w:tcW w:w="0" w:type="dxa"/>
            <w:vAlign w:val="bottom"/>
          </w:tcPr>
          <w:p>
            <w:pPr>
              <w:spacing w:after="0"/>
              <w:rPr>
                <w:sz w:val="1"/>
                <w:szCs w:val="1"/>
                <w:color w:val="auto"/>
              </w:rPr>
            </w:pPr>
          </w:p>
        </w:tc>
      </w:tr>
      <w:tr>
        <w:trPr>
          <w:trHeight w:val="216"/>
        </w:trPr>
        <w:tc>
          <w:tcPr>
            <w:tcW w:w="5660" w:type="dxa"/>
            <w:vAlign w:val="bottom"/>
          </w:tcPr>
          <w:p>
            <w:pPr>
              <w:ind w:left="100"/>
              <w:spacing w:after="0"/>
              <w:rPr>
                <w:sz w:val="20"/>
                <w:szCs w:val="20"/>
                <w:color w:val="auto"/>
              </w:rPr>
            </w:pPr>
            <w:r>
              <w:rPr>
                <w:rFonts w:ascii="Arial" w:cs="Arial" w:eastAsia="Arial" w:hAnsi="Arial"/>
                <w:sz w:val="16"/>
                <w:szCs w:val="16"/>
                <w:b w:val="1"/>
                <w:bCs w:val="1"/>
                <w:color w:val="0D64EF"/>
              </w:rPr>
              <w:t>operations</w:t>
            </w:r>
          </w:p>
        </w:tc>
        <w:tc>
          <w:tcPr>
            <w:tcW w:w="2260" w:type="dxa"/>
            <w:vAlign w:val="bottom"/>
            <w:gridSpan w:val="2"/>
            <w:vMerge w:val="continue"/>
          </w:tcPr>
          <w:p>
            <w:pPr>
              <w:spacing w:after="0"/>
              <w:rPr>
                <w:sz w:val="18"/>
                <w:szCs w:val="18"/>
                <w:color w:val="auto"/>
              </w:rPr>
            </w:pPr>
          </w:p>
        </w:tc>
        <w:tc>
          <w:tcPr>
            <w:tcW w:w="5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vMerge w:val="continue"/>
          </w:tcPr>
          <w:p>
            <w:pPr>
              <w:spacing w:after="0"/>
              <w:rPr>
                <w:sz w:val="18"/>
                <w:szCs w:val="18"/>
                <w:color w:val="auto"/>
              </w:rPr>
            </w:pPr>
          </w:p>
        </w:tc>
        <w:tc>
          <w:tcPr>
            <w:tcW w:w="6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660" w:type="dxa"/>
            <w:vAlign w:val="bottom"/>
          </w:tcPr>
          <w:p>
            <w:pPr>
              <w:ind w:left="20"/>
              <w:spacing w:after="0"/>
              <w:rPr>
                <w:sz w:val="20"/>
                <w:szCs w:val="20"/>
                <w:color w:val="auto"/>
              </w:rPr>
            </w:pPr>
            <w:r>
              <w:rPr>
                <w:rFonts w:ascii="Arial" w:cs="Arial" w:eastAsia="Arial" w:hAnsi="Arial"/>
                <w:sz w:val="16"/>
                <w:szCs w:val="16"/>
                <w:b w:val="1"/>
                <w:bCs w:val="1"/>
                <w:color w:val="0D64EF"/>
              </w:rPr>
              <w:t>Specific items (pre tax):</w:t>
            </w:r>
          </w:p>
        </w:tc>
        <w:tc>
          <w:tcPr>
            <w:tcW w:w="12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60" w:type="dxa"/>
            <w:vAlign w:val="bottom"/>
          </w:tcPr>
          <w:p>
            <w:pPr>
              <w:ind w:left="100"/>
              <w:spacing w:after="0"/>
              <w:rPr>
                <w:sz w:val="20"/>
                <w:szCs w:val="20"/>
                <w:color w:val="auto"/>
              </w:rPr>
            </w:pPr>
            <w:r>
              <w:rPr>
                <w:rFonts w:ascii="Arial" w:cs="Arial" w:eastAsia="Arial" w:hAnsi="Arial"/>
                <w:sz w:val="16"/>
                <w:szCs w:val="16"/>
                <w:color w:val="auto"/>
              </w:rPr>
              <w:t>Power and Energy Solutions impairment charges</w:t>
            </w:r>
          </w:p>
        </w:tc>
        <w:tc>
          <w:tcPr>
            <w:tcW w:w="2260" w:type="dxa"/>
            <w:vAlign w:val="bottom"/>
            <w:gridSpan w:val="2"/>
          </w:tcPr>
          <w:p>
            <w:pPr>
              <w:jc w:val="right"/>
              <w:ind w:right="859"/>
              <w:spacing w:after="0"/>
              <w:rPr>
                <w:sz w:val="20"/>
                <w:szCs w:val="20"/>
                <w:color w:val="auto"/>
              </w:rPr>
            </w:pPr>
            <w:r>
              <w:rPr>
                <w:rFonts w:ascii="Arial" w:cs="Arial" w:eastAsia="Arial" w:hAnsi="Arial"/>
                <w:sz w:val="16"/>
                <w:szCs w:val="16"/>
                <w:b w:val="1"/>
                <w:bCs w:val="1"/>
                <w:color w:val="auto"/>
              </w:rPr>
              <w:t>110</w:t>
            </w:r>
          </w:p>
        </w:tc>
        <w:tc>
          <w:tcPr>
            <w:tcW w:w="520" w:type="dxa"/>
            <w:vAlign w:val="bottom"/>
          </w:tcPr>
          <w:p>
            <w:pPr>
              <w:jc w:val="right"/>
              <w:spacing w:after="0"/>
              <w:rPr>
                <w:sz w:val="20"/>
                <w:szCs w:val="20"/>
                <w:color w:val="auto"/>
              </w:rPr>
            </w:pPr>
            <w:r>
              <w:rPr>
                <w:rFonts w:ascii="Arial" w:cs="Arial" w:eastAsia="Arial" w:hAnsi="Arial"/>
                <w:sz w:val="16"/>
                <w:szCs w:val="16"/>
                <w:color w:val="auto"/>
              </w:rPr>
              <w:t>36</w:t>
            </w:r>
          </w:p>
        </w:tc>
        <w:tc>
          <w:tcPr>
            <w:tcW w:w="120" w:type="dxa"/>
            <w:vAlign w:val="bottom"/>
          </w:tcPr>
          <w:p>
            <w:pPr>
              <w:spacing w:after="0"/>
              <w:rPr>
                <w:sz w:val="19"/>
                <w:szCs w:val="19"/>
                <w:color w:val="auto"/>
              </w:rPr>
            </w:pPr>
          </w:p>
        </w:tc>
        <w:tc>
          <w:tcPr>
            <w:tcW w:w="2020" w:type="dxa"/>
            <w:vAlign w:val="bottom"/>
          </w:tcPr>
          <w:p>
            <w:pPr>
              <w:jc w:val="right"/>
              <w:ind w:right="739"/>
              <w:spacing w:after="0"/>
              <w:rPr>
                <w:sz w:val="20"/>
                <w:szCs w:val="20"/>
                <w:color w:val="auto"/>
              </w:rPr>
            </w:pPr>
            <w:r>
              <w:rPr>
                <w:rFonts w:ascii="Arial" w:cs="Arial" w:eastAsia="Arial" w:hAnsi="Arial"/>
                <w:sz w:val="16"/>
                <w:szCs w:val="16"/>
                <w:b w:val="1"/>
                <w:bCs w:val="1"/>
                <w:color w:val="auto"/>
              </w:rPr>
              <w:t>110</w:t>
            </w:r>
          </w:p>
        </w:tc>
        <w:tc>
          <w:tcPr>
            <w:tcW w:w="660" w:type="dxa"/>
            <w:vAlign w:val="bottom"/>
          </w:tcPr>
          <w:p>
            <w:pPr>
              <w:jc w:val="right"/>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236"/>
        </w:trPr>
        <w:tc>
          <w:tcPr>
            <w:tcW w:w="5660" w:type="dxa"/>
            <w:vAlign w:val="bottom"/>
          </w:tcPr>
          <w:p>
            <w:pPr>
              <w:ind w:left="100"/>
              <w:spacing w:after="0" w:line="236" w:lineRule="exact"/>
              <w:rPr>
                <w:sz w:val="20"/>
                <w:szCs w:val="20"/>
                <w:color w:val="auto"/>
              </w:rPr>
            </w:pPr>
            <w:r>
              <w:rPr>
                <w:rFonts w:ascii="Arial" w:cs="Arial" w:eastAsia="Arial" w:hAnsi="Arial"/>
                <w:sz w:val="16"/>
                <w:szCs w:val="16"/>
                <w:color w:val="auto"/>
              </w:rPr>
              <w:t>Foreign exchange (gains) losses, net – intercompany loan</w:t>
            </w:r>
            <w:r>
              <w:rPr>
                <w:rFonts w:ascii="Arial" w:cs="Arial" w:eastAsia="Arial" w:hAnsi="Arial"/>
                <w:sz w:val="21"/>
                <w:szCs w:val="21"/>
                <w:color w:val="auto"/>
                <w:vertAlign w:val="superscript"/>
              </w:rPr>
              <w:t>1</w:t>
            </w:r>
          </w:p>
        </w:tc>
        <w:tc>
          <w:tcPr>
            <w:tcW w:w="2260" w:type="dxa"/>
            <w:vAlign w:val="bottom"/>
            <w:gridSpan w:val="2"/>
          </w:tcPr>
          <w:p>
            <w:pPr>
              <w:jc w:val="right"/>
              <w:ind w:right="859"/>
              <w:spacing w:after="0"/>
              <w:rPr>
                <w:sz w:val="20"/>
                <w:szCs w:val="20"/>
                <w:color w:val="auto"/>
              </w:rPr>
            </w:pPr>
            <w:r>
              <w:rPr>
                <w:rFonts w:ascii="Arial" w:cs="Arial" w:eastAsia="Arial" w:hAnsi="Arial"/>
                <w:sz w:val="16"/>
                <w:szCs w:val="16"/>
                <w:b w:val="1"/>
                <w:bCs w:val="1"/>
                <w:color w:val="auto"/>
              </w:rPr>
              <w:t>47</w:t>
            </w:r>
          </w:p>
        </w:tc>
        <w:tc>
          <w:tcPr>
            <w:tcW w:w="520" w:type="dxa"/>
            <w:vAlign w:val="bottom"/>
          </w:tcPr>
          <w:p>
            <w:pPr>
              <w:jc w:val="right"/>
              <w:spacing w:after="0"/>
              <w:rPr>
                <w:sz w:val="20"/>
                <w:szCs w:val="20"/>
                <w:color w:val="auto"/>
              </w:rPr>
            </w:pPr>
            <w:r>
              <w:rPr>
                <w:rFonts w:ascii="Arial" w:cs="Arial" w:eastAsia="Arial" w:hAnsi="Arial"/>
                <w:sz w:val="16"/>
                <w:szCs w:val="16"/>
                <w:color w:val="auto"/>
              </w:rPr>
              <w:t>(143)</w:t>
            </w:r>
          </w:p>
        </w:tc>
        <w:tc>
          <w:tcPr>
            <w:tcW w:w="120" w:type="dxa"/>
            <w:vAlign w:val="bottom"/>
          </w:tcPr>
          <w:p>
            <w:pPr>
              <w:spacing w:after="0"/>
              <w:rPr>
                <w:sz w:val="20"/>
                <w:szCs w:val="20"/>
                <w:color w:val="auto"/>
              </w:rPr>
            </w:pPr>
          </w:p>
        </w:tc>
        <w:tc>
          <w:tcPr>
            <w:tcW w:w="2020" w:type="dxa"/>
            <w:vAlign w:val="bottom"/>
          </w:tcPr>
          <w:p>
            <w:pPr>
              <w:jc w:val="right"/>
              <w:ind w:right="739"/>
              <w:spacing w:after="0"/>
              <w:rPr>
                <w:sz w:val="20"/>
                <w:szCs w:val="20"/>
                <w:color w:val="auto"/>
              </w:rPr>
            </w:pPr>
            <w:r>
              <w:rPr>
                <w:rFonts w:ascii="Arial" w:cs="Arial" w:eastAsia="Arial" w:hAnsi="Arial"/>
                <w:sz w:val="16"/>
                <w:szCs w:val="16"/>
                <w:b w:val="1"/>
                <w:bCs w:val="1"/>
                <w:color w:val="auto"/>
              </w:rPr>
              <w:t>89</w:t>
            </w:r>
          </w:p>
        </w:tc>
        <w:tc>
          <w:tcPr>
            <w:tcW w:w="660" w:type="dxa"/>
            <w:vAlign w:val="bottom"/>
          </w:tcPr>
          <w:p>
            <w:pPr>
              <w:jc w:val="right"/>
              <w:spacing w:after="0"/>
              <w:rPr>
                <w:sz w:val="20"/>
                <w:szCs w:val="20"/>
                <w:color w:val="auto"/>
              </w:rPr>
            </w:pPr>
            <w:r>
              <w:rPr>
                <w:rFonts w:ascii="Arial" w:cs="Arial" w:eastAsia="Arial" w:hAnsi="Arial"/>
                <w:sz w:val="16"/>
                <w:szCs w:val="16"/>
                <w:color w:val="auto"/>
              </w:rPr>
              <w:t>(143)</w:t>
            </w:r>
          </w:p>
        </w:tc>
        <w:tc>
          <w:tcPr>
            <w:tcW w:w="0" w:type="dxa"/>
            <w:vAlign w:val="bottom"/>
          </w:tcPr>
          <w:p>
            <w:pPr>
              <w:spacing w:after="0"/>
              <w:rPr>
                <w:sz w:val="1"/>
                <w:szCs w:val="1"/>
                <w:color w:val="auto"/>
              </w:rPr>
            </w:pPr>
          </w:p>
        </w:tc>
      </w:tr>
      <w:tr>
        <w:trPr>
          <w:trHeight w:val="179"/>
        </w:trPr>
        <w:tc>
          <w:tcPr>
            <w:tcW w:w="5660" w:type="dxa"/>
            <w:vAlign w:val="bottom"/>
          </w:tcPr>
          <w:p>
            <w:pPr>
              <w:ind w:left="100"/>
              <w:spacing w:after="0" w:line="179" w:lineRule="exact"/>
              <w:rPr>
                <w:sz w:val="20"/>
                <w:szCs w:val="20"/>
                <w:color w:val="auto"/>
              </w:rPr>
            </w:pPr>
            <w:r>
              <w:rPr>
                <w:rFonts w:ascii="Arial" w:cs="Arial" w:eastAsia="Arial" w:hAnsi="Arial"/>
                <w:sz w:val="16"/>
                <w:szCs w:val="16"/>
                <w:color w:val="auto"/>
              </w:rPr>
              <w:t>Expected credit loss provision on net investment in leases and certain</w:t>
            </w:r>
          </w:p>
        </w:tc>
        <w:tc>
          <w:tcPr>
            <w:tcW w:w="2260" w:type="dxa"/>
            <w:vAlign w:val="bottom"/>
            <w:gridSpan w:val="2"/>
            <w:vMerge w:val="restart"/>
          </w:tcPr>
          <w:p>
            <w:pPr>
              <w:jc w:val="right"/>
              <w:ind w:right="819"/>
              <w:spacing w:after="0"/>
              <w:rPr>
                <w:sz w:val="20"/>
                <w:szCs w:val="20"/>
                <w:color w:val="auto"/>
              </w:rPr>
            </w:pPr>
            <w:r>
              <w:rPr>
                <w:rFonts w:ascii="Arial" w:cs="Arial" w:eastAsia="Arial" w:hAnsi="Arial"/>
                <w:sz w:val="16"/>
                <w:szCs w:val="16"/>
                <w:b w:val="1"/>
                <w:bCs w:val="1"/>
                <w:color w:val="auto"/>
              </w:rPr>
              <w:t>(4)</w:t>
            </w:r>
          </w:p>
        </w:tc>
        <w:tc>
          <w:tcPr>
            <w:tcW w:w="520" w:type="dxa"/>
            <w:vAlign w:val="bottom"/>
            <w:vMerge w:val="restart"/>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5"/>
                <w:szCs w:val="15"/>
                <w:color w:val="auto"/>
              </w:rPr>
            </w:pPr>
          </w:p>
        </w:tc>
        <w:tc>
          <w:tcPr>
            <w:tcW w:w="2020" w:type="dxa"/>
            <w:vAlign w:val="bottom"/>
            <w:vMerge w:val="restart"/>
          </w:tcPr>
          <w:p>
            <w:pPr>
              <w:jc w:val="right"/>
              <w:ind w:right="739"/>
              <w:spacing w:after="0"/>
              <w:rPr>
                <w:sz w:val="20"/>
                <w:szCs w:val="20"/>
                <w:color w:val="auto"/>
              </w:rPr>
            </w:pPr>
            <w:r>
              <w:rPr>
                <w:rFonts w:ascii="Arial" w:cs="Arial" w:eastAsia="Arial" w:hAnsi="Arial"/>
                <w:sz w:val="16"/>
                <w:szCs w:val="16"/>
                <w:b w:val="1"/>
                <w:bCs w:val="1"/>
                <w:color w:val="auto"/>
              </w:rPr>
              <w:t>75</w:t>
            </w:r>
          </w:p>
        </w:tc>
        <w:tc>
          <w:tcPr>
            <w:tcW w:w="660" w:type="dxa"/>
            <w:vAlign w:val="bottom"/>
            <w:vMerge w:val="restart"/>
          </w:tcPr>
          <w:p>
            <w:pPr>
              <w:jc w:val="right"/>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26"/>
        </w:trPr>
        <w:tc>
          <w:tcPr>
            <w:tcW w:w="5660" w:type="dxa"/>
            <w:vAlign w:val="bottom"/>
          </w:tcPr>
          <w:p>
            <w:pPr>
              <w:ind w:left="180"/>
              <w:spacing w:after="0" w:line="226" w:lineRule="exact"/>
              <w:rPr>
                <w:sz w:val="20"/>
                <w:szCs w:val="20"/>
                <w:color w:val="auto"/>
              </w:rPr>
            </w:pPr>
            <w:r>
              <w:rPr>
                <w:rFonts w:ascii="Arial" w:cs="Arial" w:eastAsia="Arial" w:hAnsi="Arial"/>
                <w:sz w:val="16"/>
                <w:szCs w:val="16"/>
                <w:color w:val="auto"/>
              </w:rPr>
              <w:t>contract assets in Mexico</w:t>
            </w:r>
            <w:r>
              <w:rPr>
                <w:rFonts w:ascii="Arial" w:cs="Arial" w:eastAsia="Arial" w:hAnsi="Arial"/>
                <w:sz w:val="21"/>
                <w:szCs w:val="21"/>
                <w:color w:val="auto"/>
                <w:vertAlign w:val="superscript"/>
              </w:rPr>
              <w:t>2</w:t>
            </w:r>
          </w:p>
        </w:tc>
        <w:tc>
          <w:tcPr>
            <w:tcW w:w="2260" w:type="dxa"/>
            <w:vAlign w:val="bottom"/>
            <w:gridSpan w:val="2"/>
            <w:vMerge w:val="continue"/>
          </w:tcPr>
          <w:p>
            <w:pPr>
              <w:spacing w:after="0"/>
              <w:rPr>
                <w:sz w:val="19"/>
                <w:szCs w:val="19"/>
                <w:color w:val="auto"/>
              </w:rPr>
            </w:pPr>
          </w:p>
        </w:tc>
        <w:tc>
          <w:tcPr>
            <w:tcW w:w="5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020" w:type="dxa"/>
            <w:vAlign w:val="bottom"/>
            <w:vMerge w:val="continue"/>
          </w:tcPr>
          <w:p>
            <w:pPr>
              <w:spacing w:after="0"/>
              <w:rPr>
                <w:sz w:val="19"/>
                <w:szCs w:val="19"/>
                <w:color w:val="auto"/>
              </w:rPr>
            </w:pPr>
          </w:p>
        </w:tc>
        <w:tc>
          <w:tcPr>
            <w:tcW w:w="6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60" w:type="dxa"/>
            <w:vAlign w:val="bottom"/>
          </w:tcPr>
          <w:p>
            <w:pPr>
              <w:ind w:left="100"/>
              <w:spacing w:after="0"/>
              <w:rPr>
                <w:sz w:val="20"/>
                <w:szCs w:val="20"/>
                <w:color w:val="auto"/>
              </w:rPr>
            </w:pPr>
            <w:r>
              <w:rPr>
                <w:rFonts w:ascii="Arial" w:cs="Arial" w:eastAsia="Arial" w:hAnsi="Arial"/>
                <w:sz w:val="16"/>
                <w:szCs w:val="16"/>
                <w:color w:val="auto"/>
              </w:rPr>
              <w:t>Gain on sale of PNGTS</w:t>
            </w:r>
          </w:p>
        </w:tc>
        <w:tc>
          <w:tcPr>
            <w:tcW w:w="120" w:type="dxa"/>
            <w:vAlign w:val="bottom"/>
          </w:tcPr>
          <w:p>
            <w:pPr>
              <w:spacing w:after="0"/>
              <w:rPr>
                <w:sz w:val="19"/>
                <w:szCs w:val="19"/>
                <w:color w:val="auto"/>
              </w:rPr>
            </w:pPr>
          </w:p>
        </w:tc>
        <w:tc>
          <w:tcPr>
            <w:tcW w:w="2140" w:type="dxa"/>
            <w:vAlign w:val="bottom"/>
          </w:tcPr>
          <w:p>
            <w:pPr>
              <w:jc w:val="right"/>
              <w:ind w:right="859"/>
              <w:spacing w:after="0"/>
              <w:rPr>
                <w:sz w:val="20"/>
                <w:szCs w:val="20"/>
                <w:color w:val="auto"/>
              </w:rPr>
            </w:pPr>
            <w:r>
              <w:rPr>
                <w:rFonts w:ascii="Arial" w:cs="Arial" w:eastAsia="Arial" w:hAnsi="Arial"/>
                <w:sz w:val="16"/>
                <w:szCs w:val="16"/>
                <w:b w:val="1"/>
                <w:bCs w:val="1"/>
                <w:color w:val="auto"/>
              </w:rPr>
              <w:t>—</w:t>
            </w:r>
          </w:p>
        </w:tc>
        <w:tc>
          <w:tcPr>
            <w:tcW w:w="6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20" w:type="dxa"/>
            <w:vAlign w:val="bottom"/>
          </w:tcPr>
          <w:p>
            <w:pPr>
              <w:jc w:val="right"/>
              <w:ind w:right="739"/>
              <w:spacing w:after="0"/>
              <w:rPr>
                <w:sz w:val="20"/>
                <w:szCs w:val="20"/>
                <w:color w:val="auto"/>
              </w:rPr>
            </w:pPr>
            <w:r>
              <w:rPr>
                <w:rFonts w:ascii="Arial" w:cs="Arial" w:eastAsia="Arial" w:hAnsi="Arial"/>
                <w:sz w:val="16"/>
                <w:szCs w:val="16"/>
                <w:b w:val="1"/>
                <w:bCs w:val="1"/>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(572)</w:t>
            </w:r>
          </w:p>
        </w:tc>
        <w:tc>
          <w:tcPr>
            <w:tcW w:w="0" w:type="dxa"/>
            <w:vAlign w:val="bottom"/>
          </w:tcPr>
          <w:p>
            <w:pPr>
              <w:spacing w:after="0"/>
              <w:rPr>
                <w:sz w:val="1"/>
                <w:szCs w:val="1"/>
                <w:color w:val="auto"/>
              </w:rPr>
            </w:pPr>
          </w:p>
        </w:tc>
      </w:tr>
      <w:tr>
        <w:trPr>
          <w:trHeight w:val="236"/>
        </w:trPr>
        <w:tc>
          <w:tcPr>
            <w:tcW w:w="5660" w:type="dxa"/>
            <w:vAlign w:val="bottom"/>
          </w:tcPr>
          <w:p>
            <w:pPr>
              <w:ind w:left="100"/>
              <w:spacing w:after="0" w:line="236" w:lineRule="exact"/>
              <w:rPr>
                <w:sz w:val="20"/>
                <w:szCs w:val="20"/>
                <w:color w:val="auto"/>
              </w:rPr>
            </w:pPr>
            <w:r>
              <w:rPr>
                <w:rFonts w:ascii="Arial" w:cs="Arial" w:eastAsia="Arial" w:hAnsi="Arial"/>
                <w:sz w:val="16"/>
                <w:szCs w:val="16"/>
                <w:color w:val="auto"/>
              </w:rPr>
              <w:t>Net gain on debt extinguishment</w:t>
            </w:r>
            <w:r>
              <w:rPr>
                <w:rFonts w:ascii="Arial" w:cs="Arial" w:eastAsia="Arial" w:hAnsi="Arial"/>
                <w:sz w:val="21"/>
                <w:szCs w:val="21"/>
                <w:color w:val="auto"/>
                <w:vertAlign w:val="superscript"/>
              </w:rPr>
              <w:t>3</w:t>
            </w:r>
          </w:p>
        </w:tc>
        <w:tc>
          <w:tcPr>
            <w:tcW w:w="120" w:type="dxa"/>
            <w:vAlign w:val="bottom"/>
          </w:tcPr>
          <w:p>
            <w:pPr>
              <w:spacing w:after="0"/>
              <w:rPr>
                <w:sz w:val="20"/>
                <w:szCs w:val="20"/>
                <w:color w:val="auto"/>
              </w:rPr>
            </w:pPr>
          </w:p>
        </w:tc>
        <w:tc>
          <w:tcPr>
            <w:tcW w:w="2140" w:type="dxa"/>
            <w:vAlign w:val="bottom"/>
          </w:tcPr>
          <w:p>
            <w:pPr>
              <w:jc w:val="right"/>
              <w:ind w:right="859"/>
              <w:spacing w:after="0"/>
              <w:rPr>
                <w:sz w:val="20"/>
                <w:szCs w:val="20"/>
                <w:color w:val="auto"/>
              </w:rPr>
            </w:pPr>
            <w:r>
              <w:rPr>
                <w:rFonts w:ascii="Arial" w:cs="Arial" w:eastAsia="Arial" w:hAnsi="Arial"/>
                <w:sz w:val="16"/>
                <w:szCs w:val="16"/>
                <w:b w:val="1"/>
                <w:bCs w:val="1"/>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(228)</w:t>
            </w:r>
          </w:p>
        </w:tc>
        <w:tc>
          <w:tcPr>
            <w:tcW w:w="120" w:type="dxa"/>
            <w:vAlign w:val="bottom"/>
          </w:tcPr>
          <w:p>
            <w:pPr>
              <w:spacing w:after="0"/>
              <w:rPr>
                <w:sz w:val="20"/>
                <w:szCs w:val="20"/>
                <w:color w:val="auto"/>
              </w:rPr>
            </w:pPr>
          </w:p>
        </w:tc>
        <w:tc>
          <w:tcPr>
            <w:tcW w:w="2020" w:type="dxa"/>
            <w:vAlign w:val="bottom"/>
          </w:tcPr>
          <w:p>
            <w:pPr>
              <w:jc w:val="right"/>
              <w:ind w:right="739"/>
              <w:spacing w:after="0"/>
              <w:rPr>
                <w:sz w:val="20"/>
                <w:szCs w:val="20"/>
                <w:color w:val="auto"/>
              </w:rPr>
            </w:pPr>
            <w:r>
              <w:rPr>
                <w:rFonts w:ascii="Arial" w:cs="Arial" w:eastAsia="Arial" w:hAnsi="Arial"/>
                <w:sz w:val="16"/>
                <w:szCs w:val="16"/>
                <w:b w:val="1"/>
                <w:bCs w:val="1"/>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(228)</w:t>
            </w:r>
          </w:p>
        </w:tc>
        <w:tc>
          <w:tcPr>
            <w:tcW w:w="0" w:type="dxa"/>
            <w:vAlign w:val="bottom"/>
          </w:tcPr>
          <w:p>
            <w:pPr>
              <w:spacing w:after="0"/>
              <w:rPr>
                <w:sz w:val="1"/>
                <w:szCs w:val="1"/>
                <w:color w:val="auto"/>
              </w:rPr>
            </w:pPr>
          </w:p>
        </w:tc>
      </w:tr>
      <w:tr>
        <w:trPr>
          <w:trHeight w:val="223"/>
        </w:trPr>
        <w:tc>
          <w:tcPr>
            <w:tcW w:w="5660" w:type="dxa"/>
            <w:vAlign w:val="bottom"/>
          </w:tcPr>
          <w:p>
            <w:pPr>
              <w:ind w:left="100"/>
              <w:spacing w:after="0"/>
              <w:rPr>
                <w:sz w:val="20"/>
                <w:szCs w:val="20"/>
                <w:color w:val="auto"/>
              </w:rPr>
            </w:pPr>
            <w:r>
              <w:rPr>
                <w:rFonts w:ascii="Arial" w:cs="Arial" w:eastAsia="Arial" w:hAnsi="Arial"/>
                <w:sz w:val="16"/>
                <w:szCs w:val="16"/>
                <w:color w:val="auto"/>
              </w:rPr>
              <w:t>Gain on sale of non-core assets</w:t>
            </w:r>
          </w:p>
        </w:tc>
        <w:tc>
          <w:tcPr>
            <w:tcW w:w="120" w:type="dxa"/>
            <w:vAlign w:val="bottom"/>
          </w:tcPr>
          <w:p>
            <w:pPr>
              <w:spacing w:after="0"/>
              <w:rPr>
                <w:sz w:val="19"/>
                <w:szCs w:val="19"/>
                <w:color w:val="auto"/>
              </w:rPr>
            </w:pPr>
          </w:p>
        </w:tc>
        <w:tc>
          <w:tcPr>
            <w:tcW w:w="2140" w:type="dxa"/>
            <w:vAlign w:val="bottom"/>
          </w:tcPr>
          <w:p>
            <w:pPr>
              <w:jc w:val="right"/>
              <w:ind w:right="859"/>
              <w:spacing w:after="0"/>
              <w:rPr>
                <w:sz w:val="20"/>
                <w:szCs w:val="20"/>
                <w:color w:val="auto"/>
              </w:rPr>
            </w:pPr>
            <w:r>
              <w:rPr>
                <w:rFonts w:ascii="Arial" w:cs="Arial" w:eastAsia="Arial" w:hAnsi="Arial"/>
                <w:sz w:val="16"/>
                <w:szCs w:val="16"/>
                <w:b w:val="1"/>
                <w:bCs w:val="1"/>
                <w:color w:val="auto"/>
              </w:rPr>
              <w:t>—</w:t>
            </w:r>
          </w:p>
        </w:tc>
        <w:tc>
          <w:tcPr>
            <w:tcW w:w="6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20" w:type="dxa"/>
            <w:vAlign w:val="bottom"/>
          </w:tcPr>
          <w:p>
            <w:pPr>
              <w:jc w:val="right"/>
              <w:ind w:right="739"/>
              <w:spacing w:after="0"/>
              <w:rPr>
                <w:sz w:val="20"/>
                <w:szCs w:val="20"/>
                <w:color w:val="auto"/>
              </w:rPr>
            </w:pPr>
            <w:r>
              <w:rPr>
                <w:rFonts w:ascii="Arial" w:cs="Arial" w:eastAsia="Arial" w:hAnsi="Arial"/>
                <w:sz w:val="16"/>
                <w:szCs w:val="16"/>
                <w:b w:val="1"/>
                <w:bCs w:val="1"/>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230"/>
        </w:trPr>
        <w:tc>
          <w:tcPr>
            <w:tcW w:w="5660" w:type="dxa"/>
            <w:vAlign w:val="bottom"/>
          </w:tcPr>
          <w:p>
            <w:pPr>
              <w:ind w:left="100"/>
              <w:spacing w:after="0"/>
              <w:rPr>
                <w:sz w:val="20"/>
                <w:szCs w:val="20"/>
                <w:color w:val="auto"/>
              </w:rPr>
            </w:pPr>
            <w:r>
              <w:rPr>
                <w:rFonts w:ascii="Arial" w:cs="Arial" w:eastAsia="Arial" w:hAnsi="Arial"/>
                <w:sz w:val="16"/>
                <w:szCs w:val="16"/>
                <w:color w:val="auto"/>
              </w:rPr>
              <w:t>Third-party settlement</w:t>
            </w:r>
          </w:p>
        </w:tc>
        <w:tc>
          <w:tcPr>
            <w:tcW w:w="120" w:type="dxa"/>
            <w:vAlign w:val="bottom"/>
          </w:tcPr>
          <w:p>
            <w:pPr>
              <w:spacing w:after="0"/>
              <w:rPr>
                <w:sz w:val="19"/>
                <w:szCs w:val="19"/>
                <w:color w:val="auto"/>
              </w:rPr>
            </w:pPr>
          </w:p>
        </w:tc>
        <w:tc>
          <w:tcPr>
            <w:tcW w:w="2140" w:type="dxa"/>
            <w:vAlign w:val="bottom"/>
          </w:tcPr>
          <w:p>
            <w:pPr>
              <w:jc w:val="right"/>
              <w:ind w:right="859"/>
              <w:spacing w:after="0"/>
              <w:rPr>
                <w:sz w:val="20"/>
                <w:szCs w:val="20"/>
                <w:color w:val="auto"/>
              </w:rPr>
            </w:pPr>
            <w:r>
              <w:rPr>
                <w:rFonts w:ascii="Arial" w:cs="Arial" w:eastAsia="Arial" w:hAnsi="Arial"/>
                <w:sz w:val="16"/>
                <w:szCs w:val="16"/>
                <w:b w:val="1"/>
                <w:bCs w:val="1"/>
                <w:color w:val="auto"/>
              </w:rPr>
              <w:t>—</w:t>
            </w:r>
          </w:p>
        </w:tc>
        <w:tc>
          <w:tcPr>
            <w:tcW w:w="6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20" w:type="dxa"/>
            <w:vAlign w:val="bottom"/>
          </w:tcPr>
          <w:p>
            <w:pPr>
              <w:jc w:val="right"/>
              <w:ind w:right="739"/>
              <w:spacing w:after="0"/>
              <w:rPr>
                <w:sz w:val="20"/>
                <w:szCs w:val="20"/>
                <w:color w:val="auto"/>
              </w:rPr>
            </w:pPr>
            <w:r>
              <w:rPr>
                <w:rFonts w:ascii="Arial" w:cs="Arial" w:eastAsia="Arial" w:hAnsi="Arial"/>
                <w:sz w:val="16"/>
                <w:szCs w:val="16"/>
                <w:b w:val="1"/>
                <w:bCs w:val="1"/>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236"/>
        </w:trPr>
        <w:tc>
          <w:tcPr>
            <w:tcW w:w="5660" w:type="dxa"/>
            <w:vAlign w:val="bottom"/>
          </w:tcPr>
          <w:p>
            <w:pPr>
              <w:ind w:left="100"/>
              <w:spacing w:after="0" w:line="236" w:lineRule="exact"/>
              <w:rPr>
                <w:sz w:val="20"/>
                <w:szCs w:val="20"/>
                <w:color w:val="auto"/>
              </w:rPr>
            </w:pPr>
            <w:r>
              <w:rPr>
                <w:rFonts w:ascii="Arial" w:cs="Arial" w:eastAsia="Arial" w:hAnsi="Arial"/>
                <w:sz w:val="16"/>
                <w:szCs w:val="16"/>
                <w:color w:val="auto"/>
              </w:rPr>
              <w:t>Focus Project costs</w:t>
            </w:r>
            <w:r>
              <w:rPr>
                <w:rFonts w:ascii="Arial" w:cs="Arial" w:eastAsia="Arial" w:hAnsi="Arial"/>
                <w:sz w:val="21"/>
                <w:szCs w:val="21"/>
                <w:color w:val="auto"/>
                <w:vertAlign w:val="superscript"/>
              </w:rPr>
              <w:t>4</w:t>
            </w:r>
          </w:p>
        </w:tc>
        <w:tc>
          <w:tcPr>
            <w:tcW w:w="120" w:type="dxa"/>
            <w:vAlign w:val="bottom"/>
          </w:tcPr>
          <w:p>
            <w:pPr>
              <w:spacing w:after="0"/>
              <w:rPr>
                <w:sz w:val="20"/>
                <w:szCs w:val="20"/>
                <w:color w:val="auto"/>
              </w:rPr>
            </w:pPr>
          </w:p>
        </w:tc>
        <w:tc>
          <w:tcPr>
            <w:tcW w:w="2140" w:type="dxa"/>
            <w:vAlign w:val="bottom"/>
          </w:tcPr>
          <w:p>
            <w:pPr>
              <w:jc w:val="right"/>
              <w:ind w:right="859"/>
              <w:spacing w:after="0"/>
              <w:rPr>
                <w:sz w:val="20"/>
                <w:szCs w:val="20"/>
                <w:color w:val="auto"/>
              </w:rPr>
            </w:pPr>
            <w:r>
              <w:rPr>
                <w:rFonts w:ascii="Arial" w:cs="Arial" w:eastAsia="Arial" w:hAnsi="Arial"/>
                <w:sz w:val="16"/>
                <w:szCs w:val="16"/>
                <w:b w:val="1"/>
                <w:bCs w:val="1"/>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20"/>
                <w:szCs w:val="20"/>
                <w:color w:val="auto"/>
              </w:rPr>
            </w:pPr>
          </w:p>
        </w:tc>
        <w:tc>
          <w:tcPr>
            <w:tcW w:w="2020" w:type="dxa"/>
            <w:vAlign w:val="bottom"/>
          </w:tcPr>
          <w:p>
            <w:pPr>
              <w:jc w:val="right"/>
              <w:ind w:right="739"/>
              <w:spacing w:after="0"/>
              <w:rPr>
                <w:sz w:val="20"/>
                <w:szCs w:val="20"/>
                <w:color w:val="auto"/>
              </w:rPr>
            </w:pPr>
            <w:r>
              <w:rPr>
                <w:rFonts w:ascii="Arial" w:cs="Arial" w:eastAsia="Arial" w:hAnsi="Arial"/>
                <w:sz w:val="16"/>
                <w:szCs w:val="16"/>
                <w:b w:val="1"/>
                <w:bCs w:val="1"/>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23"/>
        </w:trPr>
        <w:tc>
          <w:tcPr>
            <w:tcW w:w="5660" w:type="dxa"/>
            <w:vAlign w:val="bottom"/>
          </w:tcPr>
          <w:p>
            <w:pPr>
              <w:ind w:left="100"/>
              <w:spacing w:after="0"/>
              <w:rPr>
                <w:sz w:val="20"/>
                <w:szCs w:val="20"/>
                <w:color w:val="auto"/>
              </w:rPr>
            </w:pPr>
            <w:r>
              <w:rPr>
                <w:rFonts w:ascii="Arial" w:cs="Arial" w:eastAsia="Arial" w:hAnsi="Arial"/>
                <w:sz w:val="16"/>
                <w:szCs w:val="16"/>
                <w:color w:val="auto"/>
              </w:rPr>
              <w:t>NGTL System ownership transfer costs</w:t>
            </w:r>
          </w:p>
        </w:tc>
        <w:tc>
          <w:tcPr>
            <w:tcW w:w="120" w:type="dxa"/>
            <w:vAlign w:val="bottom"/>
          </w:tcPr>
          <w:p>
            <w:pPr>
              <w:spacing w:after="0"/>
              <w:rPr>
                <w:sz w:val="19"/>
                <w:szCs w:val="19"/>
                <w:color w:val="auto"/>
              </w:rPr>
            </w:pPr>
          </w:p>
        </w:tc>
        <w:tc>
          <w:tcPr>
            <w:tcW w:w="2140" w:type="dxa"/>
            <w:vAlign w:val="bottom"/>
          </w:tcPr>
          <w:p>
            <w:pPr>
              <w:jc w:val="right"/>
              <w:ind w:right="859"/>
              <w:spacing w:after="0"/>
              <w:rPr>
                <w:sz w:val="20"/>
                <w:szCs w:val="20"/>
                <w:color w:val="auto"/>
              </w:rPr>
            </w:pPr>
            <w:r>
              <w:rPr>
                <w:rFonts w:ascii="Arial" w:cs="Arial" w:eastAsia="Arial" w:hAnsi="Arial"/>
                <w:sz w:val="16"/>
                <w:szCs w:val="16"/>
                <w:b w:val="1"/>
                <w:bCs w:val="1"/>
                <w:color w:val="auto"/>
              </w:rPr>
              <w:t>—</w:t>
            </w:r>
          </w:p>
        </w:tc>
        <w:tc>
          <w:tcPr>
            <w:tcW w:w="6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20" w:type="dxa"/>
            <w:vAlign w:val="bottom"/>
          </w:tcPr>
          <w:p>
            <w:pPr>
              <w:jc w:val="right"/>
              <w:ind w:right="739"/>
              <w:spacing w:after="0"/>
              <w:rPr>
                <w:sz w:val="20"/>
                <w:szCs w:val="20"/>
                <w:color w:val="auto"/>
              </w:rPr>
            </w:pPr>
            <w:r>
              <w:rPr>
                <w:rFonts w:ascii="Arial" w:cs="Arial" w:eastAsia="Arial" w:hAnsi="Arial"/>
                <w:sz w:val="16"/>
                <w:szCs w:val="16"/>
                <w:b w:val="1"/>
                <w:bCs w:val="1"/>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30"/>
        </w:trPr>
        <w:tc>
          <w:tcPr>
            <w:tcW w:w="5660" w:type="dxa"/>
            <w:vAlign w:val="bottom"/>
          </w:tcPr>
          <w:p>
            <w:pPr>
              <w:ind w:left="100"/>
              <w:spacing w:after="0"/>
              <w:rPr>
                <w:sz w:val="20"/>
                <w:szCs w:val="20"/>
                <w:color w:val="auto"/>
              </w:rPr>
            </w:pPr>
            <w:r>
              <w:rPr>
                <w:rFonts w:ascii="Arial" w:cs="Arial" w:eastAsia="Arial" w:hAnsi="Arial"/>
                <w:sz w:val="16"/>
                <w:szCs w:val="16"/>
                <w:color w:val="auto"/>
              </w:rPr>
              <w:t>Bruce Power unrealized fair value adjustments</w:t>
            </w:r>
          </w:p>
        </w:tc>
        <w:tc>
          <w:tcPr>
            <w:tcW w:w="2260" w:type="dxa"/>
            <w:vAlign w:val="bottom"/>
            <w:gridSpan w:val="2"/>
          </w:tcPr>
          <w:p>
            <w:pPr>
              <w:jc w:val="right"/>
              <w:ind w:right="819"/>
              <w:spacing w:after="0"/>
              <w:rPr>
                <w:sz w:val="20"/>
                <w:szCs w:val="20"/>
                <w:color w:val="auto"/>
              </w:rPr>
            </w:pPr>
            <w:r>
              <w:rPr>
                <w:rFonts w:ascii="Arial" w:cs="Arial" w:eastAsia="Arial" w:hAnsi="Arial"/>
                <w:sz w:val="16"/>
                <w:szCs w:val="16"/>
                <w:b w:val="1"/>
                <w:bCs w:val="1"/>
                <w:color w:val="auto"/>
              </w:rPr>
              <w:t>(4)</w:t>
            </w:r>
          </w:p>
        </w:tc>
        <w:tc>
          <w:tcPr>
            <w:tcW w:w="52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9"/>
                <w:szCs w:val="19"/>
                <w:color w:val="auto"/>
              </w:rPr>
            </w:pPr>
          </w:p>
        </w:tc>
        <w:tc>
          <w:tcPr>
            <w:tcW w:w="2020" w:type="dxa"/>
            <w:vAlign w:val="bottom"/>
          </w:tcPr>
          <w:p>
            <w:pPr>
              <w:jc w:val="right"/>
              <w:ind w:right="699"/>
              <w:spacing w:after="0"/>
              <w:rPr>
                <w:sz w:val="20"/>
                <w:szCs w:val="20"/>
                <w:color w:val="auto"/>
              </w:rPr>
            </w:pPr>
            <w:r>
              <w:rPr>
                <w:rFonts w:ascii="Arial" w:cs="Arial" w:eastAsia="Arial" w:hAnsi="Arial"/>
                <w:sz w:val="16"/>
                <w:szCs w:val="16"/>
                <w:b w:val="1"/>
                <w:bCs w:val="1"/>
                <w:color w:val="auto"/>
              </w:rPr>
              <w:t>(30)</w:t>
            </w:r>
          </w:p>
        </w:tc>
        <w:tc>
          <w:tcPr>
            <w:tcW w:w="660" w:type="dxa"/>
            <w:vAlign w:val="bottom"/>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36"/>
        </w:trPr>
        <w:tc>
          <w:tcPr>
            <w:tcW w:w="5660" w:type="dxa"/>
            <w:vAlign w:val="bottom"/>
          </w:tcPr>
          <w:p>
            <w:pPr>
              <w:ind w:left="100"/>
              <w:spacing w:after="0" w:line="236" w:lineRule="exact"/>
              <w:rPr>
                <w:sz w:val="20"/>
                <w:szCs w:val="20"/>
                <w:color w:val="auto"/>
              </w:rPr>
            </w:pPr>
            <w:r>
              <w:rPr>
                <w:rFonts w:ascii="Arial" w:cs="Arial" w:eastAsia="Arial" w:hAnsi="Arial"/>
                <w:sz w:val="16"/>
                <w:szCs w:val="16"/>
                <w:color w:val="auto"/>
              </w:rPr>
              <w:t>Risk management activities</w:t>
            </w:r>
            <w:r>
              <w:rPr>
                <w:rFonts w:ascii="Arial" w:cs="Arial" w:eastAsia="Arial" w:hAnsi="Arial"/>
                <w:sz w:val="21"/>
                <w:szCs w:val="21"/>
                <w:color w:val="auto"/>
                <w:vertAlign w:val="superscript"/>
              </w:rPr>
              <w:t>5</w:t>
            </w:r>
          </w:p>
        </w:tc>
        <w:tc>
          <w:tcPr>
            <w:tcW w:w="2260" w:type="dxa"/>
            <w:vAlign w:val="bottom"/>
            <w:gridSpan w:val="2"/>
          </w:tcPr>
          <w:p>
            <w:pPr>
              <w:jc w:val="right"/>
              <w:ind w:right="819"/>
              <w:spacing w:after="0"/>
              <w:rPr>
                <w:sz w:val="20"/>
                <w:szCs w:val="20"/>
                <w:color w:val="auto"/>
              </w:rPr>
            </w:pPr>
            <w:r>
              <w:rPr>
                <w:rFonts w:ascii="Arial" w:cs="Arial" w:eastAsia="Arial" w:hAnsi="Arial"/>
                <w:sz w:val="16"/>
                <w:szCs w:val="16"/>
                <w:b w:val="1"/>
                <w:bCs w:val="1"/>
                <w:color w:val="auto"/>
              </w:rPr>
              <w:t>(87)</w:t>
            </w:r>
          </w:p>
        </w:tc>
        <w:tc>
          <w:tcPr>
            <w:tcW w:w="520" w:type="dxa"/>
            <w:vAlign w:val="bottom"/>
          </w:tcPr>
          <w:p>
            <w:pPr>
              <w:jc w:val="right"/>
              <w:spacing w:after="0"/>
              <w:rPr>
                <w:sz w:val="20"/>
                <w:szCs w:val="20"/>
                <w:color w:val="auto"/>
              </w:rPr>
            </w:pPr>
            <w:r>
              <w:rPr>
                <w:rFonts w:ascii="Arial" w:cs="Arial" w:eastAsia="Arial" w:hAnsi="Arial"/>
                <w:sz w:val="16"/>
                <w:szCs w:val="16"/>
                <w:color w:val="auto"/>
              </w:rPr>
              <w:t>301</w:t>
            </w:r>
          </w:p>
        </w:tc>
        <w:tc>
          <w:tcPr>
            <w:tcW w:w="120" w:type="dxa"/>
            <w:vAlign w:val="bottom"/>
          </w:tcPr>
          <w:p>
            <w:pPr>
              <w:spacing w:after="0"/>
              <w:rPr>
                <w:sz w:val="20"/>
                <w:szCs w:val="20"/>
                <w:color w:val="auto"/>
              </w:rPr>
            </w:pPr>
          </w:p>
        </w:tc>
        <w:tc>
          <w:tcPr>
            <w:tcW w:w="2020" w:type="dxa"/>
            <w:vAlign w:val="bottom"/>
          </w:tcPr>
          <w:p>
            <w:pPr>
              <w:jc w:val="right"/>
              <w:ind w:right="699"/>
              <w:spacing w:after="0"/>
              <w:rPr>
                <w:sz w:val="20"/>
                <w:szCs w:val="20"/>
                <w:color w:val="auto"/>
              </w:rPr>
            </w:pPr>
            <w:r>
              <w:rPr>
                <w:rFonts w:ascii="Arial" w:cs="Arial" w:eastAsia="Arial" w:hAnsi="Arial"/>
                <w:sz w:val="16"/>
                <w:szCs w:val="16"/>
                <w:b w:val="1"/>
                <w:bCs w:val="1"/>
                <w:color w:val="auto"/>
              </w:rPr>
              <w:t>(228)</w:t>
            </w:r>
          </w:p>
        </w:tc>
        <w:tc>
          <w:tcPr>
            <w:tcW w:w="660" w:type="dxa"/>
            <w:vAlign w:val="bottom"/>
          </w:tcPr>
          <w:p>
            <w:pPr>
              <w:jc w:val="right"/>
              <w:spacing w:after="0"/>
              <w:rPr>
                <w:sz w:val="20"/>
                <w:szCs w:val="20"/>
                <w:color w:val="auto"/>
              </w:rPr>
            </w:pPr>
            <w:r>
              <w:rPr>
                <w:rFonts w:ascii="Arial" w:cs="Arial" w:eastAsia="Arial" w:hAnsi="Arial"/>
                <w:sz w:val="16"/>
                <w:szCs w:val="16"/>
                <w:color w:val="auto"/>
              </w:rPr>
              <w:t>433</w:t>
            </w:r>
          </w:p>
        </w:tc>
        <w:tc>
          <w:tcPr>
            <w:tcW w:w="0" w:type="dxa"/>
            <w:vAlign w:val="bottom"/>
          </w:tcPr>
          <w:p>
            <w:pPr>
              <w:spacing w:after="0"/>
              <w:rPr>
                <w:sz w:val="1"/>
                <w:szCs w:val="1"/>
                <w:color w:val="auto"/>
              </w:rPr>
            </w:pPr>
          </w:p>
        </w:tc>
      </w:tr>
      <w:tr>
        <w:trPr>
          <w:trHeight w:val="230"/>
        </w:trPr>
        <w:tc>
          <w:tcPr>
            <w:tcW w:w="5660" w:type="dxa"/>
            <w:vAlign w:val="bottom"/>
            <w:tcBorders>
              <w:bottom w:val="single" w:sz="8" w:color="auto"/>
            </w:tcBorders>
          </w:tcPr>
          <w:p>
            <w:pPr>
              <w:ind w:left="20"/>
              <w:spacing w:after="0" w:line="230" w:lineRule="exact"/>
              <w:rPr>
                <w:sz w:val="20"/>
                <w:szCs w:val="20"/>
                <w:color w:val="auto"/>
              </w:rPr>
            </w:pPr>
            <w:r>
              <w:rPr>
                <w:rFonts w:ascii="Arial" w:cs="Arial" w:eastAsia="Arial" w:hAnsi="Arial"/>
                <w:sz w:val="16"/>
                <w:szCs w:val="16"/>
                <w:b w:val="1"/>
                <w:bCs w:val="1"/>
                <w:color w:val="0D64EF"/>
              </w:rPr>
              <w:t>Taxes on specific items</w:t>
            </w:r>
            <w:r>
              <w:rPr>
                <w:rFonts w:ascii="Arial" w:cs="Arial" w:eastAsia="Arial" w:hAnsi="Arial"/>
                <w:sz w:val="21"/>
                <w:szCs w:val="21"/>
                <w:color w:val="000000"/>
                <w:vertAlign w:val="superscript"/>
              </w:rPr>
              <w:t>6</w:t>
            </w:r>
          </w:p>
        </w:tc>
        <w:tc>
          <w:tcPr>
            <w:tcW w:w="2260" w:type="dxa"/>
            <w:vAlign w:val="bottom"/>
            <w:tcBorders>
              <w:bottom w:val="single" w:sz="8" w:color="auto"/>
            </w:tcBorders>
            <w:gridSpan w:val="2"/>
          </w:tcPr>
          <w:p>
            <w:pPr>
              <w:jc w:val="right"/>
              <w:ind w:right="819"/>
              <w:spacing w:after="0"/>
              <w:rPr>
                <w:sz w:val="20"/>
                <w:szCs w:val="20"/>
                <w:color w:val="auto"/>
              </w:rPr>
            </w:pPr>
            <w:r>
              <w:rPr>
                <w:rFonts w:ascii="Arial" w:cs="Arial" w:eastAsia="Arial" w:hAnsi="Arial"/>
                <w:sz w:val="16"/>
                <w:szCs w:val="16"/>
                <w:b w:val="1"/>
                <w:bCs w:val="1"/>
                <w:color w:val="auto"/>
              </w:rPr>
              <w:t>(3)</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w:t>
            </w:r>
          </w:p>
        </w:tc>
        <w:tc>
          <w:tcPr>
            <w:tcW w:w="12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tcPr>
          <w:p>
            <w:pPr>
              <w:jc w:val="right"/>
              <w:ind w:right="739"/>
              <w:spacing w:after="0"/>
              <w:rPr>
                <w:sz w:val="20"/>
                <w:szCs w:val="20"/>
                <w:color w:val="auto"/>
              </w:rPr>
            </w:pPr>
            <w:r>
              <w:rPr>
                <w:rFonts w:ascii="Arial" w:cs="Arial" w:eastAsia="Arial" w:hAnsi="Arial"/>
                <w:sz w:val="16"/>
                <w:szCs w:val="16"/>
                <w:b w:val="1"/>
                <w:bCs w:val="1"/>
                <w:color w:val="auto"/>
              </w:rPr>
              <w:t>26</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w:t>
            </w:r>
          </w:p>
        </w:tc>
        <w:tc>
          <w:tcPr>
            <w:tcW w:w="0" w:type="dxa"/>
            <w:vAlign w:val="bottom"/>
          </w:tcPr>
          <w:p>
            <w:pPr>
              <w:spacing w:after="0"/>
              <w:rPr>
                <w:sz w:val="1"/>
                <w:szCs w:val="1"/>
                <w:color w:val="auto"/>
              </w:rPr>
            </w:pPr>
          </w:p>
        </w:tc>
      </w:tr>
      <w:tr>
        <w:trPr>
          <w:trHeight w:val="220"/>
        </w:trPr>
        <w:tc>
          <w:tcPr>
            <w:tcW w:w="56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0D64EF"/>
              </w:rPr>
              <w:t>Comparable earnings from continuing operations</w:t>
            </w:r>
          </w:p>
        </w:tc>
        <w:tc>
          <w:tcPr>
            <w:tcW w:w="2260" w:type="dxa"/>
            <w:vAlign w:val="bottom"/>
            <w:tcBorders>
              <w:bottom w:val="single" w:sz="8" w:color="auto"/>
            </w:tcBorders>
            <w:gridSpan w:val="2"/>
          </w:tcPr>
          <w:p>
            <w:pPr>
              <w:jc w:val="right"/>
              <w:ind w:right="859"/>
              <w:spacing w:after="0"/>
              <w:rPr>
                <w:sz w:val="20"/>
                <w:szCs w:val="20"/>
                <w:color w:val="auto"/>
              </w:rPr>
            </w:pPr>
            <w:r>
              <w:rPr>
                <w:rFonts w:ascii="Arial" w:cs="Arial" w:eastAsia="Arial" w:hAnsi="Arial"/>
                <w:sz w:val="16"/>
                <w:szCs w:val="16"/>
                <w:b w:val="1"/>
                <w:bCs w:val="1"/>
                <w:color w:val="auto"/>
              </w:rPr>
              <w:t>1,018</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1,094</w:t>
            </w:r>
          </w:p>
        </w:tc>
        <w:tc>
          <w:tcPr>
            <w:tcW w:w="12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ind w:right="739"/>
              <w:spacing w:after="0"/>
              <w:rPr>
                <w:sz w:val="20"/>
                <w:szCs w:val="20"/>
                <w:color w:val="auto"/>
              </w:rPr>
            </w:pPr>
            <w:r>
              <w:rPr>
                <w:rFonts w:ascii="Arial" w:cs="Arial" w:eastAsia="Arial" w:hAnsi="Arial"/>
                <w:sz w:val="16"/>
                <w:szCs w:val="16"/>
                <w:b w:val="1"/>
                <w:bCs w:val="1"/>
                <w:color w:val="auto"/>
              </w:rPr>
              <w:t>3,654</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3,865</w:t>
            </w:r>
          </w:p>
        </w:tc>
        <w:tc>
          <w:tcPr>
            <w:tcW w:w="0" w:type="dxa"/>
            <w:vAlign w:val="bottom"/>
          </w:tcPr>
          <w:p>
            <w:pPr>
              <w:spacing w:after="0"/>
              <w:rPr>
                <w:sz w:val="1"/>
                <w:szCs w:val="1"/>
                <w:color w:val="auto"/>
              </w:rPr>
            </w:pPr>
          </w:p>
        </w:tc>
      </w:tr>
      <w:tr>
        <w:trPr>
          <w:trHeight w:val="220"/>
        </w:trPr>
        <w:tc>
          <w:tcPr>
            <w:tcW w:w="5660" w:type="dxa"/>
            <w:vAlign w:val="bottom"/>
          </w:tcPr>
          <w:p>
            <w:pPr>
              <w:ind w:left="20"/>
              <w:spacing w:after="0"/>
              <w:rPr>
                <w:sz w:val="20"/>
                <w:szCs w:val="20"/>
                <w:color w:val="auto"/>
              </w:rPr>
            </w:pPr>
            <w:r>
              <w:rPr>
                <w:rFonts w:ascii="Arial" w:cs="Arial" w:eastAsia="Arial" w:hAnsi="Arial"/>
                <w:sz w:val="16"/>
                <w:szCs w:val="16"/>
                <w:b w:val="1"/>
                <w:bCs w:val="1"/>
                <w:color w:val="0D64EF"/>
              </w:rPr>
              <w:t>Net income (loss) per common share from continuing operations</w:t>
            </w:r>
          </w:p>
        </w:tc>
        <w:tc>
          <w:tcPr>
            <w:tcW w:w="2260" w:type="dxa"/>
            <w:vAlign w:val="bottom"/>
            <w:gridSpan w:val="2"/>
          </w:tcPr>
          <w:p>
            <w:pPr>
              <w:jc w:val="right"/>
              <w:ind w:right="859"/>
              <w:spacing w:after="0"/>
              <w:rPr>
                <w:sz w:val="20"/>
                <w:szCs w:val="20"/>
                <w:color w:val="auto"/>
              </w:rPr>
            </w:pPr>
            <w:r>
              <w:rPr>
                <w:rFonts w:ascii="Arial" w:cs="Arial" w:eastAsia="Arial" w:hAnsi="Arial"/>
                <w:sz w:val="16"/>
                <w:szCs w:val="16"/>
                <w:b w:val="1"/>
                <w:bCs w:val="1"/>
                <w:color w:val="auto"/>
              </w:rPr>
              <w:t>$0.92</w:t>
            </w:r>
          </w:p>
        </w:tc>
        <w:tc>
          <w:tcPr>
            <w:tcW w:w="520" w:type="dxa"/>
            <w:vAlign w:val="bottom"/>
          </w:tcPr>
          <w:p>
            <w:pPr>
              <w:jc w:val="right"/>
              <w:spacing w:after="0"/>
              <w:rPr>
                <w:sz w:val="20"/>
                <w:szCs w:val="20"/>
                <w:color w:val="auto"/>
              </w:rPr>
            </w:pPr>
            <w:r>
              <w:rPr>
                <w:rFonts w:ascii="Arial" w:cs="Arial" w:eastAsia="Arial" w:hAnsi="Arial"/>
                <w:sz w:val="16"/>
                <w:szCs w:val="16"/>
                <w:color w:val="auto"/>
              </w:rPr>
              <w:t>$1.03</w:t>
            </w:r>
          </w:p>
        </w:tc>
        <w:tc>
          <w:tcPr>
            <w:tcW w:w="120" w:type="dxa"/>
            <w:vAlign w:val="bottom"/>
          </w:tcPr>
          <w:p>
            <w:pPr>
              <w:spacing w:after="0"/>
              <w:rPr>
                <w:sz w:val="19"/>
                <w:szCs w:val="19"/>
                <w:color w:val="auto"/>
              </w:rPr>
            </w:pPr>
          </w:p>
        </w:tc>
        <w:tc>
          <w:tcPr>
            <w:tcW w:w="2020" w:type="dxa"/>
            <w:vAlign w:val="bottom"/>
          </w:tcPr>
          <w:p>
            <w:pPr>
              <w:jc w:val="right"/>
              <w:ind w:right="739"/>
              <w:spacing w:after="0"/>
              <w:rPr>
                <w:sz w:val="20"/>
                <w:szCs w:val="20"/>
                <w:color w:val="auto"/>
              </w:rPr>
            </w:pPr>
            <w:r>
              <w:rPr>
                <w:rFonts w:ascii="Arial" w:cs="Arial" w:eastAsia="Arial" w:hAnsi="Arial"/>
                <w:sz w:val="16"/>
                <w:szCs w:val="16"/>
                <w:b w:val="1"/>
                <w:bCs w:val="1"/>
                <w:color w:val="auto"/>
              </w:rPr>
              <w:t>$3.47</w:t>
            </w:r>
          </w:p>
        </w:tc>
        <w:tc>
          <w:tcPr>
            <w:tcW w:w="660" w:type="dxa"/>
            <w:vAlign w:val="bottom"/>
          </w:tcPr>
          <w:p>
            <w:pPr>
              <w:jc w:val="right"/>
              <w:spacing w:after="0"/>
              <w:rPr>
                <w:sz w:val="20"/>
                <w:szCs w:val="20"/>
                <w:color w:val="auto"/>
              </w:rPr>
            </w:pPr>
            <w:r>
              <w:rPr>
                <w:rFonts w:ascii="Arial" w:cs="Arial" w:eastAsia="Arial" w:hAnsi="Arial"/>
                <w:sz w:val="16"/>
                <w:szCs w:val="16"/>
                <w:color w:val="auto"/>
              </w:rPr>
              <w:t>$4.05</w:t>
            </w:r>
          </w:p>
        </w:tc>
        <w:tc>
          <w:tcPr>
            <w:tcW w:w="0" w:type="dxa"/>
            <w:vAlign w:val="bottom"/>
          </w:tcPr>
          <w:p>
            <w:pPr>
              <w:spacing w:after="0"/>
              <w:rPr>
                <w:sz w:val="1"/>
                <w:szCs w:val="1"/>
                <w:color w:val="auto"/>
              </w:rPr>
            </w:pPr>
          </w:p>
        </w:tc>
      </w:tr>
      <w:tr>
        <w:trPr>
          <w:trHeight w:val="233"/>
        </w:trPr>
        <w:tc>
          <w:tcPr>
            <w:tcW w:w="566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Specific items (net of tax)</w:t>
            </w:r>
          </w:p>
        </w:tc>
        <w:tc>
          <w:tcPr>
            <w:tcW w:w="2260" w:type="dxa"/>
            <w:vAlign w:val="bottom"/>
            <w:tcBorders>
              <w:bottom w:val="single" w:sz="8" w:color="auto"/>
            </w:tcBorders>
            <w:gridSpan w:val="2"/>
          </w:tcPr>
          <w:p>
            <w:pPr>
              <w:jc w:val="right"/>
              <w:ind w:right="859"/>
              <w:spacing w:after="0"/>
              <w:rPr>
                <w:sz w:val="20"/>
                <w:szCs w:val="20"/>
                <w:color w:val="auto"/>
              </w:rPr>
            </w:pPr>
            <w:r>
              <w:rPr>
                <w:rFonts w:ascii="Arial" w:cs="Arial" w:eastAsia="Arial" w:hAnsi="Arial"/>
                <w:sz w:val="16"/>
                <w:szCs w:val="16"/>
                <w:b w:val="1"/>
                <w:bCs w:val="1"/>
                <w:color w:val="auto"/>
              </w:rPr>
              <w:t>0.06</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0.02</w:t>
            </w:r>
          </w:p>
        </w:tc>
        <w:tc>
          <w:tcPr>
            <w:tcW w:w="12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tcPr>
          <w:p>
            <w:pPr>
              <w:jc w:val="right"/>
              <w:ind w:right="739"/>
              <w:spacing w:after="0"/>
              <w:rPr>
                <w:sz w:val="20"/>
                <w:szCs w:val="20"/>
                <w:color w:val="auto"/>
              </w:rPr>
            </w:pPr>
            <w:r>
              <w:rPr>
                <w:rFonts w:ascii="Arial" w:cs="Arial" w:eastAsia="Arial" w:hAnsi="Arial"/>
                <w:sz w:val="16"/>
                <w:szCs w:val="16"/>
                <w:b w:val="1"/>
                <w:bCs w:val="1"/>
                <w:color w:val="auto"/>
              </w:rPr>
              <w:t>0.04</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(0.32)</w:t>
            </w:r>
          </w:p>
        </w:tc>
        <w:tc>
          <w:tcPr>
            <w:tcW w:w="0" w:type="dxa"/>
            <w:vAlign w:val="bottom"/>
          </w:tcPr>
          <w:p>
            <w:pPr>
              <w:spacing w:after="0"/>
              <w:rPr>
                <w:sz w:val="1"/>
                <w:szCs w:val="1"/>
                <w:color w:val="auto"/>
              </w:rPr>
            </w:pPr>
          </w:p>
        </w:tc>
      </w:tr>
      <w:tr>
        <w:trPr>
          <w:trHeight w:val="223"/>
        </w:trPr>
        <w:tc>
          <w:tcPr>
            <w:tcW w:w="56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0D64EF"/>
              </w:rPr>
              <w:t>Comparable earnings per common share from continuing operations</w:t>
            </w:r>
          </w:p>
        </w:tc>
        <w:tc>
          <w:tcPr>
            <w:tcW w:w="2260" w:type="dxa"/>
            <w:vAlign w:val="bottom"/>
            <w:tcBorders>
              <w:bottom w:val="single" w:sz="8" w:color="auto"/>
            </w:tcBorders>
            <w:gridSpan w:val="2"/>
          </w:tcPr>
          <w:p>
            <w:pPr>
              <w:jc w:val="right"/>
              <w:ind w:right="799"/>
              <w:spacing w:after="0"/>
              <w:rPr>
                <w:sz w:val="20"/>
                <w:szCs w:val="20"/>
                <w:color w:val="auto"/>
              </w:rPr>
            </w:pPr>
            <w:r>
              <w:rPr>
                <w:rFonts w:ascii="Arial" w:cs="Arial" w:eastAsia="Arial" w:hAnsi="Arial"/>
                <w:sz w:val="16"/>
                <w:szCs w:val="16"/>
                <w:b w:val="1"/>
                <w:bCs w:val="1"/>
                <w:color w:val="auto"/>
              </w:rPr>
              <w:t>$0.98</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w:t>
            </w:r>
          </w:p>
        </w:tc>
        <w:tc>
          <w:tcPr>
            <w:tcW w:w="12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b w:val="1"/>
                <w:bCs w:val="1"/>
                <w:color w:val="auto"/>
              </w:rPr>
              <w:t>$3.51</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$3.73</w:t>
            </w: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340" w:right="120" w:hanging="332"/>
        <w:spacing w:after="0" w:line="292" w:lineRule="auto"/>
        <w:tabs>
          <w:tab w:leader="none" w:pos="339" w:val="left"/>
        </w:tabs>
        <w:numPr>
          <w:ilvl w:val="0"/>
          <w:numId w:val="30"/>
        </w:numPr>
        <w:rPr>
          <w:rFonts w:ascii="Arial" w:cs="Arial" w:eastAsia="Arial" w:hAnsi="Arial"/>
          <w:sz w:val="14"/>
          <w:szCs w:val="14"/>
          <w:color w:val="auto"/>
        </w:rPr>
      </w:pPr>
      <w:r>
        <w:rPr>
          <w:rFonts w:ascii="Arial" w:cs="Arial" w:eastAsia="Arial" w:hAnsi="Arial"/>
          <w:sz w:val="14"/>
          <w:szCs w:val="14"/>
          <w:color w:val="auto"/>
        </w:rPr>
        <w:t>In 2023, TCPL and TGNH entered into an unsecured revolving credit facility. While the loan receivable and payable eliminate on consolidation, differences in each entity’s reporting currency create a net income impact from revaluing and translating these balances into TC Energy’s reporting currency. As the resulting unrealized foreign</w:t>
      </w:r>
    </w:p>
    <w:p>
      <w:pPr>
        <w:spacing w:after="0" w:line="1" w:lineRule="exact"/>
        <w:rPr>
          <w:sz w:val="20"/>
          <w:szCs w:val="20"/>
          <w:color w:val="auto"/>
        </w:rPr>
      </w:pPr>
    </w:p>
    <w:p>
      <w:pPr>
        <w:ind w:left="340"/>
        <w:spacing w:after="0" w:line="161" w:lineRule="exact"/>
        <w:rPr>
          <w:sz w:val="20"/>
          <w:szCs w:val="20"/>
          <w:color w:val="auto"/>
        </w:rPr>
      </w:pPr>
      <w:r>
        <w:rPr>
          <w:rFonts w:ascii="Arial" w:cs="Arial" w:eastAsia="Arial" w:hAnsi="Arial"/>
          <w:sz w:val="14"/>
          <w:szCs w:val="14"/>
          <w:color w:val="auto"/>
        </w:rPr>
        <w:t>exchange gains and losses do not reflect amounts expected to be realized at settlement, we exclude them from comparable measures, net of non</w:t>
      </w:r>
      <w:r>
        <w:rPr>
          <w:rFonts w:ascii="MS PGothic" w:cs="MS PGothic" w:eastAsia="MS PGothic" w:hAnsi="MS PGothic"/>
          <w:sz w:val="14"/>
          <w:szCs w:val="14"/>
          <w:color w:val="auto"/>
        </w:rPr>
        <w:t>‑</w:t>
      </w:r>
      <w:r>
        <w:rPr>
          <w:rFonts w:ascii="Arial" w:cs="Arial" w:eastAsia="Arial" w:hAnsi="Arial"/>
          <w:sz w:val="14"/>
          <w:szCs w:val="14"/>
          <w:color w:val="auto"/>
        </w:rPr>
        <w:t>controlling interest.</w:t>
      </w:r>
    </w:p>
    <w:p>
      <w:pPr>
        <w:spacing w:after="0" w:line="75" w:lineRule="exact"/>
        <w:rPr>
          <w:sz w:val="20"/>
          <w:szCs w:val="20"/>
          <w:color w:val="auto"/>
        </w:rPr>
      </w:pPr>
    </w:p>
    <w:p>
      <w:pPr>
        <w:ind w:left="340" w:hanging="332"/>
        <w:spacing w:after="0"/>
        <w:tabs>
          <w:tab w:leader="none" w:pos="340" w:val="left"/>
        </w:tabs>
        <w:numPr>
          <w:ilvl w:val="0"/>
          <w:numId w:val="31"/>
        </w:numPr>
        <w:rPr>
          <w:rFonts w:ascii="Arial" w:cs="Arial" w:eastAsia="Arial" w:hAnsi="Arial"/>
          <w:sz w:val="14"/>
          <w:szCs w:val="14"/>
          <w:color w:val="auto"/>
        </w:rPr>
      </w:pPr>
      <w:r>
        <w:rPr>
          <w:rFonts w:ascii="Arial" w:cs="Arial" w:eastAsia="Arial" w:hAnsi="Arial"/>
          <w:sz w:val="14"/>
          <w:szCs w:val="14"/>
          <w:color w:val="auto"/>
        </w:rPr>
        <w:t>We have recognized an expected credit loss provision related to net investment in leases and certain contract assets in Mexico, which will fluctuate from period to period</w:t>
      </w:r>
    </w:p>
    <w:p>
      <w:pPr>
        <w:spacing w:after="0" w:line="47" w:lineRule="exact"/>
        <w:rPr>
          <w:rFonts w:ascii="Arial" w:cs="Arial" w:eastAsia="Arial" w:hAnsi="Arial"/>
          <w:sz w:val="14"/>
          <w:szCs w:val="14"/>
          <w:color w:val="auto"/>
        </w:rPr>
      </w:pPr>
    </w:p>
    <w:p>
      <w:pPr>
        <w:ind w:left="340" w:right="160"/>
        <w:spacing w:after="0" w:line="311" w:lineRule="auto"/>
        <w:rPr>
          <w:rFonts w:ascii="Arial" w:cs="Arial" w:eastAsia="Arial" w:hAnsi="Arial"/>
          <w:sz w:val="14"/>
          <w:szCs w:val="14"/>
          <w:color w:val="auto"/>
        </w:rPr>
      </w:pPr>
      <w:r>
        <w:rPr>
          <w:rFonts w:ascii="Arial" w:cs="Arial" w:eastAsia="Arial" w:hAnsi="Arial"/>
          <w:sz w:val="14"/>
          <w:szCs w:val="14"/>
          <w:color w:val="auto"/>
        </w:rPr>
        <w:t>based on changing economic assumptions and forward-looking information. This provision is an estimate of losses that may occur over the duration of the TSA through 2055. This provision does not reflect losses or cash outflows that were incurred under this lease arrangement in the current period or from our underlying operations, and</w:t>
      </w:r>
    </w:p>
    <w:p>
      <w:pPr>
        <w:spacing w:after="0" w:line="1" w:lineRule="exact"/>
        <w:rPr>
          <w:sz w:val="20"/>
          <w:szCs w:val="20"/>
          <w:color w:val="auto"/>
        </w:rPr>
      </w:pPr>
    </w:p>
    <w:p>
      <w:pPr>
        <w:ind w:left="340" w:right="560"/>
        <w:spacing w:after="0" w:line="301" w:lineRule="auto"/>
        <w:rPr>
          <w:sz w:val="20"/>
          <w:szCs w:val="20"/>
          <w:color w:val="auto"/>
        </w:rPr>
      </w:pPr>
      <w:r>
        <w:rPr>
          <w:rFonts w:ascii="Arial" w:cs="Arial" w:eastAsia="Arial" w:hAnsi="Arial"/>
          <w:sz w:val="14"/>
          <w:szCs w:val="14"/>
          <w:color w:val="auto"/>
        </w:rPr>
        <w:t>therefore, we have excluded any unrealized changes, net of non-controlling interest, from comparable measures. Refer to Note 27, Risk management and financial instruments, in the Consolidated financial statements of our 2025 Annual Report for additional information.</w:t>
      </w:r>
    </w:p>
    <w:p>
      <w:pPr>
        <w:spacing w:after="0" w:line="1" w:lineRule="exact"/>
        <w:rPr>
          <w:sz w:val="20"/>
          <w:szCs w:val="20"/>
          <w:color w:val="auto"/>
        </w:rPr>
      </w:pPr>
    </w:p>
    <w:p>
      <w:pPr>
        <w:ind w:left="340" w:hanging="332"/>
        <w:spacing w:after="0"/>
        <w:tabs>
          <w:tab w:leader="none" w:pos="340" w:val="left"/>
        </w:tabs>
        <w:numPr>
          <w:ilvl w:val="0"/>
          <w:numId w:val="32"/>
        </w:numPr>
        <w:rPr>
          <w:rFonts w:ascii="Arial" w:cs="Arial" w:eastAsia="Arial" w:hAnsi="Arial"/>
          <w:sz w:val="14"/>
          <w:szCs w:val="14"/>
          <w:color w:val="auto"/>
        </w:rPr>
      </w:pPr>
      <w:r>
        <w:rPr>
          <w:rFonts w:ascii="Arial" w:cs="Arial" w:eastAsia="Arial" w:hAnsi="Arial"/>
          <w:sz w:val="14"/>
          <w:szCs w:val="14"/>
          <w:color w:val="auto"/>
        </w:rPr>
        <w:t>In October 2024, TCPL commenced and completed our cash tender offers to purchase and cancel certain senior unsecured notes and medium term notes</w:t>
      </w:r>
    </w:p>
    <w:p>
      <w:pPr>
        <w:spacing w:after="0" w:line="55" w:lineRule="exact"/>
        <w:rPr>
          <w:rFonts w:ascii="Arial" w:cs="Arial" w:eastAsia="Arial" w:hAnsi="Arial"/>
          <w:sz w:val="14"/>
          <w:szCs w:val="14"/>
          <w:color w:val="auto"/>
        </w:rPr>
      </w:pPr>
    </w:p>
    <w:p>
      <w:pPr>
        <w:ind w:left="340"/>
        <w:spacing w:after="0"/>
        <w:rPr>
          <w:rFonts w:ascii="Arial" w:cs="Arial" w:eastAsia="Arial" w:hAnsi="Arial"/>
          <w:sz w:val="14"/>
          <w:szCs w:val="14"/>
          <w:color w:val="auto"/>
        </w:rPr>
      </w:pPr>
      <w:r>
        <w:rPr>
          <w:rFonts w:ascii="Arial" w:cs="Arial" w:eastAsia="Arial" w:hAnsi="Arial"/>
          <w:sz w:val="14"/>
          <w:szCs w:val="14"/>
          <w:color w:val="auto"/>
        </w:rPr>
        <w:t>at a 7.73 per cent weighted average discount. In addition, we retired outstanding callable notes at par. These extinguishments of debt resulted in a pre-tax</w:t>
      </w:r>
    </w:p>
    <w:p>
      <w:pPr>
        <w:spacing w:after="0" w:line="41" w:lineRule="exact"/>
        <w:rPr>
          <w:rFonts w:ascii="Arial" w:cs="Arial" w:eastAsia="Arial" w:hAnsi="Arial"/>
          <w:sz w:val="14"/>
          <w:szCs w:val="14"/>
          <w:color w:val="auto"/>
        </w:rPr>
      </w:pPr>
    </w:p>
    <w:p>
      <w:pPr>
        <w:ind w:left="340"/>
        <w:spacing w:after="0"/>
        <w:rPr>
          <w:rFonts w:ascii="Arial" w:cs="Arial" w:eastAsia="Arial" w:hAnsi="Arial"/>
          <w:sz w:val="14"/>
          <w:szCs w:val="14"/>
          <w:color w:val="auto"/>
        </w:rPr>
      </w:pPr>
      <w:r>
        <w:rPr>
          <w:rFonts w:ascii="Arial" w:cs="Arial" w:eastAsia="Arial" w:hAnsi="Arial"/>
          <w:sz w:val="14"/>
          <w:szCs w:val="14"/>
          <w:color w:val="auto"/>
        </w:rPr>
        <w:t>net gain of $228 million, primarily due to fair value discounts and unamortized debt issue costs. The net gain on debt extinguishment was recorded in Interest expense in</w:t>
      </w:r>
    </w:p>
    <w:p>
      <w:pPr>
        <w:spacing w:after="0" w:line="55" w:lineRule="exact"/>
        <w:rPr>
          <w:rFonts w:ascii="Arial" w:cs="Arial" w:eastAsia="Arial" w:hAnsi="Arial"/>
          <w:sz w:val="14"/>
          <w:szCs w:val="14"/>
          <w:color w:val="auto"/>
        </w:rPr>
      </w:pPr>
    </w:p>
    <w:p>
      <w:pPr>
        <w:ind w:left="340" w:right="340"/>
        <w:spacing w:after="0" w:line="311" w:lineRule="auto"/>
        <w:rPr>
          <w:rFonts w:ascii="Arial" w:cs="Arial" w:eastAsia="Arial" w:hAnsi="Arial"/>
          <w:sz w:val="14"/>
          <w:szCs w:val="14"/>
          <w:color w:val="auto"/>
        </w:rPr>
      </w:pPr>
      <w:r>
        <w:rPr>
          <w:rFonts w:ascii="Arial" w:cs="Arial" w:eastAsia="Arial" w:hAnsi="Arial"/>
          <w:sz w:val="14"/>
          <w:szCs w:val="14"/>
          <w:color w:val="auto"/>
        </w:rPr>
        <w:t>the Condensed consolidated statement of income. Refer to Note 19, Long-term debt, in the Consolidated financial statements of our 2025 Annual Report for additional information.</w:t>
      </w:r>
    </w:p>
    <w:p>
      <w:pPr>
        <w:spacing w:after="0" w:line="1" w:lineRule="exact"/>
        <w:rPr>
          <w:sz w:val="20"/>
          <w:szCs w:val="20"/>
          <w:color w:val="auto"/>
        </w:rPr>
      </w:pPr>
    </w:p>
    <w:p>
      <w:pPr>
        <w:ind w:left="340" w:right="760" w:hanging="332"/>
        <w:spacing w:after="0" w:line="345" w:lineRule="auto"/>
        <w:tabs>
          <w:tab w:leader="none" w:pos="339" w:val="left"/>
        </w:tabs>
        <w:numPr>
          <w:ilvl w:val="0"/>
          <w:numId w:val="33"/>
        </w:numPr>
        <w:rPr>
          <w:rFonts w:ascii="Arial" w:cs="Arial" w:eastAsia="Arial" w:hAnsi="Arial"/>
          <w:sz w:val="14"/>
          <w:szCs w:val="14"/>
          <w:color w:val="auto"/>
        </w:rPr>
      </w:pPr>
      <w:r>
        <w:rPr>
          <w:rFonts w:ascii="Arial" w:cs="Arial" w:eastAsia="Arial" w:hAnsi="Arial"/>
          <w:sz w:val="14"/>
          <w:szCs w:val="14"/>
          <w:color w:val="auto"/>
        </w:rPr>
        <w:t>In 2024, we recognized expenses related to the Focus Project for external consulting and severance, some of which are not recoverable through regulatory and commercial tolling structures.</w:t>
      </w: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8 | TC Energy </w:t>
      </w:r>
      <w:r>
        <w:rPr>
          <w:rFonts w:ascii="Arial" w:cs="Arial" w:eastAsia="Arial" w:hAnsi="Arial"/>
          <w:sz w:val="18"/>
          <w:szCs w:val="18"/>
          <w:b w:val="1"/>
          <w:bCs w:val="1"/>
          <w:color w:val="0D64EF"/>
        </w:rPr>
        <w:t>Fourth Quarter</w:t>
      </w:r>
      <w:r>
        <w:rPr>
          <w:rFonts w:ascii="Arial" w:cs="Arial" w:eastAsia="Arial" w:hAnsi="Arial"/>
          <w:sz w:val="18"/>
          <w:szCs w:val="18"/>
          <w:color w:val="auto"/>
        </w:rPr>
        <w:t xml:space="preserve"> News Release 2025</w:t>
      </w:r>
    </w:p>
    <w:p>
      <w:pPr>
        <w:sectPr>
          <w:pgSz w:w="11900" w:h="16838" w:orient="portrait"/>
          <w:cols w:equalWidth="0" w:num="1">
            <w:col w:w="11240"/>
          </w:cols>
          <w:pgMar w:left="320" w:top="1295" w:right="339" w:bottom="1440" w:gutter="0" w:footer="0" w:header="0"/>
        </w:sectPr>
      </w:pPr>
    </w:p>
    <w:bookmarkStart w:id="21" w:name="page22"/>
    <w:bookmarkEnd w:id="21"/>
    <w:tbl>
      <w:tblPr>
        <w:tblLayout w:type="fixed"/>
        <w:tblInd w:w="20" w:type="dxa"/>
        <w:tblCellMar>
          <w:top w:w="0" w:type="dxa"/>
          <w:left w:w="0" w:type="dxa"/>
          <w:bottom w:w="0" w:type="dxa"/>
          <w:right w:w="0" w:type="dxa"/>
        </w:tblCellMar>
      </w:tblPr>
      <w:tr>
        <w:trPr>
          <w:trHeight w:val="193"/>
        </w:trPr>
        <w:tc>
          <w:tcPr>
            <w:tcW w:w="380" w:type="dxa"/>
            <w:vAlign w:val="bottom"/>
          </w:tcPr>
          <w:p>
            <w:pPr>
              <w:jc w:val="right"/>
              <w:ind w:right="228"/>
              <w:spacing w:after="0"/>
              <w:rPr>
                <w:sz w:val="20"/>
                <w:szCs w:val="20"/>
                <w:color w:val="auto"/>
              </w:rPr>
            </w:pPr>
            <w:r>
              <w:rPr>
                <w:rFonts w:ascii="Arial" w:cs="Arial" w:eastAsia="Arial" w:hAnsi="Arial"/>
                <w:sz w:val="14"/>
                <w:szCs w:val="14"/>
                <w:color w:val="auto"/>
                <w:w w:val="76"/>
              </w:rPr>
              <w:t>5</w:t>
            </w:r>
          </w:p>
        </w:tc>
        <w:tc>
          <w:tcPr>
            <w:tcW w:w="3000" w:type="dxa"/>
            <w:vAlign w:val="bottom"/>
            <w:tcBorders>
              <w:top w:val="single" w:sz="8" w:color="0D64EF"/>
            </w:tcBorders>
            <w:shd w:val="clear" w:color="auto" w:fill="D1D0CF"/>
          </w:tcPr>
          <w:p>
            <w:pPr>
              <w:ind w:left="20"/>
              <w:spacing w:after="0"/>
              <w:rPr>
                <w:sz w:val="20"/>
                <w:szCs w:val="20"/>
                <w:color w:val="auto"/>
              </w:rPr>
            </w:pPr>
            <w:r>
              <w:rPr>
                <w:rFonts w:ascii="Arial" w:cs="Arial" w:eastAsia="Arial" w:hAnsi="Arial"/>
                <w:sz w:val="14"/>
                <w:szCs w:val="14"/>
                <w:b w:val="1"/>
                <w:bCs w:val="1"/>
                <w:color w:val="auto"/>
              </w:rPr>
              <w:t>Risk management activities</w:t>
            </w:r>
          </w:p>
        </w:tc>
        <w:tc>
          <w:tcPr>
            <w:tcW w:w="140" w:type="dxa"/>
            <w:vAlign w:val="bottom"/>
            <w:tcBorders>
              <w:top w:val="single" w:sz="8" w:color="0D64EF"/>
            </w:tcBorders>
            <w:shd w:val="clear" w:color="auto" w:fill="D1D0CF"/>
          </w:tcPr>
          <w:p>
            <w:pPr>
              <w:spacing w:after="0"/>
              <w:rPr>
                <w:sz w:val="16"/>
                <w:szCs w:val="16"/>
                <w:color w:val="auto"/>
              </w:rPr>
            </w:pPr>
          </w:p>
        </w:tc>
        <w:tc>
          <w:tcPr>
            <w:tcW w:w="1700" w:type="dxa"/>
            <w:vAlign w:val="bottom"/>
            <w:tcBorders>
              <w:top w:val="single" w:sz="8" w:color="0D64EF"/>
            </w:tcBorders>
            <w:gridSpan w:val="3"/>
            <w:shd w:val="clear" w:color="auto" w:fill="D1D0CF"/>
          </w:tcPr>
          <w:p>
            <w:pPr>
              <w:jc w:val="center"/>
              <w:ind w:right="140"/>
              <w:spacing w:after="0"/>
              <w:rPr>
                <w:sz w:val="20"/>
                <w:szCs w:val="20"/>
                <w:color w:val="auto"/>
              </w:rPr>
            </w:pPr>
            <w:r>
              <w:rPr>
                <w:rFonts w:ascii="Arial" w:cs="Arial" w:eastAsia="Arial" w:hAnsi="Arial"/>
                <w:sz w:val="14"/>
                <w:szCs w:val="14"/>
                <w:b w:val="1"/>
                <w:bCs w:val="1"/>
                <w:color w:val="auto"/>
              </w:rPr>
              <w:t>three months ended</w:t>
            </w:r>
          </w:p>
        </w:tc>
        <w:tc>
          <w:tcPr>
            <w:tcW w:w="1160" w:type="dxa"/>
            <w:vAlign w:val="bottom"/>
            <w:tcBorders>
              <w:top w:val="single" w:sz="8" w:color="0D64EF"/>
            </w:tcBorders>
            <w:shd w:val="clear" w:color="auto" w:fill="D1D0CF"/>
          </w:tcPr>
          <w:p>
            <w:pPr>
              <w:ind w:left="380"/>
              <w:spacing w:after="0"/>
              <w:rPr>
                <w:sz w:val="20"/>
                <w:szCs w:val="20"/>
                <w:color w:val="auto"/>
              </w:rPr>
            </w:pPr>
            <w:r>
              <w:rPr>
                <w:rFonts w:ascii="Arial" w:cs="Arial" w:eastAsia="Arial" w:hAnsi="Arial"/>
                <w:sz w:val="14"/>
                <w:szCs w:val="14"/>
                <w:b w:val="1"/>
                <w:bCs w:val="1"/>
                <w:color w:val="auto"/>
              </w:rPr>
              <w:t>year ended</w:t>
            </w:r>
          </w:p>
        </w:tc>
        <w:tc>
          <w:tcPr>
            <w:tcW w:w="420" w:type="dxa"/>
            <w:vAlign w:val="bottom"/>
            <w:tcBorders>
              <w:top w:val="single" w:sz="8" w:color="0D64EF"/>
            </w:tcBorders>
            <w:shd w:val="clear" w:color="auto" w:fill="D1D0CF"/>
          </w:tcPr>
          <w:p>
            <w:pPr>
              <w:spacing w:after="0"/>
              <w:rPr>
                <w:sz w:val="16"/>
                <w:szCs w:val="16"/>
                <w:color w:val="auto"/>
              </w:rPr>
            </w:pPr>
          </w:p>
        </w:tc>
      </w:tr>
      <w:tr>
        <w:trPr>
          <w:trHeight w:val="230"/>
        </w:trPr>
        <w:tc>
          <w:tcPr>
            <w:tcW w:w="380" w:type="dxa"/>
            <w:vAlign w:val="bottom"/>
          </w:tcPr>
          <w:p>
            <w:pPr>
              <w:spacing w:after="0"/>
              <w:rPr>
                <w:sz w:val="19"/>
                <w:szCs w:val="19"/>
                <w:color w:val="auto"/>
              </w:rPr>
            </w:pPr>
          </w:p>
        </w:tc>
        <w:tc>
          <w:tcPr>
            <w:tcW w:w="3000" w:type="dxa"/>
            <w:vAlign w:val="bottom"/>
            <w:tcBorders>
              <w:bottom w:val="single" w:sz="8" w:color="D1D0CF"/>
            </w:tcBorders>
            <w:shd w:val="clear" w:color="auto" w:fill="D1D0CF"/>
          </w:tcPr>
          <w:p>
            <w:pPr>
              <w:spacing w:after="0"/>
              <w:rPr>
                <w:sz w:val="19"/>
                <w:szCs w:val="19"/>
                <w:color w:val="auto"/>
              </w:rPr>
            </w:pPr>
          </w:p>
        </w:tc>
        <w:tc>
          <w:tcPr>
            <w:tcW w:w="140" w:type="dxa"/>
            <w:vAlign w:val="bottom"/>
            <w:tcBorders>
              <w:bottom w:val="single" w:sz="8" w:color="D1D0CF"/>
            </w:tcBorders>
            <w:shd w:val="clear" w:color="auto" w:fill="D1D0CF"/>
          </w:tcPr>
          <w:p>
            <w:pPr>
              <w:spacing w:after="0"/>
              <w:rPr>
                <w:sz w:val="19"/>
                <w:szCs w:val="19"/>
                <w:color w:val="auto"/>
              </w:rPr>
            </w:pPr>
          </w:p>
        </w:tc>
        <w:tc>
          <w:tcPr>
            <w:tcW w:w="1700" w:type="dxa"/>
            <w:vAlign w:val="bottom"/>
            <w:tcBorders>
              <w:bottom w:val="single" w:sz="8" w:color="D1D0CF"/>
            </w:tcBorders>
            <w:gridSpan w:val="3"/>
            <w:shd w:val="clear" w:color="auto" w:fill="D1D0CF"/>
          </w:tcPr>
          <w:p>
            <w:pPr>
              <w:jc w:val="center"/>
              <w:ind w:right="140"/>
              <w:spacing w:after="0"/>
              <w:rPr>
                <w:sz w:val="20"/>
                <w:szCs w:val="20"/>
                <w:color w:val="auto"/>
              </w:rPr>
            </w:pPr>
            <w:r>
              <w:rPr>
                <w:rFonts w:ascii="Arial" w:cs="Arial" w:eastAsia="Arial" w:hAnsi="Arial"/>
                <w:sz w:val="14"/>
                <w:szCs w:val="14"/>
                <w:b w:val="1"/>
                <w:bCs w:val="1"/>
                <w:color w:val="auto"/>
              </w:rPr>
              <w:t>December 31</w:t>
            </w:r>
          </w:p>
        </w:tc>
        <w:tc>
          <w:tcPr>
            <w:tcW w:w="1580" w:type="dxa"/>
            <w:vAlign w:val="bottom"/>
            <w:tcBorders>
              <w:bottom w:val="single" w:sz="8" w:color="D1D0CF"/>
            </w:tcBorders>
            <w:gridSpan w:val="2"/>
            <w:shd w:val="clear" w:color="auto" w:fill="D1D0CF"/>
          </w:tcPr>
          <w:p>
            <w:pPr>
              <w:jc w:val="right"/>
              <w:ind w:right="268"/>
              <w:spacing w:after="0"/>
              <w:rPr>
                <w:sz w:val="20"/>
                <w:szCs w:val="20"/>
                <w:color w:val="auto"/>
              </w:rPr>
            </w:pPr>
            <w:r>
              <w:rPr>
                <w:rFonts w:ascii="Arial" w:cs="Arial" w:eastAsia="Arial" w:hAnsi="Arial"/>
                <w:sz w:val="14"/>
                <w:szCs w:val="14"/>
                <w:b w:val="1"/>
                <w:bCs w:val="1"/>
                <w:color w:val="auto"/>
              </w:rPr>
              <w:t>December 31</w:t>
            </w:r>
          </w:p>
        </w:tc>
      </w:tr>
      <w:tr>
        <w:trPr>
          <w:trHeight w:val="217"/>
        </w:trPr>
        <w:tc>
          <w:tcPr>
            <w:tcW w:w="380" w:type="dxa"/>
            <w:vAlign w:val="bottom"/>
          </w:tcPr>
          <w:p>
            <w:pPr>
              <w:spacing w:after="0"/>
              <w:rPr>
                <w:sz w:val="18"/>
                <w:szCs w:val="18"/>
                <w:color w:val="auto"/>
              </w:rPr>
            </w:pPr>
          </w:p>
        </w:tc>
        <w:tc>
          <w:tcPr>
            <w:tcW w:w="3000" w:type="dxa"/>
            <w:vAlign w:val="bottom"/>
            <w:tcBorders>
              <w:top w:val="single" w:sz="8" w:color="D1D0CF"/>
              <w:bottom w:val="single" w:sz="8" w:color="0D64EF"/>
            </w:tcBorders>
            <w:shd w:val="clear" w:color="auto" w:fill="D1D0CF"/>
          </w:tcPr>
          <w:p>
            <w:pPr>
              <w:ind w:left="20"/>
              <w:spacing w:after="0"/>
              <w:rPr>
                <w:sz w:val="20"/>
                <w:szCs w:val="20"/>
                <w:color w:val="auto"/>
              </w:rPr>
            </w:pPr>
            <w:r>
              <w:rPr>
                <w:rFonts w:ascii="Arial" w:cs="Arial" w:eastAsia="Arial" w:hAnsi="Arial"/>
                <w:sz w:val="14"/>
                <w:szCs w:val="14"/>
                <w:color w:val="auto"/>
              </w:rPr>
              <w:t>(millions of $)</w:t>
            </w:r>
          </w:p>
        </w:tc>
        <w:tc>
          <w:tcPr>
            <w:tcW w:w="140" w:type="dxa"/>
            <w:vAlign w:val="bottom"/>
            <w:tcBorders>
              <w:top w:val="single" w:sz="8" w:color="D1D0CF"/>
              <w:bottom w:val="single" w:sz="8" w:color="0D64EF"/>
            </w:tcBorders>
            <w:shd w:val="clear" w:color="auto" w:fill="D1D0CF"/>
          </w:tcPr>
          <w:p>
            <w:pPr>
              <w:spacing w:after="0"/>
              <w:rPr>
                <w:sz w:val="18"/>
                <w:szCs w:val="18"/>
                <w:color w:val="auto"/>
              </w:rPr>
            </w:pPr>
          </w:p>
        </w:tc>
        <w:tc>
          <w:tcPr>
            <w:tcW w:w="940" w:type="dxa"/>
            <w:vAlign w:val="bottom"/>
            <w:tcBorders>
              <w:top w:val="single" w:sz="8" w:color="0D64EF"/>
              <w:bottom w:val="single" w:sz="8" w:color="0D64EF"/>
            </w:tcBorders>
            <w:shd w:val="clear" w:color="auto" w:fill="D1D0CF"/>
          </w:tcPr>
          <w:p>
            <w:pPr>
              <w:jc w:val="right"/>
              <w:ind w:right="168"/>
              <w:spacing w:after="0"/>
              <w:rPr>
                <w:sz w:val="20"/>
                <w:szCs w:val="20"/>
                <w:color w:val="auto"/>
              </w:rPr>
            </w:pPr>
            <w:r>
              <w:rPr>
                <w:rFonts w:ascii="Arial" w:cs="Arial" w:eastAsia="Arial" w:hAnsi="Arial"/>
                <w:sz w:val="14"/>
                <w:szCs w:val="14"/>
                <w:b w:val="1"/>
                <w:bCs w:val="1"/>
                <w:color w:val="auto"/>
              </w:rPr>
              <w:t>2025</w:t>
            </w:r>
          </w:p>
        </w:tc>
        <w:tc>
          <w:tcPr>
            <w:tcW w:w="640" w:type="dxa"/>
            <w:vAlign w:val="bottom"/>
            <w:tcBorders>
              <w:top w:val="single" w:sz="8" w:color="0D64EF"/>
              <w:bottom w:val="single" w:sz="8" w:color="0D64EF"/>
            </w:tcBorders>
            <w:shd w:val="clear" w:color="auto" w:fill="D1D0CF"/>
          </w:tcPr>
          <w:p>
            <w:pPr>
              <w:jc w:val="right"/>
              <w:spacing w:after="0"/>
              <w:rPr>
                <w:sz w:val="20"/>
                <w:szCs w:val="20"/>
                <w:color w:val="auto"/>
              </w:rPr>
            </w:pPr>
            <w:r>
              <w:rPr>
                <w:rFonts w:ascii="Arial" w:cs="Arial" w:eastAsia="Arial" w:hAnsi="Arial"/>
                <w:sz w:val="14"/>
                <w:szCs w:val="14"/>
                <w:b w:val="1"/>
                <w:bCs w:val="1"/>
                <w:color w:val="auto"/>
              </w:rPr>
              <w:t>2024</w:t>
            </w:r>
          </w:p>
        </w:tc>
        <w:tc>
          <w:tcPr>
            <w:tcW w:w="120" w:type="dxa"/>
            <w:vAlign w:val="bottom"/>
            <w:tcBorders>
              <w:top w:val="single" w:sz="8" w:color="D1D0CF"/>
              <w:bottom w:val="single" w:sz="8" w:color="0D64EF"/>
            </w:tcBorders>
            <w:shd w:val="clear" w:color="auto" w:fill="D1D0CF"/>
          </w:tcPr>
          <w:p>
            <w:pPr>
              <w:spacing w:after="0"/>
              <w:rPr>
                <w:sz w:val="18"/>
                <w:szCs w:val="18"/>
                <w:color w:val="auto"/>
              </w:rPr>
            </w:pPr>
          </w:p>
        </w:tc>
        <w:tc>
          <w:tcPr>
            <w:tcW w:w="1160" w:type="dxa"/>
            <w:vAlign w:val="bottom"/>
            <w:tcBorders>
              <w:top w:val="single" w:sz="8" w:color="0D64EF"/>
              <w:bottom w:val="single" w:sz="8" w:color="0D64EF"/>
            </w:tcBorders>
            <w:shd w:val="clear" w:color="auto" w:fill="D1D0CF"/>
          </w:tcPr>
          <w:p>
            <w:pPr>
              <w:ind w:left="380"/>
              <w:spacing w:after="0"/>
              <w:rPr>
                <w:sz w:val="20"/>
                <w:szCs w:val="20"/>
                <w:color w:val="auto"/>
              </w:rPr>
            </w:pPr>
            <w:r>
              <w:rPr>
                <w:rFonts w:ascii="Arial" w:cs="Arial" w:eastAsia="Arial" w:hAnsi="Arial"/>
                <w:sz w:val="14"/>
                <w:szCs w:val="14"/>
                <w:b w:val="1"/>
                <w:bCs w:val="1"/>
                <w:color w:val="auto"/>
              </w:rPr>
              <w:t>2025</w:t>
            </w:r>
          </w:p>
        </w:tc>
        <w:tc>
          <w:tcPr>
            <w:tcW w:w="420" w:type="dxa"/>
            <w:vAlign w:val="bottom"/>
            <w:tcBorders>
              <w:top w:val="single" w:sz="8" w:color="0D64EF"/>
              <w:bottom w:val="single" w:sz="8" w:color="0D64EF"/>
            </w:tcBorders>
            <w:shd w:val="clear" w:color="auto" w:fill="D1D0CF"/>
          </w:tcPr>
          <w:p>
            <w:pPr>
              <w:jc w:val="right"/>
              <w:spacing w:after="0"/>
              <w:rPr>
                <w:sz w:val="20"/>
                <w:szCs w:val="20"/>
                <w:color w:val="auto"/>
              </w:rPr>
            </w:pPr>
            <w:r>
              <w:rPr>
                <w:rFonts w:ascii="Arial" w:cs="Arial" w:eastAsia="Arial" w:hAnsi="Arial"/>
                <w:sz w:val="14"/>
                <w:szCs w:val="14"/>
                <w:b w:val="1"/>
                <w:bCs w:val="1"/>
                <w:color w:val="auto"/>
              </w:rPr>
              <w:t>2024</w:t>
            </w:r>
          </w:p>
        </w:tc>
      </w:tr>
      <w:tr>
        <w:trPr>
          <w:trHeight w:val="214"/>
        </w:trPr>
        <w:tc>
          <w:tcPr>
            <w:tcW w:w="380" w:type="dxa"/>
            <w:vAlign w:val="bottom"/>
          </w:tcPr>
          <w:p>
            <w:pPr>
              <w:spacing w:after="0"/>
              <w:rPr>
                <w:sz w:val="18"/>
                <w:szCs w:val="18"/>
                <w:color w:val="auto"/>
              </w:rPr>
            </w:pPr>
          </w:p>
        </w:tc>
        <w:tc>
          <w:tcPr>
            <w:tcW w:w="3000" w:type="dxa"/>
            <w:vAlign w:val="bottom"/>
          </w:tcPr>
          <w:p>
            <w:pPr>
              <w:ind w:left="20"/>
              <w:spacing w:after="0"/>
              <w:rPr>
                <w:sz w:val="20"/>
                <w:szCs w:val="20"/>
                <w:color w:val="auto"/>
              </w:rPr>
            </w:pPr>
            <w:r>
              <w:rPr>
                <w:rFonts w:ascii="Arial" w:cs="Arial" w:eastAsia="Arial" w:hAnsi="Arial"/>
                <w:sz w:val="14"/>
                <w:szCs w:val="14"/>
                <w:color w:val="auto"/>
              </w:rPr>
              <w:t>U.S. Natural Gas Pipelines</w:t>
            </w:r>
          </w:p>
        </w:tc>
        <w:tc>
          <w:tcPr>
            <w:tcW w:w="1080" w:type="dxa"/>
            <w:vAlign w:val="bottom"/>
            <w:gridSpan w:val="2"/>
          </w:tcPr>
          <w:p>
            <w:pPr>
              <w:jc w:val="right"/>
              <w:ind w:right="188"/>
              <w:spacing w:after="0"/>
              <w:rPr>
                <w:sz w:val="20"/>
                <w:szCs w:val="20"/>
                <w:color w:val="auto"/>
              </w:rPr>
            </w:pPr>
            <w:r>
              <w:rPr>
                <w:rFonts w:ascii="Arial" w:cs="Arial" w:eastAsia="Arial" w:hAnsi="Arial"/>
                <w:sz w:val="14"/>
                <w:szCs w:val="14"/>
                <w:b w:val="1"/>
                <w:bCs w:val="1"/>
                <w:color w:val="auto"/>
              </w:rPr>
              <w:t>(8)</w:t>
            </w:r>
          </w:p>
        </w:tc>
        <w:tc>
          <w:tcPr>
            <w:tcW w:w="640" w:type="dxa"/>
            <w:vAlign w:val="bottom"/>
          </w:tcPr>
          <w:p>
            <w:pPr>
              <w:jc w:val="right"/>
              <w:spacing w:after="0"/>
              <w:rPr>
                <w:sz w:val="20"/>
                <w:szCs w:val="20"/>
                <w:color w:val="auto"/>
              </w:rPr>
            </w:pPr>
            <w:r>
              <w:rPr>
                <w:rFonts w:ascii="Arial" w:cs="Arial" w:eastAsia="Arial" w:hAnsi="Arial"/>
                <w:sz w:val="14"/>
                <w:szCs w:val="14"/>
                <w:color w:val="auto"/>
              </w:rPr>
              <w:t>(37)</w:t>
            </w:r>
          </w:p>
        </w:tc>
        <w:tc>
          <w:tcPr>
            <w:tcW w:w="120" w:type="dxa"/>
            <w:vAlign w:val="bottom"/>
          </w:tcPr>
          <w:p>
            <w:pPr>
              <w:spacing w:after="0"/>
              <w:rPr>
                <w:sz w:val="18"/>
                <w:szCs w:val="18"/>
                <w:color w:val="auto"/>
              </w:rPr>
            </w:pPr>
          </w:p>
        </w:tc>
        <w:tc>
          <w:tcPr>
            <w:tcW w:w="1160" w:type="dxa"/>
            <w:vAlign w:val="bottom"/>
          </w:tcPr>
          <w:p>
            <w:pPr>
              <w:jc w:val="right"/>
              <w:ind w:right="448"/>
              <w:spacing w:after="0"/>
              <w:rPr>
                <w:sz w:val="20"/>
                <w:szCs w:val="20"/>
                <w:color w:val="auto"/>
              </w:rPr>
            </w:pPr>
            <w:r>
              <w:rPr>
                <w:rFonts w:ascii="Arial" w:cs="Arial" w:eastAsia="Arial" w:hAnsi="Arial"/>
                <w:sz w:val="14"/>
                <w:szCs w:val="14"/>
                <w:b w:val="1"/>
                <w:bCs w:val="1"/>
                <w:color w:val="auto"/>
              </w:rPr>
              <w:t>58</w:t>
            </w:r>
          </w:p>
        </w:tc>
        <w:tc>
          <w:tcPr>
            <w:tcW w:w="420" w:type="dxa"/>
            <w:vAlign w:val="bottom"/>
          </w:tcPr>
          <w:p>
            <w:pPr>
              <w:jc w:val="right"/>
              <w:spacing w:after="0"/>
              <w:rPr>
                <w:sz w:val="20"/>
                <w:szCs w:val="20"/>
                <w:color w:val="auto"/>
              </w:rPr>
            </w:pPr>
            <w:r>
              <w:rPr>
                <w:rFonts w:ascii="Arial" w:cs="Arial" w:eastAsia="Arial" w:hAnsi="Arial"/>
                <w:sz w:val="14"/>
                <w:szCs w:val="14"/>
                <w:color w:val="auto"/>
              </w:rPr>
              <w:t>(113)</w:t>
            </w:r>
          </w:p>
        </w:tc>
      </w:tr>
      <w:tr>
        <w:trPr>
          <w:trHeight w:val="230"/>
        </w:trPr>
        <w:tc>
          <w:tcPr>
            <w:tcW w:w="380" w:type="dxa"/>
            <w:vAlign w:val="bottom"/>
          </w:tcPr>
          <w:p>
            <w:pPr>
              <w:spacing w:after="0"/>
              <w:rPr>
                <w:sz w:val="19"/>
                <w:szCs w:val="19"/>
                <w:color w:val="auto"/>
              </w:rPr>
            </w:pPr>
          </w:p>
        </w:tc>
        <w:tc>
          <w:tcPr>
            <w:tcW w:w="3000" w:type="dxa"/>
            <w:vAlign w:val="bottom"/>
          </w:tcPr>
          <w:p>
            <w:pPr>
              <w:ind w:left="20"/>
              <w:spacing w:after="0"/>
              <w:rPr>
                <w:sz w:val="20"/>
                <w:szCs w:val="20"/>
                <w:color w:val="auto"/>
              </w:rPr>
            </w:pPr>
            <w:r>
              <w:rPr>
                <w:rFonts w:ascii="Arial" w:cs="Arial" w:eastAsia="Arial" w:hAnsi="Arial"/>
                <w:sz w:val="14"/>
                <w:szCs w:val="14"/>
                <w:color w:val="auto"/>
              </w:rPr>
              <w:t>Canadian Power</w:t>
            </w:r>
          </w:p>
        </w:tc>
        <w:tc>
          <w:tcPr>
            <w:tcW w:w="1080" w:type="dxa"/>
            <w:vAlign w:val="bottom"/>
            <w:gridSpan w:val="2"/>
          </w:tcPr>
          <w:p>
            <w:pPr>
              <w:jc w:val="right"/>
              <w:ind w:right="228"/>
              <w:spacing w:after="0"/>
              <w:rPr>
                <w:sz w:val="20"/>
                <w:szCs w:val="20"/>
                <w:color w:val="auto"/>
              </w:rPr>
            </w:pPr>
            <w:r>
              <w:rPr>
                <w:rFonts w:ascii="Arial" w:cs="Arial" w:eastAsia="Arial" w:hAnsi="Arial"/>
                <w:sz w:val="14"/>
                <w:szCs w:val="14"/>
                <w:b w:val="1"/>
                <w:bCs w:val="1"/>
                <w:color w:val="auto"/>
              </w:rPr>
              <w:t>56</w:t>
            </w: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17</w:t>
            </w:r>
          </w:p>
        </w:tc>
        <w:tc>
          <w:tcPr>
            <w:tcW w:w="120" w:type="dxa"/>
            <w:vAlign w:val="bottom"/>
          </w:tcPr>
          <w:p>
            <w:pPr>
              <w:spacing w:after="0"/>
              <w:rPr>
                <w:sz w:val="19"/>
                <w:szCs w:val="19"/>
                <w:color w:val="auto"/>
              </w:rPr>
            </w:pPr>
          </w:p>
        </w:tc>
        <w:tc>
          <w:tcPr>
            <w:tcW w:w="1160" w:type="dxa"/>
            <w:vAlign w:val="bottom"/>
          </w:tcPr>
          <w:p>
            <w:pPr>
              <w:jc w:val="right"/>
              <w:ind w:right="408"/>
              <w:spacing w:after="0"/>
              <w:rPr>
                <w:sz w:val="20"/>
                <w:szCs w:val="20"/>
                <w:color w:val="auto"/>
              </w:rPr>
            </w:pPr>
            <w:r>
              <w:rPr>
                <w:rFonts w:ascii="Arial" w:cs="Arial" w:eastAsia="Arial" w:hAnsi="Arial"/>
                <w:sz w:val="14"/>
                <w:szCs w:val="14"/>
                <w:b w:val="1"/>
                <w:bCs w:val="1"/>
                <w:color w:val="auto"/>
              </w:rPr>
              <w:t>(16)</w:t>
            </w:r>
          </w:p>
        </w:tc>
        <w:tc>
          <w:tcPr>
            <w:tcW w:w="420" w:type="dxa"/>
            <w:vAlign w:val="bottom"/>
          </w:tcPr>
          <w:p>
            <w:pPr>
              <w:jc w:val="right"/>
              <w:ind w:right="8"/>
              <w:spacing w:after="0"/>
              <w:rPr>
                <w:sz w:val="20"/>
                <w:szCs w:val="20"/>
                <w:color w:val="auto"/>
              </w:rPr>
            </w:pPr>
            <w:r>
              <w:rPr>
                <w:rFonts w:ascii="Arial" w:cs="Arial" w:eastAsia="Arial" w:hAnsi="Arial"/>
                <w:sz w:val="14"/>
                <w:szCs w:val="14"/>
                <w:color w:val="auto"/>
              </w:rPr>
              <w:t>84</w:t>
            </w:r>
          </w:p>
        </w:tc>
      </w:tr>
      <w:tr>
        <w:trPr>
          <w:trHeight w:val="229"/>
        </w:trPr>
        <w:tc>
          <w:tcPr>
            <w:tcW w:w="380" w:type="dxa"/>
            <w:vAlign w:val="bottom"/>
          </w:tcPr>
          <w:p>
            <w:pPr>
              <w:spacing w:after="0"/>
              <w:rPr>
                <w:sz w:val="19"/>
                <w:szCs w:val="19"/>
                <w:color w:val="auto"/>
              </w:rPr>
            </w:pPr>
          </w:p>
        </w:tc>
        <w:tc>
          <w:tcPr>
            <w:tcW w:w="3000" w:type="dxa"/>
            <w:vAlign w:val="bottom"/>
          </w:tcPr>
          <w:p>
            <w:pPr>
              <w:ind w:left="20"/>
              <w:spacing w:after="0"/>
              <w:rPr>
                <w:sz w:val="20"/>
                <w:szCs w:val="20"/>
                <w:color w:val="auto"/>
              </w:rPr>
            </w:pPr>
            <w:r>
              <w:rPr>
                <w:rFonts w:ascii="Arial" w:cs="Arial" w:eastAsia="Arial" w:hAnsi="Arial"/>
                <w:sz w:val="14"/>
                <w:szCs w:val="14"/>
                <w:color w:val="auto"/>
              </w:rPr>
              <w:t>U.S. Power</w:t>
            </w:r>
          </w:p>
        </w:tc>
        <w:tc>
          <w:tcPr>
            <w:tcW w:w="1080" w:type="dxa"/>
            <w:vAlign w:val="bottom"/>
            <w:gridSpan w:val="2"/>
          </w:tcPr>
          <w:p>
            <w:pPr>
              <w:jc w:val="right"/>
              <w:ind w:right="228"/>
              <w:spacing w:after="0"/>
              <w:rPr>
                <w:sz w:val="20"/>
                <w:szCs w:val="20"/>
                <w:color w:val="auto"/>
              </w:rPr>
            </w:pPr>
            <w:r>
              <w:rPr>
                <w:rFonts w:ascii="Arial" w:cs="Arial" w:eastAsia="Arial" w:hAnsi="Arial"/>
                <w:sz w:val="14"/>
                <w:szCs w:val="14"/>
                <w:b w:val="1"/>
                <w:bCs w:val="1"/>
                <w:color w:val="auto"/>
              </w:rPr>
              <w:t>5</w:t>
            </w:r>
          </w:p>
        </w:tc>
        <w:tc>
          <w:tcPr>
            <w:tcW w:w="640" w:type="dxa"/>
            <w:vAlign w:val="bottom"/>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9"/>
                <w:szCs w:val="19"/>
                <w:color w:val="auto"/>
              </w:rPr>
            </w:pPr>
          </w:p>
        </w:tc>
        <w:tc>
          <w:tcPr>
            <w:tcW w:w="1160" w:type="dxa"/>
            <w:vAlign w:val="bottom"/>
          </w:tcPr>
          <w:p>
            <w:pPr>
              <w:jc w:val="right"/>
              <w:ind w:right="448"/>
              <w:spacing w:after="0"/>
              <w:rPr>
                <w:sz w:val="20"/>
                <w:szCs w:val="20"/>
                <w:color w:val="auto"/>
              </w:rPr>
            </w:pPr>
            <w:r>
              <w:rPr>
                <w:rFonts w:ascii="Arial" w:cs="Arial" w:eastAsia="Arial" w:hAnsi="Arial"/>
                <w:sz w:val="14"/>
                <w:szCs w:val="14"/>
                <w:b w:val="1"/>
                <w:bCs w:val="1"/>
                <w:color w:val="auto"/>
              </w:rPr>
              <w:t>9</w:t>
            </w:r>
          </w:p>
        </w:tc>
        <w:tc>
          <w:tcPr>
            <w:tcW w:w="420" w:type="dxa"/>
            <w:vAlign w:val="bottom"/>
          </w:tcPr>
          <w:p>
            <w:pPr>
              <w:jc w:val="right"/>
              <w:spacing w:after="0"/>
              <w:rPr>
                <w:sz w:val="20"/>
                <w:szCs w:val="20"/>
                <w:color w:val="auto"/>
              </w:rPr>
            </w:pPr>
            <w:r>
              <w:rPr>
                <w:rFonts w:ascii="Arial" w:cs="Arial" w:eastAsia="Arial" w:hAnsi="Arial"/>
                <w:sz w:val="14"/>
                <w:szCs w:val="14"/>
                <w:color w:val="auto"/>
              </w:rPr>
              <w:t>(10)</w:t>
            </w:r>
          </w:p>
        </w:tc>
      </w:tr>
      <w:tr>
        <w:trPr>
          <w:trHeight w:val="229"/>
        </w:trPr>
        <w:tc>
          <w:tcPr>
            <w:tcW w:w="380" w:type="dxa"/>
            <w:vAlign w:val="bottom"/>
          </w:tcPr>
          <w:p>
            <w:pPr>
              <w:spacing w:after="0"/>
              <w:rPr>
                <w:sz w:val="19"/>
                <w:szCs w:val="19"/>
                <w:color w:val="auto"/>
              </w:rPr>
            </w:pPr>
          </w:p>
        </w:tc>
        <w:tc>
          <w:tcPr>
            <w:tcW w:w="3000" w:type="dxa"/>
            <w:vAlign w:val="bottom"/>
          </w:tcPr>
          <w:p>
            <w:pPr>
              <w:ind w:left="20"/>
              <w:spacing w:after="0"/>
              <w:rPr>
                <w:sz w:val="20"/>
                <w:szCs w:val="20"/>
                <w:color w:val="auto"/>
              </w:rPr>
            </w:pPr>
            <w:r>
              <w:rPr>
                <w:rFonts w:ascii="Arial" w:cs="Arial" w:eastAsia="Arial" w:hAnsi="Arial"/>
                <w:sz w:val="14"/>
                <w:szCs w:val="14"/>
                <w:color w:val="auto"/>
              </w:rPr>
              <w:t>Natural Gas Storage</w:t>
            </w:r>
          </w:p>
        </w:tc>
        <w:tc>
          <w:tcPr>
            <w:tcW w:w="1080" w:type="dxa"/>
            <w:vAlign w:val="bottom"/>
            <w:gridSpan w:val="2"/>
          </w:tcPr>
          <w:p>
            <w:pPr>
              <w:jc w:val="right"/>
              <w:ind w:right="188"/>
              <w:spacing w:after="0"/>
              <w:rPr>
                <w:sz w:val="20"/>
                <w:szCs w:val="20"/>
                <w:color w:val="auto"/>
              </w:rPr>
            </w:pPr>
            <w:r>
              <w:rPr>
                <w:rFonts w:ascii="Arial" w:cs="Arial" w:eastAsia="Arial" w:hAnsi="Arial"/>
                <w:sz w:val="14"/>
                <w:szCs w:val="14"/>
                <w:b w:val="1"/>
                <w:bCs w:val="1"/>
                <w:color w:val="auto"/>
              </w:rPr>
              <w:t>(8)</w:t>
            </w:r>
          </w:p>
        </w:tc>
        <w:tc>
          <w:tcPr>
            <w:tcW w:w="640" w:type="dxa"/>
            <w:vAlign w:val="bottom"/>
          </w:tcPr>
          <w:p>
            <w:pPr>
              <w:jc w:val="right"/>
              <w:spacing w:after="0"/>
              <w:rPr>
                <w:sz w:val="20"/>
                <w:szCs w:val="20"/>
                <w:color w:val="auto"/>
              </w:rPr>
            </w:pPr>
            <w:r>
              <w:rPr>
                <w:rFonts w:ascii="Arial" w:cs="Arial" w:eastAsia="Arial" w:hAnsi="Arial"/>
                <w:sz w:val="14"/>
                <w:szCs w:val="14"/>
                <w:color w:val="auto"/>
              </w:rPr>
              <w:t>(20)</w:t>
            </w:r>
          </w:p>
        </w:tc>
        <w:tc>
          <w:tcPr>
            <w:tcW w:w="120" w:type="dxa"/>
            <w:vAlign w:val="bottom"/>
          </w:tcPr>
          <w:p>
            <w:pPr>
              <w:spacing w:after="0"/>
              <w:rPr>
                <w:sz w:val="19"/>
                <w:szCs w:val="19"/>
                <w:color w:val="auto"/>
              </w:rPr>
            </w:pPr>
          </w:p>
        </w:tc>
        <w:tc>
          <w:tcPr>
            <w:tcW w:w="1160" w:type="dxa"/>
            <w:vAlign w:val="bottom"/>
          </w:tcPr>
          <w:p>
            <w:pPr>
              <w:jc w:val="right"/>
              <w:ind w:right="408"/>
              <w:spacing w:after="0"/>
              <w:rPr>
                <w:sz w:val="20"/>
                <w:szCs w:val="20"/>
                <w:color w:val="auto"/>
              </w:rPr>
            </w:pPr>
            <w:r>
              <w:rPr>
                <w:rFonts w:ascii="Arial" w:cs="Arial" w:eastAsia="Arial" w:hAnsi="Arial"/>
                <w:sz w:val="14"/>
                <w:szCs w:val="14"/>
                <w:b w:val="1"/>
                <w:bCs w:val="1"/>
                <w:color w:val="auto"/>
              </w:rPr>
              <w:t>(35)</w:t>
            </w:r>
          </w:p>
        </w:tc>
        <w:tc>
          <w:tcPr>
            <w:tcW w:w="420" w:type="dxa"/>
            <w:vAlign w:val="bottom"/>
          </w:tcPr>
          <w:p>
            <w:pPr>
              <w:jc w:val="right"/>
              <w:spacing w:after="0"/>
              <w:rPr>
                <w:sz w:val="20"/>
                <w:szCs w:val="20"/>
                <w:color w:val="auto"/>
              </w:rPr>
            </w:pPr>
            <w:r>
              <w:rPr>
                <w:rFonts w:ascii="Arial" w:cs="Arial" w:eastAsia="Arial" w:hAnsi="Arial"/>
                <w:sz w:val="14"/>
                <w:szCs w:val="14"/>
                <w:color w:val="auto"/>
              </w:rPr>
              <w:t>(57)</w:t>
            </w:r>
          </w:p>
        </w:tc>
      </w:tr>
      <w:tr>
        <w:trPr>
          <w:trHeight w:val="230"/>
        </w:trPr>
        <w:tc>
          <w:tcPr>
            <w:tcW w:w="380" w:type="dxa"/>
            <w:vAlign w:val="bottom"/>
          </w:tcPr>
          <w:p>
            <w:pPr>
              <w:spacing w:after="0"/>
              <w:rPr>
                <w:sz w:val="19"/>
                <w:szCs w:val="19"/>
                <w:color w:val="auto"/>
              </w:rPr>
            </w:pPr>
          </w:p>
        </w:tc>
        <w:tc>
          <w:tcPr>
            <w:tcW w:w="3000" w:type="dxa"/>
            <w:vAlign w:val="bottom"/>
          </w:tcPr>
          <w:p>
            <w:pPr>
              <w:ind w:left="20"/>
              <w:spacing w:after="0"/>
              <w:rPr>
                <w:sz w:val="20"/>
                <w:szCs w:val="20"/>
                <w:color w:val="auto"/>
              </w:rPr>
            </w:pPr>
            <w:r>
              <w:rPr>
                <w:rFonts w:ascii="Arial" w:cs="Arial" w:eastAsia="Arial" w:hAnsi="Arial"/>
                <w:sz w:val="14"/>
                <w:szCs w:val="14"/>
                <w:color w:val="auto"/>
              </w:rPr>
              <w:t>Interest rate</w:t>
            </w:r>
          </w:p>
        </w:tc>
        <w:tc>
          <w:tcPr>
            <w:tcW w:w="1080" w:type="dxa"/>
            <w:vAlign w:val="bottom"/>
            <w:gridSpan w:val="2"/>
          </w:tcPr>
          <w:p>
            <w:pPr>
              <w:jc w:val="right"/>
              <w:ind w:right="228"/>
              <w:spacing w:after="0"/>
              <w:rPr>
                <w:sz w:val="20"/>
                <w:szCs w:val="20"/>
                <w:color w:val="auto"/>
              </w:rPr>
            </w:pPr>
            <w:r>
              <w:rPr>
                <w:rFonts w:ascii="Arial" w:cs="Arial" w:eastAsia="Arial" w:hAnsi="Arial"/>
                <w:sz w:val="14"/>
                <w:szCs w:val="14"/>
                <w:b w:val="1"/>
                <w:bCs w:val="1"/>
                <w:color w:val="auto"/>
              </w:rPr>
              <w:t>1</w:t>
            </w:r>
          </w:p>
        </w:tc>
        <w:tc>
          <w:tcPr>
            <w:tcW w:w="640" w:type="dxa"/>
            <w:vAlign w:val="bottom"/>
          </w:tcPr>
          <w:p>
            <w:pPr>
              <w:jc w:val="right"/>
              <w:spacing w:after="0"/>
              <w:rPr>
                <w:sz w:val="20"/>
                <w:szCs w:val="20"/>
                <w:color w:val="auto"/>
              </w:rPr>
            </w:pPr>
            <w:r>
              <w:rPr>
                <w:rFonts w:ascii="Arial" w:cs="Arial" w:eastAsia="Arial" w:hAnsi="Arial"/>
                <w:sz w:val="14"/>
                <w:szCs w:val="14"/>
                <w:color w:val="auto"/>
              </w:rPr>
              <w:t>(71)</w:t>
            </w:r>
          </w:p>
        </w:tc>
        <w:tc>
          <w:tcPr>
            <w:tcW w:w="120" w:type="dxa"/>
            <w:vAlign w:val="bottom"/>
          </w:tcPr>
          <w:p>
            <w:pPr>
              <w:spacing w:after="0"/>
              <w:rPr>
                <w:sz w:val="19"/>
                <w:szCs w:val="19"/>
                <w:color w:val="auto"/>
              </w:rPr>
            </w:pPr>
          </w:p>
        </w:tc>
        <w:tc>
          <w:tcPr>
            <w:tcW w:w="1160" w:type="dxa"/>
            <w:vAlign w:val="bottom"/>
          </w:tcPr>
          <w:p>
            <w:pPr>
              <w:jc w:val="right"/>
              <w:ind w:right="448"/>
              <w:spacing w:after="0"/>
              <w:rPr>
                <w:sz w:val="20"/>
                <w:szCs w:val="20"/>
                <w:color w:val="auto"/>
              </w:rPr>
            </w:pPr>
            <w:r>
              <w:rPr>
                <w:rFonts w:ascii="Arial" w:cs="Arial" w:eastAsia="Arial" w:hAnsi="Arial"/>
                <w:sz w:val="14"/>
                <w:szCs w:val="14"/>
                <w:b w:val="1"/>
                <w:bCs w:val="1"/>
                <w:color w:val="auto"/>
              </w:rPr>
              <w:t>2</w:t>
            </w:r>
          </w:p>
        </w:tc>
        <w:tc>
          <w:tcPr>
            <w:tcW w:w="420" w:type="dxa"/>
            <w:vAlign w:val="bottom"/>
          </w:tcPr>
          <w:p>
            <w:pPr>
              <w:jc w:val="right"/>
              <w:spacing w:after="0"/>
              <w:rPr>
                <w:sz w:val="20"/>
                <w:szCs w:val="20"/>
                <w:color w:val="auto"/>
              </w:rPr>
            </w:pPr>
            <w:r>
              <w:rPr>
                <w:rFonts w:ascii="Arial" w:cs="Arial" w:eastAsia="Arial" w:hAnsi="Arial"/>
                <w:sz w:val="14"/>
                <w:szCs w:val="14"/>
                <w:color w:val="auto"/>
              </w:rPr>
              <w:t>(71)</w:t>
            </w:r>
          </w:p>
        </w:tc>
      </w:tr>
      <w:tr>
        <w:trPr>
          <w:trHeight w:val="238"/>
        </w:trPr>
        <w:tc>
          <w:tcPr>
            <w:tcW w:w="380" w:type="dxa"/>
            <w:vAlign w:val="bottom"/>
          </w:tcPr>
          <w:p>
            <w:pPr>
              <w:spacing w:after="0"/>
              <w:rPr>
                <w:sz w:val="20"/>
                <w:szCs w:val="20"/>
                <w:color w:val="auto"/>
              </w:rPr>
            </w:pPr>
          </w:p>
        </w:tc>
        <w:tc>
          <w:tcPr>
            <w:tcW w:w="30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Foreign exchange</w:t>
            </w:r>
          </w:p>
        </w:tc>
        <w:tc>
          <w:tcPr>
            <w:tcW w:w="1080" w:type="dxa"/>
            <w:vAlign w:val="bottom"/>
            <w:tcBorders>
              <w:bottom w:val="single" w:sz="8" w:color="auto"/>
            </w:tcBorders>
            <w:gridSpan w:val="2"/>
          </w:tcPr>
          <w:p>
            <w:pPr>
              <w:jc w:val="right"/>
              <w:ind w:right="228"/>
              <w:spacing w:after="0"/>
              <w:rPr>
                <w:sz w:val="20"/>
                <w:szCs w:val="20"/>
                <w:color w:val="auto"/>
              </w:rPr>
            </w:pPr>
            <w:r>
              <w:rPr>
                <w:rFonts w:ascii="Arial" w:cs="Arial" w:eastAsia="Arial" w:hAnsi="Arial"/>
                <w:sz w:val="14"/>
                <w:szCs w:val="14"/>
                <w:b w:val="1"/>
                <w:bCs w:val="1"/>
                <w:color w:val="auto"/>
              </w:rPr>
              <w:t>41</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(188)</w:t>
            </w:r>
          </w:p>
        </w:tc>
        <w:tc>
          <w:tcPr>
            <w:tcW w:w="1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210</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(266)</w:t>
            </w:r>
          </w:p>
        </w:tc>
      </w:tr>
      <w:tr>
        <w:trPr>
          <w:trHeight w:val="223"/>
        </w:trPr>
        <w:tc>
          <w:tcPr>
            <w:tcW w:w="380" w:type="dxa"/>
            <w:vAlign w:val="bottom"/>
          </w:tcPr>
          <w:p>
            <w:pPr>
              <w:spacing w:after="0"/>
              <w:rPr>
                <w:sz w:val="19"/>
                <w:szCs w:val="19"/>
                <w:color w:val="auto"/>
              </w:rPr>
            </w:pPr>
          </w:p>
        </w:tc>
        <w:tc>
          <w:tcPr>
            <w:tcW w:w="30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2"/>
          </w:tcPr>
          <w:p>
            <w:pPr>
              <w:jc w:val="right"/>
              <w:ind w:right="228"/>
              <w:spacing w:after="0"/>
              <w:rPr>
                <w:sz w:val="20"/>
                <w:szCs w:val="20"/>
                <w:color w:val="auto"/>
              </w:rPr>
            </w:pPr>
            <w:r>
              <w:rPr>
                <w:rFonts w:ascii="Arial" w:cs="Arial" w:eastAsia="Arial" w:hAnsi="Arial"/>
                <w:sz w:val="14"/>
                <w:szCs w:val="14"/>
                <w:b w:val="1"/>
                <w:bCs w:val="1"/>
                <w:color w:val="auto"/>
              </w:rPr>
              <w:t>87</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(301)</w:t>
            </w: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228</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(433)</w:t>
            </w:r>
          </w:p>
        </w:tc>
      </w:tr>
      <w:tr>
        <w:trPr>
          <w:trHeight w:val="180"/>
        </w:trPr>
        <w:tc>
          <w:tcPr>
            <w:tcW w:w="380" w:type="dxa"/>
            <w:vAlign w:val="bottom"/>
          </w:tcPr>
          <w:p>
            <w:pPr>
              <w:spacing w:after="0"/>
              <w:rPr>
                <w:sz w:val="15"/>
                <w:szCs w:val="15"/>
                <w:color w:val="auto"/>
              </w:rPr>
            </w:pPr>
          </w:p>
        </w:tc>
        <w:tc>
          <w:tcPr>
            <w:tcW w:w="3000" w:type="dxa"/>
            <w:vAlign w:val="bottom"/>
          </w:tcPr>
          <w:p>
            <w:pPr>
              <w:ind w:left="20"/>
              <w:spacing w:after="0"/>
              <w:rPr>
                <w:sz w:val="20"/>
                <w:szCs w:val="20"/>
                <w:color w:val="auto"/>
              </w:rPr>
            </w:pPr>
            <w:r>
              <w:rPr>
                <w:rFonts w:ascii="Arial" w:cs="Arial" w:eastAsia="Arial" w:hAnsi="Arial"/>
                <w:sz w:val="14"/>
                <w:szCs w:val="14"/>
                <w:color w:val="auto"/>
              </w:rPr>
              <w:t>Income tax attributable to risk management</w:t>
            </w: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420" w:type="dxa"/>
            <w:vAlign w:val="bottom"/>
          </w:tcPr>
          <w:p>
            <w:pPr>
              <w:spacing w:after="0"/>
              <w:rPr>
                <w:sz w:val="15"/>
                <w:szCs w:val="15"/>
                <w:color w:val="auto"/>
              </w:rPr>
            </w:pPr>
          </w:p>
        </w:tc>
      </w:tr>
      <w:tr>
        <w:trPr>
          <w:trHeight w:val="219"/>
        </w:trPr>
        <w:tc>
          <w:tcPr>
            <w:tcW w:w="380" w:type="dxa"/>
            <w:vAlign w:val="bottom"/>
          </w:tcPr>
          <w:p>
            <w:pPr>
              <w:spacing w:after="0"/>
              <w:rPr>
                <w:sz w:val="19"/>
                <w:szCs w:val="19"/>
                <w:color w:val="auto"/>
              </w:rPr>
            </w:pPr>
          </w:p>
        </w:tc>
        <w:tc>
          <w:tcPr>
            <w:tcW w:w="30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activities</w:t>
            </w:r>
          </w:p>
        </w:tc>
        <w:tc>
          <w:tcPr>
            <w:tcW w:w="1080" w:type="dxa"/>
            <w:vAlign w:val="bottom"/>
            <w:tcBorders>
              <w:bottom w:val="single" w:sz="8" w:color="auto"/>
            </w:tcBorders>
            <w:gridSpan w:val="2"/>
          </w:tcPr>
          <w:p>
            <w:pPr>
              <w:jc w:val="right"/>
              <w:ind w:right="188"/>
              <w:spacing w:after="0"/>
              <w:rPr>
                <w:sz w:val="20"/>
                <w:szCs w:val="20"/>
                <w:color w:val="auto"/>
              </w:rPr>
            </w:pPr>
            <w:r>
              <w:rPr>
                <w:rFonts w:ascii="Arial" w:cs="Arial" w:eastAsia="Arial" w:hAnsi="Arial"/>
                <w:sz w:val="14"/>
                <w:szCs w:val="14"/>
                <w:b w:val="1"/>
                <w:bCs w:val="1"/>
                <w:color w:val="auto"/>
              </w:rPr>
              <w:t>(21)</w:t>
            </w:r>
          </w:p>
        </w:tc>
        <w:tc>
          <w:tcPr>
            <w:tcW w:w="6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72</w:t>
            </w: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(56)</w:t>
            </w:r>
          </w:p>
        </w:tc>
        <w:tc>
          <w:tcPr>
            <w:tcW w:w="4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105</w:t>
            </w:r>
          </w:p>
        </w:tc>
      </w:tr>
      <w:tr>
        <w:trPr>
          <w:trHeight w:val="180"/>
        </w:trPr>
        <w:tc>
          <w:tcPr>
            <w:tcW w:w="380" w:type="dxa"/>
            <w:vAlign w:val="bottom"/>
          </w:tcPr>
          <w:p>
            <w:pPr>
              <w:spacing w:after="0"/>
              <w:rPr>
                <w:sz w:val="15"/>
                <w:szCs w:val="15"/>
                <w:color w:val="auto"/>
              </w:rPr>
            </w:pPr>
          </w:p>
        </w:tc>
        <w:tc>
          <w:tcPr>
            <w:tcW w:w="3000" w:type="dxa"/>
            <w:vAlign w:val="bottom"/>
          </w:tcPr>
          <w:p>
            <w:pPr>
              <w:ind w:left="20"/>
              <w:spacing w:after="0"/>
              <w:rPr>
                <w:sz w:val="20"/>
                <w:szCs w:val="20"/>
                <w:color w:val="auto"/>
              </w:rPr>
            </w:pPr>
            <w:r>
              <w:rPr>
                <w:rFonts w:ascii="Arial" w:cs="Arial" w:eastAsia="Arial" w:hAnsi="Arial"/>
                <w:sz w:val="14"/>
                <w:szCs w:val="14"/>
                <w:b w:val="1"/>
                <w:bCs w:val="1"/>
                <w:color w:val="0D64EF"/>
              </w:rPr>
              <w:t>Total unrealized gains (losses) from risk</w:t>
            </w: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420" w:type="dxa"/>
            <w:vAlign w:val="bottom"/>
          </w:tcPr>
          <w:p>
            <w:pPr>
              <w:spacing w:after="0"/>
              <w:rPr>
                <w:sz w:val="15"/>
                <w:szCs w:val="15"/>
                <w:color w:val="auto"/>
              </w:rPr>
            </w:pPr>
          </w:p>
        </w:tc>
      </w:tr>
      <w:tr>
        <w:trPr>
          <w:trHeight w:val="219"/>
        </w:trPr>
        <w:tc>
          <w:tcPr>
            <w:tcW w:w="380" w:type="dxa"/>
            <w:vAlign w:val="bottom"/>
          </w:tcPr>
          <w:p>
            <w:pPr>
              <w:spacing w:after="0"/>
              <w:rPr>
                <w:sz w:val="19"/>
                <w:szCs w:val="19"/>
                <w:color w:val="auto"/>
              </w:rPr>
            </w:pPr>
          </w:p>
        </w:tc>
        <w:tc>
          <w:tcPr>
            <w:tcW w:w="300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0D64EF"/>
              </w:rPr>
              <w:t>management activities</w:t>
            </w:r>
          </w:p>
        </w:tc>
        <w:tc>
          <w:tcPr>
            <w:tcW w:w="1080" w:type="dxa"/>
            <w:vAlign w:val="bottom"/>
            <w:tcBorders>
              <w:bottom w:val="single" w:sz="8" w:color="auto"/>
            </w:tcBorders>
            <w:gridSpan w:val="2"/>
          </w:tcPr>
          <w:p>
            <w:pPr>
              <w:jc w:val="right"/>
              <w:ind w:right="228"/>
              <w:spacing w:after="0"/>
              <w:rPr>
                <w:sz w:val="20"/>
                <w:szCs w:val="20"/>
                <w:color w:val="auto"/>
              </w:rPr>
            </w:pPr>
            <w:r>
              <w:rPr>
                <w:rFonts w:ascii="Arial" w:cs="Arial" w:eastAsia="Arial" w:hAnsi="Arial"/>
                <w:sz w:val="14"/>
                <w:szCs w:val="14"/>
                <w:b w:val="1"/>
                <w:bCs w:val="1"/>
                <w:color w:val="auto"/>
              </w:rPr>
              <w:t>66</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(229)</w:t>
            </w: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172</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(328)</w:t>
            </w:r>
          </w:p>
        </w:tc>
      </w:tr>
    </w:tbl>
    <w:p>
      <w:pPr>
        <w:spacing w:after="0" w:line="58" w:lineRule="exact"/>
        <w:rPr>
          <w:sz w:val="20"/>
          <w:szCs w:val="20"/>
          <w:color w:val="auto"/>
        </w:rPr>
      </w:pPr>
    </w:p>
    <w:p>
      <w:pPr>
        <w:ind w:left="420" w:hanging="394"/>
        <w:spacing w:after="0"/>
        <w:tabs>
          <w:tab w:leader="none" w:pos="420" w:val="left"/>
        </w:tabs>
        <w:numPr>
          <w:ilvl w:val="0"/>
          <w:numId w:val="34"/>
        </w:numPr>
        <w:rPr>
          <w:rFonts w:ascii="Arial" w:cs="Arial" w:eastAsia="Arial" w:hAnsi="Arial"/>
          <w:sz w:val="14"/>
          <w:szCs w:val="14"/>
          <w:color w:val="auto"/>
        </w:rPr>
      </w:pPr>
      <w:r>
        <w:rPr>
          <w:rFonts w:ascii="Arial" w:cs="Arial" w:eastAsia="Arial" w:hAnsi="Arial"/>
          <w:sz w:val="14"/>
          <w:szCs w:val="14"/>
          <w:color w:val="auto"/>
        </w:rPr>
        <w:t>Refer to the Corporate section for additional information.</w:t>
      </w:r>
    </w:p>
    <w:p>
      <w:pPr>
        <w:spacing w:after="0" w:line="284" w:lineRule="exact"/>
        <w:rPr>
          <w:sz w:val="20"/>
          <w:szCs w:val="20"/>
          <w:color w:val="auto"/>
        </w:rPr>
      </w:pPr>
    </w:p>
    <w:p>
      <w:pPr>
        <w:spacing w:after="0"/>
        <w:rPr>
          <w:sz w:val="20"/>
          <w:szCs w:val="20"/>
          <w:color w:val="auto"/>
        </w:rPr>
      </w:pPr>
      <w:r>
        <w:rPr>
          <w:rFonts w:ascii="Arial" w:cs="Arial" w:eastAsia="Arial" w:hAnsi="Arial"/>
          <w:sz w:val="20"/>
          <w:szCs w:val="20"/>
          <w:b w:val="1"/>
          <w:bCs w:val="1"/>
          <w:color w:val="0D64EF"/>
        </w:rPr>
        <w:t>COMPARABLE EBITDA TO COMPARABLE EARNINGS - FROM CONTINUING OPERATIONS</w:t>
      </w:r>
    </w:p>
    <w:p>
      <w:pPr>
        <w:spacing w:after="0" w:line="58" w:lineRule="exact"/>
        <w:rPr>
          <w:sz w:val="20"/>
          <w:szCs w:val="20"/>
          <w:color w:val="auto"/>
        </w:rPr>
      </w:pPr>
    </w:p>
    <w:p>
      <w:pPr>
        <w:ind w:right="20"/>
        <w:spacing w:after="0" w:line="323" w:lineRule="auto"/>
        <w:rPr>
          <w:sz w:val="20"/>
          <w:szCs w:val="20"/>
          <w:color w:val="auto"/>
        </w:rPr>
      </w:pPr>
      <w:r>
        <w:rPr>
          <w:rFonts w:ascii="Arial" w:cs="Arial" w:eastAsia="Arial" w:hAnsi="Arial"/>
          <w:sz w:val="18"/>
          <w:szCs w:val="18"/>
          <w:color w:val="auto"/>
        </w:rPr>
        <w:t>Comparable EBITDA from continuing operations represents segmented earnings (losses) from continuing operations adjusted for the specific items described on the previous page and excludes charges for depreciation and amortization. Refer to each business segment for further information on our reconciliation to comparable EBITDA.</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660" w:type="dxa"/>
            <w:vAlign w:val="bottom"/>
            <w:tcBorders>
              <w:top w:val="single" w:sz="8" w:color="0D64EF"/>
            </w:tcBorders>
            <w:shd w:val="clear" w:color="auto" w:fill="D1D0CF"/>
          </w:tcPr>
          <w:p>
            <w:pPr>
              <w:spacing w:after="0"/>
              <w:rPr>
                <w:sz w:val="16"/>
                <w:szCs w:val="16"/>
                <w:color w:val="auto"/>
              </w:rPr>
            </w:pPr>
          </w:p>
        </w:tc>
        <w:tc>
          <w:tcPr>
            <w:tcW w:w="100" w:type="dxa"/>
            <w:vAlign w:val="bottom"/>
            <w:tcBorders>
              <w:top w:val="single" w:sz="8" w:color="0D64EF"/>
            </w:tcBorders>
            <w:shd w:val="clear" w:color="auto" w:fill="D1D0CF"/>
          </w:tcPr>
          <w:p>
            <w:pPr>
              <w:spacing w:after="0"/>
              <w:rPr>
                <w:sz w:val="16"/>
                <w:szCs w:val="16"/>
                <w:color w:val="auto"/>
              </w:rPr>
            </w:pPr>
          </w:p>
        </w:tc>
        <w:tc>
          <w:tcPr>
            <w:tcW w:w="2160" w:type="dxa"/>
            <w:vAlign w:val="bottom"/>
            <w:tcBorders>
              <w:top w:val="single" w:sz="8" w:color="0D64EF"/>
            </w:tcBorders>
            <w:shd w:val="clear" w:color="auto" w:fill="D1D0CF"/>
          </w:tcPr>
          <w:p>
            <w:pPr>
              <w:jc w:val="right"/>
              <w:spacing w:after="0"/>
              <w:rPr>
                <w:sz w:val="20"/>
                <w:szCs w:val="20"/>
                <w:color w:val="auto"/>
              </w:rPr>
            </w:pPr>
            <w:r>
              <w:rPr>
                <w:rFonts w:ascii="Arial" w:cs="Arial" w:eastAsia="Arial" w:hAnsi="Arial"/>
                <w:sz w:val="16"/>
                <w:szCs w:val="16"/>
                <w:b w:val="1"/>
                <w:bCs w:val="1"/>
                <w:color w:val="auto"/>
              </w:rPr>
              <w:t>three months ended</w:t>
            </w:r>
          </w:p>
        </w:tc>
        <w:tc>
          <w:tcPr>
            <w:tcW w:w="520" w:type="dxa"/>
            <w:vAlign w:val="bottom"/>
            <w:tcBorders>
              <w:top w:val="single" w:sz="8" w:color="0D64EF"/>
            </w:tcBorders>
            <w:shd w:val="clear" w:color="auto" w:fill="D1D0CF"/>
          </w:tcPr>
          <w:p>
            <w:pPr>
              <w:spacing w:after="0"/>
              <w:rPr>
                <w:sz w:val="16"/>
                <w:szCs w:val="16"/>
                <w:color w:val="auto"/>
              </w:rPr>
            </w:pPr>
          </w:p>
        </w:tc>
        <w:tc>
          <w:tcPr>
            <w:tcW w:w="100" w:type="dxa"/>
            <w:vAlign w:val="bottom"/>
            <w:tcBorders>
              <w:top w:val="single" w:sz="8" w:color="0D64EF"/>
            </w:tcBorders>
            <w:shd w:val="clear" w:color="auto" w:fill="D1D0CF"/>
          </w:tcPr>
          <w:p>
            <w:pPr>
              <w:spacing w:after="0"/>
              <w:rPr>
                <w:sz w:val="16"/>
                <w:szCs w:val="16"/>
                <w:color w:val="auto"/>
              </w:rPr>
            </w:pPr>
          </w:p>
        </w:tc>
        <w:tc>
          <w:tcPr>
            <w:tcW w:w="2000" w:type="dxa"/>
            <w:vAlign w:val="bottom"/>
            <w:tcBorders>
              <w:top w:val="single" w:sz="8" w:color="0D64EF"/>
            </w:tcBorders>
            <w:shd w:val="clear" w:color="auto" w:fill="D1D0CF"/>
          </w:tcPr>
          <w:p>
            <w:pPr>
              <w:jc w:val="right"/>
              <w:ind w:right="159"/>
              <w:spacing w:after="0"/>
              <w:rPr>
                <w:sz w:val="20"/>
                <w:szCs w:val="20"/>
                <w:color w:val="auto"/>
              </w:rPr>
            </w:pPr>
            <w:r>
              <w:rPr>
                <w:rFonts w:ascii="Arial" w:cs="Arial" w:eastAsia="Arial" w:hAnsi="Arial"/>
                <w:sz w:val="16"/>
                <w:szCs w:val="16"/>
                <w:b w:val="1"/>
                <w:bCs w:val="1"/>
                <w:color w:val="auto"/>
              </w:rPr>
              <w:t>year ended</w:t>
            </w:r>
          </w:p>
        </w:tc>
        <w:tc>
          <w:tcPr>
            <w:tcW w:w="700" w:type="dxa"/>
            <w:vAlign w:val="bottom"/>
            <w:tcBorders>
              <w:top w:val="single" w:sz="8" w:color="0D64EF"/>
            </w:tcBorders>
            <w:shd w:val="clear" w:color="auto" w:fill="D1D0CF"/>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5660" w:type="dxa"/>
            <w:vAlign w:val="bottom"/>
            <w:tcBorders>
              <w:bottom w:val="single" w:sz="8" w:color="D1D0CF"/>
            </w:tcBorders>
            <w:shd w:val="clear" w:color="auto" w:fill="D1D0CF"/>
          </w:tcPr>
          <w:p>
            <w:pPr>
              <w:spacing w:after="0"/>
              <w:rPr>
                <w:sz w:val="19"/>
                <w:szCs w:val="19"/>
                <w:color w:val="auto"/>
              </w:rPr>
            </w:pPr>
          </w:p>
        </w:tc>
        <w:tc>
          <w:tcPr>
            <w:tcW w:w="100" w:type="dxa"/>
            <w:vAlign w:val="bottom"/>
            <w:tcBorders>
              <w:bottom w:val="single" w:sz="8" w:color="D1D0CF"/>
            </w:tcBorders>
            <w:shd w:val="clear" w:color="auto" w:fill="D1D0CF"/>
          </w:tcPr>
          <w:p>
            <w:pPr>
              <w:spacing w:after="0"/>
              <w:rPr>
                <w:sz w:val="19"/>
                <w:szCs w:val="19"/>
                <w:color w:val="auto"/>
              </w:rPr>
            </w:pPr>
          </w:p>
        </w:tc>
        <w:tc>
          <w:tcPr>
            <w:tcW w:w="2160" w:type="dxa"/>
            <w:vAlign w:val="bottom"/>
            <w:tcBorders>
              <w:bottom w:val="single" w:sz="8" w:color="0D64EF"/>
            </w:tcBorders>
            <w:shd w:val="clear" w:color="auto" w:fill="D1D0CF"/>
          </w:tcPr>
          <w:p>
            <w:pPr>
              <w:jc w:val="right"/>
              <w:ind w:right="239"/>
              <w:spacing w:after="0"/>
              <w:rPr>
                <w:sz w:val="20"/>
                <w:szCs w:val="20"/>
                <w:color w:val="auto"/>
              </w:rPr>
            </w:pPr>
            <w:r>
              <w:rPr>
                <w:rFonts w:ascii="Arial" w:cs="Arial" w:eastAsia="Arial" w:hAnsi="Arial"/>
                <w:sz w:val="16"/>
                <w:szCs w:val="16"/>
                <w:b w:val="1"/>
                <w:bCs w:val="1"/>
                <w:color w:val="auto"/>
              </w:rPr>
              <w:t>December 31</w:t>
            </w:r>
          </w:p>
        </w:tc>
        <w:tc>
          <w:tcPr>
            <w:tcW w:w="520" w:type="dxa"/>
            <w:vAlign w:val="bottom"/>
            <w:tcBorders>
              <w:bottom w:val="single" w:sz="8" w:color="0D64EF"/>
            </w:tcBorders>
            <w:shd w:val="clear" w:color="auto" w:fill="D1D0CF"/>
          </w:tcPr>
          <w:p>
            <w:pPr>
              <w:spacing w:after="0"/>
              <w:rPr>
                <w:sz w:val="19"/>
                <w:szCs w:val="19"/>
                <w:color w:val="auto"/>
              </w:rPr>
            </w:pPr>
          </w:p>
        </w:tc>
        <w:tc>
          <w:tcPr>
            <w:tcW w:w="100" w:type="dxa"/>
            <w:vAlign w:val="bottom"/>
            <w:tcBorders>
              <w:bottom w:val="single" w:sz="8" w:color="D1D0CF"/>
            </w:tcBorders>
            <w:shd w:val="clear" w:color="auto" w:fill="D1D0CF"/>
          </w:tcPr>
          <w:p>
            <w:pPr>
              <w:spacing w:after="0"/>
              <w:rPr>
                <w:sz w:val="19"/>
                <w:szCs w:val="19"/>
                <w:color w:val="auto"/>
              </w:rPr>
            </w:pPr>
          </w:p>
        </w:tc>
        <w:tc>
          <w:tcPr>
            <w:tcW w:w="2000" w:type="dxa"/>
            <w:vAlign w:val="bottom"/>
            <w:tcBorders>
              <w:bottom w:val="single" w:sz="8" w:color="0D64EF"/>
            </w:tcBorders>
            <w:shd w:val="clear" w:color="auto" w:fill="D1D0CF"/>
          </w:tcPr>
          <w:p>
            <w:pPr>
              <w:jc w:val="right"/>
              <w:ind w:right="59"/>
              <w:spacing w:after="0"/>
              <w:rPr>
                <w:sz w:val="20"/>
                <w:szCs w:val="20"/>
                <w:color w:val="auto"/>
              </w:rPr>
            </w:pPr>
            <w:r>
              <w:rPr>
                <w:rFonts w:ascii="Arial" w:cs="Arial" w:eastAsia="Arial" w:hAnsi="Arial"/>
                <w:sz w:val="16"/>
                <w:szCs w:val="16"/>
                <w:b w:val="1"/>
                <w:bCs w:val="1"/>
                <w:color w:val="auto"/>
              </w:rPr>
              <w:t>December 31</w:t>
            </w:r>
          </w:p>
        </w:tc>
        <w:tc>
          <w:tcPr>
            <w:tcW w:w="700" w:type="dxa"/>
            <w:vAlign w:val="bottom"/>
            <w:tcBorders>
              <w:bottom w:val="single" w:sz="8" w:color="0D64EF"/>
            </w:tcBorders>
            <w:shd w:val="clear" w:color="auto" w:fill="D1D0C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660" w:type="dxa"/>
            <w:vAlign w:val="bottom"/>
            <w:tcBorders>
              <w:bottom w:val="single" w:sz="8" w:color="0D64EF"/>
            </w:tcBorders>
            <w:shd w:val="clear" w:color="auto" w:fill="D1D0CF"/>
          </w:tcPr>
          <w:p>
            <w:pPr>
              <w:ind w:left="20"/>
              <w:spacing w:after="0"/>
              <w:rPr>
                <w:sz w:val="20"/>
                <w:szCs w:val="20"/>
                <w:color w:val="auto"/>
              </w:rPr>
            </w:pPr>
            <w:r>
              <w:rPr>
                <w:rFonts w:ascii="Arial" w:cs="Arial" w:eastAsia="Arial" w:hAnsi="Arial"/>
                <w:sz w:val="16"/>
                <w:szCs w:val="16"/>
                <w:color w:val="auto"/>
              </w:rPr>
              <w:t>(millions of $, except per share amounts)</w:t>
            </w:r>
          </w:p>
        </w:tc>
        <w:tc>
          <w:tcPr>
            <w:tcW w:w="100" w:type="dxa"/>
            <w:vAlign w:val="bottom"/>
            <w:tcBorders>
              <w:bottom w:val="single" w:sz="8" w:color="0D64EF"/>
            </w:tcBorders>
            <w:shd w:val="clear" w:color="auto" w:fill="D1D0CF"/>
          </w:tcPr>
          <w:p>
            <w:pPr>
              <w:spacing w:after="0"/>
              <w:rPr>
                <w:sz w:val="19"/>
                <w:szCs w:val="19"/>
                <w:color w:val="auto"/>
              </w:rPr>
            </w:pPr>
          </w:p>
        </w:tc>
        <w:tc>
          <w:tcPr>
            <w:tcW w:w="2160" w:type="dxa"/>
            <w:vAlign w:val="bottom"/>
            <w:tcBorders>
              <w:bottom w:val="single" w:sz="8" w:color="0D64EF"/>
            </w:tcBorders>
            <w:shd w:val="clear" w:color="auto" w:fill="D1D0CF"/>
          </w:tcPr>
          <w:p>
            <w:pPr>
              <w:jc w:val="right"/>
              <w:ind w:right="819"/>
              <w:spacing w:after="0"/>
              <w:rPr>
                <w:sz w:val="20"/>
                <w:szCs w:val="20"/>
                <w:color w:val="auto"/>
              </w:rPr>
            </w:pPr>
            <w:r>
              <w:rPr>
                <w:rFonts w:ascii="Arial" w:cs="Arial" w:eastAsia="Arial" w:hAnsi="Arial"/>
                <w:sz w:val="16"/>
                <w:szCs w:val="16"/>
                <w:b w:val="1"/>
                <w:bCs w:val="1"/>
                <w:color w:val="auto"/>
              </w:rPr>
              <w:t>2025</w:t>
            </w:r>
          </w:p>
        </w:tc>
        <w:tc>
          <w:tcPr>
            <w:tcW w:w="520" w:type="dxa"/>
            <w:vAlign w:val="bottom"/>
            <w:tcBorders>
              <w:bottom w:val="single" w:sz="8" w:color="0D64EF"/>
            </w:tcBorders>
            <w:shd w:val="clear" w:color="auto" w:fill="D1D0CF"/>
          </w:tcPr>
          <w:p>
            <w:pPr>
              <w:jc w:val="right"/>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bottom w:val="single" w:sz="8" w:color="0D64EF"/>
            </w:tcBorders>
            <w:shd w:val="clear" w:color="auto" w:fill="D1D0CF"/>
          </w:tcPr>
          <w:p>
            <w:pPr>
              <w:spacing w:after="0"/>
              <w:rPr>
                <w:sz w:val="19"/>
                <w:szCs w:val="19"/>
                <w:color w:val="auto"/>
              </w:rPr>
            </w:pPr>
          </w:p>
        </w:tc>
        <w:tc>
          <w:tcPr>
            <w:tcW w:w="2000" w:type="dxa"/>
            <w:vAlign w:val="bottom"/>
            <w:tcBorders>
              <w:bottom w:val="single" w:sz="8" w:color="0D64EF"/>
            </w:tcBorders>
            <w:shd w:val="clear" w:color="auto" w:fill="D1D0CF"/>
          </w:tcPr>
          <w:p>
            <w:pPr>
              <w:jc w:val="right"/>
              <w:ind w:right="639"/>
              <w:spacing w:after="0"/>
              <w:rPr>
                <w:sz w:val="20"/>
                <w:szCs w:val="20"/>
                <w:color w:val="auto"/>
              </w:rPr>
            </w:pPr>
            <w:r>
              <w:rPr>
                <w:rFonts w:ascii="Arial" w:cs="Arial" w:eastAsia="Arial" w:hAnsi="Arial"/>
                <w:sz w:val="16"/>
                <w:szCs w:val="16"/>
                <w:b w:val="1"/>
                <w:bCs w:val="1"/>
                <w:color w:val="auto"/>
              </w:rPr>
              <w:t>2025</w:t>
            </w:r>
          </w:p>
        </w:tc>
        <w:tc>
          <w:tcPr>
            <w:tcW w:w="700" w:type="dxa"/>
            <w:vAlign w:val="bottom"/>
            <w:tcBorders>
              <w:bottom w:val="single" w:sz="8" w:color="0D64EF"/>
            </w:tcBorders>
            <w:shd w:val="clear" w:color="auto" w:fill="D1D0CF"/>
          </w:tcPr>
          <w:p>
            <w:pPr>
              <w:jc w:val="right"/>
              <w:spacing w:after="0"/>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259"/>
        </w:trPr>
        <w:tc>
          <w:tcPr>
            <w:tcW w:w="5660" w:type="dxa"/>
            <w:vAlign w:val="bottom"/>
          </w:tcPr>
          <w:p>
            <w:pPr>
              <w:ind w:left="140"/>
              <w:spacing w:after="0"/>
              <w:rPr>
                <w:sz w:val="20"/>
                <w:szCs w:val="20"/>
                <w:color w:val="auto"/>
              </w:rPr>
            </w:pPr>
            <w:r>
              <w:rPr>
                <w:rFonts w:ascii="Arial" w:cs="Arial" w:eastAsia="Arial" w:hAnsi="Arial"/>
                <w:sz w:val="16"/>
                <w:szCs w:val="16"/>
                <w:color w:val="auto"/>
              </w:rPr>
              <w:t>Canadian Natural Gas Pipelines</w:t>
            </w:r>
          </w:p>
        </w:tc>
        <w:tc>
          <w:tcPr>
            <w:tcW w:w="2260" w:type="dxa"/>
            <w:vAlign w:val="bottom"/>
            <w:gridSpan w:val="2"/>
          </w:tcPr>
          <w:p>
            <w:pPr>
              <w:jc w:val="right"/>
              <w:ind w:right="879"/>
              <w:spacing w:after="0"/>
              <w:rPr>
                <w:sz w:val="20"/>
                <w:szCs w:val="20"/>
                <w:color w:val="auto"/>
              </w:rPr>
            </w:pPr>
            <w:r>
              <w:rPr>
                <w:rFonts w:ascii="Arial" w:cs="Arial" w:eastAsia="Arial" w:hAnsi="Arial"/>
                <w:sz w:val="16"/>
                <w:szCs w:val="16"/>
                <w:b w:val="1"/>
                <w:bCs w:val="1"/>
                <w:color w:val="auto"/>
              </w:rPr>
              <w:t>961</w:t>
            </w:r>
          </w:p>
        </w:tc>
        <w:tc>
          <w:tcPr>
            <w:tcW w:w="520" w:type="dxa"/>
            <w:vAlign w:val="bottom"/>
          </w:tcPr>
          <w:p>
            <w:pPr>
              <w:jc w:val="right"/>
              <w:spacing w:after="0"/>
              <w:rPr>
                <w:sz w:val="20"/>
                <w:szCs w:val="20"/>
                <w:color w:val="auto"/>
              </w:rPr>
            </w:pPr>
            <w:r>
              <w:rPr>
                <w:rFonts w:ascii="Arial" w:cs="Arial" w:eastAsia="Arial" w:hAnsi="Arial"/>
                <w:sz w:val="16"/>
                <w:szCs w:val="16"/>
                <w:color w:val="auto"/>
              </w:rPr>
              <w:t>851</w:t>
            </w:r>
          </w:p>
        </w:tc>
        <w:tc>
          <w:tcPr>
            <w:tcW w:w="100" w:type="dxa"/>
            <w:vAlign w:val="bottom"/>
          </w:tcPr>
          <w:p>
            <w:pPr>
              <w:spacing w:after="0"/>
              <w:rPr>
                <w:sz w:val="22"/>
                <w:szCs w:val="22"/>
                <w:color w:val="auto"/>
              </w:rPr>
            </w:pPr>
          </w:p>
        </w:tc>
        <w:tc>
          <w:tcPr>
            <w:tcW w:w="2000" w:type="dxa"/>
            <w:vAlign w:val="bottom"/>
          </w:tcPr>
          <w:p>
            <w:pPr>
              <w:jc w:val="right"/>
              <w:ind w:right="699"/>
              <w:spacing w:after="0"/>
              <w:rPr>
                <w:sz w:val="20"/>
                <w:szCs w:val="20"/>
                <w:color w:val="auto"/>
              </w:rPr>
            </w:pPr>
            <w:r>
              <w:rPr>
                <w:rFonts w:ascii="Arial" w:cs="Arial" w:eastAsia="Arial" w:hAnsi="Arial"/>
                <w:sz w:val="16"/>
                <w:szCs w:val="16"/>
                <w:b w:val="1"/>
                <w:bCs w:val="1"/>
                <w:color w:val="auto"/>
              </w:rPr>
              <w:t>3,687</w:t>
            </w:r>
          </w:p>
        </w:tc>
        <w:tc>
          <w:tcPr>
            <w:tcW w:w="700" w:type="dxa"/>
            <w:vAlign w:val="bottom"/>
          </w:tcPr>
          <w:p>
            <w:pPr>
              <w:jc w:val="right"/>
              <w:spacing w:after="0"/>
              <w:rPr>
                <w:sz w:val="20"/>
                <w:szCs w:val="20"/>
                <w:color w:val="auto"/>
              </w:rPr>
            </w:pPr>
            <w:r>
              <w:rPr>
                <w:rFonts w:ascii="Arial" w:cs="Arial" w:eastAsia="Arial" w:hAnsi="Arial"/>
                <w:sz w:val="16"/>
                <w:szCs w:val="16"/>
                <w:color w:val="auto"/>
              </w:rPr>
              <w:t>3,388</w:t>
            </w:r>
          </w:p>
        </w:tc>
        <w:tc>
          <w:tcPr>
            <w:tcW w:w="0" w:type="dxa"/>
            <w:vAlign w:val="bottom"/>
          </w:tcPr>
          <w:p>
            <w:pPr>
              <w:spacing w:after="0"/>
              <w:rPr>
                <w:sz w:val="1"/>
                <w:szCs w:val="1"/>
                <w:color w:val="auto"/>
              </w:rPr>
            </w:pPr>
          </w:p>
        </w:tc>
      </w:tr>
      <w:tr>
        <w:trPr>
          <w:trHeight w:val="230"/>
        </w:trPr>
        <w:tc>
          <w:tcPr>
            <w:tcW w:w="5660" w:type="dxa"/>
            <w:vAlign w:val="bottom"/>
          </w:tcPr>
          <w:p>
            <w:pPr>
              <w:ind w:left="140"/>
              <w:spacing w:after="0"/>
              <w:rPr>
                <w:sz w:val="20"/>
                <w:szCs w:val="20"/>
                <w:color w:val="auto"/>
              </w:rPr>
            </w:pPr>
            <w:r>
              <w:rPr>
                <w:rFonts w:ascii="Arial" w:cs="Arial" w:eastAsia="Arial" w:hAnsi="Arial"/>
                <w:sz w:val="16"/>
                <w:szCs w:val="16"/>
                <w:color w:val="auto"/>
              </w:rPr>
              <w:t>U.S. Natural Gas Pipelines</w:t>
            </w:r>
          </w:p>
        </w:tc>
        <w:tc>
          <w:tcPr>
            <w:tcW w:w="2260" w:type="dxa"/>
            <w:vAlign w:val="bottom"/>
            <w:gridSpan w:val="2"/>
          </w:tcPr>
          <w:p>
            <w:pPr>
              <w:jc w:val="right"/>
              <w:ind w:right="879"/>
              <w:spacing w:after="0"/>
              <w:rPr>
                <w:sz w:val="20"/>
                <w:szCs w:val="20"/>
                <w:color w:val="auto"/>
              </w:rPr>
            </w:pPr>
            <w:r>
              <w:rPr>
                <w:rFonts w:ascii="Arial" w:cs="Arial" w:eastAsia="Arial" w:hAnsi="Arial"/>
                <w:sz w:val="16"/>
                <w:szCs w:val="16"/>
                <w:b w:val="1"/>
                <w:bCs w:val="1"/>
                <w:color w:val="auto"/>
              </w:rPr>
              <w:t>1,388</w:t>
            </w:r>
          </w:p>
        </w:tc>
        <w:tc>
          <w:tcPr>
            <w:tcW w:w="520" w:type="dxa"/>
            <w:vAlign w:val="bottom"/>
          </w:tcPr>
          <w:p>
            <w:pPr>
              <w:jc w:val="right"/>
              <w:spacing w:after="0"/>
              <w:rPr>
                <w:sz w:val="20"/>
                <w:szCs w:val="20"/>
                <w:color w:val="auto"/>
              </w:rPr>
            </w:pPr>
            <w:r>
              <w:rPr>
                <w:rFonts w:ascii="Arial" w:cs="Arial" w:eastAsia="Arial" w:hAnsi="Arial"/>
                <w:sz w:val="16"/>
                <w:szCs w:val="16"/>
                <w:color w:val="auto"/>
              </w:rPr>
              <w:t>1,200</w:t>
            </w:r>
          </w:p>
        </w:tc>
        <w:tc>
          <w:tcPr>
            <w:tcW w:w="100" w:type="dxa"/>
            <w:vAlign w:val="bottom"/>
          </w:tcPr>
          <w:p>
            <w:pPr>
              <w:spacing w:after="0"/>
              <w:rPr>
                <w:sz w:val="19"/>
                <w:szCs w:val="19"/>
                <w:color w:val="auto"/>
              </w:rPr>
            </w:pPr>
          </w:p>
        </w:tc>
        <w:tc>
          <w:tcPr>
            <w:tcW w:w="2000" w:type="dxa"/>
            <w:vAlign w:val="bottom"/>
          </w:tcPr>
          <w:p>
            <w:pPr>
              <w:jc w:val="right"/>
              <w:ind w:right="699"/>
              <w:spacing w:after="0"/>
              <w:rPr>
                <w:sz w:val="20"/>
                <w:szCs w:val="20"/>
                <w:color w:val="auto"/>
              </w:rPr>
            </w:pPr>
            <w:r>
              <w:rPr>
                <w:rFonts w:ascii="Arial" w:cs="Arial" w:eastAsia="Arial" w:hAnsi="Arial"/>
                <w:sz w:val="16"/>
                <w:szCs w:val="16"/>
                <w:b w:val="1"/>
                <w:bCs w:val="1"/>
                <w:color w:val="auto"/>
              </w:rPr>
              <w:t>4,906</w:t>
            </w:r>
          </w:p>
        </w:tc>
        <w:tc>
          <w:tcPr>
            <w:tcW w:w="700" w:type="dxa"/>
            <w:vAlign w:val="bottom"/>
          </w:tcPr>
          <w:p>
            <w:pPr>
              <w:jc w:val="right"/>
              <w:spacing w:after="0"/>
              <w:rPr>
                <w:sz w:val="20"/>
                <w:szCs w:val="20"/>
                <w:color w:val="auto"/>
              </w:rPr>
            </w:pPr>
            <w:r>
              <w:rPr>
                <w:rFonts w:ascii="Arial" w:cs="Arial" w:eastAsia="Arial" w:hAnsi="Arial"/>
                <w:sz w:val="16"/>
                <w:szCs w:val="16"/>
                <w:color w:val="auto"/>
              </w:rPr>
              <w:t>4,511</w:t>
            </w:r>
          </w:p>
        </w:tc>
        <w:tc>
          <w:tcPr>
            <w:tcW w:w="0" w:type="dxa"/>
            <w:vAlign w:val="bottom"/>
          </w:tcPr>
          <w:p>
            <w:pPr>
              <w:spacing w:after="0"/>
              <w:rPr>
                <w:sz w:val="1"/>
                <w:szCs w:val="1"/>
                <w:color w:val="auto"/>
              </w:rPr>
            </w:pPr>
          </w:p>
        </w:tc>
      </w:tr>
      <w:tr>
        <w:trPr>
          <w:trHeight w:val="230"/>
        </w:trPr>
        <w:tc>
          <w:tcPr>
            <w:tcW w:w="5660" w:type="dxa"/>
            <w:vAlign w:val="bottom"/>
          </w:tcPr>
          <w:p>
            <w:pPr>
              <w:ind w:left="140"/>
              <w:spacing w:after="0"/>
              <w:rPr>
                <w:sz w:val="20"/>
                <w:szCs w:val="20"/>
                <w:color w:val="auto"/>
              </w:rPr>
            </w:pPr>
            <w:r>
              <w:rPr>
                <w:rFonts w:ascii="Arial" w:cs="Arial" w:eastAsia="Arial" w:hAnsi="Arial"/>
                <w:sz w:val="16"/>
                <w:szCs w:val="16"/>
                <w:color w:val="auto"/>
              </w:rPr>
              <w:t>Mexico Natural Gas Pipelines</w:t>
            </w:r>
          </w:p>
        </w:tc>
        <w:tc>
          <w:tcPr>
            <w:tcW w:w="2260" w:type="dxa"/>
            <w:vAlign w:val="bottom"/>
            <w:gridSpan w:val="2"/>
          </w:tcPr>
          <w:p>
            <w:pPr>
              <w:jc w:val="right"/>
              <w:ind w:right="879"/>
              <w:spacing w:after="0"/>
              <w:rPr>
                <w:sz w:val="20"/>
                <w:szCs w:val="20"/>
                <w:color w:val="auto"/>
              </w:rPr>
            </w:pPr>
            <w:r>
              <w:rPr>
                <w:rFonts w:ascii="Arial" w:cs="Arial" w:eastAsia="Arial" w:hAnsi="Arial"/>
                <w:sz w:val="16"/>
                <w:szCs w:val="16"/>
                <w:b w:val="1"/>
                <w:bCs w:val="1"/>
                <w:color w:val="auto"/>
              </w:rPr>
              <w:t>397</w:t>
            </w:r>
          </w:p>
        </w:tc>
        <w:tc>
          <w:tcPr>
            <w:tcW w:w="520" w:type="dxa"/>
            <w:vAlign w:val="bottom"/>
          </w:tcPr>
          <w:p>
            <w:pPr>
              <w:jc w:val="right"/>
              <w:spacing w:after="0"/>
              <w:rPr>
                <w:sz w:val="20"/>
                <w:szCs w:val="20"/>
                <w:color w:val="auto"/>
              </w:rPr>
            </w:pPr>
            <w:r>
              <w:rPr>
                <w:rFonts w:ascii="Arial" w:cs="Arial" w:eastAsia="Arial" w:hAnsi="Arial"/>
                <w:sz w:val="16"/>
                <w:szCs w:val="16"/>
                <w:color w:val="auto"/>
              </w:rPr>
              <w:t>234</w:t>
            </w:r>
          </w:p>
        </w:tc>
        <w:tc>
          <w:tcPr>
            <w:tcW w:w="100" w:type="dxa"/>
            <w:vAlign w:val="bottom"/>
          </w:tcPr>
          <w:p>
            <w:pPr>
              <w:spacing w:after="0"/>
              <w:rPr>
                <w:sz w:val="19"/>
                <w:szCs w:val="19"/>
                <w:color w:val="auto"/>
              </w:rPr>
            </w:pPr>
          </w:p>
        </w:tc>
        <w:tc>
          <w:tcPr>
            <w:tcW w:w="2000" w:type="dxa"/>
            <w:vAlign w:val="bottom"/>
          </w:tcPr>
          <w:p>
            <w:pPr>
              <w:jc w:val="right"/>
              <w:ind w:right="699"/>
              <w:spacing w:after="0"/>
              <w:rPr>
                <w:sz w:val="20"/>
                <w:szCs w:val="20"/>
                <w:color w:val="auto"/>
              </w:rPr>
            </w:pPr>
            <w:r>
              <w:rPr>
                <w:rFonts w:ascii="Arial" w:cs="Arial" w:eastAsia="Arial" w:hAnsi="Arial"/>
                <w:sz w:val="16"/>
                <w:szCs w:val="16"/>
                <w:b w:val="1"/>
                <w:bCs w:val="1"/>
                <w:color w:val="auto"/>
              </w:rPr>
              <w:t>1,365</w:t>
            </w:r>
          </w:p>
        </w:tc>
        <w:tc>
          <w:tcPr>
            <w:tcW w:w="700" w:type="dxa"/>
            <w:vAlign w:val="bottom"/>
          </w:tcPr>
          <w:p>
            <w:pPr>
              <w:jc w:val="right"/>
              <w:spacing w:after="0"/>
              <w:rPr>
                <w:sz w:val="20"/>
                <w:szCs w:val="20"/>
                <w:color w:val="auto"/>
              </w:rPr>
            </w:pPr>
            <w:r>
              <w:rPr>
                <w:rFonts w:ascii="Arial" w:cs="Arial" w:eastAsia="Arial" w:hAnsi="Arial"/>
                <w:sz w:val="16"/>
                <w:szCs w:val="16"/>
                <w:color w:val="auto"/>
              </w:rPr>
              <w:t>999</w:t>
            </w:r>
          </w:p>
        </w:tc>
        <w:tc>
          <w:tcPr>
            <w:tcW w:w="0" w:type="dxa"/>
            <w:vAlign w:val="bottom"/>
          </w:tcPr>
          <w:p>
            <w:pPr>
              <w:spacing w:after="0"/>
              <w:rPr>
                <w:sz w:val="1"/>
                <w:szCs w:val="1"/>
                <w:color w:val="auto"/>
              </w:rPr>
            </w:pPr>
          </w:p>
        </w:tc>
      </w:tr>
      <w:tr>
        <w:trPr>
          <w:trHeight w:val="229"/>
        </w:trPr>
        <w:tc>
          <w:tcPr>
            <w:tcW w:w="5660" w:type="dxa"/>
            <w:vAlign w:val="bottom"/>
          </w:tcPr>
          <w:p>
            <w:pPr>
              <w:ind w:left="140"/>
              <w:spacing w:after="0"/>
              <w:rPr>
                <w:sz w:val="20"/>
                <w:szCs w:val="20"/>
                <w:color w:val="auto"/>
              </w:rPr>
            </w:pPr>
            <w:r>
              <w:rPr>
                <w:rFonts w:ascii="Arial" w:cs="Arial" w:eastAsia="Arial" w:hAnsi="Arial"/>
                <w:sz w:val="16"/>
                <w:szCs w:val="16"/>
                <w:color w:val="auto"/>
              </w:rPr>
              <w:t>Power and Energy Solutions</w:t>
            </w:r>
          </w:p>
        </w:tc>
        <w:tc>
          <w:tcPr>
            <w:tcW w:w="2260" w:type="dxa"/>
            <w:vAlign w:val="bottom"/>
            <w:gridSpan w:val="2"/>
          </w:tcPr>
          <w:p>
            <w:pPr>
              <w:jc w:val="right"/>
              <w:ind w:right="879"/>
              <w:spacing w:after="0"/>
              <w:rPr>
                <w:sz w:val="20"/>
                <w:szCs w:val="20"/>
                <w:color w:val="auto"/>
              </w:rPr>
            </w:pPr>
            <w:r>
              <w:rPr>
                <w:rFonts w:ascii="Arial" w:cs="Arial" w:eastAsia="Arial" w:hAnsi="Arial"/>
                <w:sz w:val="16"/>
                <w:szCs w:val="16"/>
                <w:b w:val="1"/>
                <w:bCs w:val="1"/>
                <w:color w:val="auto"/>
              </w:rPr>
              <w:t>217</w:t>
            </w:r>
          </w:p>
        </w:tc>
        <w:tc>
          <w:tcPr>
            <w:tcW w:w="520" w:type="dxa"/>
            <w:vAlign w:val="bottom"/>
          </w:tcPr>
          <w:p>
            <w:pPr>
              <w:jc w:val="right"/>
              <w:spacing w:after="0"/>
              <w:rPr>
                <w:sz w:val="20"/>
                <w:szCs w:val="20"/>
                <w:color w:val="auto"/>
              </w:rPr>
            </w:pPr>
            <w:r>
              <w:rPr>
                <w:rFonts w:ascii="Arial" w:cs="Arial" w:eastAsia="Arial" w:hAnsi="Arial"/>
                <w:sz w:val="16"/>
                <w:szCs w:val="16"/>
                <w:color w:val="auto"/>
              </w:rPr>
              <w:t>341</w:t>
            </w:r>
          </w:p>
        </w:tc>
        <w:tc>
          <w:tcPr>
            <w:tcW w:w="100" w:type="dxa"/>
            <w:vAlign w:val="bottom"/>
          </w:tcPr>
          <w:p>
            <w:pPr>
              <w:spacing w:after="0"/>
              <w:rPr>
                <w:sz w:val="19"/>
                <w:szCs w:val="19"/>
                <w:color w:val="auto"/>
              </w:rPr>
            </w:pPr>
          </w:p>
        </w:tc>
        <w:tc>
          <w:tcPr>
            <w:tcW w:w="2000" w:type="dxa"/>
            <w:vAlign w:val="bottom"/>
          </w:tcPr>
          <w:p>
            <w:pPr>
              <w:jc w:val="right"/>
              <w:ind w:right="699"/>
              <w:spacing w:after="0"/>
              <w:rPr>
                <w:sz w:val="20"/>
                <w:szCs w:val="20"/>
                <w:color w:val="auto"/>
              </w:rPr>
            </w:pPr>
            <w:r>
              <w:rPr>
                <w:rFonts w:ascii="Arial" w:cs="Arial" w:eastAsia="Arial" w:hAnsi="Arial"/>
                <w:sz w:val="16"/>
                <w:szCs w:val="16"/>
                <w:b w:val="1"/>
                <w:bCs w:val="1"/>
                <w:color w:val="auto"/>
              </w:rPr>
              <w:t>1,008</w:t>
            </w:r>
          </w:p>
        </w:tc>
        <w:tc>
          <w:tcPr>
            <w:tcW w:w="700" w:type="dxa"/>
            <w:vAlign w:val="bottom"/>
          </w:tcPr>
          <w:p>
            <w:pPr>
              <w:jc w:val="right"/>
              <w:spacing w:after="0"/>
              <w:rPr>
                <w:sz w:val="20"/>
                <w:szCs w:val="20"/>
                <w:color w:val="auto"/>
              </w:rPr>
            </w:pPr>
            <w:r>
              <w:rPr>
                <w:rFonts w:ascii="Arial" w:cs="Arial" w:eastAsia="Arial" w:hAnsi="Arial"/>
                <w:sz w:val="16"/>
                <w:szCs w:val="16"/>
                <w:color w:val="auto"/>
              </w:rPr>
              <w:t>1,214</w:t>
            </w:r>
          </w:p>
        </w:tc>
        <w:tc>
          <w:tcPr>
            <w:tcW w:w="0" w:type="dxa"/>
            <w:vAlign w:val="bottom"/>
          </w:tcPr>
          <w:p>
            <w:pPr>
              <w:spacing w:after="0"/>
              <w:rPr>
                <w:sz w:val="1"/>
                <w:szCs w:val="1"/>
                <w:color w:val="auto"/>
              </w:rPr>
            </w:pPr>
          </w:p>
        </w:tc>
      </w:tr>
      <w:tr>
        <w:trPr>
          <w:trHeight w:val="233"/>
        </w:trPr>
        <w:tc>
          <w:tcPr>
            <w:tcW w:w="566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Corporate</w:t>
            </w:r>
          </w:p>
        </w:tc>
        <w:tc>
          <w:tcPr>
            <w:tcW w:w="2260" w:type="dxa"/>
            <w:vAlign w:val="bottom"/>
            <w:tcBorders>
              <w:bottom w:val="single" w:sz="8" w:color="auto"/>
            </w:tcBorders>
            <w:gridSpan w:val="2"/>
          </w:tcPr>
          <w:p>
            <w:pPr>
              <w:jc w:val="right"/>
              <w:ind w:right="879"/>
              <w:spacing w:after="0"/>
              <w:rPr>
                <w:sz w:val="20"/>
                <w:szCs w:val="20"/>
                <w:color w:val="auto"/>
              </w:rPr>
            </w:pPr>
            <w:r>
              <w:rPr>
                <w:rFonts w:ascii="Arial" w:cs="Arial" w:eastAsia="Arial" w:hAnsi="Arial"/>
                <w:sz w:val="16"/>
                <w:szCs w:val="16"/>
                <w:b w:val="1"/>
                <w:bCs w:val="1"/>
                <w:color w:val="auto"/>
              </w:rPr>
              <w:t>1</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b w:val="1"/>
                <w:bCs w:val="1"/>
                <w:color w:val="auto"/>
              </w:rPr>
              <w:t>(14)</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w:t>
            </w:r>
          </w:p>
        </w:tc>
        <w:tc>
          <w:tcPr>
            <w:tcW w:w="0" w:type="dxa"/>
            <w:vAlign w:val="bottom"/>
          </w:tcPr>
          <w:p>
            <w:pPr>
              <w:spacing w:after="0"/>
              <w:rPr>
                <w:sz w:val="1"/>
                <w:szCs w:val="1"/>
                <w:color w:val="auto"/>
              </w:rPr>
            </w:pPr>
          </w:p>
        </w:tc>
      </w:tr>
      <w:tr>
        <w:trPr>
          <w:trHeight w:val="220"/>
        </w:trPr>
        <w:tc>
          <w:tcPr>
            <w:tcW w:w="5660" w:type="dxa"/>
            <w:vAlign w:val="bottom"/>
          </w:tcPr>
          <w:p>
            <w:pPr>
              <w:ind w:left="20"/>
              <w:spacing w:after="0"/>
              <w:rPr>
                <w:sz w:val="20"/>
                <w:szCs w:val="20"/>
                <w:color w:val="auto"/>
              </w:rPr>
            </w:pPr>
            <w:r>
              <w:rPr>
                <w:rFonts w:ascii="Arial" w:cs="Arial" w:eastAsia="Arial" w:hAnsi="Arial"/>
                <w:sz w:val="16"/>
                <w:szCs w:val="16"/>
                <w:b w:val="1"/>
                <w:bCs w:val="1"/>
                <w:color w:val="0D64EF"/>
              </w:rPr>
              <w:t>Comparable EBITDA from continuing operations</w:t>
            </w:r>
          </w:p>
        </w:tc>
        <w:tc>
          <w:tcPr>
            <w:tcW w:w="2260" w:type="dxa"/>
            <w:vAlign w:val="bottom"/>
            <w:gridSpan w:val="2"/>
          </w:tcPr>
          <w:p>
            <w:pPr>
              <w:jc w:val="right"/>
              <w:ind w:right="879"/>
              <w:spacing w:after="0"/>
              <w:rPr>
                <w:sz w:val="20"/>
                <w:szCs w:val="20"/>
                <w:color w:val="auto"/>
              </w:rPr>
            </w:pPr>
            <w:r>
              <w:rPr>
                <w:rFonts w:ascii="Arial" w:cs="Arial" w:eastAsia="Arial" w:hAnsi="Arial"/>
                <w:sz w:val="16"/>
                <w:szCs w:val="16"/>
                <w:b w:val="1"/>
                <w:bCs w:val="1"/>
                <w:color w:val="auto"/>
              </w:rPr>
              <w:t>2,964</w:t>
            </w:r>
          </w:p>
        </w:tc>
        <w:tc>
          <w:tcPr>
            <w:tcW w:w="520" w:type="dxa"/>
            <w:vAlign w:val="bottom"/>
          </w:tcPr>
          <w:p>
            <w:pPr>
              <w:jc w:val="right"/>
              <w:spacing w:after="0"/>
              <w:rPr>
                <w:sz w:val="20"/>
                <w:szCs w:val="20"/>
                <w:color w:val="auto"/>
              </w:rPr>
            </w:pPr>
            <w:r>
              <w:rPr>
                <w:rFonts w:ascii="Arial" w:cs="Arial" w:eastAsia="Arial" w:hAnsi="Arial"/>
                <w:sz w:val="16"/>
                <w:szCs w:val="16"/>
                <w:color w:val="auto"/>
              </w:rPr>
              <w:t>2,619</w:t>
            </w:r>
          </w:p>
        </w:tc>
        <w:tc>
          <w:tcPr>
            <w:tcW w:w="100" w:type="dxa"/>
            <w:vAlign w:val="bottom"/>
          </w:tcPr>
          <w:p>
            <w:pPr>
              <w:spacing w:after="0"/>
              <w:rPr>
                <w:sz w:val="19"/>
                <w:szCs w:val="19"/>
                <w:color w:val="auto"/>
              </w:rPr>
            </w:pPr>
          </w:p>
        </w:tc>
        <w:tc>
          <w:tcPr>
            <w:tcW w:w="2000" w:type="dxa"/>
            <w:vAlign w:val="bottom"/>
          </w:tcPr>
          <w:p>
            <w:pPr>
              <w:jc w:val="right"/>
              <w:ind w:right="699"/>
              <w:spacing w:after="0"/>
              <w:rPr>
                <w:sz w:val="20"/>
                <w:szCs w:val="20"/>
                <w:color w:val="auto"/>
              </w:rPr>
            </w:pPr>
            <w:r>
              <w:rPr>
                <w:rFonts w:ascii="Arial" w:cs="Arial" w:eastAsia="Arial" w:hAnsi="Arial"/>
                <w:sz w:val="16"/>
                <w:szCs w:val="16"/>
                <w:b w:val="1"/>
                <w:bCs w:val="1"/>
                <w:color w:val="auto"/>
              </w:rPr>
              <w:t>10,952</w:t>
            </w:r>
          </w:p>
        </w:tc>
        <w:tc>
          <w:tcPr>
            <w:tcW w:w="700" w:type="dxa"/>
            <w:vAlign w:val="bottom"/>
          </w:tcPr>
          <w:p>
            <w:pPr>
              <w:jc w:val="right"/>
              <w:spacing w:after="0"/>
              <w:rPr>
                <w:sz w:val="20"/>
                <w:szCs w:val="20"/>
                <w:color w:val="auto"/>
              </w:rPr>
            </w:pPr>
            <w:r>
              <w:rPr>
                <w:rFonts w:ascii="Arial" w:cs="Arial" w:eastAsia="Arial" w:hAnsi="Arial"/>
                <w:sz w:val="16"/>
                <w:szCs w:val="16"/>
                <w:color w:val="auto"/>
              </w:rPr>
              <w:t>10,049</w:t>
            </w:r>
          </w:p>
        </w:tc>
        <w:tc>
          <w:tcPr>
            <w:tcW w:w="0" w:type="dxa"/>
            <w:vAlign w:val="bottom"/>
          </w:tcPr>
          <w:p>
            <w:pPr>
              <w:spacing w:after="0"/>
              <w:rPr>
                <w:sz w:val="1"/>
                <w:szCs w:val="1"/>
                <w:color w:val="auto"/>
              </w:rPr>
            </w:pPr>
          </w:p>
        </w:tc>
      </w:tr>
      <w:tr>
        <w:trPr>
          <w:trHeight w:val="229"/>
        </w:trPr>
        <w:tc>
          <w:tcPr>
            <w:tcW w:w="5660" w:type="dxa"/>
            <w:vAlign w:val="bottom"/>
          </w:tcPr>
          <w:p>
            <w:pPr>
              <w:ind w:left="140"/>
              <w:spacing w:after="0"/>
              <w:rPr>
                <w:sz w:val="20"/>
                <w:szCs w:val="20"/>
                <w:color w:val="auto"/>
              </w:rPr>
            </w:pPr>
            <w:r>
              <w:rPr>
                <w:rFonts w:ascii="Arial" w:cs="Arial" w:eastAsia="Arial" w:hAnsi="Arial"/>
                <w:sz w:val="16"/>
                <w:szCs w:val="16"/>
                <w:color w:val="auto"/>
              </w:rPr>
              <w:t>Depreciation and amortization</w:t>
            </w:r>
          </w:p>
        </w:tc>
        <w:tc>
          <w:tcPr>
            <w:tcW w:w="2260" w:type="dxa"/>
            <w:vAlign w:val="bottom"/>
            <w:gridSpan w:val="2"/>
          </w:tcPr>
          <w:p>
            <w:pPr>
              <w:jc w:val="right"/>
              <w:ind w:right="819"/>
              <w:spacing w:after="0"/>
              <w:rPr>
                <w:sz w:val="20"/>
                <w:szCs w:val="20"/>
                <w:color w:val="auto"/>
              </w:rPr>
            </w:pPr>
            <w:r>
              <w:rPr>
                <w:rFonts w:ascii="Arial" w:cs="Arial" w:eastAsia="Arial" w:hAnsi="Arial"/>
                <w:sz w:val="16"/>
                <w:szCs w:val="16"/>
                <w:b w:val="1"/>
                <w:bCs w:val="1"/>
                <w:color w:val="auto"/>
              </w:rPr>
              <w:t>(719)</w:t>
            </w:r>
          </w:p>
        </w:tc>
        <w:tc>
          <w:tcPr>
            <w:tcW w:w="520" w:type="dxa"/>
            <w:vAlign w:val="bottom"/>
          </w:tcPr>
          <w:p>
            <w:pPr>
              <w:jc w:val="right"/>
              <w:spacing w:after="0"/>
              <w:rPr>
                <w:sz w:val="20"/>
                <w:szCs w:val="20"/>
                <w:color w:val="auto"/>
              </w:rPr>
            </w:pPr>
            <w:r>
              <w:rPr>
                <w:rFonts w:ascii="Arial" w:cs="Arial" w:eastAsia="Arial" w:hAnsi="Arial"/>
                <w:sz w:val="16"/>
                <w:szCs w:val="16"/>
                <w:color w:val="auto"/>
              </w:rPr>
              <w:t>(639)</w:t>
            </w:r>
          </w:p>
        </w:tc>
        <w:tc>
          <w:tcPr>
            <w:tcW w:w="100" w:type="dxa"/>
            <w:vAlign w:val="bottom"/>
          </w:tcPr>
          <w:p>
            <w:pPr>
              <w:spacing w:after="0"/>
              <w:rPr>
                <w:sz w:val="19"/>
                <w:szCs w:val="19"/>
                <w:color w:val="auto"/>
              </w:rPr>
            </w:pPr>
          </w:p>
        </w:tc>
        <w:tc>
          <w:tcPr>
            <w:tcW w:w="2000" w:type="dxa"/>
            <w:vAlign w:val="bottom"/>
          </w:tcPr>
          <w:p>
            <w:pPr>
              <w:jc w:val="right"/>
              <w:ind w:right="659"/>
              <w:spacing w:after="0"/>
              <w:rPr>
                <w:sz w:val="20"/>
                <w:szCs w:val="20"/>
                <w:color w:val="auto"/>
              </w:rPr>
            </w:pPr>
            <w:r>
              <w:rPr>
                <w:rFonts w:ascii="Arial" w:cs="Arial" w:eastAsia="Arial" w:hAnsi="Arial"/>
                <w:sz w:val="16"/>
                <w:szCs w:val="16"/>
                <w:b w:val="1"/>
                <w:bCs w:val="1"/>
                <w:color w:val="auto"/>
              </w:rPr>
              <w:t>(2,769)</w:t>
            </w:r>
          </w:p>
        </w:tc>
        <w:tc>
          <w:tcPr>
            <w:tcW w:w="700" w:type="dxa"/>
            <w:vAlign w:val="bottom"/>
          </w:tcPr>
          <w:p>
            <w:pPr>
              <w:jc w:val="right"/>
              <w:spacing w:after="0"/>
              <w:rPr>
                <w:sz w:val="20"/>
                <w:szCs w:val="20"/>
                <w:color w:val="auto"/>
              </w:rPr>
            </w:pPr>
            <w:r>
              <w:rPr>
                <w:rFonts w:ascii="Arial" w:cs="Arial" w:eastAsia="Arial" w:hAnsi="Arial"/>
                <w:sz w:val="16"/>
                <w:szCs w:val="16"/>
                <w:color w:val="auto"/>
              </w:rPr>
              <w:t>(2,535)</w:t>
            </w:r>
          </w:p>
        </w:tc>
        <w:tc>
          <w:tcPr>
            <w:tcW w:w="0" w:type="dxa"/>
            <w:vAlign w:val="bottom"/>
          </w:tcPr>
          <w:p>
            <w:pPr>
              <w:spacing w:after="0"/>
              <w:rPr>
                <w:sz w:val="1"/>
                <w:szCs w:val="1"/>
                <w:color w:val="auto"/>
              </w:rPr>
            </w:pPr>
          </w:p>
        </w:tc>
      </w:tr>
      <w:tr>
        <w:trPr>
          <w:trHeight w:val="230"/>
        </w:trPr>
        <w:tc>
          <w:tcPr>
            <w:tcW w:w="5660" w:type="dxa"/>
            <w:vAlign w:val="bottom"/>
          </w:tcPr>
          <w:p>
            <w:pPr>
              <w:ind w:left="140"/>
              <w:spacing w:after="0"/>
              <w:rPr>
                <w:sz w:val="20"/>
                <w:szCs w:val="20"/>
                <w:color w:val="auto"/>
              </w:rPr>
            </w:pPr>
            <w:r>
              <w:rPr>
                <w:rFonts w:ascii="Arial" w:cs="Arial" w:eastAsia="Arial" w:hAnsi="Arial"/>
                <w:sz w:val="16"/>
                <w:szCs w:val="16"/>
                <w:color w:val="auto"/>
              </w:rPr>
              <w:t>Interest expense included in comparable earnings</w:t>
            </w:r>
          </w:p>
        </w:tc>
        <w:tc>
          <w:tcPr>
            <w:tcW w:w="2260" w:type="dxa"/>
            <w:vAlign w:val="bottom"/>
            <w:gridSpan w:val="2"/>
          </w:tcPr>
          <w:p>
            <w:pPr>
              <w:jc w:val="right"/>
              <w:ind w:right="819"/>
              <w:spacing w:after="0"/>
              <w:rPr>
                <w:sz w:val="20"/>
                <w:szCs w:val="20"/>
                <w:color w:val="auto"/>
              </w:rPr>
            </w:pPr>
            <w:r>
              <w:rPr>
                <w:rFonts w:ascii="Arial" w:cs="Arial" w:eastAsia="Arial" w:hAnsi="Arial"/>
                <w:sz w:val="16"/>
                <w:szCs w:val="16"/>
                <w:b w:val="1"/>
                <w:bCs w:val="1"/>
                <w:color w:val="auto"/>
              </w:rPr>
              <w:t>(874)</w:t>
            </w:r>
          </w:p>
        </w:tc>
        <w:tc>
          <w:tcPr>
            <w:tcW w:w="520" w:type="dxa"/>
            <w:vAlign w:val="bottom"/>
          </w:tcPr>
          <w:p>
            <w:pPr>
              <w:jc w:val="right"/>
              <w:spacing w:after="0"/>
              <w:rPr>
                <w:sz w:val="20"/>
                <w:szCs w:val="20"/>
                <w:color w:val="auto"/>
              </w:rPr>
            </w:pPr>
            <w:r>
              <w:rPr>
                <w:rFonts w:ascii="Arial" w:cs="Arial" w:eastAsia="Arial" w:hAnsi="Arial"/>
                <w:sz w:val="16"/>
                <w:szCs w:val="16"/>
                <w:color w:val="auto"/>
              </w:rPr>
              <w:t>(836)</w:t>
            </w:r>
          </w:p>
        </w:tc>
        <w:tc>
          <w:tcPr>
            <w:tcW w:w="100" w:type="dxa"/>
            <w:vAlign w:val="bottom"/>
          </w:tcPr>
          <w:p>
            <w:pPr>
              <w:spacing w:after="0"/>
              <w:rPr>
                <w:sz w:val="19"/>
                <w:szCs w:val="19"/>
                <w:color w:val="auto"/>
              </w:rPr>
            </w:pPr>
          </w:p>
        </w:tc>
        <w:tc>
          <w:tcPr>
            <w:tcW w:w="2000" w:type="dxa"/>
            <w:vAlign w:val="bottom"/>
          </w:tcPr>
          <w:p>
            <w:pPr>
              <w:jc w:val="right"/>
              <w:ind w:right="659"/>
              <w:spacing w:after="0"/>
              <w:rPr>
                <w:sz w:val="20"/>
                <w:szCs w:val="20"/>
                <w:color w:val="auto"/>
              </w:rPr>
            </w:pPr>
            <w:r>
              <w:rPr>
                <w:rFonts w:ascii="Arial" w:cs="Arial" w:eastAsia="Arial" w:hAnsi="Arial"/>
                <w:sz w:val="16"/>
                <w:szCs w:val="16"/>
                <w:b w:val="1"/>
                <w:bCs w:val="1"/>
                <w:color w:val="auto"/>
              </w:rPr>
              <w:t>(3,409)</w:t>
            </w:r>
          </w:p>
        </w:tc>
        <w:tc>
          <w:tcPr>
            <w:tcW w:w="700" w:type="dxa"/>
            <w:vAlign w:val="bottom"/>
          </w:tcPr>
          <w:p>
            <w:pPr>
              <w:jc w:val="right"/>
              <w:spacing w:after="0"/>
              <w:rPr>
                <w:sz w:val="20"/>
                <w:szCs w:val="20"/>
                <w:color w:val="auto"/>
              </w:rPr>
            </w:pPr>
            <w:r>
              <w:rPr>
                <w:rFonts w:ascii="Arial" w:cs="Arial" w:eastAsia="Arial" w:hAnsi="Arial"/>
                <w:sz w:val="16"/>
                <w:szCs w:val="16"/>
                <w:color w:val="auto"/>
              </w:rPr>
              <w:t>(3,176)</w:t>
            </w:r>
          </w:p>
        </w:tc>
        <w:tc>
          <w:tcPr>
            <w:tcW w:w="0" w:type="dxa"/>
            <w:vAlign w:val="bottom"/>
          </w:tcPr>
          <w:p>
            <w:pPr>
              <w:spacing w:after="0"/>
              <w:rPr>
                <w:sz w:val="1"/>
                <w:szCs w:val="1"/>
                <w:color w:val="auto"/>
              </w:rPr>
            </w:pPr>
          </w:p>
        </w:tc>
      </w:tr>
      <w:tr>
        <w:trPr>
          <w:trHeight w:val="230"/>
        </w:trPr>
        <w:tc>
          <w:tcPr>
            <w:tcW w:w="5660" w:type="dxa"/>
            <w:vAlign w:val="bottom"/>
          </w:tcPr>
          <w:p>
            <w:pPr>
              <w:ind w:left="140"/>
              <w:spacing w:after="0"/>
              <w:rPr>
                <w:sz w:val="20"/>
                <w:szCs w:val="20"/>
                <w:color w:val="auto"/>
              </w:rPr>
            </w:pPr>
            <w:r>
              <w:rPr>
                <w:rFonts w:ascii="Arial" w:cs="Arial" w:eastAsia="Arial" w:hAnsi="Arial"/>
                <w:sz w:val="16"/>
                <w:szCs w:val="16"/>
                <w:color w:val="auto"/>
              </w:rPr>
              <w:t>Allowance for funds used during construction</w:t>
            </w:r>
          </w:p>
        </w:tc>
        <w:tc>
          <w:tcPr>
            <w:tcW w:w="2260" w:type="dxa"/>
            <w:vAlign w:val="bottom"/>
            <w:gridSpan w:val="2"/>
          </w:tcPr>
          <w:p>
            <w:pPr>
              <w:jc w:val="right"/>
              <w:ind w:right="879"/>
              <w:spacing w:after="0"/>
              <w:rPr>
                <w:sz w:val="20"/>
                <w:szCs w:val="20"/>
                <w:color w:val="auto"/>
              </w:rPr>
            </w:pPr>
            <w:r>
              <w:rPr>
                <w:rFonts w:ascii="Arial" w:cs="Arial" w:eastAsia="Arial" w:hAnsi="Arial"/>
                <w:sz w:val="16"/>
                <w:szCs w:val="16"/>
                <w:b w:val="1"/>
                <w:bCs w:val="1"/>
                <w:color w:val="auto"/>
              </w:rPr>
              <w:t>36</w:t>
            </w:r>
          </w:p>
        </w:tc>
        <w:tc>
          <w:tcPr>
            <w:tcW w:w="520" w:type="dxa"/>
            <w:vAlign w:val="bottom"/>
          </w:tcPr>
          <w:p>
            <w:pPr>
              <w:jc w:val="right"/>
              <w:spacing w:after="0"/>
              <w:rPr>
                <w:sz w:val="20"/>
                <w:szCs w:val="20"/>
                <w:color w:val="auto"/>
              </w:rPr>
            </w:pPr>
            <w:r>
              <w:rPr>
                <w:rFonts w:ascii="Arial" w:cs="Arial" w:eastAsia="Arial" w:hAnsi="Arial"/>
                <w:sz w:val="16"/>
                <w:szCs w:val="16"/>
                <w:color w:val="auto"/>
              </w:rPr>
              <w:t>233</w:t>
            </w:r>
          </w:p>
        </w:tc>
        <w:tc>
          <w:tcPr>
            <w:tcW w:w="100" w:type="dxa"/>
            <w:vAlign w:val="bottom"/>
          </w:tcPr>
          <w:p>
            <w:pPr>
              <w:spacing w:after="0"/>
              <w:rPr>
                <w:sz w:val="19"/>
                <w:szCs w:val="19"/>
                <w:color w:val="auto"/>
              </w:rPr>
            </w:pPr>
          </w:p>
        </w:tc>
        <w:tc>
          <w:tcPr>
            <w:tcW w:w="2000" w:type="dxa"/>
            <w:vAlign w:val="bottom"/>
          </w:tcPr>
          <w:p>
            <w:pPr>
              <w:jc w:val="right"/>
              <w:ind w:right="699"/>
              <w:spacing w:after="0"/>
              <w:rPr>
                <w:sz w:val="20"/>
                <w:szCs w:val="20"/>
                <w:color w:val="auto"/>
              </w:rPr>
            </w:pPr>
            <w:r>
              <w:rPr>
                <w:rFonts w:ascii="Arial" w:cs="Arial" w:eastAsia="Arial" w:hAnsi="Arial"/>
                <w:sz w:val="16"/>
                <w:szCs w:val="16"/>
                <w:b w:val="1"/>
                <w:bCs w:val="1"/>
                <w:color w:val="auto"/>
              </w:rPr>
              <w:t>453</w:t>
            </w:r>
          </w:p>
        </w:tc>
        <w:tc>
          <w:tcPr>
            <w:tcW w:w="700" w:type="dxa"/>
            <w:vAlign w:val="bottom"/>
          </w:tcPr>
          <w:p>
            <w:pPr>
              <w:jc w:val="right"/>
              <w:spacing w:after="0"/>
              <w:rPr>
                <w:sz w:val="20"/>
                <w:szCs w:val="20"/>
                <w:color w:val="auto"/>
              </w:rPr>
            </w:pPr>
            <w:r>
              <w:rPr>
                <w:rFonts w:ascii="Arial" w:cs="Arial" w:eastAsia="Arial" w:hAnsi="Arial"/>
                <w:sz w:val="16"/>
                <w:szCs w:val="16"/>
                <w:color w:val="auto"/>
              </w:rPr>
              <w:t>784</w:t>
            </w:r>
          </w:p>
        </w:tc>
        <w:tc>
          <w:tcPr>
            <w:tcW w:w="0" w:type="dxa"/>
            <w:vAlign w:val="bottom"/>
          </w:tcPr>
          <w:p>
            <w:pPr>
              <w:spacing w:after="0"/>
              <w:rPr>
                <w:sz w:val="1"/>
                <w:szCs w:val="1"/>
                <w:color w:val="auto"/>
              </w:rPr>
            </w:pPr>
          </w:p>
        </w:tc>
      </w:tr>
      <w:tr>
        <w:trPr>
          <w:trHeight w:val="229"/>
        </w:trPr>
        <w:tc>
          <w:tcPr>
            <w:tcW w:w="5660" w:type="dxa"/>
            <w:vAlign w:val="bottom"/>
          </w:tcPr>
          <w:p>
            <w:pPr>
              <w:ind w:left="140"/>
              <w:spacing w:after="0"/>
              <w:rPr>
                <w:sz w:val="20"/>
                <w:szCs w:val="20"/>
                <w:color w:val="auto"/>
              </w:rPr>
            </w:pPr>
            <w:r>
              <w:rPr>
                <w:rFonts w:ascii="Arial" w:cs="Arial" w:eastAsia="Arial" w:hAnsi="Arial"/>
                <w:sz w:val="16"/>
                <w:szCs w:val="16"/>
                <w:color w:val="auto"/>
              </w:rPr>
              <w:t>Foreign exchange gains (losses), net included in comparable earnings</w:t>
            </w:r>
          </w:p>
        </w:tc>
        <w:tc>
          <w:tcPr>
            <w:tcW w:w="2260" w:type="dxa"/>
            <w:vAlign w:val="bottom"/>
            <w:gridSpan w:val="2"/>
          </w:tcPr>
          <w:p>
            <w:pPr>
              <w:jc w:val="right"/>
              <w:ind w:right="879"/>
              <w:spacing w:after="0"/>
              <w:rPr>
                <w:sz w:val="20"/>
                <w:szCs w:val="20"/>
                <w:color w:val="auto"/>
              </w:rPr>
            </w:pPr>
            <w:r>
              <w:rPr>
                <w:rFonts w:ascii="Arial" w:cs="Arial" w:eastAsia="Arial" w:hAnsi="Arial"/>
                <w:sz w:val="16"/>
                <w:szCs w:val="16"/>
                <w:b w:val="1"/>
                <w:bCs w:val="1"/>
                <w:color w:val="auto"/>
              </w:rPr>
              <w:t>29</w:t>
            </w:r>
          </w:p>
        </w:tc>
        <w:tc>
          <w:tcPr>
            <w:tcW w:w="520" w:type="dxa"/>
            <w:vAlign w:val="bottom"/>
          </w:tcPr>
          <w:p>
            <w:pPr>
              <w:jc w:val="right"/>
              <w:spacing w:after="0"/>
              <w:rPr>
                <w:sz w:val="20"/>
                <w:szCs w:val="20"/>
                <w:color w:val="auto"/>
              </w:rPr>
            </w:pPr>
            <w:r>
              <w:rPr>
                <w:rFonts w:ascii="Arial" w:cs="Arial" w:eastAsia="Arial" w:hAnsi="Arial"/>
                <w:sz w:val="16"/>
                <w:szCs w:val="16"/>
                <w:color w:val="auto"/>
              </w:rPr>
              <w:t>(44)</w:t>
            </w:r>
          </w:p>
        </w:tc>
        <w:tc>
          <w:tcPr>
            <w:tcW w:w="100" w:type="dxa"/>
            <w:vAlign w:val="bottom"/>
          </w:tcPr>
          <w:p>
            <w:pPr>
              <w:spacing w:after="0"/>
              <w:rPr>
                <w:sz w:val="19"/>
                <w:szCs w:val="19"/>
                <w:color w:val="auto"/>
              </w:rPr>
            </w:pPr>
          </w:p>
        </w:tc>
        <w:tc>
          <w:tcPr>
            <w:tcW w:w="2000" w:type="dxa"/>
            <w:vAlign w:val="bottom"/>
          </w:tcPr>
          <w:p>
            <w:pPr>
              <w:jc w:val="right"/>
              <w:ind w:right="699"/>
              <w:spacing w:after="0"/>
              <w:rPr>
                <w:sz w:val="20"/>
                <w:szCs w:val="20"/>
                <w:color w:val="auto"/>
              </w:rPr>
            </w:pPr>
            <w:r>
              <w:rPr>
                <w:rFonts w:ascii="Arial" w:cs="Arial" w:eastAsia="Arial" w:hAnsi="Arial"/>
                <w:sz w:val="16"/>
                <w:szCs w:val="16"/>
                <w:b w:val="1"/>
                <w:bCs w:val="1"/>
                <w:color w:val="auto"/>
              </w:rPr>
              <w:t>96</w:t>
            </w:r>
          </w:p>
        </w:tc>
        <w:tc>
          <w:tcPr>
            <w:tcW w:w="700" w:type="dxa"/>
            <w:vAlign w:val="bottom"/>
          </w:tcPr>
          <w:p>
            <w:pPr>
              <w:jc w:val="right"/>
              <w:spacing w:after="0"/>
              <w:rPr>
                <w:sz w:val="20"/>
                <w:szCs w:val="20"/>
                <w:color w:val="auto"/>
              </w:rPr>
            </w:pPr>
            <w:r>
              <w:rPr>
                <w:rFonts w:ascii="Arial" w:cs="Arial" w:eastAsia="Arial" w:hAnsi="Arial"/>
                <w:sz w:val="16"/>
                <w:szCs w:val="16"/>
                <w:color w:val="auto"/>
              </w:rPr>
              <w:t>(85)</w:t>
            </w:r>
          </w:p>
        </w:tc>
        <w:tc>
          <w:tcPr>
            <w:tcW w:w="0" w:type="dxa"/>
            <w:vAlign w:val="bottom"/>
          </w:tcPr>
          <w:p>
            <w:pPr>
              <w:spacing w:after="0"/>
              <w:rPr>
                <w:sz w:val="1"/>
                <w:szCs w:val="1"/>
                <w:color w:val="auto"/>
              </w:rPr>
            </w:pPr>
          </w:p>
        </w:tc>
      </w:tr>
      <w:tr>
        <w:trPr>
          <w:trHeight w:val="230"/>
        </w:trPr>
        <w:tc>
          <w:tcPr>
            <w:tcW w:w="5660" w:type="dxa"/>
            <w:vAlign w:val="bottom"/>
          </w:tcPr>
          <w:p>
            <w:pPr>
              <w:ind w:left="140"/>
              <w:spacing w:after="0"/>
              <w:rPr>
                <w:sz w:val="20"/>
                <w:szCs w:val="20"/>
                <w:color w:val="auto"/>
              </w:rPr>
            </w:pPr>
            <w:r>
              <w:rPr>
                <w:rFonts w:ascii="Arial" w:cs="Arial" w:eastAsia="Arial" w:hAnsi="Arial"/>
                <w:sz w:val="16"/>
                <w:szCs w:val="16"/>
                <w:color w:val="auto"/>
              </w:rPr>
              <w:t>Interest income and other</w:t>
            </w:r>
          </w:p>
        </w:tc>
        <w:tc>
          <w:tcPr>
            <w:tcW w:w="2260" w:type="dxa"/>
            <w:vAlign w:val="bottom"/>
            <w:gridSpan w:val="2"/>
          </w:tcPr>
          <w:p>
            <w:pPr>
              <w:jc w:val="right"/>
              <w:ind w:right="879"/>
              <w:spacing w:after="0"/>
              <w:rPr>
                <w:sz w:val="20"/>
                <w:szCs w:val="20"/>
                <w:color w:val="auto"/>
              </w:rPr>
            </w:pPr>
            <w:r>
              <w:rPr>
                <w:rFonts w:ascii="Arial" w:cs="Arial" w:eastAsia="Arial" w:hAnsi="Arial"/>
                <w:sz w:val="16"/>
                <w:szCs w:val="16"/>
                <w:b w:val="1"/>
                <w:bCs w:val="1"/>
                <w:color w:val="auto"/>
              </w:rPr>
              <w:t>58</w:t>
            </w:r>
          </w:p>
        </w:tc>
        <w:tc>
          <w:tcPr>
            <w:tcW w:w="520" w:type="dxa"/>
            <w:vAlign w:val="bottom"/>
          </w:tcPr>
          <w:p>
            <w:pPr>
              <w:jc w:val="right"/>
              <w:spacing w:after="0"/>
              <w:rPr>
                <w:sz w:val="20"/>
                <w:szCs w:val="20"/>
                <w:color w:val="auto"/>
              </w:rPr>
            </w:pPr>
            <w:r>
              <w:rPr>
                <w:rFonts w:ascii="Arial" w:cs="Arial" w:eastAsia="Arial" w:hAnsi="Arial"/>
                <w:sz w:val="16"/>
                <w:szCs w:val="16"/>
                <w:color w:val="auto"/>
              </w:rPr>
              <w:t>120</w:t>
            </w:r>
          </w:p>
        </w:tc>
        <w:tc>
          <w:tcPr>
            <w:tcW w:w="100" w:type="dxa"/>
            <w:vAlign w:val="bottom"/>
          </w:tcPr>
          <w:p>
            <w:pPr>
              <w:spacing w:after="0"/>
              <w:rPr>
                <w:sz w:val="19"/>
                <w:szCs w:val="19"/>
                <w:color w:val="auto"/>
              </w:rPr>
            </w:pPr>
          </w:p>
        </w:tc>
        <w:tc>
          <w:tcPr>
            <w:tcW w:w="2000" w:type="dxa"/>
            <w:vAlign w:val="bottom"/>
          </w:tcPr>
          <w:p>
            <w:pPr>
              <w:jc w:val="right"/>
              <w:ind w:right="699"/>
              <w:spacing w:after="0"/>
              <w:rPr>
                <w:sz w:val="20"/>
                <w:szCs w:val="20"/>
                <w:color w:val="auto"/>
              </w:rPr>
            </w:pPr>
            <w:r>
              <w:rPr>
                <w:rFonts w:ascii="Arial" w:cs="Arial" w:eastAsia="Arial" w:hAnsi="Arial"/>
                <w:sz w:val="16"/>
                <w:szCs w:val="16"/>
                <w:b w:val="1"/>
                <w:bCs w:val="1"/>
                <w:color w:val="auto"/>
              </w:rPr>
              <w:t>205</w:t>
            </w:r>
          </w:p>
        </w:tc>
        <w:tc>
          <w:tcPr>
            <w:tcW w:w="700" w:type="dxa"/>
            <w:vAlign w:val="bottom"/>
          </w:tcPr>
          <w:p>
            <w:pPr>
              <w:jc w:val="right"/>
              <w:spacing w:after="0"/>
              <w:rPr>
                <w:sz w:val="20"/>
                <w:szCs w:val="20"/>
                <w:color w:val="auto"/>
              </w:rPr>
            </w:pPr>
            <w:r>
              <w:rPr>
                <w:rFonts w:ascii="Arial" w:cs="Arial" w:eastAsia="Arial" w:hAnsi="Arial"/>
                <w:sz w:val="16"/>
                <w:szCs w:val="16"/>
                <w:color w:val="auto"/>
              </w:rPr>
              <w:t>324</w:t>
            </w:r>
          </w:p>
        </w:tc>
        <w:tc>
          <w:tcPr>
            <w:tcW w:w="0" w:type="dxa"/>
            <w:vAlign w:val="bottom"/>
          </w:tcPr>
          <w:p>
            <w:pPr>
              <w:spacing w:after="0"/>
              <w:rPr>
                <w:sz w:val="1"/>
                <w:szCs w:val="1"/>
                <w:color w:val="auto"/>
              </w:rPr>
            </w:pPr>
          </w:p>
        </w:tc>
      </w:tr>
      <w:tr>
        <w:trPr>
          <w:trHeight w:val="230"/>
        </w:trPr>
        <w:tc>
          <w:tcPr>
            <w:tcW w:w="5660" w:type="dxa"/>
            <w:vAlign w:val="bottom"/>
          </w:tcPr>
          <w:p>
            <w:pPr>
              <w:ind w:left="140"/>
              <w:spacing w:after="0"/>
              <w:rPr>
                <w:sz w:val="20"/>
                <w:szCs w:val="20"/>
                <w:color w:val="auto"/>
              </w:rPr>
            </w:pPr>
            <w:r>
              <w:rPr>
                <w:rFonts w:ascii="Arial" w:cs="Arial" w:eastAsia="Arial" w:hAnsi="Arial"/>
                <w:sz w:val="16"/>
                <w:szCs w:val="16"/>
                <w:color w:val="auto"/>
              </w:rPr>
              <w:t>Income tax (expense) recovery included in comparable earnings</w:t>
            </w:r>
          </w:p>
        </w:tc>
        <w:tc>
          <w:tcPr>
            <w:tcW w:w="2260" w:type="dxa"/>
            <w:vAlign w:val="bottom"/>
            <w:gridSpan w:val="2"/>
          </w:tcPr>
          <w:p>
            <w:pPr>
              <w:jc w:val="right"/>
              <w:ind w:right="819"/>
              <w:spacing w:after="0"/>
              <w:rPr>
                <w:sz w:val="20"/>
                <w:szCs w:val="20"/>
                <w:color w:val="auto"/>
              </w:rPr>
            </w:pPr>
            <w:r>
              <w:rPr>
                <w:rFonts w:ascii="Arial" w:cs="Arial" w:eastAsia="Arial" w:hAnsi="Arial"/>
                <w:sz w:val="16"/>
                <w:szCs w:val="16"/>
                <w:b w:val="1"/>
                <w:bCs w:val="1"/>
                <w:color w:val="auto"/>
              </w:rPr>
              <w:t>(266)</w:t>
            </w:r>
          </w:p>
        </w:tc>
        <w:tc>
          <w:tcPr>
            <w:tcW w:w="520" w:type="dxa"/>
            <w:vAlign w:val="bottom"/>
          </w:tcPr>
          <w:p>
            <w:pPr>
              <w:jc w:val="right"/>
              <w:spacing w:after="0"/>
              <w:rPr>
                <w:sz w:val="20"/>
                <w:szCs w:val="20"/>
                <w:color w:val="auto"/>
              </w:rPr>
            </w:pPr>
            <w:r>
              <w:rPr>
                <w:rFonts w:ascii="Arial" w:cs="Arial" w:eastAsia="Arial" w:hAnsi="Arial"/>
                <w:sz w:val="16"/>
                <w:szCs w:val="16"/>
                <w:color w:val="auto"/>
              </w:rPr>
              <w:t>(168)</w:t>
            </w:r>
          </w:p>
        </w:tc>
        <w:tc>
          <w:tcPr>
            <w:tcW w:w="100" w:type="dxa"/>
            <w:vAlign w:val="bottom"/>
          </w:tcPr>
          <w:p>
            <w:pPr>
              <w:spacing w:after="0"/>
              <w:rPr>
                <w:sz w:val="19"/>
                <w:szCs w:val="19"/>
                <w:color w:val="auto"/>
              </w:rPr>
            </w:pPr>
          </w:p>
        </w:tc>
        <w:tc>
          <w:tcPr>
            <w:tcW w:w="2000" w:type="dxa"/>
            <w:vAlign w:val="bottom"/>
          </w:tcPr>
          <w:p>
            <w:pPr>
              <w:jc w:val="right"/>
              <w:ind w:right="659"/>
              <w:spacing w:after="0"/>
              <w:rPr>
                <w:sz w:val="20"/>
                <w:szCs w:val="20"/>
                <w:color w:val="auto"/>
              </w:rPr>
            </w:pPr>
            <w:r>
              <w:rPr>
                <w:rFonts w:ascii="Arial" w:cs="Arial" w:eastAsia="Arial" w:hAnsi="Arial"/>
                <w:sz w:val="16"/>
                <w:szCs w:val="16"/>
                <w:b w:val="1"/>
                <w:bCs w:val="1"/>
                <w:color w:val="auto"/>
              </w:rPr>
              <w:t>(1,112)</w:t>
            </w:r>
          </w:p>
        </w:tc>
        <w:tc>
          <w:tcPr>
            <w:tcW w:w="700" w:type="dxa"/>
            <w:vAlign w:val="bottom"/>
          </w:tcPr>
          <w:p>
            <w:pPr>
              <w:jc w:val="right"/>
              <w:spacing w:after="0"/>
              <w:rPr>
                <w:sz w:val="20"/>
                <w:szCs w:val="20"/>
                <w:color w:val="auto"/>
              </w:rPr>
            </w:pPr>
            <w:r>
              <w:rPr>
                <w:rFonts w:ascii="Arial" w:cs="Arial" w:eastAsia="Arial" w:hAnsi="Arial"/>
                <w:sz w:val="16"/>
                <w:szCs w:val="16"/>
                <w:color w:val="auto"/>
              </w:rPr>
              <w:t>(772)</w:t>
            </w:r>
          </w:p>
        </w:tc>
        <w:tc>
          <w:tcPr>
            <w:tcW w:w="0" w:type="dxa"/>
            <w:vAlign w:val="bottom"/>
          </w:tcPr>
          <w:p>
            <w:pPr>
              <w:spacing w:after="0"/>
              <w:rPr>
                <w:sz w:val="1"/>
                <w:szCs w:val="1"/>
                <w:color w:val="auto"/>
              </w:rPr>
            </w:pPr>
          </w:p>
        </w:tc>
      </w:tr>
      <w:tr>
        <w:trPr>
          <w:trHeight w:val="182"/>
        </w:trPr>
        <w:tc>
          <w:tcPr>
            <w:tcW w:w="5660" w:type="dxa"/>
            <w:vAlign w:val="bottom"/>
          </w:tcPr>
          <w:p>
            <w:pPr>
              <w:ind w:left="140"/>
              <w:spacing w:after="0" w:line="182" w:lineRule="exact"/>
              <w:rPr>
                <w:sz w:val="20"/>
                <w:szCs w:val="20"/>
                <w:color w:val="auto"/>
              </w:rPr>
            </w:pPr>
            <w:r>
              <w:rPr>
                <w:rFonts w:ascii="Arial" w:cs="Arial" w:eastAsia="Arial" w:hAnsi="Arial"/>
                <w:sz w:val="16"/>
                <w:szCs w:val="16"/>
                <w:color w:val="auto"/>
              </w:rPr>
              <w:t>Net (income) loss attributable to non-controlling interests included in</w:t>
            </w:r>
          </w:p>
        </w:tc>
        <w:tc>
          <w:tcPr>
            <w:tcW w:w="2260" w:type="dxa"/>
            <w:vAlign w:val="bottom"/>
            <w:gridSpan w:val="2"/>
            <w:vMerge w:val="restart"/>
          </w:tcPr>
          <w:p>
            <w:pPr>
              <w:jc w:val="right"/>
              <w:ind w:right="819"/>
              <w:spacing w:after="0"/>
              <w:rPr>
                <w:sz w:val="20"/>
                <w:szCs w:val="20"/>
                <w:color w:val="auto"/>
              </w:rPr>
            </w:pPr>
            <w:r>
              <w:rPr>
                <w:rFonts w:ascii="Arial" w:cs="Arial" w:eastAsia="Arial" w:hAnsi="Arial"/>
                <w:sz w:val="16"/>
                <w:szCs w:val="16"/>
                <w:b w:val="1"/>
                <w:bCs w:val="1"/>
                <w:color w:val="auto"/>
              </w:rPr>
              <w:t>(175)</w:t>
            </w: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0" w:type="dxa"/>
            <w:vAlign w:val="bottom"/>
            <w:vMerge w:val="restart"/>
          </w:tcPr>
          <w:p>
            <w:pPr>
              <w:jc w:val="right"/>
              <w:ind w:right="659"/>
              <w:spacing w:after="0"/>
              <w:rPr>
                <w:sz w:val="20"/>
                <w:szCs w:val="20"/>
                <w:color w:val="auto"/>
              </w:rPr>
            </w:pPr>
            <w:r>
              <w:rPr>
                <w:rFonts w:ascii="Arial" w:cs="Arial" w:eastAsia="Arial" w:hAnsi="Arial"/>
                <w:sz w:val="16"/>
                <w:szCs w:val="16"/>
                <w:b w:val="1"/>
                <w:bCs w:val="1"/>
                <w:color w:val="auto"/>
              </w:rPr>
              <w:t>(643)</w:t>
            </w: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5660" w:type="dxa"/>
            <w:vAlign w:val="bottom"/>
          </w:tcPr>
          <w:p>
            <w:pPr>
              <w:ind w:left="240"/>
              <w:spacing w:after="0"/>
              <w:rPr>
                <w:sz w:val="20"/>
                <w:szCs w:val="20"/>
                <w:color w:val="auto"/>
              </w:rPr>
            </w:pPr>
            <w:r>
              <w:rPr>
                <w:rFonts w:ascii="Arial" w:cs="Arial" w:eastAsia="Arial" w:hAnsi="Arial"/>
                <w:sz w:val="16"/>
                <w:szCs w:val="16"/>
                <w:color w:val="auto"/>
              </w:rPr>
              <w:t>comparable earnings</w:t>
            </w:r>
          </w:p>
        </w:tc>
        <w:tc>
          <w:tcPr>
            <w:tcW w:w="2260" w:type="dxa"/>
            <w:vAlign w:val="bottom"/>
            <w:gridSpan w:val="2"/>
            <w:vMerge w:val="continue"/>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(163)</w:t>
            </w:r>
          </w:p>
        </w:tc>
        <w:tc>
          <w:tcPr>
            <w:tcW w:w="100" w:type="dxa"/>
            <w:vAlign w:val="bottom"/>
          </w:tcPr>
          <w:p>
            <w:pPr>
              <w:spacing w:after="0"/>
              <w:rPr>
                <w:sz w:val="19"/>
                <w:szCs w:val="19"/>
                <w:color w:val="auto"/>
              </w:rPr>
            </w:pPr>
          </w:p>
        </w:tc>
        <w:tc>
          <w:tcPr>
            <w:tcW w:w="2000" w:type="dxa"/>
            <w:vAlign w:val="bottom"/>
            <w:vMerge w:val="continue"/>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(620)</w:t>
            </w:r>
          </w:p>
        </w:tc>
        <w:tc>
          <w:tcPr>
            <w:tcW w:w="0" w:type="dxa"/>
            <w:vAlign w:val="bottom"/>
          </w:tcPr>
          <w:p>
            <w:pPr>
              <w:spacing w:after="0"/>
              <w:rPr>
                <w:sz w:val="1"/>
                <w:szCs w:val="1"/>
                <w:color w:val="auto"/>
              </w:rPr>
            </w:pPr>
          </w:p>
        </w:tc>
      </w:tr>
      <w:tr>
        <w:trPr>
          <w:trHeight w:val="233"/>
        </w:trPr>
        <w:tc>
          <w:tcPr>
            <w:tcW w:w="566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Preferred share dividends</w:t>
            </w:r>
          </w:p>
        </w:tc>
        <w:tc>
          <w:tcPr>
            <w:tcW w:w="2260" w:type="dxa"/>
            <w:vAlign w:val="bottom"/>
            <w:tcBorders>
              <w:bottom w:val="single" w:sz="8" w:color="auto"/>
            </w:tcBorders>
            <w:gridSpan w:val="2"/>
          </w:tcPr>
          <w:p>
            <w:pPr>
              <w:jc w:val="right"/>
              <w:ind w:right="819"/>
              <w:spacing w:after="0"/>
              <w:rPr>
                <w:sz w:val="20"/>
                <w:szCs w:val="20"/>
                <w:color w:val="auto"/>
              </w:rPr>
            </w:pPr>
            <w:r>
              <w:rPr>
                <w:rFonts w:ascii="Arial" w:cs="Arial" w:eastAsia="Arial" w:hAnsi="Arial"/>
                <w:sz w:val="16"/>
                <w:szCs w:val="16"/>
                <w:b w:val="1"/>
                <w:bCs w:val="1"/>
                <w:color w:val="auto"/>
              </w:rPr>
              <w:t>(35)</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w:t>
            </w:r>
          </w:p>
        </w:tc>
        <w:tc>
          <w:tcPr>
            <w:tcW w:w="10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b w:val="1"/>
                <w:bCs w:val="1"/>
                <w:color w:val="auto"/>
              </w:rPr>
              <w:t>(119)</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w:t>
            </w:r>
          </w:p>
        </w:tc>
        <w:tc>
          <w:tcPr>
            <w:tcW w:w="0" w:type="dxa"/>
            <w:vAlign w:val="bottom"/>
          </w:tcPr>
          <w:p>
            <w:pPr>
              <w:spacing w:after="0"/>
              <w:rPr>
                <w:sz w:val="1"/>
                <w:szCs w:val="1"/>
                <w:color w:val="auto"/>
              </w:rPr>
            </w:pPr>
          </w:p>
        </w:tc>
      </w:tr>
      <w:tr>
        <w:trPr>
          <w:trHeight w:val="223"/>
        </w:trPr>
        <w:tc>
          <w:tcPr>
            <w:tcW w:w="56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0D64EF"/>
              </w:rPr>
              <w:t>Comparable earnings from continuing operations</w:t>
            </w:r>
          </w:p>
        </w:tc>
        <w:tc>
          <w:tcPr>
            <w:tcW w:w="2260" w:type="dxa"/>
            <w:vAlign w:val="bottom"/>
            <w:tcBorders>
              <w:bottom w:val="single" w:sz="8" w:color="auto"/>
            </w:tcBorders>
            <w:gridSpan w:val="2"/>
          </w:tcPr>
          <w:p>
            <w:pPr>
              <w:jc w:val="right"/>
              <w:ind w:right="879"/>
              <w:spacing w:after="0"/>
              <w:rPr>
                <w:sz w:val="20"/>
                <w:szCs w:val="20"/>
                <w:color w:val="auto"/>
              </w:rPr>
            </w:pPr>
            <w:r>
              <w:rPr>
                <w:rFonts w:ascii="Arial" w:cs="Arial" w:eastAsia="Arial" w:hAnsi="Arial"/>
                <w:sz w:val="16"/>
                <w:szCs w:val="16"/>
                <w:b w:val="1"/>
                <w:bCs w:val="1"/>
                <w:color w:val="auto"/>
              </w:rPr>
              <w:t>1,018</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1,094</w:t>
            </w:r>
          </w:p>
        </w:tc>
        <w:tc>
          <w:tcPr>
            <w:tcW w:w="10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ind w:right="699"/>
              <w:spacing w:after="0"/>
              <w:rPr>
                <w:sz w:val="20"/>
                <w:szCs w:val="20"/>
                <w:color w:val="auto"/>
              </w:rPr>
            </w:pPr>
            <w:r>
              <w:rPr>
                <w:rFonts w:ascii="Arial" w:cs="Arial" w:eastAsia="Arial" w:hAnsi="Arial"/>
                <w:sz w:val="16"/>
                <w:szCs w:val="16"/>
                <w:b w:val="1"/>
                <w:bCs w:val="1"/>
                <w:color w:val="auto"/>
              </w:rPr>
              <w:t>3,654</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3,865</w:t>
            </w:r>
          </w:p>
        </w:tc>
        <w:tc>
          <w:tcPr>
            <w:tcW w:w="0" w:type="dxa"/>
            <w:vAlign w:val="bottom"/>
          </w:tcPr>
          <w:p>
            <w:pPr>
              <w:spacing w:after="0"/>
              <w:rPr>
                <w:sz w:val="1"/>
                <w:szCs w:val="1"/>
                <w:color w:val="auto"/>
              </w:rPr>
            </w:pPr>
          </w:p>
        </w:tc>
      </w:tr>
      <w:tr>
        <w:trPr>
          <w:trHeight w:val="223"/>
        </w:trPr>
        <w:tc>
          <w:tcPr>
            <w:tcW w:w="56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0D64EF"/>
              </w:rPr>
              <w:t>Comparable earnings per common share from continuing operations</w:t>
            </w:r>
          </w:p>
        </w:tc>
        <w:tc>
          <w:tcPr>
            <w:tcW w:w="2260" w:type="dxa"/>
            <w:vAlign w:val="bottom"/>
            <w:tcBorders>
              <w:bottom w:val="single" w:sz="8" w:color="auto"/>
            </w:tcBorders>
            <w:gridSpan w:val="2"/>
          </w:tcPr>
          <w:p>
            <w:pPr>
              <w:jc w:val="right"/>
              <w:ind w:right="879"/>
              <w:spacing w:after="0"/>
              <w:rPr>
                <w:sz w:val="20"/>
                <w:szCs w:val="20"/>
                <w:color w:val="auto"/>
              </w:rPr>
            </w:pPr>
            <w:r>
              <w:rPr>
                <w:rFonts w:ascii="Arial" w:cs="Arial" w:eastAsia="Arial" w:hAnsi="Arial"/>
                <w:sz w:val="16"/>
                <w:szCs w:val="16"/>
                <w:b w:val="1"/>
                <w:bCs w:val="1"/>
                <w:color w:val="auto"/>
              </w:rPr>
              <w:t>$0.98</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w:t>
            </w:r>
          </w:p>
        </w:tc>
        <w:tc>
          <w:tcPr>
            <w:tcW w:w="10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ind w:right="699"/>
              <w:spacing w:after="0"/>
              <w:rPr>
                <w:sz w:val="20"/>
                <w:szCs w:val="20"/>
                <w:color w:val="auto"/>
              </w:rPr>
            </w:pPr>
            <w:r>
              <w:rPr>
                <w:rFonts w:ascii="Arial" w:cs="Arial" w:eastAsia="Arial" w:hAnsi="Arial"/>
                <w:sz w:val="16"/>
                <w:szCs w:val="16"/>
                <w:b w:val="1"/>
                <w:bCs w:val="1"/>
                <w:color w:val="auto"/>
              </w:rPr>
              <w:t>$3.51</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7160"/>
        <w:spacing w:after="0"/>
        <w:rPr>
          <w:sz w:val="20"/>
          <w:szCs w:val="20"/>
          <w:color w:val="auto"/>
        </w:rPr>
      </w:pPr>
      <w:r>
        <w:rPr>
          <w:rFonts w:ascii="Arial" w:cs="Arial" w:eastAsia="Arial" w:hAnsi="Arial"/>
          <w:sz w:val="17"/>
          <w:szCs w:val="17"/>
          <w:color w:val="auto"/>
        </w:rPr>
        <w:t xml:space="preserve">TC Energy </w:t>
      </w:r>
      <w:r>
        <w:rPr>
          <w:rFonts w:ascii="Arial" w:cs="Arial" w:eastAsia="Arial" w:hAnsi="Arial"/>
          <w:sz w:val="17"/>
          <w:szCs w:val="17"/>
          <w:b w:val="1"/>
          <w:bCs w:val="1"/>
          <w:color w:val="0D64EF"/>
        </w:rPr>
        <w:t>Fourth Quarter</w:t>
      </w:r>
      <w:r>
        <w:rPr>
          <w:rFonts w:ascii="Arial" w:cs="Arial" w:eastAsia="Arial" w:hAnsi="Arial"/>
          <w:sz w:val="17"/>
          <w:szCs w:val="17"/>
          <w:color w:val="auto"/>
        </w:rPr>
        <w:t xml:space="preserve"> News Release 2025 | 9</w:t>
      </w:r>
    </w:p>
    <w:p>
      <w:pPr>
        <w:sectPr>
          <w:pgSz w:w="11900" w:h="16838" w:orient="portrait"/>
          <w:cols w:equalWidth="0" w:num="1">
            <w:col w:w="11240"/>
          </w:cols>
          <w:pgMar w:left="320" w:top="1294"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Comparable EBITDA from continuing operations</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Fourth quarter 2025 versus fourth quarter 2024</w:t>
      </w:r>
    </w:p>
    <w:p>
      <w:pPr>
        <w:spacing w:after="0" w:line="48" w:lineRule="exact"/>
        <w:rPr>
          <w:sz w:val="20"/>
          <w:szCs w:val="20"/>
          <w:color w:val="auto"/>
        </w:rPr>
      </w:pPr>
    </w:p>
    <w:p>
      <w:pPr>
        <w:ind w:right="80"/>
        <w:spacing w:after="0" w:line="305" w:lineRule="auto"/>
        <w:rPr>
          <w:sz w:val="20"/>
          <w:szCs w:val="20"/>
          <w:color w:val="auto"/>
        </w:rPr>
      </w:pPr>
      <w:r>
        <w:rPr>
          <w:rFonts w:ascii="Arial" w:cs="Arial" w:eastAsia="Arial" w:hAnsi="Arial"/>
          <w:sz w:val="18"/>
          <w:szCs w:val="18"/>
          <w:color w:val="auto"/>
        </w:rPr>
        <w:t>Comparable EBITDA from continuing operations increased by $345 million for the three months ended December 31, 2025 compared to the same period in 2024 primarily due to the net result of the following:</w:t>
      </w:r>
    </w:p>
    <w:p>
      <w:pPr>
        <w:ind w:left="180" w:right="80" w:hanging="172"/>
        <w:spacing w:after="0" w:line="302" w:lineRule="auto"/>
        <w:tabs>
          <w:tab w:leader="none" w:pos="148"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increased U.S. dollar-denominated EBITDA from U.S. Natural Gas Pipelines due to an increase in earnings from Columbia Gas as a result of higher transportation rates effective April 1, 2025, incremental earnings from projects placed in service, additional contract sales and higher realized earnings related to our U.S. natural gas marketing business</w:t>
      </w:r>
    </w:p>
    <w:p>
      <w:pPr>
        <w:spacing w:after="0" w:line="1" w:lineRule="exact"/>
        <w:rPr>
          <w:rFonts w:ascii="Arial" w:cs="Arial" w:eastAsia="Arial" w:hAnsi="Arial"/>
          <w:sz w:val="18"/>
          <w:szCs w:val="18"/>
          <w:color w:val="auto"/>
        </w:rPr>
      </w:pPr>
    </w:p>
    <w:p>
      <w:pPr>
        <w:jc w:val="both"/>
        <w:ind w:left="180" w:right="100" w:hanging="172"/>
        <w:spacing w:after="0" w:line="323" w:lineRule="auto"/>
        <w:tabs>
          <w:tab w:leader="none" w:pos="148" w:val="left"/>
        </w:tabs>
        <w:numPr>
          <w:ilvl w:val="0"/>
          <w:numId w:val="35"/>
        </w:numPr>
        <w:rPr>
          <w:rFonts w:ascii="Arial" w:cs="Arial" w:eastAsia="Arial" w:hAnsi="Arial"/>
          <w:sz w:val="17"/>
          <w:szCs w:val="17"/>
          <w:color w:val="auto"/>
        </w:rPr>
      </w:pPr>
      <w:r>
        <w:rPr>
          <w:rFonts w:ascii="Arial" w:cs="Arial" w:eastAsia="Arial" w:hAnsi="Arial"/>
          <w:sz w:val="17"/>
          <w:szCs w:val="17"/>
          <w:color w:val="auto"/>
        </w:rPr>
        <w:t>increased U.S. dollar-denominated EBITDA from Mexico Natural Gas Pipelines mainly due to higher earnings in TGNH primarily related to the completion of the Southeast Gateway pipeline in second quarter 2025, partially offset by lower equity earnings from Sur de Texas as a</w:t>
      </w:r>
    </w:p>
    <w:p>
      <w:pPr>
        <w:ind w:left="180" w:right="240"/>
        <w:spacing w:after="0" w:line="297" w:lineRule="auto"/>
        <w:rPr>
          <w:rFonts w:ascii="Arial" w:cs="Arial" w:eastAsia="Arial" w:hAnsi="Arial"/>
          <w:sz w:val="17"/>
          <w:szCs w:val="17"/>
          <w:color w:val="auto"/>
        </w:rPr>
      </w:pPr>
      <w:r>
        <w:rPr>
          <w:rFonts w:ascii="Arial" w:cs="Arial" w:eastAsia="Arial" w:hAnsi="Arial"/>
          <w:sz w:val="18"/>
          <w:szCs w:val="18"/>
          <w:color w:val="auto"/>
        </w:rPr>
        <w:t>result of peso-denominated financial exposure and higher income tax expense mainly related to foreign exchange impacts of U.S dollar-denominated liabilities</w:t>
      </w:r>
    </w:p>
    <w:p>
      <w:pPr>
        <w:ind w:left="180" w:right="120" w:hanging="172"/>
        <w:spacing w:after="0" w:line="305" w:lineRule="auto"/>
        <w:tabs>
          <w:tab w:leader="none" w:pos="148"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increased EBITDA in Canadian Natural Gas Pipelines mainly due to higher flow-through depreciation and incentive earnings on the NGTL System and Mainline</w:t>
      </w:r>
    </w:p>
    <w:p>
      <w:pPr>
        <w:ind w:left="180" w:right="20" w:hanging="172"/>
        <w:spacing w:after="0" w:line="302" w:lineRule="auto"/>
        <w:tabs>
          <w:tab w:leader="none" w:pos="148"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decreased Power and Energy Solutions EBITDA mainly attributable to lower net contributions from Bruce Power due to reduced generation primarily resulting from the Unit 4 Major Component Replacement (MCR), partially offset by a higher contract price; and lower realized power prices in Canadian Power, partially offset by lower business development costs</w:t>
      </w:r>
    </w:p>
    <w:p>
      <w:pPr>
        <w:spacing w:after="0" w:line="1" w:lineRule="exact"/>
        <w:rPr>
          <w:rFonts w:ascii="Arial" w:cs="Arial" w:eastAsia="Arial" w:hAnsi="Arial"/>
          <w:sz w:val="18"/>
          <w:szCs w:val="18"/>
          <w:color w:val="auto"/>
        </w:rPr>
      </w:pPr>
    </w:p>
    <w:p>
      <w:pPr>
        <w:ind w:left="140" w:hanging="132"/>
        <w:spacing w:after="0"/>
        <w:tabs>
          <w:tab w:leader="none" w:pos="1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negative foreign exchange impact of a weaker U.S. dollar on the Canadian dollar equivalent comparable EBITDA in our U.S. dollar-</w:t>
      </w:r>
    </w:p>
    <w:p>
      <w:pPr>
        <w:spacing w:after="0" w:line="50" w:lineRule="exact"/>
        <w:rPr>
          <w:sz w:val="20"/>
          <w:szCs w:val="20"/>
          <w:color w:val="auto"/>
        </w:rPr>
      </w:pPr>
    </w:p>
    <w:p>
      <w:pPr>
        <w:ind w:left="180" w:right="160"/>
        <w:spacing w:after="0" w:line="350" w:lineRule="auto"/>
        <w:rPr>
          <w:sz w:val="20"/>
          <w:szCs w:val="20"/>
          <w:color w:val="auto"/>
        </w:rPr>
      </w:pPr>
      <w:r>
        <w:rPr>
          <w:rFonts w:ascii="Arial" w:cs="Arial" w:eastAsia="Arial" w:hAnsi="Arial"/>
          <w:sz w:val="18"/>
          <w:szCs w:val="18"/>
          <w:color w:val="auto"/>
        </w:rPr>
        <w:t>denominated operations, which was translated at a rate of 1.39 in 2025 versus 1.40 in 2024. Refer to the Foreign exchange section for additional information.</w:t>
      </w:r>
    </w:p>
    <w:p>
      <w:pPr>
        <w:spacing w:after="0" w:line="17" w:lineRule="exact"/>
        <w:rPr>
          <w:sz w:val="20"/>
          <w:szCs w:val="20"/>
          <w:color w:val="auto"/>
        </w:rPr>
      </w:pPr>
    </w:p>
    <w:p>
      <w:pPr>
        <w:ind w:right="80"/>
        <w:spacing w:after="0" w:line="334" w:lineRule="auto"/>
        <w:rPr>
          <w:sz w:val="20"/>
          <w:szCs w:val="20"/>
          <w:color w:val="auto"/>
        </w:rPr>
      </w:pPr>
      <w:r>
        <w:rPr>
          <w:rFonts w:ascii="Arial" w:cs="Arial" w:eastAsia="Arial" w:hAnsi="Arial"/>
          <w:sz w:val="18"/>
          <w:szCs w:val="18"/>
          <w:color w:val="auto"/>
        </w:rPr>
        <w:t>Due to the flow-through treatment of certain costs including depreciation, financial charges and income taxes in our Canadian rate-regulated pipelines, changes in these costs impact our comparable EBITDA despite having no significant effect on net income.</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Comparable earnings from continuing operations</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Fourth quarter 2025 versus fourth quarter 2024</w:t>
      </w:r>
    </w:p>
    <w:p>
      <w:pPr>
        <w:spacing w:after="0" w:line="61" w:lineRule="exact"/>
        <w:rPr>
          <w:sz w:val="20"/>
          <w:szCs w:val="20"/>
          <w:color w:val="auto"/>
        </w:rPr>
      </w:pPr>
    </w:p>
    <w:p>
      <w:pPr>
        <w:spacing w:after="0" w:line="297" w:lineRule="auto"/>
        <w:rPr>
          <w:sz w:val="20"/>
          <w:szCs w:val="20"/>
          <w:color w:val="auto"/>
        </w:rPr>
      </w:pPr>
      <w:r>
        <w:rPr>
          <w:rFonts w:ascii="Arial" w:cs="Arial" w:eastAsia="Arial" w:hAnsi="Arial"/>
          <w:sz w:val="18"/>
          <w:szCs w:val="18"/>
          <w:color w:val="auto"/>
        </w:rPr>
        <w:t>Comparable earnings decreased by $76 million or $0.07 per common share for the three months ended December 31, 2025 compared to the same period in 2024 primarily due to the net effect of the following:</w:t>
      </w:r>
    </w:p>
    <w:p>
      <w:pPr>
        <w:spacing w:after="0" w:line="1" w:lineRule="exact"/>
        <w:rPr>
          <w:sz w:val="20"/>
          <w:szCs w:val="20"/>
          <w:color w:val="auto"/>
        </w:rPr>
      </w:pPr>
    </w:p>
    <w:p>
      <w:pPr>
        <w:ind w:left="140" w:hanging="132"/>
        <w:spacing w:after="0"/>
        <w:tabs>
          <w:tab w:leader="none" w:pos="1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changes in comparable EBITDA described above</w:t>
      </w:r>
    </w:p>
    <w:p>
      <w:pPr>
        <w:spacing w:after="0" w:line="63" w:lineRule="exact"/>
        <w:rPr>
          <w:rFonts w:ascii="Arial" w:cs="Arial" w:eastAsia="Arial" w:hAnsi="Arial"/>
          <w:sz w:val="18"/>
          <w:szCs w:val="18"/>
          <w:color w:val="auto"/>
        </w:rPr>
      </w:pPr>
    </w:p>
    <w:p>
      <w:pPr>
        <w:ind w:left="140" w:hanging="132"/>
        <w:spacing w:after="0"/>
        <w:tabs>
          <w:tab w:leader="none" w:pos="1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lower AFUDC primarily due to the completion of the Southeast Gateway pipeline</w:t>
      </w:r>
    </w:p>
    <w:p>
      <w:pPr>
        <w:spacing w:after="0" w:line="49" w:lineRule="exact"/>
        <w:rPr>
          <w:rFonts w:ascii="Arial" w:cs="Arial" w:eastAsia="Arial" w:hAnsi="Arial"/>
          <w:sz w:val="18"/>
          <w:szCs w:val="18"/>
          <w:color w:val="auto"/>
        </w:rPr>
      </w:pPr>
    </w:p>
    <w:p>
      <w:pPr>
        <w:ind w:left="140" w:hanging="132"/>
        <w:spacing w:after="0"/>
        <w:tabs>
          <w:tab w:leader="none" w:pos="1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higher income tax expense primarily due to the impact of Mexico foreign exchange exposure and higher flow-through income taxes</w:t>
      </w:r>
    </w:p>
    <w:p>
      <w:pPr>
        <w:spacing w:after="0" w:line="49" w:lineRule="exact"/>
        <w:rPr>
          <w:rFonts w:ascii="Arial" w:cs="Arial" w:eastAsia="Arial" w:hAnsi="Arial"/>
          <w:sz w:val="18"/>
          <w:szCs w:val="18"/>
          <w:color w:val="auto"/>
        </w:rPr>
      </w:pPr>
    </w:p>
    <w:p>
      <w:pPr>
        <w:ind w:left="180" w:right="60" w:hanging="172"/>
        <w:spacing w:after="0" w:line="302" w:lineRule="auto"/>
        <w:tabs>
          <w:tab w:leader="none" w:pos="148" w:val="left"/>
        </w:tabs>
        <w:numPr>
          <w:ilvl w:val="0"/>
          <w:numId w:val="36"/>
        </w:numPr>
        <w:rPr>
          <w:rFonts w:ascii="Arial" w:cs="Arial" w:eastAsia="Arial" w:hAnsi="Arial"/>
          <w:sz w:val="18"/>
          <w:szCs w:val="18"/>
          <w:color w:val="auto"/>
        </w:rPr>
      </w:pPr>
      <w:r>
        <w:rPr>
          <w:rFonts w:ascii="Arial" w:cs="Arial" w:eastAsia="Arial" w:hAnsi="Arial"/>
          <w:sz w:val="18"/>
          <w:szCs w:val="18"/>
          <w:color w:val="auto"/>
        </w:rPr>
        <w:t>higher depreciation and amortization primarily due to higher depreciation rates on the NGTL System under the 2025-2029 Revenue Requirement Settlement (2025-2029 NGTL Settlement) and from Columbia Gas as a result of the Columbia Gas Settlement. Refer to U.S. Natural Gas Pipelines - Significant events section in the MD&amp;A of our 2025 Annual Report for additional information</w:t>
      </w:r>
    </w:p>
    <w:p>
      <w:pPr>
        <w:spacing w:after="0" w:line="1" w:lineRule="exact"/>
        <w:rPr>
          <w:rFonts w:ascii="Arial" w:cs="Arial" w:eastAsia="Arial" w:hAnsi="Arial"/>
          <w:sz w:val="18"/>
          <w:szCs w:val="18"/>
          <w:color w:val="auto"/>
        </w:rPr>
      </w:pPr>
    </w:p>
    <w:p>
      <w:pPr>
        <w:ind w:left="140" w:hanging="132"/>
        <w:spacing w:after="0"/>
        <w:tabs>
          <w:tab w:leader="none" w:pos="1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lower interest income and other due to an increase in insurance-related provisions and lower interest earned on short-term investments</w:t>
      </w:r>
    </w:p>
    <w:p>
      <w:pPr>
        <w:spacing w:after="0" w:line="49" w:lineRule="exact"/>
        <w:rPr>
          <w:rFonts w:ascii="Arial" w:cs="Arial" w:eastAsia="Arial" w:hAnsi="Arial"/>
          <w:sz w:val="18"/>
          <w:szCs w:val="18"/>
          <w:color w:val="auto"/>
        </w:rPr>
      </w:pPr>
    </w:p>
    <w:p>
      <w:pPr>
        <w:ind w:left="180" w:right="420" w:hanging="172"/>
        <w:spacing w:after="0" w:line="305" w:lineRule="auto"/>
        <w:tabs>
          <w:tab w:leader="none" w:pos="148" w:val="left"/>
        </w:tabs>
        <w:numPr>
          <w:ilvl w:val="0"/>
          <w:numId w:val="36"/>
        </w:numPr>
        <w:rPr>
          <w:rFonts w:ascii="Arial" w:cs="Arial" w:eastAsia="Arial" w:hAnsi="Arial"/>
          <w:sz w:val="18"/>
          <w:szCs w:val="18"/>
          <w:color w:val="auto"/>
        </w:rPr>
      </w:pPr>
      <w:r>
        <w:rPr>
          <w:rFonts w:ascii="Arial" w:cs="Arial" w:eastAsia="Arial" w:hAnsi="Arial"/>
          <w:sz w:val="18"/>
          <w:szCs w:val="18"/>
          <w:color w:val="auto"/>
        </w:rPr>
        <w:t>higher interest expense due to lower realized gains on derivatives used to manage our interest rate risk, increased levels of short-term borrowing and long-term debt issuances and maturities</w:t>
      </w:r>
    </w:p>
    <w:p>
      <w:pPr>
        <w:ind w:left="180" w:hanging="172"/>
        <w:spacing w:after="0" w:line="305" w:lineRule="auto"/>
        <w:tabs>
          <w:tab w:leader="none" w:pos="148" w:val="left"/>
        </w:tabs>
        <w:numPr>
          <w:ilvl w:val="0"/>
          <w:numId w:val="36"/>
        </w:numPr>
        <w:rPr>
          <w:rFonts w:ascii="Arial" w:cs="Arial" w:eastAsia="Arial" w:hAnsi="Arial"/>
          <w:sz w:val="18"/>
          <w:szCs w:val="18"/>
          <w:color w:val="auto"/>
        </w:rPr>
      </w:pPr>
      <w:r>
        <w:rPr>
          <w:rFonts w:ascii="Arial" w:cs="Arial" w:eastAsia="Arial" w:hAnsi="Arial"/>
          <w:sz w:val="18"/>
          <w:szCs w:val="18"/>
          <w:color w:val="auto"/>
        </w:rPr>
        <w:t>higher net income attributable to non-controlling interests is primarily the result of higher net income recognized from the Columbia Gas and Columbia Gulf assets, partially offset by the net effect of higher tax expense, higher EBITDA and lower AFUDC in TGNH following</w:t>
      </w:r>
    </w:p>
    <w:p>
      <w:pPr>
        <w:ind w:left="180"/>
        <w:spacing w:after="0"/>
        <w:rPr>
          <w:sz w:val="20"/>
          <w:szCs w:val="20"/>
          <w:color w:val="auto"/>
        </w:rPr>
      </w:pPr>
      <w:r>
        <w:rPr>
          <w:rFonts w:ascii="Arial" w:cs="Arial" w:eastAsia="Arial" w:hAnsi="Arial"/>
          <w:sz w:val="18"/>
          <w:szCs w:val="18"/>
          <w:color w:val="auto"/>
        </w:rPr>
        <w:t>Southeast Gateway pipeline's completion in second quarter 2025 and the overall impact of foreign exchange</w:t>
      </w:r>
    </w:p>
    <w:p>
      <w:pPr>
        <w:spacing w:after="0" w:line="50" w:lineRule="exact"/>
        <w:rPr>
          <w:sz w:val="20"/>
          <w:szCs w:val="20"/>
          <w:color w:val="auto"/>
        </w:rPr>
      </w:pPr>
    </w:p>
    <w:p>
      <w:pPr>
        <w:ind w:left="180" w:right="100" w:hanging="161"/>
        <w:spacing w:after="0" w:line="287" w:lineRule="auto"/>
        <w:rPr>
          <w:sz w:val="20"/>
          <w:szCs w:val="20"/>
          <w:color w:val="auto"/>
        </w:rPr>
      </w:pPr>
      <w:r>
        <w:rPr>
          <w:rFonts w:ascii="Arial" w:cs="Arial" w:eastAsia="Arial" w:hAnsi="Arial"/>
          <w:sz w:val="18"/>
          <w:szCs w:val="18"/>
          <w:color w:val="auto"/>
        </w:rPr>
        <w:t>• risk management activities used to manage our foreign exchange exposure to net liabilities in Mexico and to</w:t>
      </w:r>
      <w:r>
        <w:rPr>
          <w:sz w:val="20"/>
          <w:szCs w:val="20"/>
          <w:color w:val="auto"/>
        </w:rPr>
        <w:t xml:space="preserve"> </w:t>
      </w:r>
      <w:r>
        <w:rPr>
          <w:rFonts w:ascii="Arial" w:cs="Arial" w:eastAsia="Arial" w:hAnsi="Arial"/>
          <w:sz w:val="18"/>
          <w:szCs w:val="18"/>
          <w:color w:val="auto"/>
        </w:rPr>
        <w:t>U.S. dollar-denominated income and the revaluation of our peso-denominated net monetary liabilities to U.S. dollars.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10 | TC Energy </w:t>
      </w:r>
      <w:r>
        <w:rPr>
          <w:rFonts w:ascii="Arial" w:cs="Arial" w:eastAsia="Arial" w:hAnsi="Arial"/>
          <w:sz w:val="18"/>
          <w:szCs w:val="18"/>
          <w:b w:val="1"/>
          <w:bCs w:val="1"/>
          <w:color w:val="0D64EF"/>
        </w:rPr>
        <w:t>Fourth Quarter</w:t>
      </w:r>
      <w:r>
        <w:rPr>
          <w:rFonts w:ascii="Arial" w:cs="Arial" w:eastAsia="Arial" w:hAnsi="Arial"/>
          <w:sz w:val="18"/>
          <w:szCs w:val="18"/>
          <w:color w:val="auto"/>
        </w:rPr>
        <w:t xml:space="preserve"> News Release 2025</w:t>
      </w:r>
    </w:p>
    <w:p>
      <w:pPr>
        <w:sectPr>
          <w:pgSz w:w="11900" w:h="16838" w:orient="portrait"/>
          <w:cols w:equalWidth="0" w:num="1">
            <w:col w:w="11220"/>
          </w:cols>
          <w:pgMar w:left="320" w:top="1295" w:right="359" w:bottom="1440" w:gutter="0" w:footer="0" w:header="0"/>
        </w:sectPr>
      </w:pPr>
    </w:p>
    <w:bookmarkStart w:id="23" w:name="page24"/>
    <w:bookmarkEnd w:id="23"/>
    <w:p>
      <w:pPr>
        <w:spacing w:after="0"/>
        <w:rPr>
          <w:sz w:val="20"/>
          <w:szCs w:val="20"/>
          <w:color w:val="auto"/>
        </w:rPr>
      </w:pPr>
      <w:r>
        <w:rPr>
          <w:rFonts w:ascii="Arial" w:cs="Arial" w:eastAsia="Arial" w:hAnsi="Arial"/>
          <w:sz w:val="25"/>
          <w:szCs w:val="25"/>
          <w:color w:val="0D64EF"/>
        </w:rPr>
        <w:t>Supplementary financial measure</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b w:val="1"/>
          <w:bCs w:val="1"/>
          <w:color w:val="0D64EF"/>
        </w:rPr>
        <w:t>Net capital expenditures</w:t>
      </w:r>
    </w:p>
    <w:p>
      <w:pPr>
        <w:spacing w:after="0" w:line="72" w:lineRule="exact"/>
        <w:rPr>
          <w:sz w:val="20"/>
          <w:szCs w:val="20"/>
          <w:color w:val="auto"/>
        </w:rPr>
      </w:pPr>
    </w:p>
    <w:p>
      <w:pPr>
        <w:ind w:right="180"/>
        <w:spacing w:after="0" w:line="314" w:lineRule="auto"/>
        <w:rPr>
          <w:sz w:val="20"/>
          <w:szCs w:val="20"/>
          <w:color w:val="auto"/>
        </w:rPr>
      </w:pPr>
      <w:r>
        <w:rPr>
          <w:rFonts w:ascii="Arial" w:cs="Arial" w:eastAsia="Arial" w:hAnsi="Arial"/>
          <w:sz w:val="18"/>
          <w:szCs w:val="18"/>
          <w:color w:val="auto"/>
        </w:rPr>
        <w:t>Net capital expenditures represents capital costs incurred for growth projects, maintenance capital expenditures, contributions to equity investments and projects under development, adjusted for the portion attributed to non-controlling interests in the entities we control. Net capital expenditures reflect capital costs incurred during the period, excluding the impact of timing of cash payments. We use net capital expenditures as a key measure in evaluating our performance in managing our capital spending activities in comparison to our capital plan.</w:t>
      </w:r>
    </w:p>
    <w:p>
      <w:pPr>
        <w:spacing w:after="0" w:line="51" w:lineRule="exact"/>
        <w:rPr>
          <w:sz w:val="20"/>
          <w:szCs w:val="20"/>
          <w:color w:val="auto"/>
        </w:rPr>
      </w:pPr>
    </w:p>
    <w:p>
      <w:pPr>
        <w:jc w:val="both"/>
        <w:ind w:right="60"/>
        <w:spacing w:after="0" w:line="314" w:lineRule="auto"/>
        <w:rPr>
          <w:sz w:val="20"/>
          <w:szCs w:val="20"/>
          <w:color w:val="auto"/>
        </w:rPr>
      </w:pPr>
      <w:r>
        <w:rPr>
          <w:rFonts w:ascii="Arial" w:cs="Arial" w:eastAsia="Arial" w:hAnsi="Arial"/>
          <w:sz w:val="18"/>
          <w:szCs w:val="18"/>
          <w:color w:val="auto"/>
        </w:rPr>
        <w:t>Net capital expenditures does not include an adjustment related to the CFE’s minority interest in TGNH capital expenditures until after the in-service of the projects included as part of the 2022 strategic alliance between TGNH and the CFE. The CFE’s contribution in second quarter 2024 to obtain a 13.01 per cent equity interest in TGNH included consideration of its proportionate share of required capital contributions for approved projects. Net capital expenditures will be adjusted for any new capital projects approved in TGNH going forward.</w:t>
      </w:r>
    </w:p>
    <w:p>
      <w:pPr>
        <w:spacing w:after="0" w:line="169" w:lineRule="exact"/>
        <w:rPr>
          <w:sz w:val="20"/>
          <w:szCs w:val="20"/>
          <w:color w:val="auto"/>
        </w:rPr>
      </w:pPr>
    </w:p>
    <w:p>
      <w:pPr>
        <w:spacing w:after="0"/>
        <w:rPr>
          <w:sz w:val="20"/>
          <w:szCs w:val="20"/>
          <w:color w:val="auto"/>
        </w:rPr>
      </w:pPr>
      <w:r>
        <w:rPr>
          <w:rFonts w:ascii="Arial" w:cs="Arial" w:eastAsia="Arial" w:hAnsi="Arial"/>
          <w:sz w:val="25"/>
          <w:szCs w:val="25"/>
          <w:color w:val="0D64EF"/>
        </w:rPr>
        <w:t>Outlook</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0D64EF"/>
        </w:rPr>
        <w:t>Comparable EBITDA and comparable earnings</w:t>
      </w:r>
    </w:p>
    <w:p>
      <w:pPr>
        <w:spacing w:after="0" w:line="58" w:lineRule="exact"/>
        <w:rPr>
          <w:sz w:val="20"/>
          <w:szCs w:val="20"/>
          <w:color w:val="auto"/>
        </w:rPr>
      </w:pPr>
    </w:p>
    <w:p>
      <w:pPr>
        <w:ind w:right="540"/>
        <w:spacing w:after="0" w:line="305" w:lineRule="auto"/>
        <w:rPr>
          <w:sz w:val="20"/>
          <w:szCs w:val="20"/>
          <w:color w:val="auto"/>
        </w:rPr>
      </w:pPr>
      <w:r>
        <w:rPr>
          <w:rFonts w:ascii="Arial" w:cs="Arial" w:eastAsia="Arial" w:hAnsi="Arial"/>
          <w:sz w:val="18"/>
          <w:szCs w:val="18"/>
          <w:color w:val="auto"/>
        </w:rPr>
        <w:t>We expect our 2026 comparable EBITDA and our 2026 comparable earnings per common share to be higher than 2025 due to the net impact of the following:</w:t>
      </w:r>
    </w:p>
    <w:p>
      <w:pPr>
        <w:ind w:left="140" w:hanging="132"/>
        <w:spacing w:after="0"/>
        <w:tabs>
          <w:tab w:leader="none" w:pos="1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new projects anticipated to be placed in service in 2026, along with the full-year impact of projects placed in service in 2025</w:t>
      </w:r>
    </w:p>
    <w:p>
      <w:pPr>
        <w:spacing w:after="0" w:line="49" w:lineRule="exact"/>
        <w:rPr>
          <w:rFonts w:ascii="Arial" w:cs="Arial" w:eastAsia="Arial" w:hAnsi="Arial"/>
          <w:sz w:val="18"/>
          <w:szCs w:val="18"/>
          <w:color w:val="auto"/>
        </w:rPr>
      </w:pPr>
    </w:p>
    <w:p>
      <w:pPr>
        <w:ind w:left="140" w:hanging="132"/>
        <w:spacing w:after="0"/>
        <w:tabs>
          <w:tab w:leader="none" w:pos="1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higher revenue from the Columbia Gas settlement</w:t>
      </w:r>
    </w:p>
    <w:p>
      <w:pPr>
        <w:spacing w:after="0" w:line="49" w:lineRule="exact"/>
        <w:rPr>
          <w:rFonts w:ascii="Arial" w:cs="Arial" w:eastAsia="Arial" w:hAnsi="Arial"/>
          <w:sz w:val="18"/>
          <w:szCs w:val="18"/>
          <w:color w:val="auto"/>
        </w:rPr>
      </w:pPr>
    </w:p>
    <w:p>
      <w:pPr>
        <w:ind w:left="180" w:right="160" w:hanging="172"/>
        <w:spacing w:after="0" w:line="305" w:lineRule="auto"/>
        <w:tabs>
          <w:tab w:leader="none" w:pos="148" w:val="left"/>
        </w:tabs>
        <w:numPr>
          <w:ilvl w:val="0"/>
          <w:numId w:val="37"/>
        </w:numPr>
        <w:rPr>
          <w:rFonts w:ascii="Arial" w:cs="Arial" w:eastAsia="Arial" w:hAnsi="Arial"/>
          <w:sz w:val="18"/>
          <w:szCs w:val="18"/>
          <w:color w:val="auto"/>
        </w:rPr>
      </w:pPr>
      <w:r>
        <w:rPr>
          <w:rFonts w:ascii="Arial" w:cs="Arial" w:eastAsia="Arial" w:hAnsi="Arial"/>
          <w:sz w:val="18"/>
          <w:szCs w:val="18"/>
          <w:color w:val="auto"/>
        </w:rPr>
        <w:t>higher net generation from Bruce Power due to the return to service of Unit 3 from the MCR outage, partially offset by the commencement of the Unit 5 MCR outage</w:t>
      </w:r>
    </w:p>
    <w:p>
      <w:pPr>
        <w:ind w:left="140" w:hanging="132"/>
        <w:spacing w:after="0"/>
        <w:tabs>
          <w:tab w:leader="none" w:pos="1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higher depreciation due to the in-service of Canadian Natural Gas Pipelines and U.S. Natural Gas Pipelines projects</w:t>
      </w:r>
    </w:p>
    <w:p>
      <w:pPr>
        <w:spacing w:after="0" w:line="49" w:lineRule="exact"/>
        <w:rPr>
          <w:rFonts w:ascii="Arial" w:cs="Arial" w:eastAsia="Arial" w:hAnsi="Arial"/>
          <w:sz w:val="18"/>
          <w:szCs w:val="18"/>
          <w:color w:val="auto"/>
        </w:rPr>
      </w:pPr>
    </w:p>
    <w:p>
      <w:pPr>
        <w:ind w:left="140" w:hanging="132"/>
        <w:spacing w:after="0"/>
        <w:tabs>
          <w:tab w:leader="none" w:pos="1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lower AFUDC primarily due to Southeast Gateway pipeline in-service in 2025.</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b w:val="1"/>
          <w:bCs w:val="1"/>
          <w:color w:val="0D64EF"/>
        </w:rPr>
        <w:t>Consolidated capital expenditures</w:t>
      </w:r>
    </w:p>
    <w:p>
      <w:pPr>
        <w:spacing w:after="0" w:line="58" w:lineRule="exact"/>
        <w:rPr>
          <w:sz w:val="20"/>
          <w:szCs w:val="20"/>
          <w:color w:val="auto"/>
        </w:rPr>
      </w:pPr>
    </w:p>
    <w:p>
      <w:pPr>
        <w:ind w:right="960"/>
        <w:spacing w:after="0" w:line="315" w:lineRule="auto"/>
        <w:rPr>
          <w:sz w:val="20"/>
          <w:szCs w:val="20"/>
          <w:color w:val="auto"/>
        </w:rPr>
      </w:pPr>
      <w:r>
        <w:rPr>
          <w:rFonts w:ascii="Arial" w:cs="Arial" w:eastAsia="Arial" w:hAnsi="Arial"/>
          <w:sz w:val="18"/>
          <w:szCs w:val="18"/>
          <w:color w:val="auto"/>
        </w:rPr>
        <w:t>In 2025, we incurred approximately $5.9 billion in gross capital expenditures on our secured capital program and projects under development, as well as capitalized interest and AFUDC, where applicable. Net capital expenditures after adjusting for the capital expenditures attributable to the non-controlling interests of entities we control were approximately $5.3 billion.</w:t>
      </w:r>
    </w:p>
    <w:p>
      <w:pPr>
        <w:spacing w:after="0" w:line="49" w:lineRule="exact"/>
        <w:rPr>
          <w:sz w:val="20"/>
          <w:szCs w:val="20"/>
          <w:color w:val="auto"/>
        </w:rPr>
      </w:pPr>
    </w:p>
    <w:p>
      <w:pPr>
        <w:ind w:right="460"/>
        <w:spacing w:after="0" w:line="350" w:lineRule="auto"/>
        <w:rPr>
          <w:sz w:val="20"/>
          <w:szCs w:val="20"/>
          <w:color w:val="auto"/>
        </w:rPr>
      </w:pPr>
      <w:r>
        <w:rPr>
          <w:rFonts w:ascii="Arial" w:cs="Arial" w:eastAsia="Arial" w:hAnsi="Arial"/>
          <w:sz w:val="18"/>
          <w:szCs w:val="18"/>
          <w:color w:val="auto"/>
        </w:rPr>
        <w:t>Prior to adjustments for non-controlling interests, we expect to incur gross capital expenditures of approximately $6.0 to $6.5 billion in 2026. We anticipate our net capital expenditures in 2026 to be approximately $5.5 to $6.0 billion.</w:t>
      </w:r>
    </w:p>
    <w:p>
      <w:pPr>
        <w:spacing w:after="0" w:line="17" w:lineRule="exact"/>
        <w:rPr>
          <w:sz w:val="20"/>
          <w:szCs w:val="20"/>
          <w:color w:val="auto"/>
        </w:rPr>
      </w:pPr>
    </w:p>
    <w:p>
      <w:pPr>
        <w:jc w:val="both"/>
        <w:ind w:right="200"/>
        <w:spacing w:after="0" w:line="334" w:lineRule="auto"/>
        <w:rPr>
          <w:sz w:val="20"/>
          <w:szCs w:val="20"/>
          <w:color w:val="auto"/>
        </w:rPr>
      </w:pPr>
      <w:r>
        <w:rPr>
          <w:rFonts w:ascii="Arial" w:cs="Arial" w:eastAsia="Arial" w:hAnsi="Arial"/>
          <w:sz w:val="18"/>
          <w:szCs w:val="18"/>
          <w:color w:val="auto"/>
        </w:rPr>
        <w:t>The majority of our 2026 capital program is focused on the advancement of secured projects including U.S. Natural Gas Pipelines projects, NGTL System expansions, pipeline projects in Mexico, Bruce Power MCR programs and normal course maintenance capital expenditures.</w:t>
      </w:r>
    </w:p>
    <w:p>
      <w:pPr>
        <w:spacing w:after="0" w:line="31" w:lineRule="exact"/>
        <w:rPr>
          <w:sz w:val="20"/>
          <w:szCs w:val="20"/>
          <w:color w:val="auto"/>
        </w:rPr>
      </w:pPr>
    </w:p>
    <w:p>
      <w:pPr>
        <w:ind w:right="1440"/>
        <w:spacing w:after="0" w:line="334" w:lineRule="auto"/>
        <w:rPr>
          <w:sz w:val="20"/>
          <w:szCs w:val="20"/>
          <w:color w:val="auto"/>
        </w:rPr>
      </w:pPr>
      <w:r>
        <w:rPr>
          <w:rFonts w:ascii="Arial" w:cs="Arial" w:eastAsia="Arial" w:hAnsi="Arial"/>
          <w:sz w:val="18"/>
          <w:szCs w:val="18"/>
          <w:color w:val="auto"/>
        </w:rPr>
        <w:t>Refer to the Outlook section in each business segment for additional details on expected earnings and capital expenditures for 2026.</w:t>
      </w:r>
    </w:p>
    <w:p>
      <w:pPr>
        <w:spacing w:after="0" w:line="200" w:lineRule="exact"/>
        <w:rPr>
          <w:sz w:val="20"/>
          <w:szCs w:val="20"/>
          <w:color w:val="auto"/>
        </w:rPr>
      </w:pPr>
    </w:p>
    <w:p>
      <w:pPr>
        <w:spacing w:after="0" w:line="37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TC Energy </w:t>
      </w:r>
      <w:r>
        <w:rPr>
          <w:rFonts w:ascii="Arial" w:cs="Arial" w:eastAsia="Arial" w:hAnsi="Arial"/>
          <w:sz w:val="18"/>
          <w:szCs w:val="18"/>
          <w:b w:val="1"/>
          <w:bCs w:val="1"/>
          <w:color w:val="0D64EF"/>
        </w:rPr>
        <w:t>Fourth Quarter</w:t>
      </w:r>
      <w:r>
        <w:rPr>
          <w:rFonts w:ascii="Arial" w:cs="Arial" w:eastAsia="Arial" w:hAnsi="Arial"/>
          <w:sz w:val="18"/>
          <w:szCs w:val="18"/>
          <w:color w:val="auto"/>
        </w:rPr>
        <w:t xml:space="preserve"> News Release 2025 | 11</w:t>
      </w:r>
    </w:p>
    <w:p>
      <w:pPr>
        <w:sectPr>
          <w:pgSz w:w="11900" w:h="16838" w:orient="portrait"/>
          <w:cols w:equalWidth="0" w:num="1">
            <w:col w:w="11240"/>
          </w:cols>
          <w:pgMar w:left="320" w:top="1359" w:right="339" w:bottom="1440" w:gutter="0" w:footer="0" w:header="0"/>
        </w:sectPr>
      </w:pPr>
    </w:p>
    <w:bookmarkStart w:id="24" w:name="page25"/>
    <w:bookmarkEnd w:id="24"/>
    <w:p>
      <w:pPr>
        <w:spacing w:after="0"/>
        <w:rPr>
          <w:sz w:val="20"/>
          <w:szCs w:val="20"/>
          <w:color w:val="auto"/>
        </w:rPr>
      </w:pPr>
      <w:r>
        <w:rPr>
          <w:rFonts w:ascii="Arial" w:cs="Arial" w:eastAsia="Arial" w:hAnsi="Arial"/>
          <w:sz w:val="25"/>
          <w:szCs w:val="25"/>
          <w:color w:val="0D64EF"/>
        </w:rPr>
        <w:t>Capital program</w:t>
      </w:r>
    </w:p>
    <w:p>
      <w:pPr>
        <w:spacing w:after="0" w:line="148" w:lineRule="exact"/>
        <w:rPr>
          <w:sz w:val="20"/>
          <w:szCs w:val="20"/>
          <w:color w:val="auto"/>
        </w:rPr>
      </w:pPr>
    </w:p>
    <w:p>
      <w:pPr>
        <w:jc w:val="both"/>
        <w:spacing w:after="0" w:line="323" w:lineRule="auto"/>
        <w:rPr>
          <w:sz w:val="20"/>
          <w:szCs w:val="20"/>
          <w:color w:val="auto"/>
        </w:rPr>
      </w:pPr>
      <w:r>
        <w:rPr>
          <w:rFonts w:ascii="Arial" w:cs="Arial" w:eastAsia="Arial" w:hAnsi="Arial"/>
          <w:sz w:val="18"/>
          <w:szCs w:val="18"/>
          <w:color w:val="auto"/>
        </w:rPr>
        <w:t>We are developing quality projects under our capital program. These long-life infrastructure assets are supported by long-term commercial arrangements with creditworthy counterparties and/or regulated business models and are expected to generate growth in earnings and cash flows.</w:t>
      </w:r>
    </w:p>
    <w:p>
      <w:pPr>
        <w:spacing w:after="0" w:line="42" w:lineRule="exact"/>
        <w:rPr>
          <w:sz w:val="20"/>
          <w:szCs w:val="20"/>
          <w:color w:val="auto"/>
        </w:rPr>
      </w:pPr>
    </w:p>
    <w:p>
      <w:pPr>
        <w:ind w:right="40"/>
        <w:spacing w:after="0" w:line="334" w:lineRule="auto"/>
        <w:rPr>
          <w:sz w:val="20"/>
          <w:szCs w:val="20"/>
          <w:color w:val="auto"/>
        </w:rPr>
      </w:pPr>
      <w:r>
        <w:rPr>
          <w:rFonts w:ascii="Arial" w:cs="Arial" w:eastAsia="Arial" w:hAnsi="Arial"/>
          <w:sz w:val="18"/>
          <w:szCs w:val="18"/>
          <w:color w:val="auto"/>
        </w:rPr>
        <w:t>Our capital program consists of approximately $21 billion of secured projects that represent commercially supported, committed projects that are either under construction or are in, or preparing to commence the permitting stage.</w:t>
      </w:r>
    </w:p>
    <w:p>
      <w:pPr>
        <w:spacing w:after="0" w:line="31" w:lineRule="exact"/>
        <w:rPr>
          <w:sz w:val="20"/>
          <w:szCs w:val="20"/>
          <w:color w:val="auto"/>
        </w:rPr>
      </w:pPr>
    </w:p>
    <w:p>
      <w:pPr>
        <w:ind w:right="180"/>
        <w:spacing w:after="0" w:line="323" w:lineRule="auto"/>
        <w:rPr>
          <w:sz w:val="20"/>
          <w:szCs w:val="20"/>
          <w:color w:val="auto"/>
        </w:rPr>
      </w:pPr>
      <w:r>
        <w:rPr>
          <w:rFonts w:ascii="Arial" w:cs="Arial" w:eastAsia="Arial" w:hAnsi="Arial"/>
          <w:sz w:val="18"/>
          <w:szCs w:val="18"/>
          <w:color w:val="auto"/>
        </w:rPr>
        <w:t>Three years of maintenance capital expenditures for our businesses are included in the Secured projects table. Maintenance capital expenditures on our regulated Canadian and U.S. natural gas pipelines are added to rate base on which we have the opportunity to earn a return and recover these expenditures through current or future tolls, which is similar to our capacity capital projects on these pipelines.</w:t>
      </w:r>
    </w:p>
    <w:p>
      <w:pPr>
        <w:spacing w:after="0" w:line="42" w:lineRule="exact"/>
        <w:rPr>
          <w:sz w:val="20"/>
          <w:szCs w:val="20"/>
          <w:color w:val="auto"/>
        </w:rPr>
      </w:pPr>
    </w:p>
    <w:p>
      <w:pPr>
        <w:ind w:right="180"/>
        <w:spacing w:after="0" w:line="323" w:lineRule="auto"/>
        <w:rPr>
          <w:sz w:val="20"/>
          <w:szCs w:val="20"/>
          <w:color w:val="auto"/>
        </w:rPr>
      </w:pPr>
      <w:r>
        <w:rPr>
          <w:rFonts w:ascii="Arial" w:cs="Arial" w:eastAsia="Arial" w:hAnsi="Arial"/>
          <w:sz w:val="18"/>
          <w:szCs w:val="18"/>
          <w:color w:val="auto"/>
        </w:rPr>
        <w:t>During 2025, we placed approximately $8.3 billion of projects into service, which included natural gas pipeline capacity projects along our extensive North American asset footprint, including the Southeast Gateway pipeline, as well as progress on the Bruce Power life extension program. In addition, approximately $2.2 billion of maintenance capital expenditures were incurred in the period.</w:t>
      </w:r>
    </w:p>
    <w:p>
      <w:pPr>
        <w:spacing w:after="0" w:line="42" w:lineRule="exact"/>
        <w:rPr>
          <w:sz w:val="20"/>
          <w:szCs w:val="20"/>
          <w:color w:val="auto"/>
        </w:rPr>
      </w:pPr>
    </w:p>
    <w:p>
      <w:pPr>
        <w:ind w:right="20"/>
        <w:spacing w:after="0" w:line="315" w:lineRule="auto"/>
        <w:rPr>
          <w:sz w:val="20"/>
          <w:szCs w:val="20"/>
          <w:color w:val="auto"/>
        </w:rPr>
      </w:pPr>
      <w:r>
        <w:rPr>
          <w:rFonts w:ascii="Arial" w:cs="Arial" w:eastAsia="Arial" w:hAnsi="Arial"/>
          <w:sz w:val="18"/>
          <w:szCs w:val="18"/>
          <w:color w:val="auto"/>
        </w:rPr>
        <w:t>All projects are subject to cost and timing adjustments due to factors including weather, market conditions, route refinement, land acquisition, permitting conditions, scheduling and timing of regulatory permits, as well as other potential restrictions and uncertainties, including inflationary pressures on labour and materials. Amounts exclude capitalized interest and AFUDC, where applicable.</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12 | TC Energy </w:t>
      </w:r>
      <w:r>
        <w:rPr>
          <w:rFonts w:ascii="Arial" w:cs="Arial" w:eastAsia="Arial" w:hAnsi="Arial"/>
          <w:sz w:val="18"/>
          <w:szCs w:val="18"/>
          <w:b w:val="1"/>
          <w:bCs w:val="1"/>
          <w:color w:val="0D64EF"/>
        </w:rPr>
        <w:t>Fourth Quarter</w:t>
      </w:r>
      <w:r>
        <w:rPr>
          <w:rFonts w:ascii="Arial" w:cs="Arial" w:eastAsia="Arial" w:hAnsi="Arial"/>
          <w:sz w:val="18"/>
          <w:szCs w:val="18"/>
          <w:color w:val="auto"/>
        </w:rPr>
        <w:t xml:space="preserve"> News Release 2025</w:t>
      </w:r>
    </w:p>
    <w:p>
      <w:pPr>
        <w:sectPr>
          <w:pgSz w:w="11900" w:h="16838" w:orient="portrait"/>
          <w:cols w:equalWidth="0" w:num="1">
            <w:col w:w="11200"/>
          </w:cols>
          <w:pgMar w:left="320" w:top="1359" w:right="379" w:bottom="1440" w:gutter="0" w:footer="0" w:header="0"/>
        </w:sectPr>
      </w:pPr>
    </w:p>
    <w:bookmarkStart w:id="25" w:name="page26"/>
    <w:bookmarkEnd w:id="25"/>
    <w:p>
      <w:pPr>
        <w:spacing w:after="0"/>
        <w:rPr>
          <w:sz w:val="20"/>
          <w:szCs w:val="20"/>
          <w:color w:val="auto"/>
        </w:rPr>
      </w:pPr>
      <w:r>
        <w:rPr>
          <w:rFonts w:ascii="Arial" w:cs="Arial" w:eastAsia="Arial" w:hAnsi="Arial"/>
          <w:sz w:val="20"/>
          <w:szCs w:val="20"/>
          <w:b w:val="1"/>
          <w:bCs w:val="1"/>
          <w:color w:val="0D64EF"/>
        </w:rPr>
        <w:t>Secured projects</w:t>
      </w:r>
    </w:p>
    <w:p>
      <w:pPr>
        <w:spacing w:after="0" w:line="58" w:lineRule="exact"/>
        <w:rPr>
          <w:sz w:val="20"/>
          <w:szCs w:val="20"/>
          <w:color w:val="auto"/>
        </w:rPr>
      </w:pPr>
    </w:p>
    <w:p>
      <w:pPr>
        <w:ind w:right="80"/>
        <w:spacing w:after="0" w:line="323" w:lineRule="auto"/>
        <w:rPr>
          <w:sz w:val="20"/>
          <w:szCs w:val="20"/>
          <w:color w:val="auto"/>
        </w:rPr>
      </w:pPr>
      <w:r>
        <w:rPr>
          <w:rFonts w:ascii="Arial" w:cs="Arial" w:eastAsia="Arial" w:hAnsi="Arial"/>
          <w:sz w:val="18"/>
          <w:szCs w:val="18"/>
          <w:color w:val="auto"/>
        </w:rPr>
        <w:t>Estimated and incurred project costs referred to in the following table include 100 per cent of the capital expenditures related to projects within entities that we own or partially own and fully consolidate, as well as our share of equity contributions to fund projects within our equity investments.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060" w:type="dxa"/>
            <w:vAlign w:val="bottom"/>
            <w:tcBorders>
              <w:top w:val="single" w:sz="8" w:color="0D64EF"/>
            </w:tcBorders>
            <w:shd w:val="clear" w:color="auto" w:fill="D1D0CF"/>
          </w:tcPr>
          <w:p>
            <w:pPr>
              <w:spacing w:after="0"/>
              <w:rPr>
                <w:sz w:val="16"/>
                <w:szCs w:val="16"/>
                <w:color w:val="auto"/>
              </w:rPr>
            </w:pPr>
          </w:p>
        </w:tc>
        <w:tc>
          <w:tcPr>
            <w:tcW w:w="2700" w:type="dxa"/>
            <w:vAlign w:val="bottom"/>
            <w:tcBorders>
              <w:top w:val="single" w:sz="8" w:color="0D64EF"/>
            </w:tcBorders>
            <w:shd w:val="clear" w:color="auto" w:fill="D1D0CF"/>
          </w:tcPr>
          <w:p>
            <w:pPr>
              <w:jc w:val="right"/>
              <w:ind w:right="299"/>
              <w:spacing w:after="0"/>
              <w:rPr>
                <w:sz w:val="20"/>
                <w:szCs w:val="20"/>
                <w:color w:val="auto"/>
              </w:rPr>
            </w:pPr>
            <w:r>
              <w:rPr>
                <w:rFonts w:ascii="Arial" w:cs="Arial" w:eastAsia="Arial" w:hAnsi="Arial"/>
                <w:sz w:val="16"/>
                <w:szCs w:val="16"/>
                <w:b w:val="1"/>
                <w:bCs w:val="1"/>
                <w:color w:val="auto"/>
              </w:rPr>
              <w:t>Expected</w:t>
            </w:r>
          </w:p>
        </w:tc>
        <w:tc>
          <w:tcPr>
            <w:tcW w:w="1300" w:type="dxa"/>
            <w:vAlign w:val="bottom"/>
            <w:tcBorders>
              <w:top w:val="single" w:sz="8" w:color="0D64EF"/>
            </w:tcBorders>
            <w:shd w:val="clear" w:color="auto" w:fill="D1D0CF"/>
          </w:tcPr>
          <w:p>
            <w:pPr>
              <w:jc w:val="right"/>
              <w:spacing w:after="0"/>
              <w:rPr>
                <w:sz w:val="20"/>
                <w:szCs w:val="20"/>
                <w:color w:val="auto"/>
              </w:rPr>
            </w:pPr>
            <w:r>
              <w:rPr>
                <w:rFonts w:ascii="Arial" w:cs="Arial" w:eastAsia="Arial" w:hAnsi="Arial"/>
                <w:sz w:val="16"/>
                <w:szCs w:val="16"/>
                <w:b w:val="1"/>
                <w:bCs w:val="1"/>
                <w:color w:val="auto"/>
              </w:rPr>
              <w:t>Estimated</w:t>
            </w:r>
          </w:p>
        </w:tc>
        <w:tc>
          <w:tcPr>
            <w:tcW w:w="260" w:type="dxa"/>
            <w:vAlign w:val="bottom"/>
            <w:tcBorders>
              <w:top w:val="single" w:sz="8" w:color="0D64EF"/>
            </w:tcBorders>
            <w:shd w:val="clear" w:color="auto" w:fill="D1D0CF"/>
          </w:tcPr>
          <w:p>
            <w:pPr>
              <w:spacing w:after="0"/>
              <w:rPr>
                <w:sz w:val="16"/>
                <w:szCs w:val="16"/>
                <w:color w:val="auto"/>
              </w:rPr>
            </w:pPr>
          </w:p>
        </w:tc>
        <w:tc>
          <w:tcPr>
            <w:tcW w:w="1920" w:type="dxa"/>
            <w:vAlign w:val="bottom"/>
            <w:tcBorders>
              <w:top w:val="single" w:sz="8" w:color="0D64EF"/>
            </w:tcBorders>
            <w:shd w:val="clear" w:color="auto" w:fill="D1D0CF"/>
          </w:tcPr>
          <w:p>
            <w:pPr>
              <w:jc w:val="right"/>
              <w:spacing w:after="0"/>
              <w:rPr>
                <w:sz w:val="20"/>
                <w:szCs w:val="20"/>
                <w:color w:val="auto"/>
              </w:rPr>
            </w:pPr>
            <w:r>
              <w:rPr>
                <w:rFonts w:ascii="Arial" w:cs="Arial" w:eastAsia="Arial" w:hAnsi="Arial"/>
                <w:sz w:val="16"/>
                <w:szCs w:val="16"/>
                <w:b w:val="1"/>
                <w:bCs w:val="1"/>
                <w:color w:val="auto"/>
              </w:rPr>
              <w:t>Project costs incurred</w:t>
            </w:r>
          </w:p>
        </w:tc>
        <w:tc>
          <w:tcPr>
            <w:tcW w:w="0" w:type="dxa"/>
            <w:vAlign w:val="bottom"/>
          </w:tcPr>
          <w:p>
            <w:pPr>
              <w:spacing w:after="0"/>
              <w:rPr>
                <w:sz w:val="1"/>
                <w:szCs w:val="1"/>
                <w:color w:val="auto"/>
              </w:rPr>
            </w:pPr>
          </w:p>
        </w:tc>
      </w:tr>
      <w:tr>
        <w:trPr>
          <w:trHeight w:val="226"/>
        </w:trPr>
        <w:tc>
          <w:tcPr>
            <w:tcW w:w="5060" w:type="dxa"/>
            <w:vAlign w:val="bottom"/>
            <w:tcBorders>
              <w:bottom w:val="single" w:sz="8" w:color="0D64EF"/>
            </w:tcBorders>
            <w:shd w:val="clear" w:color="auto" w:fill="D1D0CF"/>
          </w:tcPr>
          <w:p>
            <w:pPr>
              <w:ind w:left="20"/>
              <w:spacing w:after="0"/>
              <w:rPr>
                <w:sz w:val="20"/>
                <w:szCs w:val="20"/>
                <w:color w:val="auto"/>
              </w:rPr>
            </w:pPr>
            <w:r>
              <w:rPr>
                <w:rFonts w:ascii="Arial" w:cs="Arial" w:eastAsia="Arial" w:hAnsi="Arial"/>
                <w:sz w:val="16"/>
                <w:szCs w:val="16"/>
                <w:color w:val="auto"/>
              </w:rPr>
              <w:t>(billions of Canadian $, unless otherwise noted)</w:t>
            </w:r>
          </w:p>
        </w:tc>
        <w:tc>
          <w:tcPr>
            <w:tcW w:w="2700" w:type="dxa"/>
            <w:vAlign w:val="bottom"/>
            <w:tcBorders>
              <w:bottom w:val="single" w:sz="8" w:color="0D64EF"/>
            </w:tcBorders>
            <w:shd w:val="clear" w:color="auto" w:fill="D1D0CF"/>
          </w:tcPr>
          <w:p>
            <w:pPr>
              <w:jc w:val="right"/>
              <w:ind w:right="259"/>
              <w:spacing w:after="0"/>
              <w:rPr>
                <w:sz w:val="20"/>
                <w:szCs w:val="20"/>
                <w:color w:val="auto"/>
              </w:rPr>
            </w:pPr>
            <w:r>
              <w:rPr>
                <w:rFonts w:ascii="Arial" w:cs="Arial" w:eastAsia="Arial" w:hAnsi="Arial"/>
                <w:sz w:val="16"/>
                <w:szCs w:val="16"/>
                <w:b w:val="1"/>
                <w:bCs w:val="1"/>
                <w:color w:val="auto"/>
              </w:rPr>
              <w:t>in-service date</w:t>
            </w:r>
          </w:p>
        </w:tc>
        <w:tc>
          <w:tcPr>
            <w:tcW w:w="1300" w:type="dxa"/>
            <w:vAlign w:val="bottom"/>
            <w:tcBorders>
              <w:bottom w:val="single" w:sz="8" w:color="0D64EF"/>
            </w:tcBorders>
            <w:shd w:val="clear" w:color="auto" w:fill="D1D0CF"/>
          </w:tcPr>
          <w:p>
            <w:pPr>
              <w:jc w:val="right"/>
              <w:spacing w:after="0"/>
              <w:rPr>
                <w:sz w:val="20"/>
                <w:szCs w:val="20"/>
                <w:color w:val="auto"/>
              </w:rPr>
            </w:pPr>
            <w:r>
              <w:rPr>
                <w:rFonts w:ascii="Arial" w:cs="Arial" w:eastAsia="Arial" w:hAnsi="Arial"/>
                <w:sz w:val="16"/>
                <w:szCs w:val="16"/>
                <w:b w:val="1"/>
                <w:bCs w:val="1"/>
                <w:color w:val="auto"/>
              </w:rPr>
              <w:t>project cost</w:t>
            </w:r>
          </w:p>
        </w:tc>
        <w:tc>
          <w:tcPr>
            <w:tcW w:w="260" w:type="dxa"/>
            <w:vAlign w:val="bottom"/>
            <w:tcBorders>
              <w:bottom w:val="single" w:sz="8" w:color="0D64EF"/>
            </w:tcBorders>
            <w:shd w:val="clear" w:color="auto" w:fill="D1D0CF"/>
          </w:tcPr>
          <w:p>
            <w:pPr>
              <w:spacing w:after="0"/>
              <w:rPr>
                <w:sz w:val="19"/>
                <w:szCs w:val="19"/>
                <w:color w:val="auto"/>
              </w:rPr>
            </w:pPr>
          </w:p>
        </w:tc>
        <w:tc>
          <w:tcPr>
            <w:tcW w:w="1920" w:type="dxa"/>
            <w:vAlign w:val="bottom"/>
            <w:tcBorders>
              <w:bottom w:val="single" w:sz="8" w:color="0D64EF"/>
            </w:tcBorders>
            <w:shd w:val="clear" w:color="auto" w:fill="D1D0CF"/>
          </w:tcPr>
          <w:p>
            <w:pPr>
              <w:jc w:val="right"/>
              <w:spacing w:after="0"/>
              <w:rPr>
                <w:sz w:val="20"/>
                <w:szCs w:val="20"/>
                <w:color w:val="auto"/>
              </w:rPr>
            </w:pPr>
            <w:r>
              <w:rPr>
                <w:rFonts w:ascii="Arial" w:cs="Arial" w:eastAsia="Arial" w:hAnsi="Arial"/>
                <w:sz w:val="16"/>
                <w:szCs w:val="16"/>
                <w:b w:val="1"/>
                <w:bCs w:val="1"/>
                <w:color w:val="auto"/>
              </w:rPr>
              <w:t>December 31, 2025</w:t>
            </w:r>
          </w:p>
        </w:tc>
        <w:tc>
          <w:tcPr>
            <w:tcW w:w="0" w:type="dxa"/>
            <w:vAlign w:val="bottom"/>
          </w:tcPr>
          <w:p>
            <w:pPr>
              <w:spacing w:after="0"/>
              <w:rPr>
                <w:sz w:val="1"/>
                <w:szCs w:val="1"/>
                <w:color w:val="auto"/>
              </w:rPr>
            </w:pPr>
          </w:p>
        </w:tc>
      </w:tr>
      <w:tr>
        <w:trPr>
          <w:trHeight w:val="307"/>
        </w:trPr>
        <w:tc>
          <w:tcPr>
            <w:tcW w:w="5060" w:type="dxa"/>
            <w:vAlign w:val="bottom"/>
          </w:tcPr>
          <w:p>
            <w:pPr>
              <w:ind w:left="20"/>
              <w:spacing w:after="0"/>
              <w:rPr>
                <w:sz w:val="20"/>
                <w:szCs w:val="20"/>
                <w:color w:val="auto"/>
              </w:rPr>
            </w:pPr>
            <w:r>
              <w:rPr>
                <w:rFonts w:ascii="Arial" w:cs="Arial" w:eastAsia="Arial" w:hAnsi="Arial"/>
                <w:sz w:val="16"/>
                <w:szCs w:val="16"/>
                <w:b w:val="1"/>
                <w:bCs w:val="1"/>
                <w:color w:val="0D64EF"/>
              </w:rPr>
              <w:t>Canadian Natural Gas Pipelines</w:t>
            </w:r>
            <w:r>
              <w:rPr>
                <w:rFonts w:ascii="Arial" w:cs="Arial" w:eastAsia="Arial" w:hAnsi="Arial"/>
                <w:sz w:val="21"/>
                <w:szCs w:val="21"/>
                <w:color w:val="000000"/>
                <w:vertAlign w:val="superscript"/>
              </w:rPr>
              <w:t>1</w:t>
            </w:r>
          </w:p>
        </w:tc>
        <w:tc>
          <w:tcPr>
            <w:tcW w:w="27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60" w:type="dxa"/>
            <w:vAlign w:val="bottom"/>
            <w:vMerge w:val="restart"/>
          </w:tcPr>
          <w:p>
            <w:pPr>
              <w:jc w:val="right"/>
              <w:ind w:right="153"/>
              <w:spacing w:after="0"/>
              <w:rPr>
                <w:sz w:val="20"/>
                <w:szCs w:val="20"/>
                <w:color w:val="auto"/>
              </w:rPr>
            </w:pPr>
            <w:r>
              <w:rPr>
                <w:rFonts w:ascii="Arial" w:cs="Arial" w:eastAsia="Arial" w:hAnsi="Arial"/>
                <w:sz w:val="9"/>
                <w:szCs w:val="9"/>
                <w:color w:val="auto"/>
                <w:w w:val="78"/>
              </w:rPr>
              <w:t>2</w:t>
            </w: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5060" w:type="dxa"/>
            <w:vAlign w:val="bottom"/>
          </w:tcPr>
          <w:p>
            <w:pPr>
              <w:ind w:left="140"/>
              <w:spacing w:after="0"/>
              <w:rPr>
                <w:sz w:val="20"/>
                <w:szCs w:val="20"/>
                <w:color w:val="auto"/>
              </w:rPr>
            </w:pPr>
            <w:r>
              <w:rPr>
                <w:rFonts w:ascii="Arial" w:cs="Arial" w:eastAsia="Arial" w:hAnsi="Arial"/>
                <w:sz w:val="16"/>
                <w:szCs w:val="16"/>
                <w:color w:val="auto"/>
              </w:rPr>
              <w:t>NGTL System</w:t>
            </w:r>
          </w:p>
        </w:tc>
        <w:tc>
          <w:tcPr>
            <w:tcW w:w="2700" w:type="dxa"/>
            <w:vAlign w:val="bottom"/>
          </w:tcPr>
          <w:p>
            <w:pPr>
              <w:jc w:val="right"/>
              <w:ind w:right="259"/>
              <w:spacing w:after="0"/>
              <w:rPr>
                <w:sz w:val="20"/>
                <w:szCs w:val="20"/>
                <w:color w:val="auto"/>
              </w:rPr>
            </w:pPr>
            <w:r>
              <w:rPr>
                <w:rFonts w:ascii="Arial" w:cs="Arial" w:eastAsia="Arial" w:hAnsi="Arial"/>
                <w:sz w:val="16"/>
                <w:szCs w:val="16"/>
                <w:color w:val="auto"/>
              </w:rPr>
              <w:t>2026</w:t>
            </w:r>
          </w:p>
        </w:tc>
        <w:tc>
          <w:tcPr>
            <w:tcW w:w="1300" w:type="dxa"/>
            <w:vAlign w:val="bottom"/>
          </w:tcPr>
          <w:p>
            <w:pPr>
              <w:jc w:val="right"/>
              <w:spacing w:after="0"/>
              <w:rPr>
                <w:sz w:val="20"/>
                <w:szCs w:val="20"/>
                <w:color w:val="auto"/>
              </w:rPr>
            </w:pPr>
            <w:r>
              <w:rPr>
                <w:rFonts w:ascii="Arial" w:cs="Arial" w:eastAsia="Arial" w:hAnsi="Arial"/>
                <w:sz w:val="16"/>
                <w:szCs w:val="16"/>
                <w:color w:val="auto"/>
              </w:rPr>
              <w:t>0.5</w:t>
            </w:r>
          </w:p>
        </w:tc>
        <w:tc>
          <w:tcPr>
            <w:tcW w:w="260" w:type="dxa"/>
            <w:vAlign w:val="bottom"/>
            <w:vMerge w:val="continue"/>
          </w:tcPr>
          <w:p>
            <w:pPr>
              <w:spacing w:after="0"/>
              <w:rPr>
                <w:sz w:val="16"/>
                <w:szCs w:val="16"/>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230"/>
        </w:trPr>
        <w:tc>
          <w:tcPr>
            <w:tcW w:w="5060" w:type="dxa"/>
            <w:vAlign w:val="bottom"/>
          </w:tcPr>
          <w:p>
            <w:pPr>
              <w:spacing w:after="0"/>
              <w:rPr>
                <w:sz w:val="19"/>
                <w:szCs w:val="19"/>
                <w:color w:val="auto"/>
              </w:rPr>
            </w:pPr>
          </w:p>
        </w:tc>
        <w:tc>
          <w:tcPr>
            <w:tcW w:w="2700" w:type="dxa"/>
            <w:vAlign w:val="bottom"/>
          </w:tcPr>
          <w:p>
            <w:pPr>
              <w:jc w:val="right"/>
              <w:ind w:right="259"/>
              <w:spacing w:after="0"/>
              <w:rPr>
                <w:sz w:val="20"/>
                <w:szCs w:val="20"/>
                <w:color w:val="auto"/>
              </w:rPr>
            </w:pPr>
            <w:r>
              <w:rPr>
                <w:rFonts w:ascii="Arial" w:cs="Arial" w:eastAsia="Arial" w:hAnsi="Arial"/>
                <w:sz w:val="16"/>
                <w:szCs w:val="16"/>
                <w:color w:val="auto"/>
              </w:rPr>
              <w:t>2027</w:t>
            </w:r>
          </w:p>
        </w:tc>
        <w:tc>
          <w:tcPr>
            <w:tcW w:w="1300" w:type="dxa"/>
            <w:vAlign w:val="bottom"/>
          </w:tcPr>
          <w:p>
            <w:pPr>
              <w:jc w:val="right"/>
              <w:spacing w:after="0"/>
              <w:rPr>
                <w:sz w:val="20"/>
                <w:szCs w:val="20"/>
                <w:color w:val="auto"/>
              </w:rPr>
            </w:pPr>
            <w:r>
              <w:rPr>
                <w:rFonts w:ascii="Arial" w:cs="Arial" w:eastAsia="Arial" w:hAnsi="Arial"/>
                <w:sz w:val="16"/>
                <w:szCs w:val="16"/>
                <w:color w:val="auto"/>
              </w:rPr>
              <w:t>0.4</w:t>
            </w:r>
          </w:p>
        </w:tc>
        <w:tc>
          <w:tcPr>
            <w:tcW w:w="260" w:type="dxa"/>
            <w:vAlign w:val="bottom"/>
          </w:tcPr>
          <w:p>
            <w:pPr>
              <w:jc w:val="right"/>
              <w:ind w:right="153"/>
              <w:spacing w:after="0"/>
              <w:rPr>
                <w:sz w:val="20"/>
                <w:szCs w:val="20"/>
                <w:color w:val="auto"/>
              </w:rPr>
            </w:pPr>
            <w:r>
              <w:rPr>
                <w:rFonts w:ascii="Arial" w:cs="Arial" w:eastAsia="Arial" w:hAnsi="Arial"/>
                <w:sz w:val="9"/>
                <w:szCs w:val="9"/>
                <w:color w:val="auto"/>
                <w:w w:val="78"/>
              </w:rPr>
              <w:t>2</w:t>
            </w:r>
          </w:p>
        </w:tc>
        <w:tc>
          <w:tcPr>
            <w:tcW w:w="19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2"/>
        </w:trPr>
        <w:tc>
          <w:tcPr>
            <w:tcW w:w="5060" w:type="dxa"/>
            <w:vAlign w:val="bottom"/>
          </w:tcPr>
          <w:p>
            <w:pPr>
              <w:spacing w:after="0"/>
              <w:rPr>
                <w:sz w:val="21"/>
                <w:szCs w:val="21"/>
                <w:color w:val="auto"/>
              </w:rPr>
            </w:pPr>
          </w:p>
        </w:tc>
        <w:tc>
          <w:tcPr>
            <w:tcW w:w="2700" w:type="dxa"/>
            <w:vAlign w:val="bottom"/>
          </w:tcPr>
          <w:p>
            <w:pPr>
              <w:jc w:val="right"/>
              <w:ind w:right="259"/>
              <w:spacing w:after="0"/>
              <w:rPr>
                <w:sz w:val="20"/>
                <w:szCs w:val="20"/>
                <w:color w:val="auto"/>
              </w:rPr>
            </w:pPr>
            <w:r>
              <w:rPr>
                <w:rFonts w:ascii="Arial" w:cs="Arial" w:eastAsia="Arial" w:hAnsi="Arial"/>
                <w:sz w:val="16"/>
                <w:szCs w:val="16"/>
                <w:color w:val="auto"/>
              </w:rPr>
              <w:t>2028+</w:t>
            </w:r>
          </w:p>
        </w:tc>
        <w:tc>
          <w:tcPr>
            <w:tcW w:w="1300" w:type="dxa"/>
            <w:vAlign w:val="bottom"/>
          </w:tcPr>
          <w:p>
            <w:pPr>
              <w:jc w:val="right"/>
              <w:spacing w:after="0"/>
              <w:rPr>
                <w:sz w:val="20"/>
                <w:szCs w:val="20"/>
                <w:color w:val="auto"/>
              </w:rPr>
            </w:pPr>
            <w:r>
              <w:rPr>
                <w:rFonts w:ascii="Arial" w:cs="Arial" w:eastAsia="Arial" w:hAnsi="Arial"/>
                <w:sz w:val="16"/>
                <w:szCs w:val="16"/>
                <w:color w:val="auto"/>
              </w:rPr>
              <w:t>0.6</w:t>
            </w:r>
          </w:p>
        </w:tc>
        <w:tc>
          <w:tcPr>
            <w:tcW w:w="260" w:type="dxa"/>
            <w:vAlign w:val="bottom"/>
          </w:tcPr>
          <w:p>
            <w:pPr>
              <w:jc w:val="right"/>
              <w:ind w:right="153"/>
              <w:spacing w:after="0"/>
              <w:rPr>
                <w:sz w:val="20"/>
                <w:szCs w:val="20"/>
                <w:color w:val="auto"/>
              </w:rPr>
            </w:pPr>
            <w:r>
              <w:rPr>
                <w:rFonts w:ascii="Arial" w:cs="Arial" w:eastAsia="Arial" w:hAnsi="Arial"/>
                <w:sz w:val="9"/>
                <w:szCs w:val="9"/>
                <w:color w:val="auto"/>
                <w:w w:val="78"/>
              </w:rPr>
              <w:t>2</w:t>
            </w:r>
          </w:p>
        </w:tc>
        <w:tc>
          <w:tcPr>
            <w:tcW w:w="19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0"/>
        </w:trPr>
        <w:tc>
          <w:tcPr>
            <w:tcW w:w="5060" w:type="dxa"/>
            <w:vAlign w:val="bottom"/>
          </w:tcPr>
          <w:p>
            <w:pPr>
              <w:ind w:left="140"/>
              <w:spacing w:after="0"/>
              <w:rPr>
                <w:sz w:val="20"/>
                <w:szCs w:val="20"/>
                <w:color w:val="auto"/>
              </w:rPr>
            </w:pPr>
            <w:r>
              <w:rPr>
                <w:rFonts w:ascii="Arial" w:cs="Arial" w:eastAsia="Arial" w:hAnsi="Arial"/>
                <w:sz w:val="16"/>
                <w:szCs w:val="16"/>
                <w:color w:val="auto"/>
              </w:rPr>
              <w:t>Regulated maintenance capital expenditures</w:t>
            </w:r>
          </w:p>
        </w:tc>
        <w:tc>
          <w:tcPr>
            <w:tcW w:w="2700" w:type="dxa"/>
            <w:vAlign w:val="bottom"/>
          </w:tcPr>
          <w:p>
            <w:pPr>
              <w:jc w:val="right"/>
              <w:ind w:right="259"/>
              <w:spacing w:after="0"/>
              <w:rPr>
                <w:sz w:val="20"/>
                <w:szCs w:val="20"/>
                <w:color w:val="auto"/>
              </w:rPr>
            </w:pPr>
            <w:r>
              <w:rPr>
                <w:rFonts w:ascii="Arial" w:cs="Arial" w:eastAsia="Arial" w:hAnsi="Arial"/>
                <w:sz w:val="16"/>
                <w:szCs w:val="16"/>
                <w:color w:val="auto"/>
              </w:rPr>
              <w:t>2026-2028</w:t>
            </w:r>
          </w:p>
        </w:tc>
        <w:tc>
          <w:tcPr>
            <w:tcW w:w="1300" w:type="dxa"/>
            <w:vAlign w:val="bottom"/>
          </w:tcPr>
          <w:p>
            <w:pPr>
              <w:jc w:val="right"/>
              <w:spacing w:after="0"/>
              <w:rPr>
                <w:sz w:val="20"/>
                <w:szCs w:val="20"/>
                <w:color w:val="auto"/>
              </w:rPr>
            </w:pPr>
            <w:r>
              <w:rPr>
                <w:rFonts w:ascii="Arial" w:cs="Arial" w:eastAsia="Arial" w:hAnsi="Arial"/>
                <w:sz w:val="16"/>
                <w:szCs w:val="16"/>
                <w:color w:val="auto"/>
              </w:rPr>
              <w:t>2.6</w:t>
            </w:r>
          </w:p>
        </w:tc>
        <w:tc>
          <w:tcPr>
            <w:tcW w:w="26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8"/>
        </w:trPr>
        <w:tc>
          <w:tcPr>
            <w:tcW w:w="5060" w:type="dxa"/>
            <w:vAlign w:val="bottom"/>
          </w:tcPr>
          <w:p>
            <w:pPr>
              <w:ind w:left="20"/>
              <w:spacing w:after="0"/>
              <w:rPr>
                <w:sz w:val="20"/>
                <w:szCs w:val="20"/>
                <w:color w:val="auto"/>
              </w:rPr>
            </w:pPr>
            <w:r>
              <w:rPr>
                <w:rFonts w:ascii="Arial" w:cs="Arial" w:eastAsia="Arial" w:hAnsi="Arial"/>
                <w:sz w:val="16"/>
                <w:szCs w:val="16"/>
                <w:b w:val="1"/>
                <w:bCs w:val="1"/>
                <w:color w:val="0D64EF"/>
              </w:rPr>
              <w:t>U.S. Natural Gas Pipelines</w:t>
            </w:r>
          </w:p>
        </w:tc>
        <w:tc>
          <w:tcPr>
            <w:tcW w:w="27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5060" w:type="dxa"/>
            <w:vAlign w:val="bottom"/>
          </w:tcPr>
          <w:p>
            <w:pPr>
              <w:ind w:left="140"/>
              <w:spacing w:after="0"/>
              <w:rPr>
                <w:sz w:val="20"/>
                <w:szCs w:val="20"/>
                <w:color w:val="auto"/>
              </w:rPr>
            </w:pPr>
            <w:r>
              <w:rPr>
                <w:rFonts w:ascii="Arial" w:cs="Arial" w:eastAsia="Arial" w:hAnsi="Arial"/>
                <w:sz w:val="16"/>
                <w:szCs w:val="16"/>
                <w:color w:val="auto"/>
              </w:rPr>
              <w:t>Gillis Access – Extension</w:t>
            </w:r>
          </w:p>
        </w:tc>
        <w:tc>
          <w:tcPr>
            <w:tcW w:w="2700" w:type="dxa"/>
            <w:vAlign w:val="bottom"/>
          </w:tcPr>
          <w:p>
            <w:pPr>
              <w:jc w:val="right"/>
              <w:ind w:right="259"/>
              <w:spacing w:after="0"/>
              <w:rPr>
                <w:sz w:val="20"/>
                <w:szCs w:val="20"/>
                <w:color w:val="auto"/>
              </w:rPr>
            </w:pPr>
            <w:r>
              <w:rPr>
                <w:rFonts w:ascii="Arial" w:cs="Arial" w:eastAsia="Arial" w:hAnsi="Arial"/>
                <w:sz w:val="16"/>
                <w:szCs w:val="16"/>
                <w:color w:val="auto"/>
              </w:rPr>
              <w:t>2026-2027</w:t>
            </w:r>
          </w:p>
        </w:tc>
        <w:tc>
          <w:tcPr>
            <w:tcW w:w="1300" w:type="dxa"/>
            <w:vAlign w:val="bottom"/>
          </w:tcPr>
          <w:p>
            <w:pPr>
              <w:jc w:val="right"/>
              <w:spacing w:after="0"/>
              <w:rPr>
                <w:sz w:val="20"/>
                <w:szCs w:val="20"/>
                <w:color w:val="auto"/>
              </w:rPr>
            </w:pPr>
            <w:r>
              <w:rPr>
                <w:rFonts w:ascii="Arial" w:cs="Arial" w:eastAsia="Arial" w:hAnsi="Arial"/>
                <w:sz w:val="16"/>
                <w:szCs w:val="16"/>
                <w:color w:val="auto"/>
              </w:rPr>
              <w:t>US 0.4</w:t>
            </w:r>
          </w:p>
        </w:tc>
        <w:tc>
          <w:tcPr>
            <w:tcW w:w="26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US 0.1</w:t>
            </w:r>
          </w:p>
        </w:tc>
        <w:tc>
          <w:tcPr>
            <w:tcW w:w="0" w:type="dxa"/>
            <w:vAlign w:val="bottom"/>
          </w:tcPr>
          <w:p>
            <w:pPr>
              <w:spacing w:after="0"/>
              <w:rPr>
                <w:sz w:val="1"/>
                <w:szCs w:val="1"/>
                <w:color w:val="auto"/>
              </w:rPr>
            </w:pPr>
          </w:p>
        </w:tc>
      </w:tr>
      <w:tr>
        <w:trPr>
          <w:trHeight w:val="230"/>
        </w:trPr>
        <w:tc>
          <w:tcPr>
            <w:tcW w:w="5060" w:type="dxa"/>
            <w:vAlign w:val="bottom"/>
          </w:tcPr>
          <w:p>
            <w:pPr>
              <w:ind w:left="140"/>
              <w:spacing w:after="0"/>
              <w:rPr>
                <w:sz w:val="20"/>
                <w:szCs w:val="20"/>
                <w:color w:val="auto"/>
              </w:rPr>
            </w:pPr>
            <w:r>
              <w:rPr>
                <w:rFonts w:ascii="Arial" w:cs="Arial" w:eastAsia="Arial" w:hAnsi="Arial"/>
                <w:sz w:val="16"/>
                <w:szCs w:val="16"/>
                <w:color w:val="auto"/>
              </w:rPr>
              <w:t>Heartland project</w:t>
            </w:r>
          </w:p>
        </w:tc>
        <w:tc>
          <w:tcPr>
            <w:tcW w:w="2700" w:type="dxa"/>
            <w:vAlign w:val="bottom"/>
          </w:tcPr>
          <w:p>
            <w:pPr>
              <w:jc w:val="right"/>
              <w:ind w:right="259"/>
              <w:spacing w:after="0"/>
              <w:rPr>
                <w:sz w:val="20"/>
                <w:szCs w:val="20"/>
                <w:color w:val="auto"/>
              </w:rPr>
            </w:pPr>
            <w:r>
              <w:rPr>
                <w:rFonts w:ascii="Arial" w:cs="Arial" w:eastAsia="Arial" w:hAnsi="Arial"/>
                <w:sz w:val="16"/>
                <w:szCs w:val="16"/>
                <w:color w:val="auto"/>
              </w:rPr>
              <w:t>2027</w:t>
            </w:r>
          </w:p>
        </w:tc>
        <w:tc>
          <w:tcPr>
            <w:tcW w:w="1300" w:type="dxa"/>
            <w:vAlign w:val="bottom"/>
          </w:tcPr>
          <w:p>
            <w:pPr>
              <w:jc w:val="right"/>
              <w:spacing w:after="0"/>
              <w:rPr>
                <w:sz w:val="20"/>
                <w:szCs w:val="20"/>
                <w:color w:val="auto"/>
              </w:rPr>
            </w:pPr>
            <w:r>
              <w:rPr>
                <w:rFonts w:ascii="Arial" w:cs="Arial" w:eastAsia="Arial" w:hAnsi="Arial"/>
                <w:sz w:val="16"/>
                <w:szCs w:val="16"/>
                <w:color w:val="auto"/>
              </w:rPr>
              <w:t>US 0.9</w:t>
            </w:r>
          </w:p>
        </w:tc>
        <w:tc>
          <w:tcPr>
            <w:tcW w:w="26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US 0.1</w:t>
            </w:r>
          </w:p>
        </w:tc>
        <w:tc>
          <w:tcPr>
            <w:tcW w:w="0" w:type="dxa"/>
            <w:vAlign w:val="bottom"/>
          </w:tcPr>
          <w:p>
            <w:pPr>
              <w:spacing w:after="0"/>
              <w:rPr>
                <w:sz w:val="1"/>
                <w:szCs w:val="1"/>
                <w:color w:val="auto"/>
              </w:rPr>
            </w:pPr>
          </w:p>
        </w:tc>
      </w:tr>
      <w:tr>
        <w:trPr>
          <w:trHeight w:val="229"/>
        </w:trPr>
        <w:tc>
          <w:tcPr>
            <w:tcW w:w="5060" w:type="dxa"/>
            <w:vAlign w:val="bottom"/>
          </w:tcPr>
          <w:p>
            <w:pPr>
              <w:ind w:left="140"/>
              <w:spacing w:after="0"/>
              <w:rPr>
                <w:sz w:val="20"/>
                <w:szCs w:val="20"/>
                <w:color w:val="auto"/>
              </w:rPr>
            </w:pPr>
            <w:r>
              <w:rPr>
                <w:rFonts w:ascii="Arial" w:cs="Arial" w:eastAsia="Arial" w:hAnsi="Arial"/>
                <w:sz w:val="16"/>
                <w:szCs w:val="16"/>
                <w:color w:val="auto"/>
              </w:rPr>
              <w:t>Northwoods project</w:t>
            </w:r>
          </w:p>
        </w:tc>
        <w:tc>
          <w:tcPr>
            <w:tcW w:w="2700" w:type="dxa"/>
            <w:vAlign w:val="bottom"/>
          </w:tcPr>
          <w:p>
            <w:pPr>
              <w:jc w:val="right"/>
              <w:ind w:right="259"/>
              <w:spacing w:after="0"/>
              <w:rPr>
                <w:sz w:val="20"/>
                <w:szCs w:val="20"/>
                <w:color w:val="auto"/>
              </w:rPr>
            </w:pPr>
            <w:r>
              <w:rPr>
                <w:rFonts w:ascii="Arial" w:cs="Arial" w:eastAsia="Arial" w:hAnsi="Arial"/>
                <w:sz w:val="16"/>
                <w:szCs w:val="16"/>
                <w:color w:val="auto"/>
              </w:rPr>
              <w:t>2029</w:t>
            </w:r>
          </w:p>
        </w:tc>
        <w:tc>
          <w:tcPr>
            <w:tcW w:w="1300" w:type="dxa"/>
            <w:vAlign w:val="bottom"/>
          </w:tcPr>
          <w:p>
            <w:pPr>
              <w:jc w:val="right"/>
              <w:spacing w:after="0"/>
              <w:rPr>
                <w:sz w:val="20"/>
                <w:szCs w:val="20"/>
                <w:color w:val="auto"/>
              </w:rPr>
            </w:pPr>
            <w:r>
              <w:rPr>
                <w:rFonts w:ascii="Arial" w:cs="Arial" w:eastAsia="Arial" w:hAnsi="Arial"/>
                <w:sz w:val="16"/>
                <w:szCs w:val="16"/>
                <w:color w:val="auto"/>
              </w:rPr>
              <w:t>US 0.9</w:t>
            </w:r>
          </w:p>
        </w:tc>
        <w:tc>
          <w:tcPr>
            <w:tcW w:w="26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9"/>
        </w:trPr>
        <w:tc>
          <w:tcPr>
            <w:tcW w:w="5060" w:type="dxa"/>
            <w:vAlign w:val="bottom"/>
          </w:tcPr>
          <w:p>
            <w:pPr>
              <w:ind w:left="140"/>
              <w:spacing w:after="0"/>
              <w:rPr>
                <w:sz w:val="20"/>
                <w:szCs w:val="20"/>
                <w:color w:val="auto"/>
              </w:rPr>
            </w:pPr>
            <w:r>
              <w:rPr>
                <w:rFonts w:ascii="Arial" w:cs="Arial" w:eastAsia="Arial" w:hAnsi="Arial"/>
                <w:sz w:val="16"/>
                <w:szCs w:val="16"/>
                <w:color w:val="auto"/>
              </w:rPr>
              <w:t>Pulaski and Maysville projects</w:t>
            </w:r>
          </w:p>
        </w:tc>
        <w:tc>
          <w:tcPr>
            <w:tcW w:w="2700" w:type="dxa"/>
            <w:vAlign w:val="bottom"/>
          </w:tcPr>
          <w:p>
            <w:pPr>
              <w:jc w:val="right"/>
              <w:ind w:right="259"/>
              <w:spacing w:after="0"/>
              <w:rPr>
                <w:sz w:val="20"/>
                <w:szCs w:val="20"/>
                <w:color w:val="auto"/>
              </w:rPr>
            </w:pPr>
            <w:r>
              <w:rPr>
                <w:rFonts w:ascii="Arial" w:cs="Arial" w:eastAsia="Arial" w:hAnsi="Arial"/>
                <w:sz w:val="16"/>
                <w:szCs w:val="16"/>
                <w:color w:val="auto"/>
              </w:rPr>
              <w:t>2029</w:t>
            </w:r>
          </w:p>
        </w:tc>
        <w:tc>
          <w:tcPr>
            <w:tcW w:w="1300" w:type="dxa"/>
            <w:vAlign w:val="bottom"/>
          </w:tcPr>
          <w:p>
            <w:pPr>
              <w:jc w:val="right"/>
              <w:spacing w:after="0"/>
              <w:rPr>
                <w:sz w:val="20"/>
                <w:szCs w:val="20"/>
                <w:color w:val="auto"/>
              </w:rPr>
            </w:pPr>
            <w:r>
              <w:rPr>
                <w:rFonts w:ascii="Arial" w:cs="Arial" w:eastAsia="Arial" w:hAnsi="Arial"/>
                <w:sz w:val="16"/>
                <w:szCs w:val="16"/>
                <w:color w:val="auto"/>
              </w:rPr>
              <w:t>US 0.8</w:t>
            </w:r>
          </w:p>
        </w:tc>
        <w:tc>
          <w:tcPr>
            <w:tcW w:w="26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0"/>
        </w:trPr>
        <w:tc>
          <w:tcPr>
            <w:tcW w:w="5060" w:type="dxa"/>
            <w:vAlign w:val="bottom"/>
          </w:tcPr>
          <w:p>
            <w:pPr>
              <w:ind w:left="140"/>
              <w:spacing w:after="0"/>
              <w:rPr>
                <w:sz w:val="20"/>
                <w:szCs w:val="20"/>
                <w:color w:val="auto"/>
              </w:rPr>
            </w:pPr>
            <w:r>
              <w:rPr>
                <w:rFonts w:ascii="Arial" w:cs="Arial" w:eastAsia="Arial" w:hAnsi="Arial"/>
                <w:sz w:val="16"/>
                <w:szCs w:val="16"/>
                <w:color w:val="auto"/>
              </w:rPr>
              <w:t>Southeast Virginia Energy Storage project</w:t>
            </w:r>
          </w:p>
        </w:tc>
        <w:tc>
          <w:tcPr>
            <w:tcW w:w="2700" w:type="dxa"/>
            <w:vAlign w:val="bottom"/>
          </w:tcPr>
          <w:p>
            <w:pPr>
              <w:jc w:val="right"/>
              <w:ind w:right="259"/>
              <w:spacing w:after="0"/>
              <w:rPr>
                <w:sz w:val="20"/>
                <w:szCs w:val="20"/>
                <w:color w:val="auto"/>
              </w:rPr>
            </w:pPr>
            <w:r>
              <w:rPr>
                <w:rFonts w:ascii="Arial" w:cs="Arial" w:eastAsia="Arial" w:hAnsi="Arial"/>
                <w:sz w:val="16"/>
                <w:szCs w:val="16"/>
                <w:color w:val="auto"/>
              </w:rPr>
              <w:t>2030</w:t>
            </w:r>
          </w:p>
        </w:tc>
        <w:tc>
          <w:tcPr>
            <w:tcW w:w="1300" w:type="dxa"/>
            <w:vAlign w:val="bottom"/>
          </w:tcPr>
          <w:p>
            <w:pPr>
              <w:jc w:val="right"/>
              <w:spacing w:after="0"/>
              <w:rPr>
                <w:sz w:val="20"/>
                <w:szCs w:val="20"/>
                <w:color w:val="auto"/>
              </w:rPr>
            </w:pPr>
            <w:r>
              <w:rPr>
                <w:rFonts w:ascii="Arial" w:cs="Arial" w:eastAsia="Arial" w:hAnsi="Arial"/>
                <w:sz w:val="16"/>
                <w:szCs w:val="16"/>
                <w:color w:val="auto"/>
              </w:rPr>
              <w:t>US 0.3</w:t>
            </w:r>
          </w:p>
        </w:tc>
        <w:tc>
          <w:tcPr>
            <w:tcW w:w="26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9"/>
        </w:trPr>
        <w:tc>
          <w:tcPr>
            <w:tcW w:w="5060" w:type="dxa"/>
            <w:vAlign w:val="bottom"/>
          </w:tcPr>
          <w:p>
            <w:pPr>
              <w:ind w:left="140"/>
              <w:spacing w:after="0"/>
              <w:rPr>
                <w:sz w:val="20"/>
                <w:szCs w:val="20"/>
                <w:color w:val="auto"/>
              </w:rPr>
            </w:pPr>
            <w:r>
              <w:rPr>
                <w:rFonts w:ascii="Arial" w:cs="Arial" w:eastAsia="Arial" w:hAnsi="Arial"/>
                <w:sz w:val="16"/>
                <w:szCs w:val="16"/>
                <w:color w:val="auto"/>
              </w:rPr>
              <w:t>TCO Connector project</w:t>
            </w:r>
          </w:p>
        </w:tc>
        <w:tc>
          <w:tcPr>
            <w:tcW w:w="2700" w:type="dxa"/>
            <w:vAlign w:val="bottom"/>
          </w:tcPr>
          <w:p>
            <w:pPr>
              <w:jc w:val="right"/>
              <w:ind w:right="259"/>
              <w:spacing w:after="0"/>
              <w:rPr>
                <w:sz w:val="20"/>
                <w:szCs w:val="20"/>
                <w:color w:val="auto"/>
              </w:rPr>
            </w:pPr>
            <w:r>
              <w:rPr>
                <w:rFonts w:ascii="Arial" w:cs="Arial" w:eastAsia="Arial" w:hAnsi="Arial"/>
                <w:sz w:val="16"/>
                <w:szCs w:val="16"/>
                <w:color w:val="auto"/>
              </w:rPr>
              <w:t>2030</w:t>
            </w:r>
          </w:p>
        </w:tc>
        <w:tc>
          <w:tcPr>
            <w:tcW w:w="1300" w:type="dxa"/>
            <w:vAlign w:val="bottom"/>
          </w:tcPr>
          <w:p>
            <w:pPr>
              <w:jc w:val="right"/>
              <w:spacing w:after="0"/>
              <w:rPr>
                <w:sz w:val="20"/>
                <w:szCs w:val="20"/>
                <w:color w:val="auto"/>
              </w:rPr>
            </w:pPr>
            <w:r>
              <w:rPr>
                <w:rFonts w:ascii="Arial" w:cs="Arial" w:eastAsia="Arial" w:hAnsi="Arial"/>
                <w:sz w:val="16"/>
                <w:szCs w:val="16"/>
                <w:color w:val="auto"/>
              </w:rPr>
              <w:t>US 0.3</w:t>
            </w:r>
          </w:p>
        </w:tc>
        <w:tc>
          <w:tcPr>
            <w:tcW w:w="26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4"/>
        </w:trPr>
        <w:tc>
          <w:tcPr>
            <w:tcW w:w="5060" w:type="dxa"/>
            <w:vAlign w:val="bottom"/>
          </w:tcPr>
          <w:p>
            <w:pPr>
              <w:ind w:left="140"/>
              <w:spacing w:after="0"/>
              <w:rPr>
                <w:sz w:val="20"/>
                <w:szCs w:val="20"/>
                <w:color w:val="auto"/>
              </w:rPr>
            </w:pPr>
            <w:r>
              <w:rPr>
                <w:rFonts w:ascii="Arial" w:cs="Arial" w:eastAsia="Arial" w:hAnsi="Arial"/>
                <w:sz w:val="16"/>
                <w:szCs w:val="16"/>
                <w:color w:val="auto"/>
              </w:rPr>
              <w:t>Other capital</w:t>
            </w:r>
            <w:r>
              <w:rPr>
                <w:rFonts w:ascii="Arial" w:cs="Arial" w:eastAsia="Arial" w:hAnsi="Arial"/>
                <w:sz w:val="21"/>
                <w:szCs w:val="21"/>
                <w:color w:val="auto"/>
                <w:vertAlign w:val="superscript"/>
              </w:rPr>
              <w:t>3</w:t>
            </w:r>
          </w:p>
        </w:tc>
        <w:tc>
          <w:tcPr>
            <w:tcW w:w="2700" w:type="dxa"/>
            <w:vAlign w:val="bottom"/>
          </w:tcPr>
          <w:p>
            <w:pPr>
              <w:jc w:val="right"/>
              <w:ind w:right="259"/>
              <w:spacing w:after="0"/>
              <w:rPr>
                <w:sz w:val="20"/>
                <w:szCs w:val="20"/>
                <w:color w:val="auto"/>
              </w:rPr>
            </w:pPr>
            <w:r>
              <w:rPr>
                <w:rFonts w:ascii="Arial" w:cs="Arial" w:eastAsia="Arial" w:hAnsi="Arial"/>
                <w:sz w:val="16"/>
                <w:szCs w:val="16"/>
                <w:color w:val="auto"/>
              </w:rPr>
              <w:t>2026-2031</w:t>
            </w:r>
          </w:p>
        </w:tc>
        <w:tc>
          <w:tcPr>
            <w:tcW w:w="1300" w:type="dxa"/>
            <w:vAlign w:val="bottom"/>
          </w:tcPr>
          <w:p>
            <w:pPr>
              <w:jc w:val="right"/>
              <w:spacing w:after="0"/>
              <w:rPr>
                <w:sz w:val="20"/>
                <w:szCs w:val="20"/>
                <w:color w:val="auto"/>
              </w:rPr>
            </w:pPr>
            <w:r>
              <w:rPr>
                <w:rFonts w:ascii="Arial" w:cs="Arial" w:eastAsia="Arial" w:hAnsi="Arial"/>
                <w:sz w:val="16"/>
                <w:szCs w:val="16"/>
                <w:color w:val="auto"/>
              </w:rPr>
              <w:t>US 1.9</w:t>
            </w:r>
          </w:p>
        </w:tc>
        <w:tc>
          <w:tcPr>
            <w:tcW w:w="260" w:type="dxa"/>
            <w:vAlign w:val="bottom"/>
          </w:tcPr>
          <w:p>
            <w:pPr>
              <w:spacing w:after="0"/>
              <w:rPr>
                <w:sz w:val="21"/>
                <w:szCs w:val="21"/>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US 0.4</w:t>
            </w:r>
          </w:p>
        </w:tc>
        <w:tc>
          <w:tcPr>
            <w:tcW w:w="0" w:type="dxa"/>
            <w:vAlign w:val="bottom"/>
          </w:tcPr>
          <w:p>
            <w:pPr>
              <w:spacing w:after="0"/>
              <w:rPr>
                <w:sz w:val="1"/>
                <w:szCs w:val="1"/>
                <w:color w:val="auto"/>
              </w:rPr>
            </w:pPr>
          </w:p>
        </w:tc>
      </w:tr>
      <w:tr>
        <w:trPr>
          <w:trHeight w:val="215"/>
        </w:trPr>
        <w:tc>
          <w:tcPr>
            <w:tcW w:w="5060" w:type="dxa"/>
            <w:vAlign w:val="bottom"/>
          </w:tcPr>
          <w:p>
            <w:pPr>
              <w:ind w:left="140"/>
              <w:spacing w:after="0"/>
              <w:rPr>
                <w:sz w:val="20"/>
                <w:szCs w:val="20"/>
                <w:color w:val="auto"/>
              </w:rPr>
            </w:pPr>
            <w:r>
              <w:rPr>
                <w:rFonts w:ascii="Arial" w:cs="Arial" w:eastAsia="Arial" w:hAnsi="Arial"/>
                <w:sz w:val="16"/>
                <w:szCs w:val="16"/>
                <w:color w:val="auto"/>
              </w:rPr>
              <w:t>Regulated maintenance capital expenditures</w:t>
            </w:r>
          </w:p>
        </w:tc>
        <w:tc>
          <w:tcPr>
            <w:tcW w:w="2700" w:type="dxa"/>
            <w:vAlign w:val="bottom"/>
          </w:tcPr>
          <w:p>
            <w:pPr>
              <w:jc w:val="right"/>
              <w:ind w:right="259"/>
              <w:spacing w:after="0"/>
              <w:rPr>
                <w:sz w:val="20"/>
                <w:szCs w:val="20"/>
                <w:color w:val="auto"/>
              </w:rPr>
            </w:pPr>
            <w:r>
              <w:rPr>
                <w:rFonts w:ascii="Arial" w:cs="Arial" w:eastAsia="Arial" w:hAnsi="Arial"/>
                <w:sz w:val="16"/>
                <w:szCs w:val="16"/>
                <w:color w:val="auto"/>
              </w:rPr>
              <w:t>2026-2028</w:t>
            </w:r>
          </w:p>
        </w:tc>
        <w:tc>
          <w:tcPr>
            <w:tcW w:w="1300" w:type="dxa"/>
            <w:vAlign w:val="bottom"/>
          </w:tcPr>
          <w:p>
            <w:pPr>
              <w:jc w:val="right"/>
              <w:spacing w:after="0"/>
              <w:rPr>
                <w:sz w:val="20"/>
                <w:szCs w:val="20"/>
                <w:color w:val="auto"/>
              </w:rPr>
            </w:pPr>
            <w:r>
              <w:rPr>
                <w:rFonts w:ascii="Arial" w:cs="Arial" w:eastAsia="Arial" w:hAnsi="Arial"/>
                <w:sz w:val="16"/>
                <w:szCs w:val="16"/>
                <w:color w:val="auto"/>
              </w:rPr>
              <w:t>US 2.6</w:t>
            </w:r>
          </w:p>
        </w:tc>
        <w:tc>
          <w:tcPr>
            <w:tcW w:w="26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4"/>
        </w:trPr>
        <w:tc>
          <w:tcPr>
            <w:tcW w:w="5060" w:type="dxa"/>
            <w:vAlign w:val="bottom"/>
          </w:tcPr>
          <w:p>
            <w:pPr>
              <w:ind w:left="20"/>
              <w:spacing w:after="0"/>
              <w:rPr>
                <w:sz w:val="20"/>
                <w:szCs w:val="20"/>
                <w:color w:val="auto"/>
              </w:rPr>
            </w:pPr>
            <w:r>
              <w:rPr>
                <w:rFonts w:ascii="Arial" w:cs="Arial" w:eastAsia="Arial" w:hAnsi="Arial"/>
                <w:sz w:val="16"/>
                <w:szCs w:val="16"/>
                <w:b w:val="1"/>
                <w:bCs w:val="1"/>
                <w:color w:val="0D64EF"/>
              </w:rPr>
              <w:t>Mexico Natural Gas Pipelines</w:t>
            </w:r>
          </w:p>
        </w:tc>
        <w:tc>
          <w:tcPr>
            <w:tcW w:w="27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060" w:type="dxa"/>
            <w:vAlign w:val="bottom"/>
          </w:tcPr>
          <w:p>
            <w:pPr>
              <w:ind w:left="140"/>
              <w:spacing w:after="0" w:line="230" w:lineRule="exact"/>
              <w:rPr>
                <w:sz w:val="20"/>
                <w:szCs w:val="20"/>
                <w:color w:val="auto"/>
              </w:rPr>
            </w:pPr>
            <w:r>
              <w:rPr>
                <w:rFonts w:ascii="Arial" w:cs="Arial" w:eastAsia="Arial" w:hAnsi="Arial"/>
                <w:sz w:val="16"/>
                <w:szCs w:val="16"/>
                <w:color w:val="auto"/>
              </w:rPr>
              <w:t>Villa de Reyes – South section</w:t>
            </w:r>
            <w:r>
              <w:rPr>
                <w:rFonts w:ascii="Arial" w:cs="Arial" w:eastAsia="Arial" w:hAnsi="Arial"/>
                <w:sz w:val="21"/>
                <w:szCs w:val="21"/>
                <w:color w:val="auto"/>
                <w:vertAlign w:val="superscript"/>
              </w:rPr>
              <w:t>4</w:t>
            </w:r>
          </w:p>
        </w:tc>
        <w:tc>
          <w:tcPr>
            <w:tcW w:w="270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US 0.4</w:t>
            </w:r>
          </w:p>
        </w:tc>
        <w:tc>
          <w:tcPr>
            <w:tcW w:w="26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US 0.3</w:t>
            </w:r>
          </w:p>
        </w:tc>
        <w:tc>
          <w:tcPr>
            <w:tcW w:w="0" w:type="dxa"/>
            <w:vAlign w:val="bottom"/>
          </w:tcPr>
          <w:p>
            <w:pPr>
              <w:spacing w:after="0"/>
              <w:rPr>
                <w:sz w:val="1"/>
                <w:szCs w:val="1"/>
                <w:color w:val="auto"/>
              </w:rPr>
            </w:pPr>
          </w:p>
        </w:tc>
      </w:tr>
      <w:tr>
        <w:trPr>
          <w:trHeight w:val="240"/>
        </w:trPr>
        <w:tc>
          <w:tcPr>
            <w:tcW w:w="5060" w:type="dxa"/>
            <w:vAlign w:val="bottom"/>
          </w:tcPr>
          <w:p>
            <w:pPr>
              <w:ind w:left="140"/>
              <w:spacing w:after="0" w:line="240" w:lineRule="exact"/>
              <w:rPr>
                <w:sz w:val="20"/>
                <w:szCs w:val="20"/>
                <w:color w:val="auto"/>
              </w:rPr>
            </w:pPr>
            <w:r>
              <w:rPr>
                <w:rFonts w:ascii="Arial" w:cs="Arial" w:eastAsia="Arial" w:hAnsi="Arial"/>
                <w:sz w:val="16"/>
                <w:szCs w:val="16"/>
                <w:color w:val="auto"/>
              </w:rPr>
              <w:t>Tula</w:t>
            </w:r>
            <w:r>
              <w:rPr>
                <w:rFonts w:ascii="Arial" w:cs="Arial" w:eastAsia="Arial" w:hAnsi="Arial"/>
                <w:sz w:val="21"/>
                <w:szCs w:val="21"/>
                <w:color w:val="auto"/>
                <w:vertAlign w:val="superscript"/>
              </w:rPr>
              <w:t>5</w:t>
            </w:r>
          </w:p>
        </w:tc>
        <w:tc>
          <w:tcPr>
            <w:tcW w:w="270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US 0.4</w:t>
            </w:r>
          </w:p>
        </w:tc>
        <w:tc>
          <w:tcPr>
            <w:tcW w:w="260" w:type="dxa"/>
            <w:vAlign w:val="bottom"/>
          </w:tcPr>
          <w:p>
            <w:pPr>
              <w:spacing w:after="0"/>
              <w:rPr>
                <w:sz w:val="20"/>
                <w:szCs w:val="20"/>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US 0.3</w:t>
            </w:r>
          </w:p>
        </w:tc>
        <w:tc>
          <w:tcPr>
            <w:tcW w:w="0" w:type="dxa"/>
            <w:vAlign w:val="bottom"/>
          </w:tcPr>
          <w:p>
            <w:pPr>
              <w:spacing w:after="0"/>
              <w:rPr>
                <w:sz w:val="1"/>
                <w:szCs w:val="1"/>
                <w:color w:val="auto"/>
              </w:rPr>
            </w:pPr>
          </w:p>
        </w:tc>
      </w:tr>
      <w:tr>
        <w:trPr>
          <w:trHeight w:val="223"/>
        </w:trPr>
        <w:tc>
          <w:tcPr>
            <w:tcW w:w="5060" w:type="dxa"/>
            <w:vAlign w:val="bottom"/>
          </w:tcPr>
          <w:p>
            <w:pPr>
              <w:ind w:left="20"/>
              <w:spacing w:after="0"/>
              <w:rPr>
                <w:sz w:val="20"/>
                <w:szCs w:val="20"/>
                <w:color w:val="auto"/>
              </w:rPr>
            </w:pPr>
            <w:r>
              <w:rPr>
                <w:rFonts w:ascii="Arial" w:cs="Arial" w:eastAsia="Arial" w:hAnsi="Arial"/>
                <w:sz w:val="16"/>
                <w:szCs w:val="16"/>
                <w:b w:val="1"/>
                <w:bCs w:val="1"/>
                <w:color w:val="0D64EF"/>
              </w:rPr>
              <w:t>Power and Energy Solutions</w:t>
            </w:r>
          </w:p>
        </w:tc>
        <w:tc>
          <w:tcPr>
            <w:tcW w:w="27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060" w:type="dxa"/>
            <w:vAlign w:val="bottom"/>
          </w:tcPr>
          <w:p>
            <w:pPr>
              <w:ind w:left="140"/>
              <w:spacing w:after="0"/>
              <w:rPr>
                <w:sz w:val="20"/>
                <w:szCs w:val="20"/>
                <w:color w:val="auto"/>
              </w:rPr>
            </w:pPr>
            <w:r>
              <w:rPr>
                <w:rFonts w:ascii="Arial" w:cs="Arial" w:eastAsia="Arial" w:hAnsi="Arial"/>
                <w:sz w:val="16"/>
                <w:szCs w:val="16"/>
                <w:color w:val="auto"/>
              </w:rPr>
              <w:t>Bruce Power – Unit 3 MCR</w:t>
            </w:r>
          </w:p>
        </w:tc>
        <w:tc>
          <w:tcPr>
            <w:tcW w:w="2700" w:type="dxa"/>
            <w:vAlign w:val="bottom"/>
          </w:tcPr>
          <w:p>
            <w:pPr>
              <w:jc w:val="right"/>
              <w:ind w:right="259"/>
              <w:spacing w:after="0"/>
              <w:rPr>
                <w:sz w:val="20"/>
                <w:szCs w:val="20"/>
                <w:color w:val="auto"/>
              </w:rPr>
            </w:pPr>
            <w:r>
              <w:rPr>
                <w:rFonts w:ascii="Arial" w:cs="Arial" w:eastAsia="Arial" w:hAnsi="Arial"/>
                <w:sz w:val="16"/>
                <w:szCs w:val="16"/>
                <w:color w:val="auto"/>
              </w:rPr>
              <w:t>2026</w:t>
            </w:r>
          </w:p>
        </w:tc>
        <w:tc>
          <w:tcPr>
            <w:tcW w:w="1300" w:type="dxa"/>
            <w:vAlign w:val="bottom"/>
          </w:tcPr>
          <w:p>
            <w:pPr>
              <w:jc w:val="right"/>
              <w:spacing w:after="0"/>
              <w:rPr>
                <w:sz w:val="20"/>
                <w:szCs w:val="20"/>
                <w:color w:val="auto"/>
              </w:rPr>
            </w:pPr>
            <w:r>
              <w:rPr>
                <w:rFonts w:ascii="Arial" w:cs="Arial" w:eastAsia="Arial" w:hAnsi="Arial"/>
                <w:sz w:val="16"/>
                <w:szCs w:val="16"/>
                <w:color w:val="auto"/>
              </w:rPr>
              <w:t>1.1</w:t>
            </w:r>
          </w:p>
        </w:tc>
        <w:tc>
          <w:tcPr>
            <w:tcW w:w="26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34"/>
        </w:trPr>
        <w:tc>
          <w:tcPr>
            <w:tcW w:w="5060" w:type="dxa"/>
            <w:vAlign w:val="bottom"/>
          </w:tcPr>
          <w:p>
            <w:pPr>
              <w:ind w:left="140"/>
              <w:spacing w:after="0" w:line="234" w:lineRule="exact"/>
              <w:rPr>
                <w:sz w:val="20"/>
                <w:szCs w:val="20"/>
                <w:color w:val="auto"/>
              </w:rPr>
            </w:pPr>
            <w:r>
              <w:rPr>
                <w:rFonts w:ascii="Arial" w:cs="Arial" w:eastAsia="Arial" w:hAnsi="Arial"/>
                <w:sz w:val="16"/>
                <w:szCs w:val="16"/>
                <w:color w:val="auto"/>
              </w:rPr>
              <w:t>Bruce Power – Unit 4 MCR</w:t>
            </w:r>
            <w:r>
              <w:rPr>
                <w:rFonts w:ascii="Arial" w:cs="Arial" w:eastAsia="Arial" w:hAnsi="Arial"/>
                <w:sz w:val="21"/>
                <w:szCs w:val="21"/>
                <w:color w:val="auto"/>
                <w:vertAlign w:val="superscript"/>
              </w:rPr>
              <w:t>6</w:t>
            </w:r>
          </w:p>
        </w:tc>
        <w:tc>
          <w:tcPr>
            <w:tcW w:w="2700" w:type="dxa"/>
            <w:vAlign w:val="bottom"/>
          </w:tcPr>
          <w:p>
            <w:pPr>
              <w:jc w:val="right"/>
              <w:ind w:right="259"/>
              <w:spacing w:after="0"/>
              <w:rPr>
                <w:sz w:val="20"/>
                <w:szCs w:val="20"/>
                <w:color w:val="auto"/>
              </w:rPr>
            </w:pPr>
            <w:r>
              <w:rPr>
                <w:rFonts w:ascii="Arial" w:cs="Arial" w:eastAsia="Arial" w:hAnsi="Arial"/>
                <w:sz w:val="16"/>
                <w:szCs w:val="16"/>
                <w:color w:val="auto"/>
              </w:rPr>
              <w:t>2028</w:t>
            </w:r>
          </w:p>
        </w:tc>
        <w:tc>
          <w:tcPr>
            <w:tcW w:w="1300" w:type="dxa"/>
            <w:vAlign w:val="bottom"/>
          </w:tcPr>
          <w:p>
            <w:pPr>
              <w:jc w:val="right"/>
              <w:spacing w:after="0"/>
              <w:rPr>
                <w:sz w:val="20"/>
                <w:szCs w:val="20"/>
                <w:color w:val="auto"/>
              </w:rPr>
            </w:pPr>
            <w:r>
              <w:rPr>
                <w:rFonts w:ascii="Arial" w:cs="Arial" w:eastAsia="Arial" w:hAnsi="Arial"/>
                <w:sz w:val="16"/>
                <w:szCs w:val="16"/>
                <w:color w:val="auto"/>
              </w:rPr>
              <w:t>0.9</w:t>
            </w:r>
          </w:p>
        </w:tc>
        <w:tc>
          <w:tcPr>
            <w:tcW w:w="260" w:type="dxa"/>
            <w:vAlign w:val="bottom"/>
          </w:tcPr>
          <w:p>
            <w:pPr>
              <w:spacing w:after="0"/>
              <w:rPr>
                <w:sz w:val="20"/>
                <w:szCs w:val="20"/>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230"/>
        </w:trPr>
        <w:tc>
          <w:tcPr>
            <w:tcW w:w="5060" w:type="dxa"/>
            <w:vAlign w:val="bottom"/>
          </w:tcPr>
          <w:p>
            <w:pPr>
              <w:ind w:left="140"/>
              <w:spacing w:after="0" w:line="230" w:lineRule="exact"/>
              <w:rPr>
                <w:sz w:val="20"/>
                <w:szCs w:val="20"/>
                <w:color w:val="auto"/>
              </w:rPr>
            </w:pPr>
            <w:r>
              <w:rPr>
                <w:rFonts w:ascii="Arial" w:cs="Arial" w:eastAsia="Arial" w:hAnsi="Arial"/>
                <w:sz w:val="16"/>
                <w:szCs w:val="16"/>
                <w:color w:val="auto"/>
              </w:rPr>
              <w:t>Bruce Power – Unit 5 MCR</w:t>
            </w:r>
            <w:r>
              <w:rPr>
                <w:rFonts w:ascii="Arial" w:cs="Arial" w:eastAsia="Arial" w:hAnsi="Arial"/>
                <w:sz w:val="21"/>
                <w:szCs w:val="21"/>
                <w:color w:val="auto"/>
                <w:vertAlign w:val="superscript"/>
              </w:rPr>
              <w:t>6</w:t>
            </w:r>
          </w:p>
        </w:tc>
        <w:tc>
          <w:tcPr>
            <w:tcW w:w="2700" w:type="dxa"/>
            <w:vAlign w:val="bottom"/>
          </w:tcPr>
          <w:p>
            <w:pPr>
              <w:jc w:val="right"/>
              <w:ind w:right="259"/>
              <w:spacing w:after="0"/>
              <w:rPr>
                <w:sz w:val="20"/>
                <w:szCs w:val="20"/>
                <w:color w:val="auto"/>
              </w:rPr>
            </w:pPr>
            <w:r>
              <w:rPr>
                <w:rFonts w:ascii="Arial" w:cs="Arial" w:eastAsia="Arial" w:hAnsi="Arial"/>
                <w:sz w:val="16"/>
                <w:szCs w:val="16"/>
                <w:color w:val="auto"/>
              </w:rPr>
              <w:t>2030</w:t>
            </w:r>
          </w:p>
        </w:tc>
        <w:tc>
          <w:tcPr>
            <w:tcW w:w="1300" w:type="dxa"/>
            <w:vAlign w:val="bottom"/>
          </w:tcPr>
          <w:p>
            <w:pPr>
              <w:jc w:val="right"/>
              <w:spacing w:after="0"/>
              <w:rPr>
                <w:sz w:val="20"/>
                <w:szCs w:val="20"/>
                <w:color w:val="auto"/>
              </w:rPr>
            </w:pPr>
            <w:r>
              <w:rPr>
                <w:rFonts w:ascii="Arial" w:cs="Arial" w:eastAsia="Arial" w:hAnsi="Arial"/>
                <w:sz w:val="16"/>
                <w:szCs w:val="16"/>
                <w:color w:val="auto"/>
              </w:rPr>
              <w:t>1.1</w:t>
            </w:r>
          </w:p>
        </w:tc>
        <w:tc>
          <w:tcPr>
            <w:tcW w:w="26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240"/>
        </w:trPr>
        <w:tc>
          <w:tcPr>
            <w:tcW w:w="5060" w:type="dxa"/>
            <w:vAlign w:val="bottom"/>
          </w:tcPr>
          <w:p>
            <w:pPr>
              <w:ind w:left="140"/>
              <w:spacing w:after="0" w:line="240" w:lineRule="exact"/>
              <w:rPr>
                <w:sz w:val="20"/>
                <w:szCs w:val="20"/>
                <w:color w:val="auto"/>
              </w:rPr>
            </w:pPr>
            <w:r>
              <w:rPr>
                <w:rFonts w:ascii="Arial" w:cs="Arial" w:eastAsia="Arial" w:hAnsi="Arial"/>
                <w:sz w:val="16"/>
                <w:szCs w:val="16"/>
                <w:color w:val="auto"/>
              </w:rPr>
              <w:t>Bruce Power – life extension</w:t>
            </w:r>
            <w:r>
              <w:rPr>
                <w:rFonts w:ascii="Arial" w:cs="Arial" w:eastAsia="Arial" w:hAnsi="Arial"/>
                <w:sz w:val="21"/>
                <w:szCs w:val="21"/>
                <w:color w:val="auto"/>
                <w:vertAlign w:val="superscript"/>
              </w:rPr>
              <w:t>7</w:t>
            </w:r>
          </w:p>
        </w:tc>
        <w:tc>
          <w:tcPr>
            <w:tcW w:w="2700" w:type="dxa"/>
            <w:vAlign w:val="bottom"/>
          </w:tcPr>
          <w:p>
            <w:pPr>
              <w:jc w:val="right"/>
              <w:ind w:right="259"/>
              <w:spacing w:after="0"/>
              <w:rPr>
                <w:sz w:val="20"/>
                <w:szCs w:val="20"/>
                <w:color w:val="auto"/>
              </w:rPr>
            </w:pPr>
            <w:r>
              <w:rPr>
                <w:rFonts w:ascii="Arial" w:cs="Arial" w:eastAsia="Arial" w:hAnsi="Arial"/>
                <w:sz w:val="16"/>
                <w:szCs w:val="16"/>
                <w:color w:val="auto"/>
              </w:rPr>
              <w:t>2026-2031</w:t>
            </w:r>
          </w:p>
        </w:tc>
        <w:tc>
          <w:tcPr>
            <w:tcW w:w="1300" w:type="dxa"/>
            <w:vAlign w:val="bottom"/>
          </w:tcPr>
          <w:p>
            <w:pPr>
              <w:jc w:val="right"/>
              <w:spacing w:after="0"/>
              <w:rPr>
                <w:sz w:val="20"/>
                <w:szCs w:val="20"/>
                <w:color w:val="auto"/>
              </w:rPr>
            </w:pPr>
            <w:r>
              <w:rPr>
                <w:rFonts w:ascii="Arial" w:cs="Arial" w:eastAsia="Arial" w:hAnsi="Arial"/>
                <w:sz w:val="16"/>
                <w:szCs w:val="16"/>
                <w:color w:val="auto"/>
              </w:rPr>
              <w:t>1.5</w:t>
            </w:r>
          </w:p>
        </w:tc>
        <w:tc>
          <w:tcPr>
            <w:tcW w:w="260" w:type="dxa"/>
            <w:vAlign w:val="bottom"/>
          </w:tcPr>
          <w:p>
            <w:pPr>
              <w:spacing w:after="0"/>
              <w:rPr>
                <w:sz w:val="20"/>
                <w:szCs w:val="20"/>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0.7</w:t>
            </w:r>
          </w:p>
        </w:tc>
        <w:tc>
          <w:tcPr>
            <w:tcW w:w="0" w:type="dxa"/>
            <w:vAlign w:val="bottom"/>
          </w:tcPr>
          <w:p>
            <w:pPr>
              <w:spacing w:after="0"/>
              <w:rPr>
                <w:sz w:val="1"/>
                <w:szCs w:val="1"/>
                <w:color w:val="auto"/>
              </w:rPr>
            </w:pPr>
          </w:p>
        </w:tc>
      </w:tr>
      <w:tr>
        <w:trPr>
          <w:trHeight w:val="219"/>
        </w:trPr>
        <w:tc>
          <w:tcPr>
            <w:tcW w:w="5060" w:type="dxa"/>
            <w:vAlign w:val="bottom"/>
          </w:tcPr>
          <w:p>
            <w:pPr>
              <w:ind w:left="20"/>
              <w:spacing w:after="0"/>
              <w:rPr>
                <w:sz w:val="20"/>
                <w:szCs w:val="20"/>
                <w:color w:val="auto"/>
              </w:rPr>
            </w:pPr>
            <w:r>
              <w:rPr>
                <w:rFonts w:ascii="Arial" w:cs="Arial" w:eastAsia="Arial" w:hAnsi="Arial"/>
                <w:sz w:val="16"/>
                <w:szCs w:val="16"/>
                <w:b w:val="1"/>
                <w:bCs w:val="1"/>
                <w:color w:val="0D64EF"/>
              </w:rPr>
              <w:t>Other</w:t>
            </w:r>
          </w:p>
        </w:tc>
        <w:tc>
          <w:tcPr>
            <w:tcW w:w="27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5060" w:type="dxa"/>
            <w:vAlign w:val="bottom"/>
            <w:tcBorders>
              <w:bottom w:val="single" w:sz="8" w:color="auto"/>
            </w:tcBorders>
          </w:tcPr>
          <w:p>
            <w:pPr>
              <w:ind w:left="140"/>
              <w:spacing w:after="0" w:line="240" w:lineRule="exact"/>
              <w:rPr>
                <w:sz w:val="20"/>
                <w:szCs w:val="20"/>
                <w:color w:val="auto"/>
              </w:rPr>
            </w:pPr>
            <w:r>
              <w:rPr>
                <w:rFonts w:ascii="Arial" w:cs="Arial" w:eastAsia="Arial" w:hAnsi="Arial"/>
                <w:sz w:val="16"/>
                <w:szCs w:val="16"/>
                <w:color w:val="auto"/>
              </w:rPr>
              <w:t>Non-recoverable maintenance capital expenditures</w:t>
            </w:r>
            <w:r>
              <w:rPr>
                <w:rFonts w:ascii="Arial" w:cs="Arial" w:eastAsia="Arial" w:hAnsi="Arial"/>
                <w:sz w:val="21"/>
                <w:szCs w:val="21"/>
                <w:color w:val="auto"/>
                <w:vertAlign w:val="superscript"/>
              </w:rPr>
              <w:t>8</w:t>
            </w:r>
          </w:p>
        </w:tc>
        <w:tc>
          <w:tcPr>
            <w:tcW w:w="27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2026-2028</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0.5</w:t>
            </w:r>
          </w:p>
        </w:tc>
        <w:tc>
          <w:tcPr>
            <w:tcW w:w="26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8"/>
        </w:trPr>
        <w:tc>
          <w:tcPr>
            <w:tcW w:w="506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18.1</w:t>
            </w:r>
          </w:p>
        </w:tc>
        <w:tc>
          <w:tcPr>
            <w:tcW w:w="26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244"/>
        </w:trPr>
        <w:tc>
          <w:tcPr>
            <w:tcW w:w="50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Foreign exchange impact on secured projects</w:t>
            </w:r>
            <w:r>
              <w:rPr>
                <w:rFonts w:ascii="Arial" w:cs="Arial" w:eastAsia="Arial" w:hAnsi="Arial"/>
                <w:sz w:val="21"/>
                <w:szCs w:val="21"/>
                <w:color w:val="auto"/>
                <w:vertAlign w:val="superscript"/>
              </w:rPr>
              <w:t>9</w:t>
            </w:r>
          </w:p>
        </w:tc>
        <w:tc>
          <w:tcPr>
            <w:tcW w:w="27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w:t>
            </w:r>
          </w:p>
        </w:tc>
        <w:tc>
          <w:tcPr>
            <w:tcW w:w="260" w:type="dxa"/>
            <w:vAlign w:val="bottom"/>
            <w:tcBorders>
              <w:bottom w:val="single" w:sz="8" w:color="auto"/>
            </w:tcBorders>
          </w:tcPr>
          <w:p>
            <w:pPr>
              <w:spacing w:after="0"/>
              <w:rPr>
                <w:sz w:val="21"/>
                <w:szCs w:val="21"/>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220"/>
        </w:trPr>
        <w:tc>
          <w:tcPr>
            <w:tcW w:w="50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0D64EF"/>
              </w:rPr>
              <w:t>Total secured projects</w:t>
            </w:r>
          </w:p>
        </w:tc>
        <w:tc>
          <w:tcPr>
            <w:tcW w:w="27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21.4</w:t>
            </w:r>
          </w:p>
        </w:tc>
        <w:tc>
          <w:tcPr>
            <w:tcW w:w="26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340" w:hanging="332"/>
        <w:spacing w:after="0"/>
        <w:tabs>
          <w:tab w:leader="none" w:pos="340" w:val="left"/>
        </w:tabs>
        <w:numPr>
          <w:ilvl w:val="0"/>
          <w:numId w:val="38"/>
        </w:numPr>
        <w:rPr>
          <w:rFonts w:ascii="Arial" w:cs="Arial" w:eastAsia="Arial" w:hAnsi="Arial"/>
          <w:sz w:val="14"/>
          <w:szCs w:val="14"/>
          <w:color w:val="auto"/>
        </w:rPr>
      </w:pPr>
      <w:r>
        <w:rPr>
          <w:rFonts w:ascii="Arial" w:cs="Arial" w:eastAsia="Arial" w:hAnsi="Arial"/>
          <w:sz w:val="14"/>
          <w:szCs w:val="14"/>
          <w:color w:val="auto"/>
        </w:rPr>
        <w:t>Our share of committed equity to fund the estimated cost of the Coastal GasLink - Cedar Link project is $37 million.</w:t>
      </w:r>
    </w:p>
    <w:p>
      <w:pPr>
        <w:spacing w:after="0" w:line="41"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4"/>
          <w:szCs w:val="14"/>
          <w:color w:val="auto"/>
        </w:rPr>
        <w:t>2   Includes amounts related to projects within the Multi-Year Growth Plan (MYGP) that have received FID.</w:t>
      </w:r>
    </w:p>
    <w:p>
      <w:pPr>
        <w:spacing w:after="0" w:line="55" w:lineRule="exact"/>
        <w:rPr>
          <w:rFonts w:ascii="Arial" w:cs="Arial" w:eastAsia="Arial" w:hAnsi="Arial"/>
          <w:sz w:val="14"/>
          <w:szCs w:val="14"/>
          <w:color w:val="auto"/>
        </w:rPr>
      </w:pPr>
    </w:p>
    <w:p>
      <w:pPr>
        <w:ind w:right="140"/>
        <w:spacing w:after="0" w:line="311" w:lineRule="auto"/>
        <w:rPr>
          <w:rFonts w:ascii="Arial" w:cs="Arial" w:eastAsia="Arial" w:hAnsi="Arial"/>
          <w:sz w:val="14"/>
          <w:szCs w:val="14"/>
          <w:color w:val="auto"/>
        </w:rPr>
      </w:pPr>
      <w:r>
        <w:rPr>
          <w:rFonts w:ascii="Arial" w:cs="Arial" w:eastAsia="Arial" w:hAnsi="Arial"/>
          <w:sz w:val="14"/>
          <w:szCs w:val="14"/>
          <w:color w:val="auto"/>
        </w:rPr>
        <w:t>3 Includes capital expenditures related to certain large-scope maintenance projects across our U.S. natural gas footprint due to their discrete nature for regulatory recovery. 4 We are working with the CFE on completing the remaining section of the Villa de Reyes pipeline. The in-service date will be determined upon resolution of outstanding</w:t>
      </w:r>
    </w:p>
    <w:p>
      <w:pPr>
        <w:spacing w:after="0" w:line="1" w:lineRule="exact"/>
        <w:rPr>
          <w:rFonts w:ascii="Arial" w:cs="Arial" w:eastAsia="Arial" w:hAnsi="Arial"/>
          <w:sz w:val="14"/>
          <w:szCs w:val="14"/>
          <w:color w:val="auto"/>
        </w:rPr>
      </w:pPr>
    </w:p>
    <w:p>
      <w:pPr>
        <w:ind w:left="340"/>
        <w:spacing w:after="0"/>
        <w:rPr>
          <w:rFonts w:ascii="Arial" w:cs="Arial" w:eastAsia="Arial" w:hAnsi="Arial"/>
          <w:sz w:val="14"/>
          <w:szCs w:val="14"/>
          <w:color w:val="auto"/>
        </w:rPr>
      </w:pPr>
      <w:r>
        <w:rPr>
          <w:rFonts w:ascii="Arial" w:cs="Arial" w:eastAsia="Arial" w:hAnsi="Arial"/>
          <w:sz w:val="14"/>
          <w:szCs w:val="14"/>
          <w:color w:val="auto"/>
        </w:rPr>
        <w:t>stakeholder issues.</w:t>
      </w:r>
    </w:p>
    <w:p>
      <w:pPr>
        <w:spacing w:after="0" w:line="41"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4"/>
          <w:szCs w:val="14"/>
          <w:color w:val="auto"/>
        </w:rPr>
        <w:t>5   Estimated project cost as per contracts signed in 2022 as part of the TGNH strategic alliance between TC Energy and the CFE. We continue to evaluate the development</w:t>
      </w:r>
    </w:p>
    <w:p>
      <w:pPr>
        <w:spacing w:after="0" w:line="55" w:lineRule="exact"/>
        <w:rPr>
          <w:rFonts w:ascii="Arial" w:cs="Arial" w:eastAsia="Arial" w:hAnsi="Arial"/>
          <w:sz w:val="14"/>
          <w:szCs w:val="14"/>
          <w:color w:val="auto"/>
        </w:rPr>
      </w:pPr>
    </w:p>
    <w:p>
      <w:pPr>
        <w:ind w:left="340"/>
        <w:spacing w:after="0"/>
        <w:rPr>
          <w:rFonts w:ascii="Arial" w:cs="Arial" w:eastAsia="Arial" w:hAnsi="Arial"/>
          <w:sz w:val="14"/>
          <w:szCs w:val="14"/>
          <w:color w:val="auto"/>
        </w:rPr>
      </w:pPr>
      <w:r>
        <w:rPr>
          <w:rFonts w:ascii="Arial" w:cs="Arial" w:eastAsia="Arial" w:hAnsi="Arial"/>
          <w:sz w:val="14"/>
          <w:szCs w:val="14"/>
          <w:color w:val="auto"/>
        </w:rPr>
        <w:t>and completion of the Tula pipeline, with the CFE, subject to a future FID and an updated cost estimate.</w:t>
      </w:r>
    </w:p>
    <w:p>
      <w:pPr>
        <w:spacing w:after="0" w:line="41"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4"/>
          <w:szCs w:val="14"/>
          <w:color w:val="auto"/>
        </w:rPr>
        <w:t>6   Amounts are net of expected investment tax credits.</w:t>
      </w:r>
    </w:p>
    <w:p>
      <w:pPr>
        <w:spacing w:after="0" w:line="55"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4"/>
          <w:szCs w:val="14"/>
          <w:color w:val="auto"/>
        </w:rPr>
        <w:t>7   Reflects amounts to be invested under the Asset Management program to 2027, other life extension projects and the incremental uprate initiative.</w:t>
      </w:r>
    </w:p>
    <w:p>
      <w:pPr>
        <w:spacing w:after="0" w:line="41" w:lineRule="exact"/>
        <w:rPr>
          <w:rFonts w:ascii="Arial" w:cs="Arial" w:eastAsia="Arial" w:hAnsi="Arial"/>
          <w:sz w:val="14"/>
          <w:szCs w:val="14"/>
          <w:color w:val="auto"/>
        </w:rPr>
      </w:pPr>
    </w:p>
    <w:p>
      <w:pPr>
        <w:ind w:right="720"/>
        <w:spacing w:after="0" w:line="345" w:lineRule="auto"/>
        <w:rPr>
          <w:rFonts w:ascii="Arial" w:cs="Arial" w:eastAsia="Arial" w:hAnsi="Arial"/>
          <w:sz w:val="14"/>
          <w:szCs w:val="14"/>
          <w:color w:val="auto"/>
        </w:rPr>
      </w:pPr>
      <w:r>
        <w:rPr>
          <w:rFonts w:ascii="Arial" w:cs="Arial" w:eastAsia="Arial" w:hAnsi="Arial"/>
          <w:sz w:val="14"/>
          <w:szCs w:val="14"/>
          <w:color w:val="auto"/>
        </w:rPr>
        <w:t>8 Includes non-recoverable maintenance capital expenditures from all segments and is primarily related to our Power and Energy Solutions and Corporate assets. 9 Reflects U.S./Canada foreign exchange rate of 1.37 at December 31, 2025.</w:t>
      </w:r>
    </w:p>
    <w:p>
      <w:pPr>
        <w:spacing w:after="0" w:line="200" w:lineRule="exact"/>
        <w:rPr>
          <w:sz w:val="20"/>
          <w:szCs w:val="20"/>
          <w:color w:val="auto"/>
        </w:rPr>
      </w:pPr>
    </w:p>
    <w:p>
      <w:pPr>
        <w:spacing w:after="0" w:line="394" w:lineRule="exact"/>
        <w:rPr>
          <w:sz w:val="20"/>
          <w:szCs w:val="20"/>
          <w:color w:val="auto"/>
        </w:rPr>
      </w:pPr>
    </w:p>
    <w:p>
      <w:pPr>
        <w:ind w:left="7060"/>
        <w:spacing w:after="0"/>
        <w:rPr>
          <w:sz w:val="20"/>
          <w:szCs w:val="20"/>
          <w:color w:val="auto"/>
        </w:rPr>
      </w:pPr>
      <w:r>
        <w:rPr>
          <w:rFonts w:ascii="Arial" w:cs="Arial" w:eastAsia="Arial" w:hAnsi="Arial"/>
          <w:sz w:val="17"/>
          <w:szCs w:val="17"/>
          <w:color w:val="auto"/>
        </w:rPr>
        <w:t xml:space="preserve">TC Energy </w:t>
      </w:r>
      <w:r>
        <w:rPr>
          <w:rFonts w:ascii="Arial" w:cs="Arial" w:eastAsia="Arial" w:hAnsi="Arial"/>
          <w:sz w:val="17"/>
          <w:szCs w:val="17"/>
          <w:b w:val="1"/>
          <w:bCs w:val="1"/>
          <w:color w:val="0D64EF"/>
        </w:rPr>
        <w:t>Fourth Quarter</w:t>
      </w:r>
      <w:r>
        <w:rPr>
          <w:rFonts w:ascii="Arial" w:cs="Arial" w:eastAsia="Arial" w:hAnsi="Arial"/>
          <w:sz w:val="17"/>
          <w:szCs w:val="17"/>
          <w:color w:val="auto"/>
        </w:rPr>
        <w:t xml:space="preserve"> News Release 2025 | 13</w:t>
      </w:r>
    </w:p>
    <w:p>
      <w:pPr>
        <w:sectPr>
          <w:pgSz w:w="11900" w:h="16838" w:orient="portrait"/>
          <w:cols w:equalWidth="0" w:num="1">
            <w:col w:w="11240"/>
          </w:cols>
          <w:pgMar w:left="320" w:top="1344" w:right="339" w:bottom="1440" w:gutter="0" w:footer="0" w:header="0"/>
        </w:sectPr>
      </w:pPr>
    </w:p>
    <w:bookmarkStart w:id="26" w:name="page27"/>
    <w:bookmarkEnd w:id="26"/>
    <w:p>
      <w:pPr>
        <w:spacing w:after="0"/>
        <w:rPr>
          <w:sz w:val="20"/>
          <w:szCs w:val="20"/>
          <w:color w:val="auto"/>
        </w:rPr>
      </w:pPr>
      <w:r>
        <w:rPr>
          <w:rFonts w:ascii="Arial" w:cs="Arial" w:eastAsia="Arial" w:hAnsi="Arial"/>
          <w:sz w:val="20"/>
          <w:szCs w:val="20"/>
          <w:b w:val="1"/>
          <w:bCs w:val="1"/>
          <w:color w:val="0D64EF"/>
        </w:rPr>
        <w:t>Projects under development</w:t>
      </w:r>
    </w:p>
    <w:p>
      <w:pPr>
        <w:spacing w:after="0" w:line="58" w:lineRule="exact"/>
        <w:rPr>
          <w:sz w:val="20"/>
          <w:szCs w:val="20"/>
          <w:color w:val="auto"/>
        </w:rPr>
      </w:pPr>
    </w:p>
    <w:p>
      <w:pPr>
        <w:spacing w:after="0" w:line="314" w:lineRule="auto"/>
        <w:rPr>
          <w:sz w:val="20"/>
          <w:szCs w:val="20"/>
          <w:color w:val="auto"/>
        </w:rPr>
      </w:pPr>
      <w:r>
        <w:rPr>
          <w:rFonts w:ascii="Arial" w:cs="Arial" w:eastAsia="Arial" w:hAnsi="Arial"/>
          <w:sz w:val="18"/>
          <w:szCs w:val="18"/>
          <w:color w:val="auto"/>
        </w:rPr>
        <w:t>In addition to our secured projects, we are pursuing a portfolio of quality projects in various stages of development across each of our business units. Projects under development have greater uncertainty with respect to timing and estimated project costs and are subject to company and regulatory approvals, unless otherwise noted. New growth opportunities will be assessed within our disciplined capital allocation framework in order to fit within our annual capital expenditure parameters. As these new opportunities advance and reach required milestones, they will be included in the Secured projects table.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Canadian Natural Gas Pipelines</w:t>
      </w:r>
    </w:p>
    <w:p>
      <w:pPr>
        <w:spacing w:after="0" w:line="50" w:lineRule="exact"/>
        <w:rPr>
          <w:sz w:val="20"/>
          <w:szCs w:val="20"/>
          <w:color w:val="auto"/>
        </w:rPr>
      </w:pPr>
    </w:p>
    <w:p>
      <w:pPr>
        <w:spacing w:after="0" w:line="314" w:lineRule="auto"/>
        <w:rPr>
          <w:sz w:val="20"/>
          <w:szCs w:val="20"/>
          <w:color w:val="auto"/>
        </w:rPr>
      </w:pPr>
      <w:r>
        <w:rPr>
          <w:rFonts w:ascii="Arial" w:cs="Arial" w:eastAsia="Arial" w:hAnsi="Arial"/>
          <w:sz w:val="18"/>
          <w:szCs w:val="18"/>
          <w:color w:val="auto"/>
        </w:rPr>
        <w:t>We continue to focus on optimizing the utilization and value of our existing Canadian Natural Gas Pipelines assets, including sanctioned in-corridor expansions, providing connectivity to LNG export terminals, connecting growing WCSB gas supplies to domestic and export markets and other opportunities, including progressing our Multi-Year Growth Plan (MYGP). The MYGP is comprised of multiple distinct projects with various targeted in-service dates, subject to final company and regulatory approvals.</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Natural Gas Pipelines</w:t>
      </w:r>
    </w:p>
    <w:p>
      <w:pPr>
        <w:spacing w:after="0" w:line="50" w:lineRule="exact"/>
        <w:rPr>
          <w:sz w:val="20"/>
          <w:szCs w:val="20"/>
          <w:color w:val="auto"/>
        </w:rPr>
      </w:pPr>
    </w:p>
    <w:p>
      <w:pPr>
        <w:ind w:right="100"/>
        <w:spacing w:after="0" w:line="308" w:lineRule="auto"/>
        <w:rPr>
          <w:sz w:val="20"/>
          <w:szCs w:val="20"/>
          <w:color w:val="auto"/>
        </w:rPr>
      </w:pPr>
      <w:r>
        <w:rPr>
          <w:rFonts w:ascii="Arial" w:cs="Arial" w:eastAsia="Arial" w:hAnsi="Arial"/>
          <w:sz w:val="18"/>
          <w:szCs w:val="18"/>
          <w:color w:val="auto"/>
        </w:rPr>
        <w:t>We are currently pursuing a variety of projects that are expected to replace, upgrade, expand and extend our U.S. Natural Gas Pipelines footprint. The enhanced facilities associated with these projects are expected to improve the reliability of our systems and provide additional transportation capacity under long-term contracts. We continue to see growing demand across multiple segments, driving potential expansion projects to support new natural gas-fired power generation, coal to natural gas conversions, LDC growth and data centres. Our footprint is well positioned to deliver natural gas supply through our existing utility customer base or by way of direct connections. Additional opportunities include direct and indirect interconnects to supply power to data centres, continued LNG development in proximity to our footprint and LDC peak day growth.</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Power and Energy Solutions</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Bruce Power</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color w:val="0D64EF"/>
        </w:rPr>
        <w:t>Life Extension Program</w:t>
      </w:r>
    </w:p>
    <w:p>
      <w:pPr>
        <w:spacing w:after="0" w:line="48" w:lineRule="exact"/>
        <w:rPr>
          <w:sz w:val="20"/>
          <w:szCs w:val="20"/>
          <w:color w:val="auto"/>
        </w:rPr>
      </w:pPr>
    </w:p>
    <w:p>
      <w:pPr>
        <w:spacing w:after="0" w:line="314" w:lineRule="auto"/>
        <w:rPr>
          <w:sz w:val="20"/>
          <w:szCs w:val="20"/>
          <w:color w:val="auto"/>
        </w:rPr>
      </w:pPr>
      <w:r>
        <w:rPr>
          <w:rFonts w:ascii="Arial" w:cs="Arial" w:eastAsia="Arial" w:hAnsi="Arial"/>
          <w:sz w:val="18"/>
          <w:szCs w:val="18"/>
          <w:color w:val="auto"/>
        </w:rPr>
        <w:t>The continuation of Bruce Power’s life extension program will require the investment of our proportionate share of both the MCR program costs on Units 7 and 8 and the remaining Asset Management program costs, which continue beyond the completion of the MCR program in 2033, extending the life of Units 3 to 8 and the Bruce Power site to 2064. Preparation work for the Unit 7 and 8 MCRs is underway and future MCR investments will be subject to discrete decisions for each unit with specified off-ramps available to Bruce Power and the IESO.</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Energy Solutions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i w:val="1"/>
          <w:iCs w:val="1"/>
          <w:color w:val="0D64EF"/>
        </w:rPr>
        <w:t>Ontario Pumped Storage</w:t>
      </w:r>
    </w:p>
    <w:p>
      <w:pPr>
        <w:spacing w:after="0" w:line="61" w:lineRule="exact"/>
        <w:rPr>
          <w:sz w:val="20"/>
          <w:szCs w:val="20"/>
          <w:color w:val="auto"/>
        </w:rPr>
      </w:pPr>
    </w:p>
    <w:p>
      <w:pPr>
        <w:ind w:right="160"/>
        <w:spacing w:after="0" w:line="315" w:lineRule="auto"/>
        <w:rPr>
          <w:sz w:val="20"/>
          <w:szCs w:val="20"/>
          <w:color w:val="auto"/>
        </w:rPr>
      </w:pPr>
      <w:r>
        <w:rPr>
          <w:rFonts w:ascii="Arial" w:cs="Arial" w:eastAsia="Arial" w:hAnsi="Arial"/>
          <w:sz w:val="18"/>
          <w:szCs w:val="18"/>
          <w:color w:val="auto"/>
        </w:rPr>
        <w:t>With our prospective partners, Saugeen Ojibway Nation, we continue to advance the Ontario Pumped Storage Project, an energy storage facility located in Meaford, Ontario. The 1,000 MW project is expected to provide enough electricity to power one million homes for up to 11 hours, while enhancing the reliability and efficiency of Ontario's electricity system.</w:t>
      </w:r>
    </w:p>
    <w:p>
      <w:pPr>
        <w:spacing w:after="0" w:line="49" w:lineRule="exact"/>
        <w:rPr>
          <w:sz w:val="20"/>
          <w:szCs w:val="20"/>
          <w:color w:val="auto"/>
        </w:rPr>
      </w:pPr>
    </w:p>
    <w:p>
      <w:pPr>
        <w:spacing w:after="0" w:line="323" w:lineRule="auto"/>
        <w:rPr>
          <w:sz w:val="20"/>
          <w:szCs w:val="20"/>
          <w:color w:val="auto"/>
        </w:rPr>
      </w:pPr>
      <w:r>
        <w:rPr>
          <w:rFonts w:ascii="Arial" w:cs="Arial" w:eastAsia="Arial" w:hAnsi="Arial"/>
          <w:sz w:val="18"/>
          <w:szCs w:val="18"/>
          <w:color w:val="auto"/>
        </w:rPr>
        <w:t>Using water and gravity, the project is like a natural battery that will store surplus electricity when demand is low and later redeploy it during periods of high demand. The project will support the planned buildout of Ontario’s nuclear fleet and can deliver Ontario’s clean nuclear power on demand.</w:t>
      </w:r>
    </w:p>
    <w:p>
      <w:pPr>
        <w:spacing w:after="0" w:line="42" w:lineRule="exact"/>
        <w:rPr>
          <w:sz w:val="20"/>
          <w:szCs w:val="20"/>
          <w:color w:val="auto"/>
        </w:rPr>
      </w:pPr>
    </w:p>
    <w:p>
      <w:pPr>
        <w:ind w:right="240"/>
        <w:spacing w:after="0" w:line="310" w:lineRule="auto"/>
        <w:rPr>
          <w:sz w:val="20"/>
          <w:szCs w:val="20"/>
          <w:color w:val="auto"/>
        </w:rPr>
      </w:pPr>
      <w:r>
        <w:rPr>
          <w:rFonts w:ascii="Arial" w:cs="Arial" w:eastAsia="Arial" w:hAnsi="Arial"/>
          <w:sz w:val="18"/>
          <w:szCs w:val="18"/>
          <w:color w:val="auto"/>
        </w:rPr>
        <w:t>In January 2025, the Ontario Government announced it was investing up to $285 million to advance pre-development work on the project. With this investment, the project is advancing critical development work, including the completion of a detailed cost estimate, the commencement of federal and provincial environmental assessments, advanced design and engineering and continued community engagement. It is expected that our Board of Directors, Saugeen Ojibway Nation and the Ontario Government will each make a final investment decision on the project following this pre-development work.</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14 | TC Energy </w:t>
      </w:r>
      <w:r>
        <w:rPr>
          <w:rFonts w:ascii="Arial" w:cs="Arial" w:eastAsia="Arial" w:hAnsi="Arial"/>
          <w:sz w:val="18"/>
          <w:szCs w:val="18"/>
          <w:b w:val="1"/>
          <w:bCs w:val="1"/>
          <w:color w:val="0D64EF"/>
        </w:rPr>
        <w:t>Fourth Quarter</w:t>
      </w:r>
      <w:r>
        <w:rPr>
          <w:rFonts w:ascii="Arial" w:cs="Arial" w:eastAsia="Arial" w:hAnsi="Arial"/>
          <w:sz w:val="18"/>
          <w:szCs w:val="18"/>
          <w:color w:val="auto"/>
        </w:rPr>
        <w:t xml:space="preserve"> News Release 2025</w:t>
      </w:r>
    </w:p>
    <w:p>
      <w:pPr>
        <w:sectPr>
          <w:pgSz w:w="11900" w:h="16838" w:orient="portrait"/>
          <w:cols w:equalWidth="0" w:num="1">
            <w:col w:w="11200"/>
          </w:cols>
          <w:pgMar w:left="320" w:top="1304" w:right="379" w:bottom="1440" w:gutter="0" w:footer="0" w:header="0"/>
        </w:sectPr>
      </w:pPr>
    </w:p>
    <w:bookmarkStart w:id="27" w:name="page28"/>
    <w:bookmarkEnd w:id="27"/>
    <w:p>
      <w:pPr>
        <w:spacing w:after="0"/>
        <w:rPr>
          <w:sz w:val="20"/>
          <w:szCs w:val="20"/>
          <w:color w:val="auto"/>
        </w:rPr>
      </w:pPr>
      <w:r>
        <w:rPr>
          <w:rFonts w:ascii="Arial" w:cs="Arial" w:eastAsia="Arial" w:hAnsi="Arial"/>
          <w:sz w:val="25"/>
          <w:szCs w:val="25"/>
          <w:color w:val="0D64EF"/>
        </w:rPr>
        <w:t>Canadian Natural Gas Pipelines</w:t>
      </w:r>
    </w:p>
    <w:p>
      <w:pPr>
        <w:spacing w:after="0" w:line="148" w:lineRule="exact"/>
        <w:rPr>
          <w:sz w:val="20"/>
          <w:szCs w:val="20"/>
          <w:color w:val="auto"/>
        </w:rPr>
      </w:pPr>
    </w:p>
    <w:p>
      <w:pPr>
        <w:ind w:right="120"/>
        <w:spacing w:after="0" w:line="350" w:lineRule="auto"/>
        <w:rPr>
          <w:sz w:val="20"/>
          <w:szCs w:val="20"/>
          <w:color w:val="auto"/>
        </w:rPr>
      </w:pPr>
      <w:r>
        <w:rPr>
          <w:rFonts w:ascii="Arial" w:cs="Arial" w:eastAsia="Arial" w:hAnsi="Arial"/>
          <w:sz w:val="18"/>
          <w:szCs w:val="18"/>
          <w:color w:val="auto"/>
        </w:rPr>
        <w:t>The following is a reconciliation of comparable EBITDA and comparable EBIT (our non-GAAP measures) to segmented earnings (losses) (the most directly comparable GAAP measure). Refer to page 6 for more information on non-GAAP measures we use.</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820" w:type="dxa"/>
            <w:vAlign w:val="bottom"/>
            <w:tcBorders>
              <w:top w:val="single" w:sz="8" w:color="0D64EF"/>
            </w:tcBorders>
            <w:shd w:val="clear" w:color="auto" w:fill="D1D0CF"/>
          </w:tcPr>
          <w:p>
            <w:pPr>
              <w:spacing w:after="0"/>
              <w:rPr>
                <w:sz w:val="16"/>
                <w:szCs w:val="16"/>
                <w:color w:val="auto"/>
              </w:rPr>
            </w:pPr>
          </w:p>
        </w:tc>
        <w:tc>
          <w:tcPr>
            <w:tcW w:w="100" w:type="dxa"/>
            <w:vAlign w:val="bottom"/>
            <w:tcBorders>
              <w:top w:val="single" w:sz="8" w:color="0D64EF"/>
            </w:tcBorders>
            <w:shd w:val="clear" w:color="auto" w:fill="D1D0CF"/>
          </w:tcPr>
          <w:p>
            <w:pPr>
              <w:spacing w:after="0"/>
              <w:rPr>
                <w:sz w:val="16"/>
                <w:szCs w:val="16"/>
                <w:color w:val="auto"/>
              </w:rPr>
            </w:pPr>
          </w:p>
        </w:tc>
        <w:tc>
          <w:tcPr>
            <w:tcW w:w="2120" w:type="dxa"/>
            <w:vAlign w:val="bottom"/>
            <w:tcBorders>
              <w:top w:val="single" w:sz="8" w:color="0D64EF"/>
            </w:tcBorders>
            <w:shd w:val="clear" w:color="auto" w:fill="D1D0CF"/>
          </w:tcPr>
          <w:p>
            <w:pPr>
              <w:jc w:val="right"/>
              <w:spacing w:after="0"/>
              <w:rPr>
                <w:sz w:val="20"/>
                <w:szCs w:val="20"/>
                <w:color w:val="auto"/>
              </w:rPr>
            </w:pPr>
            <w:r>
              <w:rPr>
                <w:rFonts w:ascii="Arial" w:cs="Arial" w:eastAsia="Arial" w:hAnsi="Arial"/>
                <w:sz w:val="16"/>
                <w:szCs w:val="16"/>
                <w:b w:val="1"/>
                <w:bCs w:val="1"/>
                <w:color w:val="auto"/>
              </w:rPr>
              <w:t>three months ended</w:t>
            </w:r>
          </w:p>
        </w:tc>
        <w:tc>
          <w:tcPr>
            <w:tcW w:w="480" w:type="dxa"/>
            <w:vAlign w:val="bottom"/>
            <w:tcBorders>
              <w:top w:val="single" w:sz="8" w:color="0D64EF"/>
            </w:tcBorders>
            <w:shd w:val="clear" w:color="auto" w:fill="D1D0CF"/>
          </w:tcPr>
          <w:p>
            <w:pPr>
              <w:spacing w:after="0"/>
              <w:rPr>
                <w:sz w:val="16"/>
                <w:szCs w:val="16"/>
                <w:color w:val="auto"/>
              </w:rPr>
            </w:pPr>
          </w:p>
        </w:tc>
        <w:tc>
          <w:tcPr>
            <w:tcW w:w="100" w:type="dxa"/>
            <w:vAlign w:val="bottom"/>
            <w:tcBorders>
              <w:top w:val="single" w:sz="8" w:color="0D64EF"/>
            </w:tcBorders>
            <w:shd w:val="clear" w:color="auto" w:fill="D1D0CF"/>
          </w:tcPr>
          <w:p>
            <w:pPr>
              <w:spacing w:after="0"/>
              <w:rPr>
                <w:sz w:val="16"/>
                <w:szCs w:val="16"/>
                <w:color w:val="auto"/>
              </w:rPr>
            </w:pPr>
          </w:p>
        </w:tc>
        <w:tc>
          <w:tcPr>
            <w:tcW w:w="1940" w:type="dxa"/>
            <w:vAlign w:val="bottom"/>
            <w:tcBorders>
              <w:top w:val="single" w:sz="8" w:color="0D64EF"/>
            </w:tcBorders>
            <w:shd w:val="clear" w:color="auto" w:fill="D1D0CF"/>
          </w:tcPr>
          <w:p>
            <w:pPr>
              <w:jc w:val="right"/>
              <w:ind w:right="139"/>
              <w:spacing w:after="0"/>
              <w:rPr>
                <w:sz w:val="20"/>
                <w:szCs w:val="20"/>
                <w:color w:val="auto"/>
              </w:rPr>
            </w:pPr>
            <w:r>
              <w:rPr>
                <w:rFonts w:ascii="Arial" w:cs="Arial" w:eastAsia="Arial" w:hAnsi="Arial"/>
                <w:sz w:val="16"/>
                <w:szCs w:val="16"/>
                <w:b w:val="1"/>
                <w:bCs w:val="1"/>
                <w:color w:val="auto"/>
              </w:rPr>
              <w:t>year ended</w:t>
            </w:r>
          </w:p>
        </w:tc>
        <w:tc>
          <w:tcPr>
            <w:tcW w:w="680" w:type="dxa"/>
            <w:vAlign w:val="bottom"/>
            <w:tcBorders>
              <w:top w:val="single" w:sz="8" w:color="0D64EF"/>
            </w:tcBorders>
            <w:shd w:val="clear" w:color="auto" w:fill="D1D0CF"/>
          </w:tcPr>
          <w:p>
            <w:pPr>
              <w:spacing w:after="0"/>
              <w:rPr>
                <w:sz w:val="16"/>
                <w:szCs w:val="16"/>
                <w:color w:val="auto"/>
              </w:rPr>
            </w:pPr>
          </w:p>
        </w:tc>
      </w:tr>
      <w:tr>
        <w:trPr>
          <w:trHeight w:val="224"/>
        </w:trPr>
        <w:tc>
          <w:tcPr>
            <w:tcW w:w="5820" w:type="dxa"/>
            <w:vAlign w:val="bottom"/>
            <w:tcBorders>
              <w:bottom w:val="single" w:sz="8" w:color="D1D0CF"/>
            </w:tcBorders>
            <w:shd w:val="clear" w:color="auto" w:fill="D1D0CF"/>
          </w:tcPr>
          <w:p>
            <w:pPr>
              <w:spacing w:after="0"/>
              <w:rPr>
                <w:sz w:val="19"/>
                <w:szCs w:val="19"/>
                <w:color w:val="auto"/>
              </w:rPr>
            </w:pPr>
          </w:p>
        </w:tc>
        <w:tc>
          <w:tcPr>
            <w:tcW w:w="100" w:type="dxa"/>
            <w:vAlign w:val="bottom"/>
            <w:tcBorders>
              <w:bottom w:val="single" w:sz="8" w:color="D1D0CF"/>
            </w:tcBorders>
            <w:shd w:val="clear" w:color="auto" w:fill="D1D0CF"/>
          </w:tcPr>
          <w:p>
            <w:pPr>
              <w:spacing w:after="0"/>
              <w:rPr>
                <w:sz w:val="19"/>
                <w:szCs w:val="19"/>
                <w:color w:val="auto"/>
              </w:rPr>
            </w:pPr>
          </w:p>
        </w:tc>
        <w:tc>
          <w:tcPr>
            <w:tcW w:w="2120" w:type="dxa"/>
            <w:vAlign w:val="bottom"/>
            <w:tcBorders>
              <w:bottom w:val="single" w:sz="8" w:color="0D64EF"/>
            </w:tcBorders>
            <w:shd w:val="clear" w:color="auto" w:fill="D1D0CF"/>
          </w:tcPr>
          <w:p>
            <w:pPr>
              <w:jc w:val="right"/>
              <w:ind w:right="239"/>
              <w:spacing w:after="0"/>
              <w:rPr>
                <w:sz w:val="20"/>
                <w:szCs w:val="20"/>
                <w:color w:val="auto"/>
              </w:rPr>
            </w:pPr>
            <w:r>
              <w:rPr>
                <w:rFonts w:ascii="Arial" w:cs="Arial" w:eastAsia="Arial" w:hAnsi="Arial"/>
                <w:sz w:val="16"/>
                <w:szCs w:val="16"/>
                <w:b w:val="1"/>
                <w:bCs w:val="1"/>
                <w:color w:val="auto"/>
              </w:rPr>
              <w:t>December 31</w:t>
            </w:r>
          </w:p>
        </w:tc>
        <w:tc>
          <w:tcPr>
            <w:tcW w:w="480" w:type="dxa"/>
            <w:vAlign w:val="bottom"/>
            <w:tcBorders>
              <w:bottom w:val="single" w:sz="8" w:color="0D64EF"/>
            </w:tcBorders>
            <w:shd w:val="clear" w:color="auto" w:fill="D1D0CF"/>
          </w:tcPr>
          <w:p>
            <w:pPr>
              <w:spacing w:after="0"/>
              <w:rPr>
                <w:sz w:val="19"/>
                <w:szCs w:val="19"/>
                <w:color w:val="auto"/>
              </w:rPr>
            </w:pPr>
          </w:p>
        </w:tc>
        <w:tc>
          <w:tcPr>
            <w:tcW w:w="100" w:type="dxa"/>
            <w:vAlign w:val="bottom"/>
            <w:tcBorders>
              <w:bottom w:val="single" w:sz="8" w:color="D1D0CF"/>
            </w:tcBorders>
            <w:shd w:val="clear" w:color="auto" w:fill="D1D0CF"/>
          </w:tcPr>
          <w:p>
            <w:pPr>
              <w:spacing w:after="0"/>
              <w:rPr>
                <w:sz w:val="19"/>
                <w:szCs w:val="19"/>
                <w:color w:val="auto"/>
              </w:rPr>
            </w:pPr>
          </w:p>
        </w:tc>
        <w:tc>
          <w:tcPr>
            <w:tcW w:w="1940" w:type="dxa"/>
            <w:vAlign w:val="bottom"/>
            <w:tcBorders>
              <w:bottom w:val="single" w:sz="8" w:color="0D64EF"/>
            </w:tcBorders>
            <w:shd w:val="clear" w:color="auto" w:fill="D1D0CF"/>
          </w:tcPr>
          <w:p>
            <w:pPr>
              <w:jc w:val="right"/>
              <w:ind w:right="39"/>
              <w:spacing w:after="0"/>
              <w:rPr>
                <w:sz w:val="20"/>
                <w:szCs w:val="20"/>
                <w:color w:val="auto"/>
              </w:rPr>
            </w:pPr>
            <w:r>
              <w:rPr>
                <w:rFonts w:ascii="Arial" w:cs="Arial" w:eastAsia="Arial" w:hAnsi="Arial"/>
                <w:sz w:val="16"/>
                <w:szCs w:val="16"/>
                <w:b w:val="1"/>
                <w:bCs w:val="1"/>
                <w:color w:val="auto"/>
              </w:rPr>
              <w:t>December 31</w:t>
            </w:r>
          </w:p>
        </w:tc>
        <w:tc>
          <w:tcPr>
            <w:tcW w:w="680" w:type="dxa"/>
            <w:vAlign w:val="bottom"/>
            <w:tcBorders>
              <w:bottom w:val="single" w:sz="8" w:color="0D64EF"/>
            </w:tcBorders>
            <w:shd w:val="clear" w:color="auto" w:fill="D1D0CF"/>
          </w:tcPr>
          <w:p>
            <w:pPr>
              <w:spacing w:after="0"/>
              <w:rPr>
                <w:sz w:val="19"/>
                <w:szCs w:val="19"/>
                <w:color w:val="auto"/>
              </w:rPr>
            </w:pPr>
          </w:p>
        </w:tc>
      </w:tr>
      <w:tr>
        <w:trPr>
          <w:trHeight w:val="226"/>
        </w:trPr>
        <w:tc>
          <w:tcPr>
            <w:tcW w:w="5820" w:type="dxa"/>
            <w:vAlign w:val="bottom"/>
            <w:tcBorders>
              <w:bottom w:val="single" w:sz="8" w:color="0D64EF"/>
            </w:tcBorders>
            <w:shd w:val="clear" w:color="auto" w:fill="D1D0CF"/>
          </w:tcPr>
          <w:p>
            <w:pPr>
              <w:ind w:left="20"/>
              <w:spacing w:after="0"/>
              <w:rPr>
                <w:sz w:val="20"/>
                <w:szCs w:val="20"/>
                <w:color w:val="auto"/>
              </w:rPr>
            </w:pPr>
            <w:r>
              <w:rPr>
                <w:rFonts w:ascii="Arial" w:cs="Arial" w:eastAsia="Arial" w:hAnsi="Arial"/>
                <w:sz w:val="16"/>
                <w:szCs w:val="16"/>
                <w:color w:val="auto"/>
              </w:rPr>
              <w:t>(millions of $)</w:t>
            </w:r>
          </w:p>
        </w:tc>
        <w:tc>
          <w:tcPr>
            <w:tcW w:w="100" w:type="dxa"/>
            <w:vAlign w:val="bottom"/>
            <w:tcBorders>
              <w:bottom w:val="single" w:sz="8" w:color="0D64EF"/>
            </w:tcBorders>
            <w:shd w:val="clear" w:color="auto" w:fill="D1D0CF"/>
          </w:tcPr>
          <w:p>
            <w:pPr>
              <w:spacing w:after="0"/>
              <w:rPr>
                <w:sz w:val="19"/>
                <w:szCs w:val="19"/>
                <w:color w:val="auto"/>
              </w:rPr>
            </w:pPr>
          </w:p>
        </w:tc>
        <w:tc>
          <w:tcPr>
            <w:tcW w:w="2120" w:type="dxa"/>
            <w:vAlign w:val="bottom"/>
            <w:tcBorders>
              <w:bottom w:val="single" w:sz="8" w:color="0D64EF"/>
            </w:tcBorders>
            <w:shd w:val="clear" w:color="auto" w:fill="D1D0CF"/>
          </w:tcPr>
          <w:p>
            <w:pPr>
              <w:jc w:val="right"/>
              <w:ind w:right="819"/>
              <w:spacing w:after="0"/>
              <w:rPr>
                <w:sz w:val="20"/>
                <w:szCs w:val="20"/>
                <w:color w:val="auto"/>
              </w:rPr>
            </w:pPr>
            <w:r>
              <w:rPr>
                <w:rFonts w:ascii="Arial" w:cs="Arial" w:eastAsia="Arial" w:hAnsi="Arial"/>
                <w:sz w:val="16"/>
                <w:szCs w:val="16"/>
                <w:b w:val="1"/>
                <w:bCs w:val="1"/>
                <w:color w:val="auto"/>
              </w:rPr>
              <w:t>2025</w:t>
            </w:r>
          </w:p>
        </w:tc>
        <w:tc>
          <w:tcPr>
            <w:tcW w:w="480" w:type="dxa"/>
            <w:vAlign w:val="bottom"/>
            <w:tcBorders>
              <w:bottom w:val="single" w:sz="8" w:color="0D64EF"/>
            </w:tcBorders>
            <w:shd w:val="clear" w:color="auto" w:fill="D1D0CF"/>
          </w:tcPr>
          <w:p>
            <w:pPr>
              <w:jc w:val="right"/>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bottom w:val="single" w:sz="8" w:color="0D64EF"/>
            </w:tcBorders>
            <w:shd w:val="clear" w:color="auto" w:fill="D1D0CF"/>
          </w:tcPr>
          <w:p>
            <w:pPr>
              <w:spacing w:after="0"/>
              <w:rPr>
                <w:sz w:val="19"/>
                <w:szCs w:val="19"/>
                <w:color w:val="auto"/>
              </w:rPr>
            </w:pPr>
          </w:p>
        </w:tc>
        <w:tc>
          <w:tcPr>
            <w:tcW w:w="1940" w:type="dxa"/>
            <w:vAlign w:val="bottom"/>
            <w:tcBorders>
              <w:bottom w:val="single" w:sz="8" w:color="0D64EF"/>
            </w:tcBorders>
            <w:shd w:val="clear" w:color="auto" w:fill="D1D0CF"/>
          </w:tcPr>
          <w:p>
            <w:pPr>
              <w:jc w:val="right"/>
              <w:ind w:right="619"/>
              <w:spacing w:after="0"/>
              <w:rPr>
                <w:sz w:val="20"/>
                <w:szCs w:val="20"/>
                <w:color w:val="auto"/>
              </w:rPr>
            </w:pPr>
            <w:r>
              <w:rPr>
                <w:rFonts w:ascii="Arial" w:cs="Arial" w:eastAsia="Arial" w:hAnsi="Arial"/>
                <w:sz w:val="16"/>
                <w:szCs w:val="16"/>
                <w:b w:val="1"/>
                <w:bCs w:val="1"/>
                <w:color w:val="auto"/>
              </w:rPr>
              <w:t>2025</w:t>
            </w:r>
          </w:p>
        </w:tc>
        <w:tc>
          <w:tcPr>
            <w:tcW w:w="680" w:type="dxa"/>
            <w:vAlign w:val="bottom"/>
            <w:tcBorders>
              <w:bottom w:val="single" w:sz="8" w:color="0D64EF"/>
            </w:tcBorders>
            <w:shd w:val="clear" w:color="auto" w:fill="D1D0CF"/>
          </w:tcPr>
          <w:p>
            <w:pPr>
              <w:jc w:val="right"/>
              <w:spacing w:after="0"/>
              <w:rPr>
                <w:sz w:val="20"/>
                <w:szCs w:val="20"/>
                <w:color w:val="auto"/>
              </w:rPr>
            </w:pPr>
            <w:r>
              <w:rPr>
                <w:rFonts w:ascii="Arial" w:cs="Arial" w:eastAsia="Arial" w:hAnsi="Arial"/>
                <w:sz w:val="16"/>
                <w:szCs w:val="16"/>
                <w:b w:val="1"/>
                <w:bCs w:val="1"/>
                <w:color w:val="auto"/>
              </w:rPr>
              <w:t>2024</w:t>
            </w:r>
          </w:p>
        </w:tc>
      </w:tr>
      <w:tr>
        <w:trPr>
          <w:trHeight w:val="259"/>
        </w:trPr>
        <w:tc>
          <w:tcPr>
            <w:tcW w:w="5820" w:type="dxa"/>
            <w:vAlign w:val="bottom"/>
          </w:tcPr>
          <w:p>
            <w:pPr>
              <w:ind w:left="20"/>
              <w:spacing w:after="0"/>
              <w:rPr>
                <w:sz w:val="20"/>
                <w:szCs w:val="20"/>
                <w:color w:val="auto"/>
              </w:rPr>
            </w:pPr>
            <w:r>
              <w:rPr>
                <w:rFonts w:ascii="Arial" w:cs="Arial" w:eastAsia="Arial" w:hAnsi="Arial"/>
                <w:sz w:val="16"/>
                <w:szCs w:val="16"/>
                <w:color w:val="auto"/>
              </w:rPr>
              <w:t>NGTL System</w:t>
            </w:r>
          </w:p>
        </w:tc>
        <w:tc>
          <w:tcPr>
            <w:tcW w:w="2220" w:type="dxa"/>
            <w:vAlign w:val="bottom"/>
            <w:gridSpan w:val="2"/>
          </w:tcPr>
          <w:p>
            <w:pPr>
              <w:jc w:val="right"/>
              <w:ind w:right="859"/>
              <w:spacing w:after="0"/>
              <w:rPr>
                <w:sz w:val="20"/>
                <w:szCs w:val="20"/>
                <w:color w:val="auto"/>
              </w:rPr>
            </w:pPr>
            <w:r>
              <w:rPr>
                <w:rFonts w:ascii="Arial" w:cs="Arial" w:eastAsia="Arial" w:hAnsi="Arial"/>
                <w:sz w:val="16"/>
                <w:szCs w:val="16"/>
                <w:b w:val="1"/>
                <w:bCs w:val="1"/>
                <w:color w:val="auto"/>
              </w:rPr>
              <w:t>661</w:t>
            </w:r>
          </w:p>
        </w:tc>
        <w:tc>
          <w:tcPr>
            <w:tcW w:w="480" w:type="dxa"/>
            <w:vAlign w:val="bottom"/>
          </w:tcPr>
          <w:p>
            <w:pPr>
              <w:jc w:val="right"/>
              <w:spacing w:after="0"/>
              <w:rPr>
                <w:sz w:val="20"/>
                <w:szCs w:val="20"/>
                <w:color w:val="auto"/>
              </w:rPr>
            </w:pPr>
            <w:r>
              <w:rPr>
                <w:rFonts w:ascii="Arial" w:cs="Arial" w:eastAsia="Arial" w:hAnsi="Arial"/>
                <w:sz w:val="16"/>
                <w:szCs w:val="16"/>
                <w:color w:val="auto"/>
              </w:rPr>
              <w:t>596</w:t>
            </w:r>
          </w:p>
        </w:tc>
        <w:tc>
          <w:tcPr>
            <w:tcW w:w="100" w:type="dxa"/>
            <w:vAlign w:val="bottom"/>
          </w:tcPr>
          <w:p>
            <w:pPr>
              <w:spacing w:after="0"/>
              <w:rPr>
                <w:sz w:val="22"/>
                <w:szCs w:val="22"/>
                <w:color w:val="auto"/>
              </w:rPr>
            </w:pPr>
          </w:p>
        </w:tc>
        <w:tc>
          <w:tcPr>
            <w:tcW w:w="1940" w:type="dxa"/>
            <w:vAlign w:val="bottom"/>
          </w:tcPr>
          <w:p>
            <w:pPr>
              <w:jc w:val="right"/>
              <w:ind w:right="679"/>
              <w:spacing w:after="0"/>
              <w:rPr>
                <w:sz w:val="20"/>
                <w:szCs w:val="20"/>
                <w:color w:val="auto"/>
              </w:rPr>
            </w:pPr>
            <w:r>
              <w:rPr>
                <w:rFonts w:ascii="Arial" w:cs="Arial" w:eastAsia="Arial" w:hAnsi="Arial"/>
                <w:sz w:val="16"/>
                <w:szCs w:val="16"/>
                <w:b w:val="1"/>
                <w:bCs w:val="1"/>
                <w:color w:val="auto"/>
              </w:rPr>
              <w:t>2,586</w:t>
            </w:r>
          </w:p>
        </w:tc>
        <w:tc>
          <w:tcPr>
            <w:tcW w:w="680" w:type="dxa"/>
            <w:vAlign w:val="bottom"/>
          </w:tcPr>
          <w:p>
            <w:pPr>
              <w:jc w:val="right"/>
              <w:spacing w:after="0"/>
              <w:rPr>
                <w:sz w:val="20"/>
                <w:szCs w:val="20"/>
                <w:color w:val="auto"/>
              </w:rPr>
            </w:pPr>
            <w:r>
              <w:rPr>
                <w:rFonts w:ascii="Arial" w:cs="Arial" w:eastAsia="Arial" w:hAnsi="Arial"/>
                <w:sz w:val="16"/>
                <w:szCs w:val="16"/>
                <w:color w:val="auto"/>
              </w:rPr>
              <w:t>2,393</w:t>
            </w:r>
          </w:p>
        </w:tc>
      </w:tr>
      <w:tr>
        <w:trPr>
          <w:trHeight w:val="229"/>
        </w:trPr>
        <w:tc>
          <w:tcPr>
            <w:tcW w:w="5820" w:type="dxa"/>
            <w:vAlign w:val="bottom"/>
          </w:tcPr>
          <w:p>
            <w:pPr>
              <w:ind w:left="20"/>
              <w:spacing w:after="0"/>
              <w:rPr>
                <w:sz w:val="20"/>
                <w:szCs w:val="20"/>
                <w:color w:val="auto"/>
              </w:rPr>
            </w:pPr>
            <w:r>
              <w:rPr>
                <w:rFonts w:ascii="Arial" w:cs="Arial" w:eastAsia="Arial" w:hAnsi="Arial"/>
                <w:sz w:val="16"/>
                <w:szCs w:val="16"/>
                <w:color w:val="auto"/>
              </w:rPr>
              <w:t>Canadian Mainline</w:t>
            </w:r>
          </w:p>
        </w:tc>
        <w:tc>
          <w:tcPr>
            <w:tcW w:w="2220" w:type="dxa"/>
            <w:vAlign w:val="bottom"/>
            <w:gridSpan w:val="2"/>
          </w:tcPr>
          <w:p>
            <w:pPr>
              <w:jc w:val="right"/>
              <w:ind w:right="859"/>
              <w:spacing w:after="0"/>
              <w:rPr>
                <w:sz w:val="20"/>
                <w:szCs w:val="20"/>
                <w:color w:val="auto"/>
              </w:rPr>
            </w:pPr>
            <w:r>
              <w:rPr>
                <w:rFonts w:ascii="Arial" w:cs="Arial" w:eastAsia="Arial" w:hAnsi="Arial"/>
                <w:sz w:val="16"/>
                <w:szCs w:val="16"/>
                <w:b w:val="1"/>
                <w:bCs w:val="1"/>
                <w:color w:val="auto"/>
              </w:rPr>
              <w:t>245</w:t>
            </w:r>
          </w:p>
        </w:tc>
        <w:tc>
          <w:tcPr>
            <w:tcW w:w="480" w:type="dxa"/>
            <w:vAlign w:val="bottom"/>
          </w:tcPr>
          <w:p>
            <w:pPr>
              <w:jc w:val="right"/>
              <w:spacing w:after="0"/>
              <w:rPr>
                <w:sz w:val="20"/>
                <w:szCs w:val="20"/>
                <w:color w:val="auto"/>
              </w:rPr>
            </w:pPr>
            <w:r>
              <w:rPr>
                <w:rFonts w:ascii="Arial" w:cs="Arial" w:eastAsia="Arial" w:hAnsi="Arial"/>
                <w:sz w:val="16"/>
                <w:szCs w:val="16"/>
                <w:color w:val="auto"/>
              </w:rPr>
              <w:t>211</w:t>
            </w:r>
          </w:p>
        </w:tc>
        <w:tc>
          <w:tcPr>
            <w:tcW w:w="100" w:type="dxa"/>
            <w:vAlign w:val="bottom"/>
          </w:tcPr>
          <w:p>
            <w:pPr>
              <w:spacing w:after="0"/>
              <w:rPr>
                <w:sz w:val="19"/>
                <w:szCs w:val="19"/>
                <w:color w:val="auto"/>
              </w:rPr>
            </w:pPr>
          </w:p>
        </w:tc>
        <w:tc>
          <w:tcPr>
            <w:tcW w:w="1940" w:type="dxa"/>
            <w:vAlign w:val="bottom"/>
          </w:tcPr>
          <w:p>
            <w:pPr>
              <w:jc w:val="right"/>
              <w:ind w:right="679"/>
              <w:spacing w:after="0"/>
              <w:rPr>
                <w:sz w:val="20"/>
                <w:szCs w:val="20"/>
                <w:color w:val="auto"/>
              </w:rPr>
            </w:pPr>
            <w:r>
              <w:rPr>
                <w:rFonts w:ascii="Arial" w:cs="Arial" w:eastAsia="Arial" w:hAnsi="Arial"/>
                <w:sz w:val="16"/>
                <w:szCs w:val="16"/>
                <w:b w:val="1"/>
                <w:bCs w:val="1"/>
                <w:color w:val="auto"/>
              </w:rPr>
              <w:t>817</w:t>
            </w:r>
          </w:p>
        </w:tc>
        <w:tc>
          <w:tcPr>
            <w:tcW w:w="680" w:type="dxa"/>
            <w:vAlign w:val="bottom"/>
          </w:tcPr>
          <w:p>
            <w:pPr>
              <w:jc w:val="right"/>
              <w:spacing w:after="0"/>
              <w:rPr>
                <w:sz w:val="20"/>
                <w:szCs w:val="20"/>
                <w:color w:val="auto"/>
              </w:rPr>
            </w:pPr>
            <w:r>
              <w:rPr>
                <w:rFonts w:ascii="Arial" w:cs="Arial" w:eastAsia="Arial" w:hAnsi="Arial"/>
                <w:sz w:val="16"/>
                <w:szCs w:val="16"/>
                <w:color w:val="auto"/>
              </w:rPr>
              <w:t>787</w:t>
            </w:r>
          </w:p>
        </w:tc>
      </w:tr>
      <w:tr>
        <w:trPr>
          <w:trHeight w:val="237"/>
        </w:trPr>
        <w:tc>
          <w:tcPr>
            <w:tcW w:w="5820" w:type="dxa"/>
            <w:vAlign w:val="bottom"/>
            <w:tcBorders>
              <w:bottom w:val="single" w:sz="8" w:color="auto"/>
            </w:tcBorders>
          </w:tcPr>
          <w:p>
            <w:pPr>
              <w:ind w:left="20"/>
              <w:spacing w:after="0" w:line="237" w:lineRule="exact"/>
              <w:rPr>
                <w:sz w:val="20"/>
                <w:szCs w:val="20"/>
                <w:color w:val="auto"/>
              </w:rPr>
            </w:pPr>
            <w:r>
              <w:rPr>
                <w:rFonts w:ascii="Arial" w:cs="Arial" w:eastAsia="Arial" w:hAnsi="Arial"/>
                <w:sz w:val="16"/>
                <w:szCs w:val="16"/>
                <w:color w:val="auto"/>
              </w:rPr>
              <w:t>Other Canadian pipelines</w:t>
            </w:r>
            <w:r>
              <w:rPr>
                <w:rFonts w:ascii="Arial" w:cs="Arial" w:eastAsia="Arial" w:hAnsi="Arial"/>
                <w:sz w:val="21"/>
                <w:szCs w:val="21"/>
                <w:color w:val="auto"/>
                <w:vertAlign w:val="superscript"/>
              </w:rPr>
              <w:t>1</w:t>
            </w:r>
          </w:p>
        </w:tc>
        <w:tc>
          <w:tcPr>
            <w:tcW w:w="2220" w:type="dxa"/>
            <w:vAlign w:val="bottom"/>
            <w:tcBorders>
              <w:bottom w:val="single" w:sz="8" w:color="auto"/>
            </w:tcBorders>
            <w:gridSpan w:val="2"/>
          </w:tcPr>
          <w:p>
            <w:pPr>
              <w:jc w:val="right"/>
              <w:ind w:right="859"/>
              <w:spacing w:after="0"/>
              <w:rPr>
                <w:sz w:val="20"/>
                <w:szCs w:val="20"/>
                <w:color w:val="auto"/>
              </w:rPr>
            </w:pPr>
            <w:r>
              <w:rPr>
                <w:rFonts w:ascii="Arial" w:cs="Arial" w:eastAsia="Arial" w:hAnsi="Arial"/>
                <w:sz w:val="16"/>
                <w:szCs w:val="16"/>
                <w:b w:val="1"/>
                <w:bCs w:val="1"/>
                <w:color w:val="auto"/>
              </w:rPr>
              <w:t>55</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w:t>
            </w:r>
          </w:p>
        </w:tc>
        <w:tc>
          <w:tcPr>
            <w:tcW w:w="10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b w:val="1"/>
                <w:bCs w:val="1"/>
                <w:color w:val="auto"/>
              </w:rPr>
              <w:t>284</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208</w:t>
            </w:r>
          </w:p>
        </w:tc>
      </w:tr>
      <w:tr>
        <w:trPr>
          <w:trHeight w:val="216"/>
        </w:trPr>
        <w:tc>
          <w:tcPr>
            <w:tcW w:w="5820" w:type="dxa"/>
            <w:vAlign w:val="bottom"/>
          </w:tcPr>
          <w:p>
            <w:pPr>
              <w:ind w:left="20"/>
              <w:spacing w:after="0"/>
              <w:rPr>
                <w:sz w:val="20"/>
                <w:szCs w:val="20"/>
                <w:color w:val="auto"/>
              </w:rPr>
            </w:pPr>
            <w:r>
              <w:rPr>
                <w:rFonts w:ascii="Arial" w:cs="Arial" w:eastAsia="Arial" w:hAnsi="Arial"/>
                <w:sz w:val="16"/>
                <w:szCs w:val="16"/>
                <w:b w:val="1"/>
                <w:bCs w:val="1"/>
                <w:color w:val="0D64EF"/>
              </w:rPr>
              <w:t>Comparable EBITDA</w:t>
            </w:r>
          </w:p>
        </w:tc>
        <w:tc>
          <w:tcPr>
            <w:tcW w:w="2220" w:type="dxa"/>
            <w:vAlign w:val="bottom"/>
            <w:gridSpan w:val="2"/>
          </w:tcPr>
          <w:p>
            <w:pPr>
              <w:jc w:val="right"/>
              <w:ind w:right="859"/>
              <w:spacing w:after="0"/>
              <w:rPr>
                <w:sz w:val="20"/>
                <w:szCs w:val="20"/>
                <w:color w:val="auto"/>
              </w:rPr>
            </w:pPr>
            <w:r>
              <w:rPr>
                <w:rFonts w:ascii="Arial" w:cs="Arial" w:eastAsia="Arial" w:hAnsi="Arial"/>
                <w:sz w:val="16"/>
                <w:szCs w:val="16"/>
                <w:b w:val="1"/>
                <w:bCs w:val="1"/>
                <w:color w:val="auto"/>
              </w:rPr>
              <w:t>961</w:t>
            </w:r>
          </w:p>
        </w:tc>
        <w:tc>
          <w:tcPr>
            <w:tcW w:w="480" w:type="dxa"/>
            <w:vAlign w:val="bottom"/>
          </w:tcPr>
          <w:p>
            <w:pPr>
              <w:jc w:val="right"/>
              <w:spacing w:after="0"/>
              <w:rPr>
                <w:sz w:val="20"/>
                <w:szCs w:val="20"/>
                <w:color w:val="auto"/>
              </w:rPr>
            </w:pPr>
            <w:r>
              <w:rPr>
                <w:rFonts w:ascii="Arial" w:cs="Arial" w:eastAsia="Arial" w:hAnsi="Arial"/>
                <w:sz w:val="16"/>
                <w:szCs w:val="16"/>
                <w:color w:val="auto"/>
              </w:rPr>
              <w:t>851</w:t>
            </w:r>
          </w:p>
        </w:tc>
        <w:tc>
          <w:tcPr>
            <w:tcW w:w="100" w:type="dxa"/>
            <w:vAlign w:val="bottom"/>
          </w:tcPr>
          <w:p>
            <w:pPr>
              <w:spacing w:after="0"/>
              <w:rPr>
                <w:sz w:val="18"/>
                <w:szCs w:val="18"/>
                <w:color w:val="auto"/>
              </w:rPr>
            </w:pPr>
          </w:p>
        </w:tc>
        <w:tc>
          <w:tcPr>
            <w:tcW w:w="1940" w:type="dxa"/>
            <w:vAlign w:val="bottom"/>
          </w:tcPr>
          <w:p>
            <w:pPr>
              <w:jc w:val="right"/>
              <w:ind w:right="679"/>
              <w:spacing w:after="0"/>
              <w:rPr>
                <w:sz w:val="20"/>
                <w:szCs w:val="20"/>
                <w:color w:val="auto"/>
              </w:rPr>
            </w:pPr>
            <w:r>
              <w:rPr>
                <w:rFonts w:ascii="Arial" w:cs="Arial" w:eastAsia="Arial" w:hAnsi="Arial"/>
                <w:sz w:val="16"/>
                <w:szCs w:val="16"/>
                <w:b w:val="1"/>
                <w:bCs w:val="1"/>
                <w:color w:val="auto"/>
              </w:rPr>
              <w:t>3,687</w:t>
            </w:r>
          </w:p>
        </w:tc>
        <w:tc>
          <w:tcPr>
            <w:tcW w:w="680" w:type="dxa"/>
            <w:vAlign w:val="bottom"/>
          </w:tcPr>
          <w:p>
            <w:pPr>
              <w:jc w:val="right"/>
              <w:spacing w:after="0"/>
              <w:rPr>
                <w:sz w:val="20"/>
                <w:szCs w:val="20"/>
                <w:color w:val="auto"/>
              </w:rPr>
            </w:pPr>
            <w:r>
              <w:rPr>
                <w:rFonts w:ascii="Arial" w:cs="Arial" w:eastAsia="Arial" w:hAnsi="Arial"/>
                <w:sz w:val="16"/>
                <w:szCs w:val="16"/>
                <w:color w:val="auto"/>
              </w:rPr>
              <w:t>3,388</w:t>
            </w:r>
          </w:p>
        </w:tc>
      </w:tr>
      <w:tr>
        <w:trPr>
          <w:trHeight w:val="233"/>
        </w:trPr>
        <w:tc>
          <w:tcPr>
            <w:tcW w:w="58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Depreciation and amortization</w:t>
            </w:r>
          </w:p>
        </w:tc>
        <w:tc>
          <w:tcPr>
            <w:tcW w:w="2220" w:type="dxa"/>
            <w:vAlign w:val="bottom"/>
            <w:tcBorders>
              <w:bottom w:val="single" w:sz="8" w:color="auto"/>
            </w:tcBorders>
            <w:gridSpan w:val="2"/>
          </w:tcPr>
          <w:p>
            <w:pPr>
              <w:jc w:val="right"/>
              <w:ind w:right="819"/>
              <w:spacing w:after="0"/>
              <w:rPr>
                <w:sz w:val="20"/>
                <w:szCs w:val="20"/>
                <w:color w:val="auto"/>
              </w:rPr>
            </w:pPr>
            <w:r>
              <w:rPr>
                <w:rFonts w:ascii="Arial" w:cs="Arial" w:eastAsia="Arial" w:hAnsi="Arial"/>
                <w:sz w:val="16"/>
                <w:szCs w:val="16"/>
                <w:b w:val="1"/>
                <w:bCs w:val="1"/>
                <w:color w:val="auto"/>
              </w:rPr>
              <w:t>(397)</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(345)</w:t>
            </w:r>
          </w:p>
        </w:tc>
        <w:tc>
          <w:tcPr>
            <w:tcW w:w="10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(1,523)</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(1,382)</w:t>
            </w:r>
          </w:p>
        </w:tc>
      </w:tr>
      <w:tr>
        <w:trPr>
          <w:trHeight w:val="220"/>
        </w:trPr>
        <w:tc>
          <w:tcPr>
            <w:tcW w:w="5820" w:type="dxa"/>
            <w:vAlign w:val="bottom"/>
          </w:tcPr>
          <w:p>
            <w:pPr>
              <w:ind w:left="20"/>
              <w:spacing w:after="0"/>
              <w:rPr>
                <w:sz w:val="20"/>
                <w:szCs w:val="20"/>
                <w:color w:val="auto"/>
              </w:rPr>
            </w:pPr>
            <w:r>
              <w:rPr>
                <w:rFonts w:ascii="Arial" w:cs="Arial" w:eastAsia="Arial" w:hAnsi="Arial"/>
                <w:sz w:val="16"/>
                <w:szCs w:val="16"/>
                <w:b w:val="1"/>
                <w:bCs w:val="1"/>
                <w:color w:val="0D64EF"/>
              </w:rPr>
              <w:t>Comparable EBIT</w:t>
            </w:r>
          </w:p>
        </w:tc>
        <w:tc>
          <w:tcPr>
            <w:tcW w:w="2220" w:type="dxa"/>
            <w:vAlign w:val="bottom"/>
            <w:gridSpan w:val="2"/>
          </w:tcPr>
          <w:p>
            <w:pPr>
              <w:jc w:val="right"/>
              <w:ind w:right="859"/>
              <w:spacing w:after="0"/>
              <w:rPr>
                <w:sz w:val="20"/>
                <w:szCs w:val="20"/>
                <w:color w:val="auto"/>
              </w:rPr>
            </w:pPr>
            <w:r>
              <w:rPr>
                <w:rFonts w:ascii="Arial" w:cs="Arial" w:eastAsia="Arial" w:hAnsi="Arial"/>
                <w:sz w:val="16"/>
                <w:szCs w:val="16"/>
                <w:b w:val="1"/>
                <w:bCs w:val="1"/>
                <w:color w:val="auto"/>
              </w:rPr>
              <w:t>564</w:t>
            </w:r>
          </w:p>
        </w:tc>
        <w:tc>
          <w:tcPr>
            <w:tcW w:w="480" w:type="dxa"/>
            <w:vAlign w:val="bottom"/>
          </w:tcPr>
          <w:p>
            <w:pPr>
              <w:jc w:val="right"/>
              <w:spacing w:after="0"/>
              <w:rPr>
                <w:sz w:val="20"/>
                <w:szCs w:val="20"/>
                <w:color w:val="auto"/>
              </w:rPr>
            </w:pPr>
            <w:r>
              <w:rPr>
                <w:rFonts w:ascii="Arial" w:cs="Arial" w:eastAsia="Arial" w:hAnsi="Arial"/>
                <w:sz w:val="16"/>
                <w:szCs w:val="16"/>
                <w:color w:val="auto"/>
              </w:rPr>
              <w:t>506</w:t>
            </w:r>
          </w:p>
        </w:tc>
        <w:tc>
          <w:tcPr>
            <w:tcW w:w="100" w:type="dxa"/>
            <w:vAlign w:val="bottom"/>
          </w:tcPr>
          <w:p>
            <w:pPr>
              <w:spacing w:after="0"/>
              <w:rPr>
                <w:sz w:val="19"/>
                <w:szCs w:val="19"/>
                <w:color w:val="auto"/>
              </w:rPr>
            </w:pPr>
          </w:p>
        </w:tc>
        <w:tc>
          <w:tcPr>
            <w:tcW w:w="1940" w:type="dxa"/>
            <w:vAlign w:val="bottom"/>
          </w:tcPr>
          <w:p>
            <w:pPr>
              <w:jc w:val="right"/>
              <w:ind w:right="679"/>
              <w:spacing w:after="0"/>
              <w:rPr>
                <w:sz w:val="20"/>
                <w:szCs w:val="20"/>
                <w:color w:val="auto"/>
              </w:rPr>
            </w:pPr>
            <w:r>
              <w:rPr>
                <w:rFonts w:ascii="Arial" w:cs="Arial" w:eastAsia="Arial" w:hAnsi="Arial"/>
                <w:sz w:val="16"/>
                <w:szCs w:val="16"/>
                <w:b w:val="1"/>
                <w:bCs w:val="1"/>
                <w:color w:val="auto"/>
              </w:rPr>
              <w:t>2,164</w:t>
            </w:r>
          </w:p>
        </w:tc>
        <w:tc>
          <w:tcPr>
            <w:tcW w:w="680" w:type="dxa"/>
            <w:vAlign w:val="bottom"/>
          </w:tcPr>
          <w:p>
            <w:pPr>
              <w:jc w:val="right"/>
              <w:spacing w:after="0"/>
              <w:rPr>
                <w:sz w:val="20"/>
                <w:szCs w:val="20"/>
                <w:color w:val="auto"/>
              </w:rPr>
            </w:pPr>
            <w:r>
              <w:rPr>
                <w:rFonts w:ascii="Arial" w:cs="Arial" w:eastAsia="Arial" w:hAnsi="Arial"/>
                <w:sz w:val="16"/>
                <w:szCs w:val="16"/>
                <w:color w:val="auto"/>
              </w:rPr>
              <w:t>2,006</w:t>
            </w:r>
          </w:p>
        </w:tc>
      </w:tr>
      <w:tr>
        <w:trPr>
          <w:trHeight w:val="221"/>
        </w:trPr>
        <w:tc>
          <w:tcPr>
            <w:tcW w:w="5820" w:type="dxa"/>
            <w:vAlign w:val="bottom"/>
          </w:tcPr>
          <w:p>
            <w:pPr>
              <w:ind w:left="20"/>
              <w:spacing w:after="0"/>
              <w:rPr>
                <w:sz w:val="20"/>
                <w:szCs w:val="20"/>
                <w:color w:val="auto"/>
              </w:rPr>
            </w:pPr>
            <w:r>
              <w:rPr>
                <w:rFonts w:ascii="Arial" w:cs="Arial" w:eastAsia="Arial" w:hAnsi="Arial"/>
                <w:sz w:val="16"/>
                <w:szCs w:val="16"/>
                <w:color w:val="auto"/>
              </w:rPr>
              <w:t>Specific item:</w:t>
            </w:r>
          </w:p>
        </w:tc>
        <w:tc>
          <w:tcPr>
            <w:tcW w:w="10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41"/>
        </w:trPr>
        <w:tc>
          <w:tcPr>
            <w:tcW w:w="582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Gain on sale of non-core assets</w:t>
            </w:r>
          </w:p>
        </w:tc>
        <w:tc>
          <w:tcPr>
            <w:tcW w:w="10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tcPr>
          <w:p>
            <w:pPr>
              <w:jc w:val="right"/>
              <w:ind w:right="859"/>
              <w:spacing w:after="0"/>
              <w:rPr>
                <w:sz w:val="20"/>
                <w:szCs w:val="20"/>
                <w:color w:val="auto"/>
              </w:rPr>
            </w:pPr>
            <w:r>
              <w:rPr>
                <w:rFonts w:ascii="Arial" w:cs="Arial" w:eastAsia="Arial" w:hAnsi="Arial"/>
                <w:sz w:val="16"/>
                <w:szCs w:val="16"/>
                <w:b w:val="1"/>
                <w:bCs w:val="1"/>
                <w:color w:val="auto"/>
              </w:rPr>
              <w:t>—</w:t>
            </w:r>
          </w:p>
        </w:tc>
        <w:tc>
          <w:tcPr>
            <w:tcW w:w="58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194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b w:val="1"/>
                <w:bCs w:val="1"/>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r>
      <w:tr>
        <w:trPr>
          <w:trHeight w:val="223"/>
        </w:trPr>
        <w:tc>
          <w:tcPr>
            <w:tcW w:w="58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0D64EF"/>
              </w:rPr>
              <w:t>Segmented earnings (losses)</w:t>
            </w:r>
          </w:p>
        </w:tc>
        <w:tc>
          <w:tcPr>
            <w:tcW w:w="2220" w:type="dxa"/>
            <w:vAlign w:val="bottom"/>
            <w:tcBorders>
              <w:bottom w:val="single" w:sz="8" w:color="auto"/>
            </w:tcBorders>
            <w:gridSpan w:val="2"/>
          </w:tcPr>
          <w:p>
            <w:pPr>
              <w:jc w:val="right"/>
              <w:ind w:right="859"/>
              <w:spacing w:after="0"/>
              <w:rPr>
                <w:sz w:val="20"/>
                <w:szCs w:val="20"/>
                <w:color w:val="auto"/>
              </w:rPr>
            </w:pPr>
            <w:r>
              <w:rPr>
                <w:rFonts w:ascii="Arial" w:cs="Arial" w:eastAsia="Arial" w:hAnsi="Arial"/>
                <w:sz w:val="16"/>
                <w:szCs w:val="16"/>
                <w:b w:val="1"/>
                <w:bCs w:val="1"/>
                <w:color w:val="auto"/>
              </w:rPr>
              <w:t>564</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506</w:t>
            </w:r>
          </w:p>
        </w:tc>
        <w:tc>
          <w:tcPr>
            <w:tcW w:w="10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b w:val="1"/>
                <w:bCs w:val="1"/>
                <w:color w:val="auto"/>
              </w:rPr>
              <w:t>2,164</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2,016</w:t>
            </w:r>
          </w:p>
        </w:tc>
      </w:tr>
    </w:tbl>
    <w:p>
      <w:pPr>
        <w:spacing w:after="0" w:line="180" w:lineRule="exact"/>
        <w:rPr>
          <w:sz w:val="20"/>
          <w:szCs w:val="20"/>
          <w:color w:val="auto"/>
        </w:rPr>
      </w:pPr>
    </w:p>
    <w:p>
      <w:pPr>
        <w:ind w:left="340" w:right="200" w:hanging="332"/>
        <w:spacing w:after="0" w:line="345" w:lineRule="auto"/>
        <w:tabs>
          <w:tab w:leader="none" w:pos="339" w:val="left"/>
        </w:tabs>
        <w:numPr>
          <w:ilvl w:val="0"/>
          <w:numId w:val="39"/>
        </w:numPr>
        <w:rPr>
          <w:rFonts w:ascii="Arial" w:cs="Arial" w:eastAsia="Arial" w:hAnsi="Arial"/>
          <w:sz w:val="14"/>
          <w:szCs w:val="14"/>
          <w:color w:val="auto"/>
        </w:rPr>
      </w:pPr>
      <w:r>
        <w:rPr>
          <w:rFonts w:ascii="Arial" w:cs="Arial" w:eastAsia="Arial" w:hAnsi="Arial"/>
          <w:sz w:val="14"/>
          <w:szCs w:val="14"/>
          <w:color w:val="auto"/>
        </w:rPr>
        <w:t>Includes results from Foothills, Ventures LP, Great Lakes Canada and our proportionate share of income related to investments in Trans Québec &amp; Maritimes (TQM) and Coastal GasLink, as well as general and administrative and business development costs related to our Canadian natural gas pipelines.</w:t>
      </w:r>
    </w:p>
    <w:p>
      <w:pPr>
        <w:spacing w:after="0" w:line="54" w:lineRule="exact"/>
        <w:rPr>
          <w:sz w:val="20"/>
          <w:szCs w:val="20"/>
          <w:color w:val="auto"/>
        </w:rPr>
      </w:pPr>
    </w:p>
    <w:p>
      <w:pPr>
        <w:ind w:right="120"/>
        <w:spacing w:after="0" w:line="334" w:lineRule="auto"/>
        <w:rPr>
          <w:sz w:val="20"/>
          <w:szCs w:val="20"/>
          <w:color w:val="auto"/>
        </w:rPr>
      </w:pPr>
      <w:r>
        <w:rPr>
          <w:rFonts w:ascii="Arial" w:cs="Arial" w:eastAsia="Arial" w:hAnsi="Arial"/>
          <w:sz w:val="18"/>
          <w:szCs w:val="18"/>
          <w:color w:val="auto"/>
        </w:rPr>
        <w:t>Canadian Natural Gas Pipelines segmented earnings increased by $58 million for the three months ended December 31, 2025 compared to the same period in 2024.</w:t>
      </w:r>
    </w:p>
    <w:p>
      <w:pPr>
        <w:spacing w:after="0" w:line="31" w:lineRule="exact"/>
        <w:rPr>
          <w:sz w:val="20"/>
          <w:szCs w:val="20"/>
          <w:color w:val="auto"/>
        </w:rPr>
      </w:pPr>
    </w:p>
    <w:p>
      <w:pPr>
        <w:ind w:right="300"/>
        <w:spacing w:after="0" w:line="314" w:lineRule="auto"/>
        <w:rPr>
          <w:sz w:val="20"/>
          <w:szCs w:val="20"/>
          <w:color w:val="auto"/>
        </w:rPr>
      </w:pPr>
      <w:r>
        <w:rPr>
          <w:rFonts w:ascii="Arial" w:cs="Arial" w:eastAsia="Arial" w:hAnsi="Arial"/>
          <w:sz w:val="18"/>
          <w:szCs w:val="18"/>
          <w:color w:val="auto"/>
        </w:rPr>
        <w:t>Net income for our rate-regulated Canadian natural gas pipelines is primarily affected by our approved ROE, investment base, the level of deemed common equity and incentive earnings. Comparable EBITDA is impacted by these factors, as well as changes in depreciation, financial charges and income taxes. These additional items do not have a significant impact on net income as they are almost entirely recovered in revenues on a flow-through basis.</w:t>
      </w:r>
    </w:p>
    <w:p>
      <w:pPr>
        <w:spacing w:after="0" w:line="100" w:lineRule="exact"/>
        <w:rPr>
          <w:sz w:val="20"/>
          <w:szCs w:val="20"/>
          <w:color w:val="auto"/>
        </w:rPr>
      </w:pPr>
    </w:p>
    <w:p>
      <w:pPr>
        <w:spacing w:after="0"/>
        <w:rPr>
          <w:sz w:val="20"/>
          <w:szCs w:val="20"/>
          <w:color w:val="auto"/>
        </w:rPr>
      </w:pPr>
      <w:r>
        <w:rPr>
          <w:rFonts w:ascii="Arial" w:cs="Arial" w:eastAsia="Arial" w:hAnsi="Arial"/>
          <w:sz w:val="20"/>
          <w:szCs w:val="20"/>
          <w:b w:val="1"/>
          <w:bCs w:val="1"/>
          <w:color w:val="0D64EF"/>
        </w:rPr>
        <w:t>NET INCOME AND AVERAGE INVESTMENT BASE</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820" w:type="dxa"/>
            <w:vAlign w:val="bottom"/>
            <w:tcBorders>
              <w:top w:val="single" w:sz="8" w:color="0D64EF"/>
            </w:tcBorders>
            <w:shd w:val="clear" w:color="auto" w:fill="D1D0CF"/>
          </w:tcPr>
          <w:p>
            <w:pPr>
              <w:spacing w:after="0"/>
              <w:rPr>
                <w:sz w:val="16"/>
                <w:szCs w:val="16"/>
                <w:color w:val="auto"/>
              </w:rPr>
            </w:pPr>
          </w:p>
        </w:tc>
        <w:tc>
          <w:tcPr>
            <w:tcW w:w="100" w:type="dxa"/>
            <w:vAlign w:val="bottom"/>
            <w:tcBorders>
              <w:top w:val="single" w:sz="8" w:color="0D64EF"/>
            </w:tcBorders>
            <w:shd w:val="clear" w:color="auto" w:fill="D1D0CF"/>
          </w:tcPr>
          <w:p>
            <w:pPr>
              <w:spacing w:after="0"/>
              <w:rPr>
                <w:sz w:val="16"/>
                <w:szCs w:val="16"/>
                <w:color w:val="auto"/>
              </w:rPr>
            </w:pPr>
          </w:p>
        </w:tc>
        <w:tc>
          <w:tcPr>
            <w:tcW w:w="2140" w:type="dxa"/>
            <w:vAlign w:val="bottom"/>
            <w:tcBorders>
              <w:top w:val="single" w:sz="8" w:color="0D64EF"/>
            </w:tcBorders>
            <w:shd w:val="clear" w:color="auto" w:fill="D1D0CF"/>
          </w:tcPr>
          <w:p>
            <w:pPr>
              <w:jc w:val="right"/>
              <w:spacing w:after="0"/>
              <w:rPr>
                <w:sz w:val="20"/>
                <w:szCs w:val="20"/>
                <w:color w:val="auto"/>
              </w:rPr>
            </w:pPr>
            <w:r>
              <w:rPr>
                <w:rFonts w:ascii="Arial" w:cs="Arial" w:eastAsia="Arial" w:hAnsi="Arial"/>
                <w:sz w:val="16"/>
                <w:szCs w:val="16"/>
                <w:b w:val="1"/>
                <w:bCs w:val="1"/>
                <w:color w:val="auto"/>
              </w:rPr>
              <w:t>three months ended</w:t>
            </w:r>
          </w:p>
        </w:tc>
        <w:tc>
          <w:tcPr>
            <w:tcW w:w="460" w:type="dxa"/>
            <w:vAlign w:val="bottom"/>
            <w:tcBorders>
              <w:top w:val="single" w:sz="8" w:color="0D64EF"/>
            </w:tcBorders>
            <w:shd w:val="clear" w:color="auto" w:fill="D1D0CF"/>
          </w:tcPr>
          <w:p>
            <w:pPr>
              <w:spacing w:after="0"/>
              <w:rPr>
                <w:sz w:val="16"/>
                <w:szCs w:val="16"/>
                <w:color w:val="auto"/>
              </w:rPr>
            </w:pPr>
          </w:p>
        </w:tc>
        <w:tc>
          <w:tcPr>
            <w:tcW w:w="100" w:type="dxa"/>
            <w:vAlign w:val="bottom"/>
            <w:tcBorders>
              <w:top w:val="single" w:sz="8" w:color="0D64EF"/>
            </w:tcBorders>
            <w:shd w:val="clear" w:color="auto" w:fill="D1D0CF"/>
          </w:tcPr>
          <w:p>
            <w:pPr>
              <w:spacing w:after="0"/>
              <w:rPr>
                <w:sz w:val="16"/>
                <w:szCs w:val="16"/>
                <w:color w:val="auto"/>
              </w:rPr>
            </w:pPr>
          </w:p>
        </w:tc>
        <w:tc>
          <w:tcPr>
            <w:tcW w:w="1940" w:type="dxa"/>
            <w:vAlign w:val="bottom"/>
            <w:tcBorders>
              <w:top w:val="single" w:sz="8" w:color="0D64EF"/>
            </w:tcBorders>
            <w:shd w:val="clear" w:color="auto" w:fill="D1D0CF"/>
          </w:tcPr>
          <w:p>
            <w:pPr>
              <w:jc w:val="right"/>
              <w:ind w:right="139"/>
              <w:spacing w:after="0"/>
              <w:rPr>
                <w:sz w:val="20"/>
                <w:szCs w:val="20"/>
                <w:color w:val="auto"/>
              </w:rPr>
            </w:pPr>
            <w:r>
              <w:rPr>
                <w:rFonts w:ascii="Arial" w:cs="Arial" w:eastAsia="Arial" w:hAnsi="Arial"/>
                <w:sz w:val="16"/>
                <w:szCs w:val="16"/>
                <w:b w:val="1"/>
                <w:bCs w:val="1"/>
                <w:color w:val="auto"/>
              </w:rPr>
              <w:t>year ended</w:t>
            </w:r>
          </w:p>
        </w:tc>
        <w:tc>
          <w:tcPr>
            <w:tcW w:w="680" w:type="dxa"/>
            <w:vAlign w:val="bottom"/>
            <w:tcBorders>
              <w:top w:val="single" w:sz="8" w:color="0D64EF"/>
            </w:tcBorders>
            <w:shd w:val="clear" w:color="auto" w:fill="D1D0CF"/>
          </w:tcPr>
          <w:p>
            <w:pPr>
              <w:spacing w:after="0"/>
              <w:rPr>
                <w:sz w:val="16"/>
                <w:szCs w:val="16"/>
                <w:color w:val="auto"/>
              </w:rPr>
            </w:pPr>
          </w:p>
        </w:tc>
      </w:tr>
      <w:tr>
        <w:trPr>
          <w:trHeight w:val="224"/>
        </w:trPr>
        <w:tc>
          <w:tcPr>
            <w:tcW w:w="5820" w:type="dxa"/>
            <w:vAlign w:val="bottom"/>
            <w:tcBorders>
              <w:bottom w:val="single" w:sz="8" w:color="D1D0CF"/>
            </w:tcBorders>
            <w:shd w:val="clear" w:color="auto" w:fill="D1D0CF"/>
          </w:tcPr>
          <w:p>
            <w:pPr>
              <w:spacing w:after="0"/>
              <w:rPr>
                <w:sz w:val="19"/>
                <w:szCs w:val="19"/>
                <w:color w:val="auto"/>
              </w:rPr>
            </w:pPr>
          </w:p>
        </w:tc>
        <w:tc>
          <w:tcPr>
            <w:tcW w:w="100" w:type="dxa"/>
            <w:vAlign w:val="bottom"/>
            <w:tcBorders>
              <w:bottom w:val="single" w:sz="8" w:color="D1D0CF"/>
            </w:tcBorders>
            <w:shd w:val="clear" w:color="auto" w:fill="D1D0CF"/>
          </w:tcPr>
          <w:p>
            <w:pPr>
              <w:spacing w:after="0"/>
              <w:rPr>
                <w:sz w:val="19"/>
                <w:szCs w:val="19"/>
                <w:color w:val="auto"/>
              </w:rPr>
            </w:pPr>
          </w:p>
        </w:tc>
        <w:tc>
          <w:tcPr>
            <w:tcW w:w="2140" w:type="dxa"/>
            <w:vAlign w:val="bottom"/>
            <w:tcBorders>
              <w:bottom w:val="single" w:sz="8" w:color="0D64EF"/>
            </w:tcBorders>
            <w:shd w:val="clear" w:color="auto" w:fill="D1D0CF"/>
          </w:tcPr>
          <w:p>
            <w:pPr>
              <w:jc w:val="right"/>
              <w:ind w:right="259"/>
              <w:spacing w:after="0"/>
              <w:rPr>
                <w:sz w:val="20"/>
                <w:szCs w:val="20"/>
                <w:color w:val="auto"/>
              </w:rPr>
            </w:pPr>
            <w:r>
              <w:rPr>
                <w:rFonts w:ascii="Arial" w:cs="Arial" w:eastAsia="Arial" w:hAnsi="Arial"/>
                <w:sz w:val="16"/>
                <w:szCs w:val="16"/>
                <w:b w:val="1"/>
                <w:bCs w:val="1"/>
                <w:color w:val="auto"/>
              </w:rPr>
              <w:t>December 31</w:t>
            </w:r>
          </w:p>
        </w:tc>
        <w:tc>
          <w:tcPr>
            <w:tcW w:w="460" w:type="dxa"/>
            <w:vAlign w:val="bottom"/>
            <w:tcBorders>
              <w:bottom w:val="single" w:sz="8" w:color="0D64EF"/>
            </w:tcBorders>
            <w:shd w:val="clear" w:color="auto" w:fill="D1D0CF"/>
          </w:tcPr>
          <w:p>
            <w:pPr>
              <w:spacing w:after="0"/>
              <w:rPr>
                <w:sz w:val="19"/>
                <w:szCs w:val="19"/>
                <w:color w:val="auto"/>
              </w:rPr>
            </w:pPr>
          </w:p>
        </w:tc>
        <w:tc>
          <w:tcPr>
            <w:tcW w:w="100" w:type="dxa"/>
            <w:vAlign w:val="bottom"/>
            <w:tcBorders>
              <w:bottom w:val="single" w:sz="8" w:color="D1D0CF"/>
            </w:tcBorders>
            <w:shd w:val="clear" w:color="auto" w:fill="D1D0CF"/>
          </w:tcPr>
          <w:p>
            <w:pPr>
              <w:spacing w:after="0"/>
              <w:rPr>
                <w:sz w:val="19"/>
                <w:szCs w:val="19"/>
                <w:color w:val="auto"/>
              </w:rPr>
            </w:pPr>
          </w:p>
        </w:tc>
        <w:tc>
          <w:tcPr>
            <w:tcW w:w="1940" w:type="dxa"/>
            <w:vAlign w:val="bottom"/>
            <w:tcBorders>
              <w:bottom w:val="single" w:sz="8" w:color="0D64EF"/>
            </w:tcBorders>
            <w:shd w:val="clear" w:color="auto" w:fill="D1D0CF"/>
          </w:tcPr>
          <w:p>
            <w:pPr>
              <w:jc w:val="right"/>
              <w:ind w:right="39"/>
              <w:spacing w:after="0"/>
              <w:rPr>
                <w:sz w:val="20"/>
                <w:szCs w:val="20"/>
                <w:color w:val="auto"/>
              </w:rPr>
            </w:pPr>
            <w:r>
              <w:rPr>
                <w:rFonts w:ascii="Arial" w:cs="Arial" w:eastAsia="Arial" w:hAnsi="Arial"/>
                <w:sz w:val="16"/>
                <w:szCs w:val="16"/>
                <w:b w:val="1"/>
                <w:bCs w:val="1"/>
                <w:color w:val="auto"/>
              </w:rPr>
              <w:t>December 31</w:t>
            </w:r>
          </w:p>
        </w:tc>
        <w:tc>
          <w:tcPr>
            <w:tcW w:w="680" w:type="dxa"/>
            <w:vAlign w:val="bottom"/>
            <w:tcBorders>
              <w:bottom w:val="single" w:sz="8" w:color="0D64EF"/>
            </w:tcBorders>
            <w:shd w:val="clear" w:color="auto" w:fill="D1D0CF"/>
          </w:tcPr>
          <w:p>
            <w:pPr>
              <w:spacing w:after="0"/>
              <w:rPr>
                <w:sz w:val="19"/>
                <w:szCs w:val="19"/>
                <w:color w:val="auto"/>
              </w:rPr>
            </w:pPr>
          </w:p>
        </w:tc>
      </w:tr>
      <w:tr>
        <w:trPr>
          <w:trHeight w:val="226"/>
        </w:trPr>
        <w:tc>
          <w:tcPr>
            <w:tcW w:w="5820" w:type="dxa"/>
            <w:vAlign w:val="bottom"/>
            <w:tcBorders>
              <w:bottom w:val="single" w:sz="8" w:color="0D64EF"/>
            </w:tcBorders>
            <w:shd w:val="clear" w:color="auto" w:fill="D1D0CF"/>
          </w:tcPr>
          <w:p>
            <w:pPr>
              <w:ind w:left="20"/>
              <w:spacing w:after="0"/>
              <w:rPr>
                <w:sz w:val="20"/>
                <w:szCs w:val="20"/>
                <w:color w:val="auto"/>
              </w:rPr>
            </w:pPr>
            <w:r>
              <w:rPr>
                <w:rFonts w:ascii="Arial" w:cs="Arial" w:eastAsia="Arial" w:hAnsi="Arial"/>
                <w:sz w:val="16"/>
                <w:szCs w:val="16"/>
                <w:color w:val="auto"/>
              </w:rPr>
              <w:t>(millions of $)</w:t>
            </w:r>
          </w:p>
        </w:tc>
        <w:tc>
          <w:tcPr>
            <w:tcW w:w="100" w:type="dxa"/>
            <w:vAlign w:val="bottom"/>
            <w:tcBorders>
              <w:bottom w:val="single" w:sz="8" w:color="0D64EF"/>
            </w:tcBorders>
            <w:shd w:val="clear" w:color="auto" w:fill="D1D0CF"/>
          </w:tcPr>
          <w:p>
            <w:pPr>
              <w:spacing w:after="0"/>
              <w:rPr>
                <w:sz w:val="19"/>
                <w:szCs w:val="19"/>
                <w:color w:val="auto"/>
              </w:rPr>
            </w:pPr>
          </w:p>
        </w:tc>
        <w:tc>
          <w:tcPr>
            <w:tcW w:w="2140" w:type="dxa"/>
            <w:vAlign w:val="bottom"/>
            <w:tcBorders>
              <w:bottom w:val="single" w:sz="8" w:color="0D64EF"/>
            </w:tcBorders>
            <w:shd w:val="clear" w:color="auto" w:fill="D1D0CF"/>
          </w:tcPr>
          <w:p>
            <w:pPr>
              <w:jc w:val="right"/>
              <w:ind w:right="839"/>
              <w:spacing w:after="0"/>
              <w:rPr>
                <w:sz w:val="20"/>
                <w:szCs w:val="20"/>
                <w:color w:val="auto"/>
              </w:rPr>
            </w:pPr>
            <w:r>
              <w:rPr>
                <w:rFonts w:ascii="Arial" w:cs="Arial" w:eastAsia="Arial" w:hAnsi="Arial"/>
                <w:sz w:val="16"/>
                <w:szCs w:val="16"/>
                <w:b w:val="1"/>
                <w:bCs w:val="1"/>
                <w:color w:val="auto"/>
              </w:rPr>
              <w:t>2025</w:t>
            </w:r>
          </w:p>
        </w:tc>
        <w:tc>
          <w:tcPr>
            <w:tcW w:w="460" w:type="dxa"/>
            <w:vAlign w:val="bottom"/>
            <w:tcBorders>
              <w:bottom w:val="single" w:sz="8" w:color="0D64EF"/>
            </w:tcBorders>
            <w:shd w:val="clear" w:color="auto" w:fill="D1D0CF"/>
          </w:tcPr>
          <w:p>
            <w:pPr>
              <w:jc w:val="right"/>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bottom w:val="single" w:sz="8" w:color="0D64EF"/>
            </w:tcBorders>
            <w:shd w:val="clear" w:color="auto" w:fill="D1D0CF"/>
          </w:tcPr>
          <w:p>
            <w:pPr>
              <w:spacing w:after="0"/>
              <w:rPr>
                <w:sz w:val="19"/>
                <w:szCs w:val="19"/>
                <w:color w:val="auto"/>
              </w:rPr>
            </w:pPr>
          </w:p>
        </w:tc>
        <w:tc>
          <w:tcPr>
            <w:tcW w:w="1940" w:type="dxa"/>
            <w:vAlign w:val="bottom"/>
            <w:tcBorders>
              <w:bottom w:val="single" w:sz="8" w:color="0D64EF"/>
            </w:tcBorders>
            <w:shd w:val="clear" w:color="auto" w:fill="D1D0CF"/>
          </w:tcPr>
          <w:p>
            <w:pPr>
              <w:jc w:val="right"/>
              <w:ind w:right="619"/>
              <w:spacing w:after="0"/>
              <w:rPr>
                <w:sz w:val="20"/>
                <w:szCs w:val="20"/>
                <w:color w:val="auto"/>
              </w:rPr>
            </w:pPr>
            <w:r>
              <w:rPr>
                <w:rFonts w:ascii="Arial" w:cs="Arial" w:eastAsia="Arial" w:hAnsi="Arial"/>
                <w:sz w:val="16"/>
                <w:szCs w:val="16"/>
                <w:b w:val="1"/>
                <w:bCs w:val="1"/>
                <w:color w:val="auto"/>
              </w:rPr>
              <w:t>2025</w:t>
            </w:r>
          </w:p>
        </w:tc>
        <w:tc>
          <w:tcPr>
            <w:tcW w:w="680" w:type="dxa"/>
            <w:vAlign w:val="bottom"/>
            <w:tcBorders>
              <w:bottom w:val="single" w:sz="8" w:color="0D64EF"/>
            </w:tcBorders>
            <w:shd w:val="clear" w:color="auto" w:fill="D1D0CF"/>
          </w:tcPr>
          <w:p>
            <w:pPr>
              <w:jc w:val="right"/>
              <w:spacing w:after="0"/>
              <w:rPr>
                <w:sz w:val="20"/>
                <w:szCs w:val="20"/>
                <w:color w:val="auto"/>
              </w:rPr>
            </w:pPr>
            <w:r>
              <w:rPr>
                <w:rFonts w:ascii="Arial" w:cs="Arial" w:eastAsia="Arial" w:hAnsi="Arial"/>
                <w:sz w:val="16"/>
                <w:szCs w:val="16"/>
                <w:b w:val="1"/>
                <w:bCs w:val="1"/>
                <w:color w:val="auto"/>
              </w:rPr>
              <w:t>2024</w:t>
            </w:r>
          </w:p>
        </w:tc>
      </w:tr>
      <w:tr>
        <w:trPr>
          <w:trHeight w:val="259"/>
        </w:trPr>
        <w:tc>
          <w:tcPr>
            <w:tcW w:w="5820" w:type="dxa"/>
            <w:vAlign w:val="bottom"/>
          </w:tcPr>
          <w:p>
            <w:pPr>
              <w:ind w:left="20"/>
              <w:spacing w:after="0"/>
              <w:rPr>
                <w:sz w:val="20"/>
                <w:szCs w:val="20"/>
                <w:color w:val="auto"/>
              </w:rPr>
            </w:pPr>
            <w:r>
              <w:rPr>
                <w:rFonts w:ascii="Arial" w:cs="Arial" w:eastAsia="Arial" w:hAnsi="Arial"/>
                <w:sz w:val="16"/>
                <w:szCs w:val="16"/>
                <w:b w:val="1"/>
                <w:bCs w:val="1"/>
                <w:color w:val="0D64EF"/>
              </w:rPr>
              <w:t>Net income</w:t>
            </w:r>
          </w:p>
        </w:tc>
        <w:tc>
          <w:tcPr>
            <w:tcW w:w="100" w:type="dxa"/>
            <w:vAlign w:val="bottom"/>
          </w:tcPr>
          <w:p>
            <w:pPr>
              <w:spacing w:after="0"/>
              <w:rPr>
                <w:sz w:val="22"/>
                <w:szCs w:val="22"/>
                <w:color w:val="auto"/>
              </w:rPr>
            </w:pPr>
          </w:p>
        </w:tc>
        <w:tc>
          <w:tcPr>
            <w:tcW w:w="21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940" w:type="dxa"/>
            <w:vAlign w:val="bottom"/>
          </w:tcPr>
          <w:p>
            <w:pPr>
              <w:spacing w:after="0"/>
              <w:rPr>
                <w:sz w:val="22"/>
                <w:szCs w:val="22"/>
                <w:color w:val="auto"/>
              </w:rPr>
            </w:pPr>
          </w:p>
        </w:tc>
        <w:tc>
          <w:tcPr>
            <w:tcW w:w="680" w:type="dxa"/>
            <w:vAlign w:val="bottom"/>
          </w:tcPr>
          <w:p>
            <w:pPr>
              <w:spacing w:after="0"/>
              <w:rPr>
                <w:sz w:val="22"/>
                <w:szCs w:val="22"/>
                <w:color w:val="auto"/>
              </w:rPr>
            </w:pPr>
          </w:p>
        </w:tc>
      </w:tr>
      <w:tr>
        <w:trPr>
          <w:trHeight w:val="230"/>
        </w:trPr>
        <w:tc>
          <w:tcPr>
            <w:tcW w:w="5820" w:type="dxa"/>
            <w:vAlign w:val="bottom"/>
          </w:tcPr>
          <w:p>
            <w:pPr>
              <w:ind w:left="100"/>
              <w:spacing w:after="0"/>
              <w:rPr>
                <w:sz w:val="20"/>
                <w:szCs w:val="20"/>
                <w:color w:val="auto"/>
              </w:rPr>
            </w:pPr>
            <w:r>
              <w:rPr>
                <w:rFonts w:ascii="Arial" w:cs="Arial" w:eastAsia="Arial" w:hAnsi="Arial"/>
                <w:sz w:val="16"/>
                <w:szCs w:val="16"/>
                <w:color w:val="auto"/>
              </w:rPr>
              <w:t>NGTL System</w:t>
            </w:r>
          </w:p>
        </w:tc>
        <w:tc>
          <w:tcPr>
            <w:tcW w:w="2240" w:type="dxa"/>
            <w:vAlign w:val="bottom"/>
            <w:gridSpan w:val="2"/>
          </w:tcPr>
          <w:p>
            <w:pPr>
              <w:jc w:val="right"/>
              <w:ind w:right="879"/>
              <w:spacing w:after="0"/>
              <w:rPr>
                <w:sz w:val="20"/>
                <w:szCs w:val="20"/>
                <w:color w:val="auto"/>
              </w:rPr>
            </w:pPr>
            <w:r>
              <w:rPr>
                <w:rFonts w:ascii="Arial" w:cs="Arial" w:eastAsia="Arial" w:hAnsi="Arial"/>
                <w:sz w:val="16"/>
                <w:szCs w:val="16"/>
                <w:b w:val="1"/>
                <w:bCs w:val="1"/>
                <w:color w:val="auto"/>
              </w:rPr>
              <w:t>207</w:t>
            </w:r>
          </w:p>
        </w:tc>
        <w:tc>
          <w:tcPr>
            <w:tcW w:w="460" w:type="dxa"/>
            <w:vAlign w:val="bottom"/>
          </w:tcPr>
          <w:p>
            <w:pPr>
              <w:jc w:val="right"/>
              <w:spacing w:after="0"/>
              <w:rPr>
                <w:sz w:val="20"/>
                <w:szCs w:val="20"/>
                <w:color w:val="auto"/>
              </w:rPr>
            </w:pPr>
            <w:r>
              <w:rPr>
                <w:rFonts w:ascii="Arial" w:cs="Arial" w:eastAsia="Arial" w:hAnsi="Arial"/>
                <w:sz w:val="16"/>
                <w:szCs w:val="16"/>
                <w:color w:val="auto"/>
              </w:rPr>
              <w:t>190</w:t>
            </w:r>
          </w:p>
        </w:tc>
        <w:tc>
          <w:tcPr>
            <w:tcW w:w="100" w:type="dxa"/>
            <w:vAlign w:val="bottom"/>
          </w:tcPr>
          <w:p>
            <w:pPr>
              <w:spacing w:after="0"/>
              <w:rPr>
                <w:sz w:val="19"/>
                <w:szCs w:val="19"/>
                <w:color w:val="auto"/>
              </w:rPr>
            </w:pPr>
          </w:p>
        </w:tc>
        <w:tc>
          <w:tcPr>
            <w:tcW w:w="1940" w:type="dxa"/>
            <w:vAlign w:val="bottom"/>
          </w:tcPr>
          <w:p>
            <w:pPr>
              <w:jc w:val="right"/>
              <w:ind w:right="679"/>
              <w:spacing w:after="0"/>
              <w:rPr>
                <w:sz w:val="20"/>
                <w:szCs w:val="20"/>
                <w:color w:val="auto"/>
              </w:rPr>
            </w:pPr>
            <w:r>
              <w:rPr>
                <w:rFonts w:ascii="Arial" w:cs="Arial" w:eastAsia="Arial" w:hAnsi="Arial"/>
                <w:sz w:val="16"/>
                <w:szCs w:val="16"/>
                <w:b w:val="1"/>
                <w:bCs w:val="1"/>
                <w:color w:val="auto"/>
              </w:rPr>
              <w:t>804</w:t>
            </w:r>
          </w:p>
        </w:tc>
        <w:tc>
          <w:tcPr>
            <w:tcW w:w="680" w:type="dxa"/>
            <w:vAlign w:val="bottom"/>
          </w:tcPr>
          <w:p>
            <w:pPr>
              <w:jc w:val="right"/>
              <w:spacing w:after="0"/>
              <w:rPr>
                <w:sz w:val="20"/>
                <w:szCs w:val="20"/>
                <w:color w:val="auto"/>
              </w:rPr>
            </w:pPr>
            <w:r>
              <w:rPr>
                <w:rFonts w:ascii="Arial" w:cs="Arial" w:eastAsia="Arial" w:hAnsi="Arial"/>
                <w:sz w:val="16"/>
                <w:szCs w:val="16"/>
                <w:color w:val="auto"/>
              </w:rPr>
              <w:t>775</w:t>
            </w:r>
          </w:p>
        </w:tc>
      </w:tr>
      <w:tr>
        <w:trPr>
          <w:trHeight w:val="230"/>
        </w:trPr>
        <w:tc>
          <w:tcPr>
            <w:tcW w:w="5820" w:type="dxa"/>
            <w:vAlign w:val="bottom"/>
          </w:tcPr>
          <w:p>
            <w:pPr>
              <w:ind w:left="100"/>
              <w:spacing w:after="0"/>
              <w:rPr>
                <w:sz w:val="20"/>
                <w:szCs w:val="20"/>
                <w:color w:val="auto"/>
              </w:rPr>
            </w:pPr>
            <w:r>
              <w:rPr>
                <w:rFonts w:ascii="Arial" w:cs="Arial" w:eastAsia="Arial" w:hAnsi="Arial"/>
                <w:sz w:val="16"/>
                <w:szCs w:val="16"/>
                <w:color w:val="auto"/>
              </w:rPr>
              <w:t>Canadian Mainline</w:t>
            </w:r>
          </w:p>
        </w:tc>
        <w:tc>
          <w:tcPr>
            <w:tcW w:w="2240" w:type="dxa"/>
            <w:vAlign w:val="bottom"/>
            <w:gridSpan w:val="2"/>
          </w:tcPr>
          <w:p>
            <w:pPr>
              <w:jc w:val="right"/>
              <w:ind w:right="879"/>
              <w:spacing w:after="0"/>
              <w:rPr>
                <w:sz w:val="20"/>
                <w:szCs w:val="20"/>
                <w:color w:val="auto"/>
              </w:rPr>
            </w:pPr>
            <w:r>
              <w:rPr>
                <w:rFonts w:ascii="Arial" w:cs="Arial" w:eastAsia="Arial" w:hAnsi="Arial"/>
                <w:sz w:val="16"/>
                <w:szCs w:val="16"/>
                <w:b w:val="1"/>
                <w:bCs w:val="1"/>
                <w:color w:val="auto"/>
              </w:rPr>
              <w:t>73</w:t>
            </w:r>
          </w:p>
        </w:tc>
        <w:tc>
          <w:tcPr>
            <w:tcW w:w="460" w:type="dxa"/>
            <w:vAlign w:val="bottom"/>
          </w:tcPr>
          <w:p>
            <w:pPr>
              <w:jc w:val="right"/>
              <w:spacing w:after="0"/>
              <w:rPr>
                <w:sz w:val="20"/>
                <w:szCs w:val="20"/>
                <w:color w:val="auto"/>
              </w:rPr>
            </w:pPr>
            <w:r>
              <w:rPr>
                <w:rFonts w:ascii="Arial" w:cs="Arial" w:eastAsia="Arial" w:hAnsi="Arial"/>
                <w:sz w:val="16"/>
                <w:szCs w:val="16"/>
                <w:color w:val="auto"/>
              </w:rPr>
              <w:t>68</w:t>
            </w:r>
          </w:p>
        </w:tc>
        <w:tc>
          <w:tcPr>
            <w:tcW w:w="100" w:type="dxa"/>
            <w:vAlign w:val="bottom"/>
          </w:tcPr>
          <w:p>
            <w:pPr>
              <w:spacing w:after="0"/>
              <w:rPr>
                <w:sz w:val="19"/>
                <w:szCs w:val="19"/>
                <w:color w:val="auto"/>
              </w:rPr>
            </w:pPr>
          </w:p>
        </w:tc>
        <w:tc>
          <w:tcPr>
            <w:tcW w:w="1940" w:type="dxa"/>
            <w:vAlign w:val="bottom"/>
          </w:tcPr>
          <w:p>
            <w:pPr>
              <w:jc w:val="right"/>
              <w:ind w:right="679"/>
              <w:spacing w:after="0"/>
              <w:rPr>
                <w:sz w:val="20"/>
                <w:szCs w:val="20"/>
                <w:color w:val="auto"/>
              </w:rPr>
            </w:pPr>
            <w:r>
              <w:rPr>
                <w:rFonts w:ascii="Arial" w:cs="Arial" w:eastAsia="Arial" w:hAnsi="Arial"/>
                <w:sz w:val="16"/>
                <w:szCs w:val="16"/>
                <w:b w:val="1"/>
                <w:bCs w:val="1"/>
                <w:color w:val="auto"/>
              </w:rPr>
              <w:t>258</w:t>
            </w:r>
          </w:p>
        </w:tc>
        <w:tc>
          <w:tcPr>
            <w:tcW w:w="680" w:type="dxa"/>
            <w:vAlign w:val="bottom"/>
          </w:tcPr>
          <w:p>
            <w:pPr>
              <w:jc w:val="right"/>
              <w:spacing w:after="0"/>
              <w:rPr>
                <w:sz w:val="20"/>
                <w:szCs w:val="20"/>
                <w:color w:val="auto"/>
              </w:rPr>
            </w:pPr>
            <w:r>
              <w:rPr>
                <w:rFonts w:ascii="Arial" w:cs="Arial" w:eastAsia="Arial" w:hAnsi="Arial"/>
                <w:sz w:val="16"/>
                <w:szCs w:val="16"/>
                <w:color w:val="auto"/>
              </w:rPr>
              <w:t>244</w:t>
            </w:r>
          </w:p>
        </w:tc>
      </w:tr>
      <w:tr>
        <w:trPr>
          <w:trHeight w:val="229"/>
        </w:trPr>
        <w:tc>
          <w:tcPr>
            <w:tcW w:w="5820" w:type="dxa"/>
            <w:vAlign w:val="bottom"/>
          </w:tcPr>
          <w:p>
            <w:pPr>
              <w:ind w:left="20"/>
              <w:spacing w:after="0"/>
              <w:rPr>
                <w:sz w:val="20"/>
                <w:szCs w:val="20"/>
                <w:color w:val="auto"/>
              </w:rPr>
            </w:pPr>
            <w:r>
              <w:rPr>
                <w:rFonts w:ascii="Arial" w:cs="Arial" w:eastAsia="Arial" w:hAnsi="Arial"/>
                <w:sz w:val="16"/>
                <w:szCs w:val="16"/>
                <w:b w:val="1"/>
                <w:bCs w:val="1"/>
                <w:color w:val="0D64EF"/>
              </w:rPr>
              <w:t>Average investment base</w:t>
            </w:r>
          </w:p>
        </w:tc>
        <w:tc>
          <w:tcPr>
            <w:tcW w:w="10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30"/>
        </w:trPr>
        <w:tc>
          <w:tcPr>
            <w:tcW w:w="5820" w:type="dxa"/>
            <w:vAlign w:val="bottom"/>
          </w:tcPr>
          <w:p>
            <w:pPr>
              <w:ind w:left="100"/>
              <w:spacing w:after="0"/>
              <w:rPr>
                <w:sz w:val="20"/>
                <w:szCs w:val="20"/>
                <w:color w:val="auto"/>
              </w:rPr>
            </w:pPr>
            <w:r>
              <w:rPr>
                <w:rFonts w:ascii="Arial" w:cs="Arial" w:eastAsia="Arial" w:hAnsi="Arial"/>
                <w:sz w:val="16"/>
                <w:szCs w:val="16"/>
                <w:color w:val="auto"/>
              </w:rPr>
              <w:t>NGTL System</w:t>
            </w:r>
          </w:p>
        </w:tc>
        <w:tc>
          <w:tcPr>
            <w:tcW w:w="10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40" w:type="dxa"/>
            <w:vAlign w:val="bottom"/>
          </w:tcPr>
          <w:p>
            <w:pPr>
              <w:jc w:val="right"/>
              <w:ind w:right="679"/>
              <w:spacing w:after="0"/>
              <w:rPr>
                <w:sz w:val="20"/>
                <w:szCs w:val="20"/>
                <w:color w:val="auto"/>
              </w:rPr>
            </w:pPr>
            <w:r>
              <w:rPr>
                <w:rFonts w:ascii="Arial" w:cs="Arial" w:eastAsia="Arial" w:hAnsi="Arial"/>
                <w:sz w:val="16"/>
                <w:szCs w:val="16"/>
                <w:b w:val="1"/>
                <w:bCs w:val="1"/>
                <w:color w:val="auto"/>
              </w:rPr>
              <w:t>19,277</w:t>
            </w:r>
          </w:p>
        </w:tc>
        <w:tc>
          <w:tcPr>
            <w:tcW w:w="680" w:type="dxa"/>
            <w:vAlign w:val="bottom"/>
          </w:tcPr>
          <w:p>
            <w:pPr>
              <w:jc w:val="right"/>
              <w:spacing w:after="0"/>
              <w:rPr>
                <w:sz w:val="20"/>
                <w:szCs w:val="20"/>
                <w:color w:val="auto"/>
              </w:rPr>
            </w:pPr>
            <w:r>
              <w:rPr>
                <w:rFonts w:ascii="Arial" w:cs="Arial" w:eastAsia="Arial" w:hAnsi="Arial"/>
                <w:sz w:val="16"/>
                <w:szCs w:val="16"/>
                <w:color w:val="auto"/>
              </w:rPr>
              <w:t>19,334</w:t>
            </w:r>
          </w:p>
        </w:tc>
      </w:tr>
      <w:tr>
        <w:trPr>
          <w:trHeight w:val="233"/>
        </w:trPr>
        <w:tc>
          <w:tcPr>
            <w:tcW w:w="582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Canadian Mainline</w:t>
            </w:r>
          </w:p>
        </w:tc>
        <w:tc>
          <w:tcPr>
            <w:tcW w:w="10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b w:val="1"/>
                <w:bCs w:val="1"/>
                <w:color w:val="auto"/>
              </w:rPr>
              <w:t>3,762</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3,697</w:t>
            </w: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Net income for the NGTL System increased by $17 million for the three months ended December 31, 2025 compared to the same period in</w:t>
      </w:r>
    </w:p>
    <w:p>
      <w:pPr>
        <w:spacing w:after="0" w:line="63" w:lineRule="exact"/>
        <w:rPr>
          <w:sz w:val="20"/>
          <w:szCs w:val="20"/>
          <w:color w:val="auto"/>
        </w:rPr>
      </w:pPr>
    </w:p>
    <w:p>
      <w:pPr>
        <w:ind w:right="80"/>
        <w:spacing w:after="0" w:line="307" w:lineRule="auto"/>
        <w:rPr>
          <w:sz w:val="20"/>
          <w:szCs w:val="20"/>
          <w:color w:val="auto"/>
        </w:rPr>
      </w:pPr>
      <w:r>
        <w:rPr>
          <w:rFonts w:ascii="Arial" w:cs="Arial" w:eastAsia="Arial" w:hAnsi="Arial"/>
          <w:sz w:val="18"/>
          <w:szCs w:val="18"/>
          <w:color w:val="auto"/>
        </w:rPr>
        <w:t>2024 primarily due to higher incentive earnings. The NGTL System is currently operating under the CER-approved 2025-2029 NGTL Settlement which commenced on January 1, 2025 and includes an approved ROE of 10.1 per cent on 40 per cent deemed common equity. This settlement provides the NGTL System with higher depreciation rates and the opportunity to further increase depreciation rates with an incentive if tolls fall below specified levels, or if growth projects are undertaken. It also includes incentive mechanisms to reduce both physical emissions and emission compliance costs, while also providing incentive for certain operating costs where variances from projected amounts and emissions savings are shared with customers.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TC Energy </w:t>
      </w:r>
      <w:r>
        <w:rPr>
          <w:rFonts w:ascii="Arial" w:cs="Arial" w:eastAsia="Arial" w:hAnsi="Arial"/>
          <w:sz w:val="18"/>
          <w:szCs w:val="18"/>
          <w:b w:val="1"/>
          <w:bCs w:val="1"/>
          <w:color w:val="0D64EF"/>
        </w:rPr>
        <w:t>Fourth Quarter</w:t>
      </w:r>
      <w:r>
        <w:rPr>
          <w:rFonts w:ascii="Arial" w:cs="Arial" w:eastAsia="Arial" w:hAnsi="Arial"/>
          <w:sz w:val="18"/>
          <w:szCs w:val="18"/>
          <w:color w:val="auto"/>
        </w:rPr>
        <w:t xml:space="preserve"> News Release 2025 | 15</w:t>
      </w:r>
    </w:p>
    <w:p>
      <w:pPr>
        <w:sectPr>
          <w:pgSz w:w="11900" w:h="16838" w:orient="portrait"/>
          <w:cols w:equalWidth="0" w:num="1">
            <w:col w:w="11240"/>
          </w:cols>
          <w:pgMar w:left="320" w:top="1359" w:right="339" w:bottom="1440" w:gutter="0" w:footer="0" w:header="0"/>
        </w:sectPr>
      </w:pPr>
    </w:p>
    <w:bookmarkStart w:id="28" w:name="page29"/>
    <w:bookmarkEnd w:id="28"/>
    <w:p>
      <w:pPr>
        <w:spacing w:after="0" w:line="314" w:lineRule="auto"/>
        <w:rPr>
          <w:sz w:val="20"/>
          <w:szCs w:val="20"/>
          <w:color w:val="auto"/>
        </w:rPr>
      </w:pPr>
      <w:r>
        <w:rPr>
          <w:rFonts w:ascii="Arial" w:cs="Arial" w:eastAsia="Arial" w:hAnsi="Arial"/>
          <w:sz w:val="18"/>
          <w:szCs w:val="18"/>
          <w:color w:val="auto"/>
        </w:rPr>
        <w:t>Net income for the Canadian Mainline increased by $5 million for the three months ended December 31, 2025 compared to the same period in 2024 mainly due to higher incentive earnings. The Canadian Mainline is operating under the 2021-2026 Mainline Settlement which includes an approved ROE of 10.1 per cent on 40 per cent deemed common equity and an incentive to decrease costs and increase revenues on the pipeline under a beneficial sharing mechanism with our customers.</w:t>
      </w:r>
    </w:p>
    <w:p>
      <w:pPr>
        <w:spacing w:after="0" w:line="100" w:lineRule="exact"/>
        <w:rPr>
          <w:sz w:val="20"/>
          <w:szCs w:val="20"/>
          <w:color w:val="auto"/>
        </w:rPr>
      </w:pPr>
    </w:p>
    <w:p>
      <w:pPr>
        <w:spacing w:after="0"/>
        <w:rPr>
          <w:sz w:val="20"/>
          <w:szCs w:val="20"/>
          <w:color w:val="auto"/>
        </w:rPr>
      </w:pPr>
      <w:r>
        <w:rPr>
          <w:rFonts w:ascii="Arial" w:cs="Arial" w:eastAsia="Arial" w:hAnsi="Arial"/>
          <w:sz w:val="20"/>
          <w:szCs w:val="20"/>
          <w:b w:val="1"/>
          <w:bCs w:val="1"/>
          <w:color w:val="0D64EF"/>
        </w:rPr>
        <w:t>COMPARABLE EBITDA</w:t>
      </w:r>
    </w:p>
    <w:p>
      <w:pPr>
        <w:spacing w:after="0" w:line="58" w:lineRule="exact"/>
        <w:rPr>
          <w:sz w:val="20"/>
          <w:szCs w:val="20"/>
          <w:color w:val="auto"/>
        </w:rPr>
      </w:pPr>
    </w:p>
    <w:p>
      <w:pPr>
        <w:ind w:right="80"/>
        <w:spacing w:after="0" w:line="323" w:lineRule="auto"/>
        <w:rPr>
          <w:sz w:val="20"/>
          <w:szCs w:val="20"/>
          <w:color w:val="auto"/>
        </w:rPr>
      </w:pPr>
      <w:r>
        <w:rPr>
          <w:rFonts w:ascii="Arial" w:cs="Arial" w:eastAsia="Arial" w:hAnsi="Arial"/>
          <w:sz w:val="18"/>
          <w:szCs w:val="18"/>
          <w:color w:val="auto"/>
        </w:rPr>
        <w:t>Comparable EBITDA for Canadian Natural Gas Pipelines increased by $110 million for the three months ended December 31, 2025 compared to the same period in 2024 due to higher flow-through depreciation and income taxes as well as higher incentive earnings on the NGTL System and the Canadian Mainline.</w:t>
      </w:r>
    </w:p>
    <w:p>
      <w:pPr>
        <w:spacing w:after="0" w:line="91" w:lineRule="exact"/>
        <w:rPr>
          <w:sz w:val="20"/>
          <w:szCs w:val="20"/>
          <w:color w:val="auto"/>
        </w:rPr>
      </w:pPr>
    </w:p>
    <w:p>
      <w:pPr>
        <w:spacing w:after="0"/>
        <w:rPr>
          <w:sz w:val="20"/>
          <w:szCs w:val="20"/>
          <w:color w:val="auto"/>
        </w:rPr>
      </w:pPr>
      <w:r>
        <w:rPr>
          <w:rFonts w:ascii="Arial" w:cs="Arial" w:eastAsia="Arial" w:hAnsi="Arial"/>
          <w:sz w:val="20"/>
          <w:szCs w:val="20"/>
          <w:b w:val="1"/>
          <w:bCs w:val="1"/>
          <w:color w:val="0D64EF"/>
        </w:rPr>
        <w:t>DEPRECIATION AND AMORTIZATION</w:t>
      </w:r>
    </w:p>
    <w:p>
      <w:pPr>
        <w:spacing w:after="0" w:line="58" w:lineRule="exact"/>
        <w:rPr>
          <w:sz w:val="20"/>
          <w:szCs w:val="20"/>
          <w:color w:val="auto"/>
        </w:rPr>
      </w:pPr>
    </w:p>
    <w:p>
      <w:pPr>
        <w:ind w:right="220"/>
        <w:spacing w:after="0" w:line="315" w:lineRule="auto"/>
        <w:rPr>
          <w:sz w:val="20"/>
          <w:szCs w:val="20"/>
          <w:color w:val="auto"/>
        </w:rPr>
      </w:pPr>
      <w:r>
        <w:rPr>
          <w:rFonts w:ascii="Arial" w:cs="Arial" w:eastAsia="Arial" w:hAnsi="Arial"/>
          <w:sz w:val="18"/>
          <w:szCs w:val="18"/>
          <w:color w:val="auto"/>
        </w:rPr>
        <w:t>Depreciation and amortization increased by $52 million for the three months ended December 31, 2025 compared to the same period in 2024 primarily reflecting higher depreciation rates on the NGTL System under the 2025-2029 NGTL Settlement and an increase in assets placed in service on the Canadian Mainline.</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16 | TC Energy </w:t>
      </w:r>
      <w:r>
        <w:rPr>
          <w:rFonts w:ascii="Arial" w:cs="Arial" w:eastAsia="Arial" w:hAnsi="Arial"/>
          <w:sz w:val="18"/>
          <w:szCs w:val="18"/>
          <w:b w:val="1"/>
          <w:bCs w:val="1"/>
          <w:color w:val="0D64EF"/>
        </w:rPr>
        <w:t>Fourth Quarter</w:t>
      </w:r>
      <w:r>
        <w:rPr>
          <w:rFonts w:ascii="Arial" w:cs="Arial" w:eastAsia="Arial" w:hAnsi="Arial"/>
          <w:sz w:val="18"/>
          <w:szCs w:val="18"/>
          <w:color w:val="auto"/>
        </w:rPr>
        <w:t xml:space="preserve"> News Release 2025</w:t>
      </w:r>
    </w:p>
    <w:p>
      <w:pPr>
        <w:sectPr>
          <w:pgSz w:w="11900" w:h="16838" w:orient="portrait"/>
          <w:cols w:equalWidth="0" w:num="1">
            <w:col w:w="11140"/>
          </w:cols>
          <w:pgMar w:left="320" w:top="1295" w:right="439" w:bottom="1440" w:gutter="0" w:footer="0" w:header="0"/>
        </w:sectPr>
      </w:pPr>
    </w:p>
    <w:bookmarkStart w:id="29" w:name="page30"/>
    <w:bookmarkEnd w:id="29"/>
    <w:p>
      <w:pPr>
        <w:spacing w:after="0"/>
        <w:rPr>
          <w:sz w:val="20"/>
          <w:szCs w:val="20"/>
          <w:color w:val="auto"/>
        </w:rPr>
      </w:pPr>
      <w:r>
        <w:rPr>
          <w:rFonts w:ascii="Arial" w:cs="Arial" w:eastAsia="Arial" w:hAnsi="Arial"/>
          <w:sz w:val="25"/>
          <w:szCs w:val="25"/>
          <w:color w:val="0D64EF"/>
        </w:rPr>
        <w:t>U.S. Natural Gas Pipelines</w:t>
      </w:r>
    </w:p>
    <w:p>
      <w:pPr>
        <w:spacing w:after="0" w:line="148" w:lineRule="exact"/>
        <w:rPr>
          <w:sz w:val="20"/>
          <w:szCs w:val="20"/>
          <w:color w:val="auto"/>
        </w:rPr>
      </w:pPr>
    </w:p>
    <w:p>
      <w:pPr>
        <w:ind w:right="180"/>
        <w:spacing w:after="0" w:line="350" w:lineRule="auto"/>
        <w:rPr>
          <w:sz w:val="20"/>
          <w:szCs w:val="20"/>
          <w:color w:val="auto"/>
        </w:rPr>
      </w:pPr>
      <w:r>
        <w:rPr>
          <w:rFonts w:ascii="Arial" w:cs="Arial" w:eastAsia="Arial" w:hAnsi="Arial"/>
          <w:sz w:val="18"/>
          <w:szCs w:val="18"/>
          <w:color w:val="auto"/>
        </w:rPr>
        <w:t>The following is a reconciliation of comparable EBITDA and comparable EBIT (our non-GAAP measures) to segmented earnings (losses) (the most directly comparable GAAP measure).</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820" w:type="dxa"/>
            <w:vAlign w:val="bottom"/>
            <w:tcBorders>
              <w:top w:val="single" w:sz="8" w:color="0D64EF"/>
            </w:tcBorders>
            <w:shd w:val="clear" w:color="auto" w:fill="D1D0CF"/>
          </w:tcPr>
          <w:p>
            <w:pPr>
              <w:spacing w:after="0"/>
              <w:rPr>
                <w:sz w:val="16"/>
                <w:szCs w:val="16"/>
                <w:color w:val="auto"/>
              </w:rPr>
            </w:pPr>
          </w:p>
        </w:tc>
        <w:tc>
          <w:tcPr>
            <w:tcW w:w="100" w:type="dxa"/>
            <w:vAlign w:val="bottom"/>
            <w:tcBorders>
              <w:top w:val="single" w:sz="8" w:color="0D64EF"/>
            </w:tcBorders>
            <w:shd w:val="clear" w:color="auto" w:fill="D1D0CF"/>
          </w:tcPr>
          <w:p>
            <w:pPr>
              <w:spacing w:after="0"/>
              <w:rPr>
                <w:sz w:val="16"/>
                <w:szCs w:val="16"/>
                <w:color w:val="auto"/>
              </w:rPr>
            </w:pPr>
          </w:p>
        </w:tc>
        <w:tc>
          <w:tcPr>
            <w:tcW w:w="2120" w:type="dxa"/>
            <w:vAlign w:val="bottom"/>
            <w:tcBorders>
              <w:top w:val="single" w:sz="8" w:color="0D64EF"/>
            </w:tcBorders>
            <w:shd w:val="clear" w:color="auto" w:fill="D1D0CF"/>
          </w:tcPr>
          <w:p>
            <w:pPr>
              <w:jc w:val="right"/>
              <w:spacing w:after="0"/>
              <w:rPr>
                <w:sz w:val="20"/>
                <w:szCs w:val="20"/>
                <w:color w:val="auto"/>
              </w:rPr>
            </w:pPr>
            <w:r>
              <w:rPr>
                <w:rFonts w:ascii="Arial" w:cs="Arial" w:eastAsia="Arial" w:hAnsi="Arial"/>
                <w:sz w:val="16"/>
                <w:szCs w:val="16"/>
                <w:b w:val="1"/>
                <w:bCs w:val="1"/>
                <w:color w:val="auto"/>
              </w:rPr>
              <w:t>three months ended</w:t>
            </w:r>
          </w:p>
        </w:tc>
        <w:tc>
          <w:tcPr>
            <w:tcW w:w="480" w:type="dxa"/>
            <w:vAlign w:val="bottom"/>
            <w:tcBorders>
              <w:top w:val="single" w:sz="8" w:color="0D64EF"/>
            </w:tcBorders>
            <w:shd w:val="clear" w:color="auto" w:fill="D1D0CF"/>
          </w:tcPr>
          <w:p>
            <w:pPr>
              <w:spacing w:after="0"/>
              <w:rPr>
                <w:sz w:val="16"/>
                <w:szCs w:val="16"/>
                <w:color w:val="auto"/>
              </w:rPr>
            </w:pPr>
          </w:p>
        </w:tc>
        <w:tc>
          <w:tcPr>
            <w:tcW w:w="100" w:type="dxa"/>
            <w:vAlign w:val="bottom"/>
            <w:tcBorders>
              <w:top w:val="single" w:sz="8" w:color="0D64EF"/>
            </w:tcBorders>
            <w:shd w:val="clear" w:color="auto" w:fill="D1D0CF"/>
          </w:tcPr>
          <w:p>
            <w:pPr>
              <w:spacing w:after="0"/>
              <w:rPr>
                <w:sz w:val="16"/>
                <w:szCs w:val="16"/>
                <w:color w:val="auto"/>
              </w:rPr>
            </w:pPr>
          </w:p>
        </w:tc>
        <w:tc>
          <w:tcPr>
            <w:tcW w:w="1980" w:type="dxa"/>
            <w:vAlign w:val="bottom"/>
            <w:tcBorders>
              <w:top w:val="single" w:sz="8" w:color="0D64EF"/>
            </w:tcBorders>
            <w:shd w:val="clear" w:color="auto" w:fill="D1D0CF"/>
          </w:tcPr>
          <w:p>
            <w:pPr>
              <w:ind w:left="860"/>
              <w:spacing w:after="0"/>
              <w:rPr>
                <w:sz w:val="20"/>
                <w:szCs w:val="20"/>
                <w:color w:val="auto"/>
              </w:rPr>
            </w:pPr>
            <w:r>
              <w:rPr>
                <w:rFonts w:ascii="Arial" w:cs="Arial" w:eastAsia="Arial" w:hAnsi="Arial"/>
                <w:sz w:val="16"/>
                <w:szCs w:val="16"/>
                <w:b w:val="1"/>
                <w:bCs w:val="1"/>
                <w:color w:val="auto"/>
              </w:rPr>
              <w:t>year ended</w:t>
            </w:r>
          </w:p>
        </w:tc>
        <w:tc>
          <w:tcPr>
            <w:tcW w:w="640" w:type="dxa"/>
            <w:vAlign w:val="bottom"/>
            <w:tcBorders>
              <w:top w:val="single" w:sz="8" w:color="0D64EF"/>
            </w:tcBorders>
            <w:shd w:val="clear" w:color="auto" w:fill="D1D0CF"/>
          </w:tcPr>
          <w:p>
            <w:pPr>
              <w:spacing w:after="0"/>
              <w:rPr>
                <w:sz w:val="16"/>
                <w:szCs w:val="16"/>
                <w:color w:val="auto"/>
              </w:rPr>
            </w:pPr>
          </w:p>
        </w:tc>
      </w:tr>
      <w:tr>
        <w:trPr>
          <w:trHeight w:val="224"/>
        </w:trPr>
        <w:tc>
          <w:tcPr>
            <w:tcW w:w="5820" w:type="dxa"/>
            <w:vAlign w:val="bottom"/>
            <w:tcBorders>
              <w:bottom w:val="single" w:sz="8" w:color="D1D0CF"/>
            </w:tcBorders>
            <w:shd w:val="clear" w:color="auto" w:fill="D1D0CF"/>
          </w:tcPr>
          <w:p>
            <w:pPr>
              <w:spacing w:after="0"/>
              <w:rPr>
                <w:sz w:val="19"/>
                <w:szCs w:val="19"/>
                <w:color w:val="auto"/>
              </w:rPr>
            </w:pPr>
          </w:p>
        </w:tc>
        <w:tc>
          <w:tcPr>
            <w:tcW w:w="100" w:type="dxa"/>
            <w:vAlign w:val="bottom"/>
            <w:tcBorders>
              <w:bottom w:val="single" w:sz="8" w:color="D1D0CF"/>
            </w:tcBorders>
            <w:shd w:val="clear" w:color="auto" w:fill="D1D0CF"/>
          </w:tcPr>
          <w:p>
            <w:pPr>
              <w:spacing w:after="0"/>
              <w:rPr>
                <w:sz w:val="19"/>
                <w:szCs w:val="19"/>
                <w:color w:val="auto"/>
              </w:rPr>
            </w:pPr>
          </w:p>
        </w:tc>
        <w:tc>
          <w:tcPr>
            <w:tcW w:w="2120" w:type="dxa"/>
            <w:vAlign w:val="bottom"/>
            <w:tcBorders>
              <w:bottom w:val="single" w:sz="8" w:color="0D64EF"/>
            </w:tcBorders>
            <w:shd w:val="clear" w:color="auto" w:fill="D1D0CF"/>
          </w:tcPr>
          <w:p>
            <w:pPr>
              <w:jc w:val="right"/>
              <w:ind w:right="239"/>
              <w:spacing w:after="0"/>
              <w:rPr>
                <w:sz w:val="20"/>
                <w:szCs w:val="20"/>
                <w:color w:val="auto"/>
              </w:rPr>
            </w:pPr>
            <w:r>
              <w:rPr>
                <w:rFonts w:ascii="Arial" w:cs="Arial" w:eastAsia="Arial" w:hAnsi="Arial"/>
                <w:sz w:val="16"/>
                <w:szCs w:val="16"/>
                <w:b w:val="1"/>
                <w:bCs w:val="1"/>
                <w:color w:val="auto"/>
              </w:rPr>
              <w:t>December 31</w:t>
            </w:r>
          </w:p>
        </w:tc>
        <w:tc>
          <w:tcPr>
            <w:tcW w:w="480" w:type="dxa"/>
            <w:vAlign w:val="bottom"/>
            <w:tcBorders>
              <w:bottom w:val="single" w:sz="8" w:color="0D64EF"/>
            </w:tcBorders>
            <w:shd w:val="clear" w:color="auto" w:fill="D1D0CF"/>
          </w:tcPr>
          <w:p>
            <w:pPr>
              <w:spacing w:after="0"/>
              <w:rPr>
                <w:sz w:val="19"/>
                <w:szCs w:val="19"/>
                <w:color w:val="auto"/>
              </w:rPr>
            </w:pPr>
          </w:p>
        </w:tc>
        <w:tc>
          <w:tcPr>
            <w:tcW w:w="100" w:type="dxa"/>
            <w:vAlign w:val="bottom"/>
            <w:tcBorders>
              <w:bottom w:val="single" w:sz="8" w:color="D1D0CF"/>
            </w:tcBorders>
            <w:shd w:val="clear" w:color="auto" w:fill="D1D0CF"/>
          </w:tcPr>
          <w:p>
            <w:pPr>
              <w:spacing w:after="0"/>
              <w:rPr>
                <w:sz w:val="19"/>
                <w:szCs w:val="19"/>
                <w:color w:val="auto"/>
              </w:rPr>
            </w:pPr>
          </w:p>
        </w:tc>
        <w:tc>
          <w:tcPr>
            <w:tcW w:w="1980" w:type="dxa"/>
            <w:vAlign w:val="bottom"/>
            <w:tcBorders>
              <w:bottom w:val="single" w:sz="8" w:color="0D64EF"/>
            </w:tcBorders>
            <w:shd w:val="clear" w:color="auto" w:fill="D1D0CF"/>
          </w:tcPr>
          <w:p>
            <w:pPr>
              <w:jc w:val="right"/>
              <w:ind w:right="79"/>
              <w:spacing w:after="0"/>
              <w:rPr>
                <w:sz w:val="20"/>
                <w:szCs w:val="20"/>
                <w:color w:val="auto"/>
              </w:rPr>
            </w:pPr>
            <w:r>
              <w:rPr>
                <w:rFonts w:ascii="Arial" w:cs="Arial" w:eastAsia="Arial" w:hAnsi="Arial"/>
                <w:sz w:val="16"/>
                <w:szCs w:val="16"/>
                <w:b w:val="1"/>
                <w:bCs w:val="1"/>
                <w:color w:val="auto"/>
              </w:rPr>
              <w:t>December 31</w:t>
            </w:r>
          </w:p>
        </w:tc>
        <w:tc>
          <w:tcPr>
            <w:tcW w:w="640" w:type="dxa"/>
            <w:vAlign w:val="bottom"/>
            <w:tcBorders>
              <w:bottom w:val="single" w:sz="8" w:color="0D64EF"/>
            </w:tcBorders>
            <w:shd w:val="clear" w:color="auto" w:fill="D1D0CF"/>
          </w:tcPr>
          <w:p>
            <w:pPr>
              <w:spacing w:after="0"/>
              <w:rPr>
                <w:sz w:val="19"/>
                <w:szCs w:val="19"/>
                <w:color w:val="auto"/>
              </w:rPr>
            </w:pPr>
          </w:p>
        </w:tc>
      </w:tr>
      <w:tr>
        <w:trPr>
          <w:trHeight w:val="226"/>
        </w:trPr>
        <w:tc>
          <w:tcPr>
            <w:tcW w:w="5820" w:type="dxa"/>
            <w:vAlign w:val="bottom"/>
            <w:tcBorders>
              <w:bottom w:val="single" w:sz="8" w:color="0D64EF"/>
            </w:tcBorders>
            <w:shd w:val="clear" w:color="auto" w:fill="D1D0CF"/>
          </w:tcPr>
          <w:p>
            <w:pPr>
              <w:ind w:left="20"/>
              <w:spacing w:after="0"/>
              <w:rPr>
                <w:sz w:val="20"/>
                <w:szCs w:val="20"/>
                <w:color w:val="auto"/>
              </w:rPr>
            </w:pPr>
            <w:r>
              <w:rPr>
                <w:rFonts w:ascii="Arial" w:cs="Arial" w:eastAsia="Arial" w:hAnsi="Arial"/>
                <w:sz w:val="16"/>
                <w:szCs w:val="16"/>
                <w:color w:val="auto"/>
              </w:rPr>
              <w:t>(millions of US$, unless otherwise noted)</w:t>
            </w:r>
          </w:p>
        </w:tc>
        <w:tc>
          <w:tcPr>
            <w:tcW w:w="100" w:type="dxa"/>
            <w:vAlign w:val="bottom"/>
            <w:tcBorders>
              <w:bottom w:val="single" w:sz="8" w:color="0D64EF"/>
            </w:tcBorders>
            <w:shd w:val="clear" w:color="auto" w:fill="D1D0CF"/>
          </w:tcPr>
          <w:p>
            <w:pPr>
              <w:spacing w:after="0"/>
              <w:rPr>
                <w:sz w:val="19"/>
                <w:szCs w:val="19"/>
                <w:color w:val="auto"/>
              </w:rPr>
            </w:pPr>
          </w:p>
        </w:tc>
        <w:tc>
          <w:tcPr>
            <w:tcW w:w="2120" w:type="dxa"/>
            <w:vAlign w:val="bottom"/>
            <w:tcBorders>
              <w:bottom w:val="single" w:sz="8" w:color="0D64EF"/>
            </w:tcBorders>
            <w:shd w:val="clear" w:color="auto" w:fill="D1D0CF"/>
          </w:tcPr>
          <w:p>
            <w:pPr>
              <w:jc w:val="right"/>
              <w:ind w:right="819"/>
              <w:spacing w:after="0"/>
              <w:rPr>
                <w:sz w:val="20"/>
                <w:szCs w:val="20"/>
                <w:color w:val="auto"/>
              </w:rPr>
            </w:pPr>
            <w:r>
              <w:rPr>
                <w:rFonts w:ascii="Arial" w:cs="Arial" w:eastAsia="Arial" w:hAnsi="Arial"/>
                <w:sz w:val="16"/>
                <w:szCs w:val="16"/>
                <w:b w:val="1"/>
                <w:bCs w:val="1"/>
                <w:color w:val="auto"/>
              </w:rPr>
              <w:t>2025</w:t>
            </w:r>
          </w:p>
        </w:tc>
        <w:tc>
          <w:tcPr>
            <w:tcW w:w="480" w:type="dxa"/>
            <w:vAlign w:val="bottom"/>
            <w:tcBorders>
              <w:bottom w:val="single" w:sz="8" w:color="0D64EF"/>
            </w:tcBorders>
            <w:shd w:val="clear" w:color="auto" w:fill="D1D0CF"/>
          </w:tcPr>
          <w:p>
            <w:pPr>
              <w:jc w:val="right"/>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bottom w:val="single" w:sz="8" w:color="0D64EF"/>
            </w:tcBorders>
            <w:shd w:val="clear" w:color="auto" w:fill="D1D0CF"/>
          </w:tcPr>
          <w:p>
            <w:pPr>
              <w:spacing w:after="0"/>
              <w:rPr>
                <w:sz w:val="19"/>
                <w:szCs w:val="19"/>
                <w:color w:val="auto"/>
              </w:rPr>
            </w:pPr>
          </w:p>
        </w:tc>
        <w:tc>
          <w:tcPr>
            <w:tcW w:w="1980" w:type="dxa"/>
            <w:vAlign w:val="bottom"/>
            <w:tcBorders>
              <w:bottom w:val="single" w:sz="8" w:color="0D64EF"/>
            </w:tcBorders>
            <w:shd w:val="clear" w:color="auto" w:fill="D1D0CF"/>
          </w:tcPr>
          <w:p>
            <w:pPr>
              <w:ind w:left="880"/>
              <w:spacing w:after="0"/>
              <w:rPr>
                <w:sz w:val="20"/>
                <w:szCs w:val="20"/>
                <w:color w:val="auto"/>
              </w:rPr>
            </w:pPr>
            <w:r>
              <w:rPr>
                <w:rFonts w:ascii="Arial" w:cs="Arial" w:eastAsia="Arial" w:hAnsi="Arial"/>
                <w:sz w:val="16"/>
                <w:szCs w:val="16"/>
                <w:b w:val="1"/>
                <w:bCs w:val="1"/>
                <w:color w:val="auto"/>
              </w:rPr>
              <w:t>2025</w:t>
            </w:r>
          </w:p>
        </w:tc>
        <w:tc>
          <w:tcPr>
            <w:tcW w:w="640" w:type="dxa"/>
            <w:vAlign w:val="bottom"/>
            <w:tcBorders>
              <w:bottom w:val="single" w:sz="8" w:color="0D64EF"/>
            </w:tcBorders>
            <w:shd w:val="clear" w:color="auto" w:fill="D1D0CF"/>
          </w:tcPr>
          <w:p>
            <w:pPr>
              <w:jc w:val="right"/>
              <w:spacing w:after="0"/>
              <w:rPr>
                <w:sz w:val="20"/>
                <w:szCs w:val="20"/>
                <w:color w:val="auto"/>
              </w:rPr>
            </w:pPr>
            <w:r>
              <w:rPr>
                <w:rFonts w:ascii="Arial" w:cs="Arial" w:eastAsia="Arial" w:hAnsi="Arial"/>
                <w:sz w:val="16"/>
                <w:szCs w:val="16"/>
                <w:b w:val="1"/>
                <w:bCs w:val="1"/>
                <w:color w:val="auto"/>
              </w:rPr>
              <w:t>2024</w:t>
            </w:r>
          </w:p>
        </w:tc>
      </w:tr>
      <w:tr>
        <w:trPr>
          <w:trHeight w:val="266"/>
        </w:trPr>
        <w:tc>
          <w:tcPr>
            <w:tcW w:w="5820" w:type="dxa"/>
            <w:vAlign w:val="bottom"/>
          </w:tcPr>
          <w:p>
            <w:pPr>
              <w:ind w:left="20"/>
              <w:spacing w:after="0"/>
              <w:rPr>
                <w:sz w:val="20"/>
                <w:szCs w:val="20"/>
                <w:color w:val="auto"/>
              </w:rPr>
            </w:pPr>
            <w:r>
              <w:rPr>
                <w:rFonts w:ascii="Arial" w:cs="Arial" w:eastAsia="Arial" w:hAnsi="Arial"/>
                <w:sz w:val="16"/>
                <w:szCs w:val="16"/>
                <w:color w:val="auto"/>
              </w:rPr>
              <w:t>Columbia Gas</w:t>
            </w:r>
            <w:r>
              <w:rPr>
                <w:rFonts w:ascii="Arial" w:cs="Arial" w:eastAsia="Arial" w:hAnsi="Arial"/>
                <w:sz w:val="21"/>
                <w:szCs w:val="21"/>
                <w:color w:val="auto"/>
                <w:vertAlign w:val="superscript"/>
              </w:rPr>
              <w:t>1</w:t>
            </w:r>
          </w:p>
        </w:tc>
        <w:tc>
          <w:tcPr>
            <w:tcW w:w="2220" w:type="dxa"/>
            <w:vAlign w:val="bottom"/>
            <w:gridSpan w:val="2"/>
          </w:tcPr>
          <w:p>
            <w:pPr>
              <w:jc w:val="right"/>
              <w:ind w:right="859"/>
              <w:spacing w:after="0"/>
              <w:rPr>
                <w:sz w:val="20"/>
                <w:szCs w:val="20"/>
                <w:color w:val="auto"/>
              </w:rPr>
            </w:pPr>
            <w:r>
              <w:rPr>
                <w:rFonts w:ascii="Arial" w:cs="Arial" w:eastAsia="Arial" w:hAnsi="Arial"/>
                <w:sz w:val="16"/>
                <w:szCs w:val="16"/>
                <w:b w:val="1"/>
                <w:bCs w:val="1"/>
                <w:color w:val="auto"/>
              </w:rPr>
              <w:t>503</w:t>
            </w:r>
          </w:p>
        </w:tc>
        <w:tc>
          <w:tcPr>
            <w:tcW w:w="480" w:type="dxa"/>
            <w:vAlign w:val="bottom"/>
          </w:tcPr>
          <w:p>
            <w:pPr>
              <w:jc w:val="right"/>
              <w:spacing w:after="0"/>
              <w:rPr>
                <w:sz w:val="20"/>
                <w:szCs w:val="20"/>
                <w:color w:val="auto"/>
              </w:rPr>
            </w:pPr>
            <w:r>
              <w:rPr>
                <w:rFonts w:ascii="Arial" w:cs="Arial" w:eastAsia="Arial" w:hAnsi="Arial"/>
                <w:sz w:val="16"/>
                <w:szCs w:val="16"/>
                <w:color w:val="auto"/>
              </w:rPr>
              <w:t>424</w:t>
            </w:r>
          </w:p>
        </w:tc>
        <w:tc>
          <w:tcPr>
            <w:tcW w:w="100" w:type="dxa"/>
            <w:vAlign w:val="bottom"/>
          </w:tcPr>
          <w:p>
            <w:pPr>
              <w:spacing w:after="0"/>
              <w:rPr>
                <w:sz w:val="23"/>
                <w:szCs w:val="23"/>
                <w:color w:val="auto"/>
              </w:rPr>
            </w:pPr>
          </w:p>
        </w:tc>
        <w:tc>
          <w:tcPr>
            <w:tcW w:w="1980" w:type="dxa"/>
            <w:vAlign w:val="bottom"/>
          </w:tcPr>
          <w:p>
            <w:pPr>
              <w:jc w:val="right"/>
              <w:ind w:right="719"/>
              <w:spacing w:after="0"/>
              <w:rPr>
                <w:sz w:val="20"/>
                <w:szCs w:val="20"/>
                <w:color w:val="auto"/>
              </w:rPr>
            </w:pPr>
            <w:r>
              <w:rPr>
                <w:rFonts w:ascii="Arial" w:cs="Arial" w:eastAsia="Arial" w:hAnsi="Arial"/>
                <w:sz w:val="16"/>
                <w:szCs w:val="16"/>
                <w:b w:val="1"/>
                <w:bCs w:val="1"/>
                <w:color w:val="auto"/>
              </w:rPr>
              <w:t>1,803</w:t>
            </w:r>
          </w:p>
        </w:tc>
        <w:tc>
          <w:tcPr>
            <w:tcW w:w="640" w:type="dxa"/>
            <w:vAlign w:val="bottom"/>
          </w:tcPr>
          <w:p>
            <w:pPr>
              <w:jc w:val="right"/>
              <w:spacing w:after="0"/>
              <w:rPr>
                <w:sz w:val="20"/>
                <w:szCs w:val="20"/>
                <w:color w:val="auto"/>
              </w:rPr>
            </w:pPr>
            <w:r>
              <w:rPr>
                <w:rFonts w:ascii="Arial" w:cs="Arial" w:eastAsia="Arial" w:hAnsi="Arial"/>
                <w:sz w:val="16"/>
                <w:szCs w:val="16"/>
                <w:color w:val="auto"/>
              </w:rPr>
              <w:t>1,600</w:t>
            </w:r>
          </w:p>
        </w:tc>
      </w:tr>
      <w:tr>
        <w:trPr>
          <w:trHeight w:val="223"/>
        </w:trPr>
        <w:tc>
          <w:tcPr>
            <w:tcW w:w="5820" w:type="dxa"/>
            <w:vAlign w:val="bottom"/>
          </w:tcPr>
          <w:p>
            <w:pPr>
              <w:ind w:left="20"/>
              <w:spacing w:after="0"/>
              <w:rPr>
                <w:sz w:val="20"/>
                <w:szCs w:val="20"/>
                <w:color w:val="auto"/>
              </w:rPr>
            </w:pPr>
            <w:r>
              <w:rPr>
                <w:rFonts w:ascii="Arial" w:cs="Arial" w:eastAsia="Arial" w:hAnsi="Arial"/>
                <w:sz w:val="16"/>
                <w:szCs w:val="16"/>
                <w:color w:val="auto"/>
              </w:rPr>
              <w:t>ANR</w:t>
            </w:r>
          </w:p>
        </w:tc>
        <w:tc>
          <w:tcPr>
            <w:tcW w:w="2220" w:type="dxa"/>
            <w:vAlign w:val="bottom"/>
            <w:gridSpan w:val="2"/>
          </w:tcPr>
          <w:p>
            <w:pPr>
              <w:jc w:val="right"/>
              <w:ind w:right="859"/>
              <w:spacing w:after="0"/>
              <w:rPr>
                <w:sz w:val="20"/>
                <w:szCs w:val="20"/>
                <w:color w:val="auto"/>
              </w:rPr>
            </w:pPr>
            <w:r>
              <w:rPr>
                <w:rFonts w:ascii="Arial" w:cs="Arial" w:eastAsia="Arial" w:hAnsi="Arial"/>
                <w:sz w:val="16"/>
                <w:szCs w:val="16"/>
                <w:b w:val="1"/>
                <w:bCs w:val="1"/>
                <w:color w:val="auto"/>
              </w:rPr>
              <w:t>185</w:t>
            </w:r>
          </w:p>
        </w:tc>
        <w:tc>
          <w:tcPr>
            <w:tcW w:w="480" w:type="dxa"/>
            <w:vAlign w:val="bottom"/>
          </w:tcPr>
          <w:p>
            <w:pPr>
              <w:jc w:val="right"/>
              <w:spacing w:after="0"/>
              <w:rPr>
                <w:sz w:val="20"/>
                <w:szCs w:val="20"/>
                <w:color w:val="auto"/>
              </w:rPr>
            </w:pPr>
            <w:r>
              <w:rPr>
                <w:rFonts w:ascii="Arial" w:cs="Arial" w:eastAsia="Arial" w:hAnsi="Arial"/>
                <w:sz w:val="16"/>
                <w:szCs w:val="16"/>
                <w:color w:val="auto"/>
              </w:rPr>
              <w:t>178</w:t>
            </w:r>
          </w:p>
        </w:tc>
        <w:tc>
          <w:tcPr>
            <w:tcW w:w="100" w:type="dxa"/>
            <w:vAlign w:val="bottom"/>
          </w:tcPr>
          <w:p>
            <w:pPr>
              <w:spacing w:after="0"/>
              <w:rPr>
                <w:sz w:val="19"/>
                <w:szCs w:val="19"/>
                <w:color w:val="auto"/>
              </w:rPr>
            </w:pPr>
          </w:p>
        </w:tc>
        <w:tc>
          <w:tcPr>
            <w:tcW w:w="1980" w:type="dxa"/>
            <w:vAlign w:val="bottom"/>
          </w:tcPr>
          <w:p>
            <w:pPr>
              <w:jc w:val="right"/>
              <w:ind w:right="719"/>
              <w:spacing w:after="0"/>
              <w:rPr>
                <w:sz w:val="20"/>
                <w:szCs w:val="20"/>
                <w:color w:val="auto"/>
              </w:rPr>
            </w:pPr>
            <w:r>
              <w:rPr>
                <w:rFonts w:ascii="Arial" w:cs="Arial" w:eastAsia="Arial" w:hAnsi="Arial"/>
                <w:sz w:val="16"/>
                <w:szCs w:val="16"/>
                <w:b w:val="1"/>
                <w:bCs w:val="1"/>
                <w:color w:val="auto"/>
              </w:rPr>
              <w:t>651</w:t>
            </w:r>
          </w:p>
        </w:tc>
        <w:tc>
          <w:tcPr>
            <w:tcW w:w="640" w:type="dxa"/>
            <w:vAlign w:val="bottom"/>
          </w:tcPr>
          <w:p>
            <w:pPr>
              <w:jc w:val="right"/>
              <w:spacing w:after="0"/>
              <w:rPr>
                <w:sz w:val="20"/>
                <w:szCs w:val="20"/>
                <w:color w:val="auto"/>
              </w:rPr>
            </w:pPr>
            <w:r>
              <w:rPr>
                <w:rFonts w:ascii="Arial" w:cs="Arial" w:eastAsia="Arial" w:hAnsi="Arial"/>
                <w:sz w:val="16"/>
                <w:szCs w:val="16"/>
                <w:color w:val="auto"/>
              </w:rPr>
              <w:t>642</w:t>
            </w:r>
          </w:p>
        </w:tc>
      </w:tr>
      <w:tr>
        <w:trPr>
          <w:trHeight w:val="236"/>
        </w:trPr>
        <w:tc>
          <w:tcPr>
            <w:tcW w:w="5820" w:type="dxa"/>
            <w:vAlign w:val="bottom"/>
          </w:tcPr>
          <w:p>
            <w:pPr>
              <w:ind w:left="20"/>
              <w:spacing w:after="0" w:line="236" w:lineRule="exact"/>
              <w:rPr>
                <w:sz w:val="20"/>
                <w:szCs w:val="20"/>
                <w:color w:val="auto"/>
              </w:rPr>
            </w:pPr>
            <w:r>
              <w:rPr>
                <w:rFonts w:ascii="Arial" w:cs="Arial" w:eastAsia="Arial" w:hAnsi="Arial"/>
                <w:sz w:val="16"/>
                <w:szCs w:val="16"/>
                <w:color w:val="auto"/>
              </w:rPr>
              <w:t>Columbia Gulf</w:t>
            </w:r>
            <w:r>
              <w:rPr>
                <w:rFonts w:ascii="Arial" w:cs="Arial" w:eastAsia="Arial" w:hAnsi="Arial"/>
                <w:sz w:val="21"/>
                <w:szCs w:val="21"/>
                <w:color w:val="auto"/>
                <w:vertAlign w:val="superscript"/>
              </w:rPr>
              <w:t>1</w:t>
            </w:r>
          </w:p>
        </w:tc>
        <w:tc>
          <w:tcPr>
            <w:tcW w:w="2220" w:type="dxa"/>
            <w:vAlign w:val="bottom"/>
            <w:gridSpan w:val="2"/>
          </w:tcPr>
          <w:p>
            <w:pPr>
              <w:jc w:val="right"/>
              <w:ind w:right="859"/>
              <w:spacing w:after="0"/>
              <w:rPr>
                <w:sz w:val="20"/>
                <w:szCs w:val="20"/>
                <w:color w:val="auto"/>
              </w:rPr>
            </w:pPr>
            <w:r>
              <w:rPr>
                <w:rFonts w:ascii="Arial" w:cs="Arial" w:eastAsia="Arial" w:hAnsi="Arial"/>
                <w:sz w:val="16"/>
                <w:szCs w:val="16"/>
                <w:b w:val="1"/>
                <w:bCs w:val="1"/>
                <w:color w:val="auto"/>
              </w:rPr>
              <w:t>59</w:t>
            </w:r>
          </w:p>
        </w:tc>
        <w:tc>
          <w:tcPr>
            <w:tcW w:w="480" w:type="dxa"/>
            <w:vAlign w:val="bottom"/>
          </w:tcPr>
          <w:p>
            <w:pPr>
              <w:jc w:val="right"/>
              <w:spacing w:after="0"/>
              <w:rPr>
                <w:sz w:val="20"/>
                <w:szCs w:val="20"/>
                <w:color w:val="auto"/>
              </w:rPr>
            </w:pPr>
            <w:r>
              <w:rPr>
                <w:rFonts w:ascii="Arial" w:cs="Arial" w:eastAsia="Arial" w:hAnsi="Arial"/>
                <w:sz w:val="16"/>
                <w:szCs w:val="16"/>
                <w:color w:val="auto"/>
              </w:rPr>
              <w:t>57</w:t>
            </w:r>
          </w:p>
        </w:tc>
        <w:tc>
          <w:tcPr>
            <w:tcW w:w="100" w:type="dxa"/>
            <w:vAlign w:val="bottom"/>
          </w:tcPr>
          <w:p>
            <w:pPr>
              <w:spacing w:after="0"/>
              <w:rPr>
                <w:sz w:val="20"/>
                <w:szCs w:val="20"/>
                <w:color w:val="auto"/>
              </w:rPr>
            </w:pPr>
          </w:p>
        </w:tc>
        <w:tc>
          <w:tcPr>
            <w:tcW w:w="1980" w:type="dxa"/>
            <w:vAlign w:val="bottom"/>
          </w:tcPr>
          <w:p>
            <w:pPr>
              <w:jc w:val="right"/>
              <w:ind w:right="719"/>
              <w:spacing w:after="0"/>
              <w:rPr>
                <w:sz w:val="20"/>
                <w:szCs w:val="20"/>
                <w:color w:val="auto"/>
              </w:rPr>
            </w:pPr>
            <w:r>
              <w:rPr>
                <w:rFonts w:ascii="Arial" w:cs="Arial" w:eastAsia="Arial" w:hAnsi="Arial"/>
                <w:sz w:val="16"/>
                <w:szCs w:val="16"/>
                <w:b w:val="1"/>
                <w:bCs w:val="1"/>
                <w:color w:val="auto"/>
              </w:rPr>
              <w:t>235</w:t>
            </w:r>
          </w:p>
        </w:tc>
        <w:tc>
          <w:tcPr>
            <w:tcW w:w="640" w:type="dxa"/>
            <w:vAlign w:val="bottom"/>
          </w:tcPr>
          <w:p>
            <w:pPr>
              <w:jc w:val="right"/>
              <w:spacing w:after="0"/>
              <w:rPr>
                <w:sz w:val="20"/>
                <w:szCs w:val="20"/>
                <w:color w:val="auto"/>
              </w:rPr>
            </w:pPr>
            <w:r>
              <w:rPr>
                <w:rFonts w:ascii="Arial" w:cs="Arial" w:eastAsia="Arial" w:hAnsi="Arial"/>
                <w:sz w:val="16"/>
                <w:szCs w:val="16"/>
                <w:color w:val="auto"/>
              </w:rPr>
              <w:t>235</w:t>
            </w:r>
          </w:p>
        </w:tc>
      </w:tr>
      <w:tr>
        <w:trPr>
          <w:trHeight w:val="223"/>
        </w:trPr>
        <w:tc>
          <w:tcPr>
            <w:tcW w:w="5820" w:type="dxa"/>
            <w:vAlign w:val="bottom"/>
          </w:tcPr>
          <w:p>
            <w:pPr>
              <w:ind w:left="20"/>
              <w:spacing w:after="0"/>
              <w:rPr>
                <w:sz w:val="20"/>
                <w:szCs w:val="20"/>
                <w:color w:val="auto"/>
              </w:rPr>
            </w:pPr>
            <w:r>
              <w:rPr>
                <w:rFonts w:ascii="Arial" w:cs="Arial" w:eastAsia="Arial" w:hAnsi="Arial"/>
                <w:sz w:val="16"/>
                <w:szCs w:val="16"/>
                <w:color w:val="auto"/>
              </w:rPr>
              <w:t>Great Lakes</w:t>
            </w:r>
          </w:p>
        </w:tc>
        <w:tc>
          <w:tcPr>
            <w:tcW w:w="2220" w:type="dxa"/>
            <w:vAlign w:val="bottom"/>
            <w:gridSpan w:val="2"/>
          </w:tcPr>
          <w:p>
            <w:pPr>
              <w:jc w:val="right"/>
              <w:ind w:right="859"/>
              <w:spacing w:after="0"/>
              <w:rPr>
                <w:sz w:val="20"/>
                <w:szCs w:val="20"/>
                <w:color w:val="auto"/>
              </w:rPr>
            </w:pPr>
            <w:r>
              <w:rPr>
                <w:rFonts w:ascii="Arial" w:cs="Arial" w:eastAsia="Arial" w:hAnsi="Arial"/>
                <w:sz w:val="16"/>
                <w:szCs w:val="16"/>
                <w:b w:val="1"/>
                <w:bCs w:val="1"/>
                <w:color w:val="auto"/>
              </w:rPr>
              <w:t>49</w:t>
            </w:r>
          </w:p>
        </w:tc>
        <w:tc>
          <w:tcPr>
            <w:tcW w:w="480" w:type="dxa"/>
            <w:vAlign w:val="bottom"/>
          </w:tcPr>
          <w:p>
            <w:pPr>
              <w:jc w:val="right"/>
              <w:spacing w:after="0"/>
              <w:rPr>
                <w:sz w:val="20"/>
                <w:szCs w:val="20"/>
                <w:color w:val="auto"/>
              </w:rPr>
            </w:pPr>
            <w:r>
              <w:rPr>
                <w:rFonts w:ascii="Arial" w:cs="Arial" w:eastAsia="Arial" w:hAnsi="Arial"/>
                <w:sz w:val="16"/>
                <w:szCs w:val="16"/>
                <w:color w:val="auto"/>
              </w:rPr>
              <w:t>56</w:t>
            </w:r>
          </w:p>
        </w:tc>
        <w:tc>
          <w:tcPr>
            <w:tcW w:w="100" w:type="dxa"/>
            <w:vAlign w:val="bottom"/>
          </w:tcPr>
          <w:p>
            <w:pPr>
              <w:spacing w:after="0"/>
              <w:rPr>
                <w:sz w:val="19"/>
                <w:szCs w:val="19"/>
                <w:color w:val="auto"/>
              </w:rPr>
            </w:pPr>
          </w:p>
        </w:tc>
        <w:tc>
          <w:tcPr>
            <w:tcW w:w="1980" w:type="dxa"/>
            <w:vAlign w:val="bottom"/>
          </w:tcPr>
          <w:p>
            <w:pPr>
              <w:jc w:val="right"/>
              <w:ind w:right="719"/>
              <w:spacing w:after="0"/>
              <w:rPr>
                <w:sz w:val="20"/>
                <w:szCs w:val="20"/>
                <w:color w:val="auto"/>
              </w:rPr>
            </w:pPr>
            <w:r>
              <w:rPr>
                <w:rFonts w:ascii="Arial" w:cs="Arial" w:eastAsia="Arial" w:hAnsi="Arial"/>
                <w:sz w:val="16"/>
                <w:szCs w:val="16"/>
                <w:b w:val="1"/>
                <w:bCs w:val="1"/>
                <w:color w:val="auto"/>
              </w:rPr>
              <w:t>191</w:t>
            </w:r>
          </w:p>
        </w:tc>
        <w:tc>
          <w:tcPr>
            <w:tcW w:w="640" w:type="dxa"/>
            <w:vAlign w:val="bottom"/>
          </w:tcPr>
          <w:p>
            <w:pPr>
              <w:jc w:val="right"/>
              <w:spacing w:after="0"/>
              <w:rPr>
                <w:sz w:val="20"/>
                <w:szCs w:val="20"/>
                <w:color w:val="auto"/>
              </w:rPr>
            </w:pPr>
            <w:r>
              <w:rPr>
                <w:rFonts w:ascii="Arial" w:cs="Arial" w:eastAsia="Arial" w:hAnsi="Arial"/>
                <w:sz w:val="16"/>
                <w:szCs w:val="16"/>
                <w:color w:val="auto"/>
              </w:rPr>
              <w:t>204</w:t>
            </w:r>
          </w:p>
        </w:tc>
      </w:tr>
      <w:tr>
        <w:trPr>
          <w:trHeight w:val="229"/>
        </w:trPr>
        <w:tc>
          <w:tcPr>
            <w:tcW w:w="5820" w:type="dxa"/>
            <w:vAlign w:val="bottom"/>
          </w:tcPr>
          <w:p>
            <w:pPr>
              <w:ind w:left="20"/>
              <w:spacing w:after="0"/>
              <w:rPr>
                <w:sz w:val="20"/>
                <w:szCs w:val="20"/>
                <w:color w:val="auto"/>
              </w:rPr>
            </w:pPr>
            <w:r>
              <w:rPr>
                <w:rFonts w:ascii="Arial" w:cs="Arial" w:eastAsia="Arial" w:hAnsi="Arial"/>
                <w:sz w:val="16"/>
                <w:szCs w:val="16"/>
                <w:color w:val="auto"/>
              </w:rPr>
              <w:t>GTN</w:t>
            </w:r>
          </w:p>
        </w:tc>
        <w:tc>
          <w:tcPr>
            <w:tcW w:w="2220" w:type="dxa"/>
            <w:vAlign w:val="bottom"/>
            <w:gridSpan w:val="2"/>
          </w:tcPr>
          <w:p>
            <w:pPr>
              <w:jc w:val="right"/>
              <w:ind w:right="859"/>
              <w:spacing w:after="0"/>
              <w:rPr>
                <w:sz w:val="20"/>
                <w:szCs w:val="20"/>
                <w:color w:val="auto"/>
              </w:rPr>
            </w:pPr>
            <w:r>
              <w:rPr>
                <w:rFonts w:ascii="Arial" w:cs="Arial" w:eastAsia="Arial" w:hAnsi="Arial"/>
                <w:sz w:val="16"/>
                <w:szCs w:val="16"/>
                <w:b w:val="1"/>
                <w:bCs w:val="1"/>
                <w:color w:val="auto"/>
              </w:rPr>
              <w:t>76</w:t>
            </w:r>
          </w:p>
        </w:tc>
        <w:tc>
          <w:tcPr>
            <w:tcW w:w="480" w:type="dxa"/>
            <w:vAlign w:val="bottom"/>
          </w:tcPr>
          <w:p>
            <w:pPr>
              <w:jc w:val="right"/>
              <w:spacing w:after="0"/>
              <w:rPr>
                <w:sz w:val="20"/>
                <w:szCs w:val="20"/>
                <w:color w:val="auto"/>
              </w:rPr>
            </w:pPr>
            <w:r>
              <w:rPr>
                <w:rFonts w:ascii="Arial" w:cs="Arial" w:eastAsia="Arial" w:hAnsi="Arial"/>
                <w:sz w:val="16"/>
                <w:szCs w:val="16"/>
                <w:color w:val="auto"/>
              </w:rPr>
              <w:t>50</w:t>
            </w:r>
          </w:p>
        </w:tc>
        <w:tc>
          <w:tcPr>
            <w:tcW w:w="100" w:type="dxa"/>
            <w:vAlign w:val="bottom"/>
          </w:tcPr>
          <w:p>
            <w:pPr>
              <w:spacing w:after="0"/>
              <w:rPr>
                <w:sz w:val="19"/>
                <w:szCs w:val="19"/>
                <w:color w:val="auto"/>
              </w:rPr>
            </w:pPr>
          </w:p>
        </w:tc>
        <w:tc>
          <w:tcPr>
            <w:tcW w:w="1980" w:type="dxa"/>
            <w:vAlign w:val="bottom"/>
          </w:tcPr>
          <w:p>
            <w:pPr>
              <w:jc w:val="right"/>
              <w:ind w:right="719"/>
              <w:spacing w:after="0"/>
              <w:rPr>
                <w:sz w:val="20"/>
                <w:szCs w:val="20"/>
                <w:color w:val="auto"/>
              </w:rPr>
            </w:pPr>
            <w:r>
              <w:rPr>
                <w:rFonts w:ascii="Arial" w:cs="Arial" w:eastAsia="Arial" w:hAnsi="Arial"/>
                <w:sz w:val="16"/>
                <w:szCs w:val="16"/>
                <w:b w:val="1"/>
                <w:bCs w:val="1"/>
                <w:color w:val="auto"/>
              </w:rPr>
              <w:t>263</w:t>
            </w:r>
          </w:p>
        </w:tc>
        <w:tc>
          <w:tcPr>
            <w:tcW w:w="640" w:type="dxa"/>
            <w:vAlign w:val="bottom"/>
          </w:tcPr>
          <w:p>
            <w:pPr>
              <w:jc w:val="right"/>
              <w:spacing w:after="0"/>
              <w:rPr>
                <w:sz w:val="20"/>
                <w:szCs w:val="20"/>
                <w:color w:val="auto"/>
              </w:rPr>
            </w:pPr>
            <w:r>
              <w:rPr>
                <w:rFonts w:ascii="Arial" w:cs="Arial" w:eastAsia="Arial" w:hAnsi="Arial"/>
                <w:sz w:val="16"/>
                <w:szCs w:val="16"/>
                <w:color w:val="auto"/>
              </w:rPr>
              <w:t>188</w:t>
            </w:r>
          </w:p>
        </w:tc>
      </w:tr>
      <w:tr>
        <w:trPr>
          <w:trHeight w:val="236"/>
        </w:trPr>
        <w:tc>
          <w:tcPr>
            <w:tcW w:w="5820" w:type="dxa"/>
            <w:vAlign w:val="bottom"/>
          </w:tcPr>
          <w:p>
            <w:pPr>
              <w:ind w:left="20"/>
              <w:spacing w:after="0" w:line="236" w:lineRule="exact"/>
              <w:rPr>
                <w:sz w:val="20"/>
                <w:szCs w:val="20"/>
                <w:color w:val="auto"/>
              </w:rPr>
            </w:pPr>
            <w:r>
              <w:rPr>
                <w:rFonts w:ascii="Arial" w:cs="Arial" w:eastAsia="Arial" w:hAnsi="Arial"/>
                <w:sz w:val="16"/>
                <w:szCs w:val="16"/>
                <w:color w:val="auto"/>
              </w:rPr>
              <w:t>PNGTS</w:t>
            </w:r>
            <w:r>
              <w:rPr>
                <w:rFonts w:ascii="Arial" w:cs="Arial" w:eastAsia="Arial" w:hAnsi="Arial"/>
                <w:sz w:val="21"/>
                <w:szCs w:val="21"/>
                <w:color w:val="auto"/>
                <w:vertAlign w:val="superscript"/>
              </w:rPr>
              <w:t>1,2</w:t>
            </w:r>
          </w:p>
        </w:tc>
        <w:tc>
          <w:tcPr>
            <w:tcW w:w="100" w:type="dxa"/>
            <w:vAlign w:val="bottom"/>
          </w:tcPr>
          <w:p>
            <w:pPr>
              <w:spacing w:after="0"/>
              <w:rPr>
                <w:sz w:val="20"/>
                <w:szCs w:val="20"/>
                <w:color w:val="auto"/>
              </w:rPr>
            </w:pPr>
          </w:p>
        </w:tc>
        <w:tc>
          <w:tcPr>
            <w:tcW w:w="2120" w:type="dxa"/>
            <w:vAlign w:val="bottom"/>
          </w:tcPr>
          <w:p>
            <w:pPr>
              <w:jc w:val="right"/>
              <w:ind w:right="859"/>
              <w:spacing w:after="0"/>
              <w:rPr>
                <w:sz w:val="20"/>
                <w:szCs w:val="20"/>
                <w:color w:val="auto"/>
              </w:rPr>
            </w:pPr>
            <w:r>
              <w:rPr>
                <w:rFonts w:ascii="Arial" w:cs="Arial" w:eastAsia="Arial" w:hAnsi="Arial"/>
                <w:sz w:val="16"/>
                <w:szCs w:val="16"/>
                <w:b w:val="1"/>
                <w:bCs w:val="1"/>
                <w:color w:val="auto"/>
              </w:rPr>
              <w:t>—</w:t>
            </w:r>
          </w:p>
        </w:tc>
        <w:tc>
          <w:tcPr>
            <w:tcW w:w="5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980" w:type="dxa"/>
            <w:vAlign w:val="bottom"/>
          </w:tcPr>
          <w:p>
            <w:pPr>
              <w:jc w:val="right"/>
              <w:ind w:right="719"/>
              <w:spacing w:after="0"/>
              <w:rPr>
                <w:sz w:val="20"/>
                <w:szCs w:val="20"/>
                <w:color w:val="auto"/>
              </w:rPr>
            </w:pPr>
            <w:r>
              <w:rPr>
                <w:rFonts w:ascii="Arial" w:cs="Arial" w:eastAsia="Arial" w:hAnsi="Arial"/>
                <w:sz w:val="16"/>
                <w:szCs w:val="16"/>
                <w:b w:val="1"/>
                <w:bCs w:val="1"/>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66</w:t>
            </w:r>
          </w:p>
        </w:tc>
      </w:tr>
      <w:tr>
        <w:trPr>
          <w:trHeight w:val="230"/>
        </w:trPr>
        <w:tc>
          <w:tcPr>
            <w:tcW w:w="5820" w:type="dxa"/>
            <w:vAlign w:val="bottom"/>
            <w:tcBorders>
              <w:bottom w:val="single" w:sz="8" w:color="auto"/>
            </w:tcBorders>
          </w:tcPr>
          <w:p>
            <w:pPr>
              <w:ind w:left="20"/>
              <w:spacing w:after="0" w:line="230" w:lineRule="exact"/>
              <w:rPr>
                <w:sz w:val="20"/>
                <w:szCs w:val="20"/>
                <w:color w:val="auto"/>
              </w:rPr>
            </w:pPr>
            <w:r>
              <w:rPr>
                <w:rFonts w:ascii="Arial" w:cs="Arial" w:eastAsia="Arial" w:hAnsi="Arial"/>
                <w:sz w:val="16"/>
                <w:szCs w:val="16"/>
                <w:color w:val="auto"/>
              </w:rPr>
              <w:t>Other U.S. pipelines</w:t>
            </w:r>
            <w:r>
              <w:rPr>
                <w:rFonts w:ascii="Arial" w:cs="Arial" w:eastAsia="Arial" w:hAnsi="Arial"/>
                <w:sz w:val="21"/>
                <w:szCs w:val="21"/>
                <w:color w:val="auto"/>
                <w:vertAlign w:val="superscript"/>
              </w:rPr>
              <w:t>3</w:t>
            </w:r>
          </w:p>
        </w:tc>
        <w:tc>
          <w:tcPr>
            <w:tcW w:w="2220" w:type="dxa"/>
            <w:vAlign w:val="bottom"/>
            <w:tcBorders>
              <w:bottom w:val="single" w:sz="8" w:color="auto"/>
            </w:tcBorders>
            <w:gridSpan w:val="2"/>
          </w:tcPr>
          <w:p>
            <w:pPr>
              <w:jc w:val="right"/>
              <w:ind w:right="859"/>
              <w:spacing w:after="0"/>
              <w:rPr>
                <w:sz w:val="20"/>
                <w:szCs w:val="20"/>
                <w:color w:val="auto"/>
              </w:rPr>
            </w:pPr>
            <w:r>
              <w:rPr>
                <w:rFonts w:ascii="Arial" w:cs="Arial" w:eastAsia="Arial" w:hAnsi="Arial"/>
                <w:sz w:val="16"/>
                <w:szCs w:val="16"/>
                <w:b w:val="1"/>
                <w:bCs w:val="1"/>
                <w:color w:val="auto"/>
              </w:rPr>
              <w:t>124</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w:t>
            </w:r>
          </w:p>
        </w:tc>
        <w:tc>
          <w:tcPr>
            <w:tcW w:w="10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tcPr>
          <w:p>
            <w:pPr>
              <w:jc w:val="right"/>
              <w:ind w:right="719"/>
              <w:spacing w:after="0"/>
              <w:rPr>
                <w:sz w:val="20"/>
                <w:szCs w:val="20"/>
                <w:color w:val="auto"/>
              </w:rPr>
            </w:pPr>
            <w:r>
              <w:rPr>
                <w:rFonts w:ascii="Arial" w:cs="Arial" w:eastAsia="Arial" w:hAnsi="Arial"/>
                <w:sz w:val="16"/>
                <w:szCs w:val="16"/>
                <w:b w:val="1"/>
                <w:bCs w:val="1"/>
                <w:color w:val="auto"/>
              </w:rPr>
              <w:t>363</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359</w:t>
            </w:r>
          </w:p>
        </w:tc>
      </w:tr>
      <w:tr>
        <w:trPr>
          <w:trHeight w:val="216"/>
        </w:trPr>
        <w:tc>
          <w:tcPr>
            <w:tcW w:w="5820" w:type="dxa"/>
            <w:vAlign w:val="bottom"/>
          </w:tcPr>
          <w:p>
            <w:pPr>
              <w:ind w:left="20"/>
              <w:spacing w:after="0"/>
              <w:rPr>
                <w:sz w:val="20"/>
                <w:szCs w:val="20"/>
                <w:color w:val="auto"/>
              </w:rPr>
            </w:pPr>
            <w:r>
              <w:rPr>
                <w:rFonts w:ascii="Arial" w:cs="Arial" w:eastAsia="Arial" w:hAnsi="Arial"/>
                <w:sz w:val="16"/>
                <w:szCs w:val="16"/>
                <w:b w:val="1"/>
                <w:bCs w:val="1"/>
                <w:color w:val="0D64EF"/>
              </w:rPr>
              <w:t>Comparable EBITDA</w:t>
            </w:r>
          </w:p>
        </w:tc>
        <w:tc>
          <w:tcPr>
            <w:tcW w:w="2220" w:type="dxa"/>
            <w:vAlign w:val="bottom"/>
            <w:gridSpan w:val="2"/>
          </w:tcPr>
          <w:p>
            <w:pPr>
              <w:jc w:val="right"/>
              <w:ind w:right="859"/>
              <w:spacing w:after="0"/>
              <w:rPr>
                <w:sz w:val="20"/>
                <w:szCs w:val="20"/>
                <w:color w:val="auto"/>
              </w:rPr>
            </w:pPr>
            <w:r>
              <w:rPr>
                <w:rFonts w:ascii="Arial" w:cs="Arial" w:eastAsia="Arial" w:hAnsi="Arial"/>
                <w:sz w:val="16"/>
                <w:szCs w:val="16"/>
                <w:b w:val="1"/>
                <w:bCs w:val="1"/>
                <w:color w:val="auto"/>
              </w:rPr>
              <w:t>996</w:t>
            </w:r>
          </w:p>
        </w:tc>
        <w:tc>
          <w:tcPr>
            <w:tcW w:w="480" w:type="dxa"/>
            <w:vAlign w:val="bottom"/>
          </w:tcPr>
          <w:p>
            <w:pPr>
              <w:jc w:val="right"/>
              <w:spacing w:after="0"/>
              <w:rPr>
                <w:sz w:val="20"/>
                <w:szCs w:val="20"/>
                <w:color w:val="auto"/>
              </w:rPr>
            </w:pPr>
            <w:r>
              <w:rPr>
                <w:rFonts w:ascii="Arial" w:cs="Arial" w:eastAsia="Arial" w:hAnsi="Arial"/>
                <w:sz w:val="16"/>
                <w:szCs w:val="16"/>
                <w:color w:val="auto"/>
              </w:rPr>
              <w:t>859</w:t>
            </w:r>
          </w:p>
        </w:tc>
        <w:tc>
          <w:tcPr>
            <w:tcW w:w="100" w:type="dxa"/>
            <w:vAlign w:val="bottom"/>
          </w:tcPr>
          <w:p>
            <w:pPr>
              <w:spacing w:after="0"/>
              <w:rPr>
                <w:sz w:val="18"/>
                <w:szCs w:val="18"/>
                <w:color w:val="auto"/>
              </w:rPr>
            </w:pPr>
          </w:p>
        </w:tc>
        <w:tc>
          <w:tcPr>
            <w:tcW w:w="1980" w:type="dxa"/>
            <w:vAlign w:val="bottom"/>
          </w:tcPr>
          <w:p>
            <w:pPr>
              <w:jc w:val="right"/>
              <w:ind w:right="719"/>
              <w:spacing w:after="0"/>
              <w:rPr>
                <w:sz w:val="20"/>
                <w:szCs w:val="20"/>
                <w:color w:val="auto"/>
              </w:rPr>
            </w:pPr>
            <w:r>
              <w:rPr>
                <w:rFonts w:ascii="Arial" w:cs="Arial" w:eastAsia="Arial" w:hAnsi="Arial"/>
                <w:sz w:val="16"/>
                <w:szCs w:val="16"/>
                <w:b w:val="1"/>
                <w:bCs w:val="1"/>
                <w:color w:val="auto"/>
              </w:rPr>
              <w:t>3,506</w:t>
            </w:r>
          </w:p>
        </w:tc>
        <w:tc>
          <w:tcPr>
            <w:tcW w:w="640" w:type="dxa"/>
            <w:vAlign w:val="bottom"/>
          </w:tcPr>
          <w:p>
            <w:pPr>
              <w:jc w:val="right"/>
              <w:spacing w:after="0"/>
              <w:rPr>
                <w:sz w:val="20"/>
                <w:szCs w:val="20"/>
                <w:color w:val="auto"/>
              </w:rPr>
            </w:pPr>
            <w:r>
              <w:rPr>
                <w:rFonts w:ascii="Arial" w:cs="Arial" w:eastAsia="Arial" w:hAnsi="Arial"/>
                <w:sz w:val="16"/>
                <w:szCs w:val="16"/>
                <w:color w:val="auto"/>
              </w:rPr>
              <w:t>3,294</w:t>
            </w:r>
          </w:p>
        </w:tc>
      </w:tr>
      <w:tr>
        <w:trPr>
          <w:trHeight w:val="233"/>
        </w:trPr>
        <w:tc>
          <w:tcPr>
            <w:tcW w:w="58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Depreciation and amortization</w:t>
            </w:r>
          </w:p>
        </w:tc>
        <w:tc>
          <w:tcPr>
            <w:tcW w:w="2220" w:type="dxa"/>
            <w:vAlign w:val="bottom"/>
            <w:tcBorders>
              <w:bottom w:val="single" w:sz="8" w:color="auto"/>
            </w:tcBorders>
            <w:gridSpan w:val="2"/>
          </w:tcPr>
          <w:p>
            <w:pPr>
              <w:jc w:val="right"/>
              <w:ind w:right="819"/>
              <w:spacing w:after="0"/>
              <w:rPr>
                <w:sz w:val="20"/>
                <w:szCs w:val="20"/>
                <w:color w:val="auto"/>
              </w:rPr>
            </w:pPr>
            <w:r>
              <w:rPr>
                <w:rFonts w:ascii="Arial" w:cs="Arial" w:eastAsia="Arial" w:hAnsi="Arial"/>
                <w:sz w:val="16"/>
                <w:szCs w:val="16"/>
                <w:b w:val="1"/>
                <w:bCs w:val="1"/>
                <w:color w:val="auto"/>
              </w:rPr>
              <w:t>(194)</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(175)</w:t>
            </w:r>
          </w:p>
        </w:tc>
        <w:tc>
          <w:tcPr>
            <w:tcW w:w="10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tcPr>
          <w:p>
            <w:pPr>
              <w:ind w:left="860"/>
              <w:spacing w:after="0"/>
              <w:rPr>
                <w:sz w:val="20"/>
                <w:szCs w:val="20"/>
                <w:color w:val="auto"/>
              </w:rPr>
            </w:pPr>
            <w:r>
              <w:rPr>
                <w:rFonts w:ascii="Arial" w:cs="Arial" w:eastAsia="Arial" w:hAnsi="Arial"/>
                <w:sz w:val="16"/>
                <w:szCs w:val="16"/>
                <w:b w:val="1"/>
                <w:bCs w:val="1"/>
                <w:color w:val="auto"/>
              </w:rPr>
              <w:t>(743)</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(697)</w:t>
            </w:r>
          </w:p>
        </w:tc>
      </w:tr>
      <w:tr>
        <w:trPr>
          <w:trHeight w:val="220"/>
        </w:trPr>
        <w:tc>
          <w:tcPr>
            <w:tcW w:w="5820" w:type="dxa"/>
            <w:vAlign w:val="bottom"/>
          </w:tcPr>
          <w:p>
            <w:pPr>
              <w:ind w:left="20"/>
              <w:spacing w:after="0"/>
              <w:rPr>
                <w:sz w:val="20"/>
                <w:szCs w:val="20"/>
                <w:color w:val="auto"/>
              </w:rPr>
            </w:pPr>
            <w:r>
              <w:rPr>
                <w:rFonts w:ascii="Arial" w:cs="Arial" w:eastAsia="Arial" w:hAnsi="Arial"/>
                <w:sz w:val="16"/>
                <w:szCs w:val="16"/>
                <w:b w:val="1"/>
                <w:bCs w:val="1"/>
                <w:color w:val="0D64EF"/>
              </w:rPr>
              <w:t>Comparable EBIT</w:t>
            </w:r>
          </w:p>
        </w:tc>
        <w:tc>
          <w:tcPr>
            <w:tcW w:w="2220" w:type="dxa"/>
            <w:vAlign w:val="bottom"/>
            <w:gridSpan w:val="2"/>
          </w:tcPr>
          <w:p>
            <w:pPr>
              <w:jc w:val="right"/>
              <w:ind w:right="859"/>
              <w:spacing w:after="0"/>
              <w:rPr>
                <w:sz w:val="20"/>
                <w:szCs w:val="20"/>
                <w:color w:val="auto"/>
              </w:rPr>
            </w:pPr>
            <w:r>
              <w:rPr>
                <w:rFonts w:ascii="Arial" w:cs="Arial" w:eastAsia="Arial" w:hAnsi="Arial"/>
                <w:sz w:val="16"/>
                <w:szCs w:val="16"/>
                <w:b w:val="1"/>
                <w:bCs w:val="1"/>
                <w:color w:val="auto"/>
              </w:rPr>
              <w:t>802</w:t>
            </w:r>
          </w:p>
        </w:tc>
        <w:tc>
          <w:tcPr>
            <w:tcW w:w="480" w:type="dxa"/>
            <w:vAlign w:val="bottom"/>
          </w:tcPr>
          <w:p>
            <w:pPr>
              <w:jc w:val="right"/>
              <w:spacing w:after="0"/>
              <w:rPr>
                <w:sz w:val="20"/>
                <w:szCs w:val="20"/>
                <w:color w:val="auto"/>
              </w:rPr>
            </w:pPr>
            <w:r>
              <w:rPr>
                <w:rFonts w:ascii="Arial" w:cs="Arial" w:eastAsia="Arial" w:hAnsi="Arial"/>
                <w:sz w:val="16"/>
                <w:szCs w:val="16"/>
                <w:color w:val="auto"/>
              </w:rPr>
              <w:t>684</w:t>
            </w:r>
          </w:p>
        </w:tc>
        <w:tc>
          <w:tcPr>
            <w:tcW w:w="100" w:type="dxa"/>
            <w:vAlign w:val="bottom"/>
          </w:tcPr>
          <w:p>
            <w:pPr>
              <w:spacing w:after="0"/>
              <w:rPr>
                <w:sz w:val="19"/>
                <w:szCs w:val="19"/>
                <w:color w:val="auto"/>
              </w:rPr>
            </w:pPr>
          </w:p>
        </w:tc>
        <w:tc>
          <w:tcPr>
            <w:tcW w:w="1980" w:type="dxa"/>
            <w:vAlign w:val="bottom"/>
          </w:tcPr>
          <w:p>
            <w:pPr>
              <w:jc w:val="right"/>
              <w:ind w:right="719"/>
              <w:spacing w:after="0"/>
              <w:rPr>
                <w:sz w:val="20"/>
                <w:szCs w:val="20"/>
                <w:color w:val="auto"/>
              </w:rPr>
            </w:pPr>
            <w:r>
              <w:rPr>
                <w:rFonts w:ascii="Arial" w:cs="Arial" w:eastAsia="Arial" w:hAnsi="Arial"/>
                <w:sz w:val="16"/>
                <w:szCs w:val="16"/>
                <w:b w:val="1"/>
                <w:bCs w:val="1"/>
                <w:color w:val="auto"/>
              </w:rPr>
              <w:t>2,763</w:t>
            </w:r>
          </w:p>
        </w:tc>
        <w:tc>
          <w:tcPr>
            <w:tcW w:w="640" w:type="dxa"/>
            <w:vAlign w:val="bottom"/>
          </w:tcPr>
          <w:p>
            <w:pPr>
              <w:jc w:val="right"/>
              <w:spacing w:after="0"/>
              <w:rPr>
                <w:sz w:val="20"/>
                <w:szCs w:val="20"/>
                <w:color w:val="auto"/>
              </w:rPr>
            </w:pPr>
            <w:r>
              <w:rPr>
                <w:rFonts w:ascii="Arial" w:cs="Arial" w:eastAsia="Arial" w:hAnsi="Arial"/>
                <w:sz w:val="16"/>
                <w:szCs w:val="16"/>
                <w:color w:val="auto"/>
              </w:rPr>
              <w:t>2,597</w:t>
            </w:r>
          </w:p>
        </w:tc>
      </w:tr>
      <w:tr>
        <w:trPr>
          <w:trHeight w:val="233"/>
        </w:trPr>
        <w:tc>
          <w:tcPr>
            <w:tcW w:w="58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Foreign exchange impact</w:t>
            </w:r>
          </w:p>
        </w:tc>
        <w:tc>
          <w:tcPr>
            <w:tcW w:w="2220" w:type="dxa"/>
            <w:vAlign w:val="bottom"/>
            <w:tcBorders>
              <w:bottom w:val="single" w:sz="8" w:color="auto"/>
            </w:tcBorders>
            <w:gridSpan w:val="2"/>
          </w:tcPr>
          <w:p>
            <w:pPr>
              <w:jc w:val="right"/>
              <w:ind w:right="859"/>
              <w:spacing w:after="0"/>
              <w:rPr>
                <w:sz w:val="20"/>
                <w:szCs w:val="20"/>
                <w:color w:val="auto"/>
              </w:rPr>
            </w:pPr>
            <w:r>
              <w:rPr>
                <w:rFonts w:ascii="Arial" w:cs="Arial" w:eastAsia="Arial" w:hAnsi="Arial"/>
                <w:sz w:val="16"/>
                <w:szCs w:val="16"/>
                <w:b w:val="1"/>
                <w:bCs w:val="1"/>
                <w:color w:val="auto"/>
              </w:rPr>
              <w:t>316</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271</w:t>
            </w:r>
          </w:p>
        </w:tc>
        <w:tc>
          <w:tcPr>
            <w:tcW w:w="10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tcPr>
          <w:p>
            <w:pPr>
              <w:jc w:val="right"/>
              <w:ind w:right="719"/>
              <w:spacing w:after="0"/>
              <w:rPr>
                <w:sz w:val="20"/>
                <w:szCs w:val="20"/>
                <w:color w:val="auto"/>
              </w:rPr>
            </w:pPr>
            <w:r>
              <w:rPr>
                <w:rFonts w:ascii="Arial" w:cs="Arial" w:eastAsia="Arial" w:hAnsi="Arial"/>
                <w:sz w:val="16"/>
                <w:szCs w:val="16"/>
                <w:b w:val="1"/>
                <w:bCs w:val="1"/>
                <w:color w:val="auto"/>
              </w:rPr>
              <w:t>1,106</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959</w:t>
            </w:r>
          </w:p>
        </w:tc>
      </w:tr>
      <w:tr>
        <w:trPr>
          <w:trHeight w:val="220"/>
        </w:trPr>
        <w:tc>
          <w:tcPr>
            <w:tcW w:w="5820" w:type="dxa"/>
            <w:vAlign w:val="bottom"/>
          </w:tcPr>
          <w:p>
            <w:pPr>
              <w:ind w:left="20"/>
              <w:spacing w:after="0"/>
              <w:rPr>
                <w:sz w:val="20"/>
                <w:szCs w:val="20"/>
                <w:color w:val="auto"/>
              </w:rPr>
            </w:pPr>
            <w:r>
              <w:rPr>
                <w:rFonts w:ascii="Arial" w:cs="Arial" w:eastAsia="Arial" w:hAnsi="Arial"/>
                <w:sz w:val="16"/>
                <w:szCs w:val="16"/>
                <w:b w:val="1"/>
                <w:bCs w:val="1"/>
                <w:color w:val="0D64EF"/>
              </w:rPr>
              <w:t xml:space="preserve">Comparable EBIT </w:t>
            </w:r>
            <w:r>
              <w:rPr>
                <w:rFonts w:ascii="Arial" w:cs="Arial" w:eastAsia="Arial" w:hAnsi="Arial"/>
                <w:sz w:val="16"/>
                <w:szCs w:val="16"/>
                <w:color w:val="000000"/>
              </w:rPr>
              <w:t>(Cdn$)</w:t>
            </w:r>
          </w:p>
        </w:tc>
        <w:tc>
          <w:tcPr>
            <w:tcW w:w="2220" w:type="dxa"/>
            <w:vAlign w:val="bottom"/>
            <w:gridSpan w:val="2"/>
          </w:tcPr>
          <w:p>
            <w:pPr>
              <w:jc w:val="right"/>
              <w:ind w:right="859"/>
              <w:spacing w:after="0"/>
              <w:rPr>
                <w:sz w:val="20"/>
                <w:szCs w:val="20"/>
                <w:color w:val="auto"/>
              </w:rPr>
            </w:pPr>
            <w:r>
              <w:rPr>
                <w:rFonts w:ascii="Arial" w:cs="Arial" w:eastAsia="Arial" w:hAnsi="Arial"/>
                <w:sz w:val="16"/>
                <w:szCs w:val="16"/>
                <w:b w:val="1"/>
                <w:bCs w:val="1"/>
                <w:color w:val="auto"/>
              </w:rPr>
              <w:t>1,118</w:t>
            </w:r>
          </w:p>
        </w:tc>
        <w:tc>
          <w:tcPr>
            <w:tcW w:w="480" w:type="dxa"/>
            <w:vAlign w:val="bottom"/>
          </w:tcPr>
          <w:p>
            <w:pPr>
              <w:jc w:val="right"/>
              <w:spacing w:after="0"/>
              <w:rPr>
                <w:sz w:val="20"/>
                <w:szCs w:val="20"/>
                <w:color w:val="auto"/>
              </w:rPr>
            </w:pPr>
            <w:r>
              <w:rPr>
                <w:rFonts w:ascii="Arial" w:cs="Arial" w:eastAsia="Arial" w:hAnsi="Arial"/>
                <w:sz w:val="16"/>
                <w:szCs w:val="16"/>
                <w:color w:val="auto"/>
              </w:rPr>
              <w:t>955</w:t>
            </w:r>
          </w:p>
        </w:tc>
        <w:tc>
          <w:tcPr>
            <w:tcW w:w="100" w:type="dxa"/>
            <w:vAlign w:val="bottom"/>
          </w:tcPr>
          <w:p>
            <w:pPr>
              <w:spacing w:after="0"/>
              <w:rPr>
                <w:sz w:val="19"/>
                <w:szCs w:val="19"/>
                <w:color w:val="auto"/>
              </w:rPr>
            </w:pPr>
          </w:p>
        </w:tc>
        <w:tc>
          <w:tcPr>
            <w:tcW w:w="1980" w:type="dxa"/>
            <w:vAlign w:val="bottom"/>
          </w:tcPr>
          <w:p>
            <w:pPr>
              <w:jc w:val="right"/>
              <w:ind w:right="719"/>
              <w:spacing w:after="0"/>
              <w:rPr>
                <w:sz w:val="20"/>
                <w:szCs w:val="20"/>
                <w:color w:val="auto"/>
              </w:rPr>
            </w:pPr>
            <w:r>
              <w:rPr>
                <w:rFonts w:ascii="Arial" w:cs="Arial" w:eastAsia="Arial" w:hAnsi="Arial"/>
                <w:sz w:val="16"/>
                <w:szCs w:val="16"/>
                <w:b w:val="1"/>
                <w:bCs w:val="1"/>
                <w:color w:val="auto"/>
              </w:rPr>
              <w:t>3,869</w:t>
            </w:r>
          </w:p>
        </w:tc>
        <w:tc>
          <w:tcPr>
            <w:tcW w:w="640" w:type="dxa"/>
            <w:vAlign w:val="bottom"/>
          </w:tcPr>
          <w:p>
            <w:pPr>
              <w:jc w:val="right"/>
              <w:spacing w:after="0"/>
              <w:rPr>
                <w:sz w:val="20"/>
                <w:szCs w:val="20"/>
                <w:color w:val="auto"/>
              </w:rPr>
            </w:pPr>
            <w:r>
              <w:rPr>
                <w:rFonts w:ascii="Arial" w:cs="Arial" w:eastAsia="Arial" w:hAnsi="Arial"/>
                <w:sz w:val="16"/>
                <w:szCs w:val="16"/>
                <w:color w:val="auto"/>
              </w:rPr>
              <w:t>3,556</w:t>
            </w:r>
          </w:p>
        </w:tc>
      </w:tr>
      <w:tr>
        <w:trPr>
          <w:trHeight w:val="221"/>
        </w:trPr>
        <w:tc>
          <w:tcPr>
            <w:tcW w:w="5820" w:type="dxa"/>
            <w:vAlign w:val="bottom"/>
          </w:tcPr>
          <w:p>
            <w:pPr>
              <w:ind w:left="20"/>
              <w:spacing w:after="0"/>
              <w:rPr>
                <w:sz w:val="20"/>
                <w:szCs w:val="20"/>
                <w:color w:val="auto"/>
              </w:rPr>
            </w:pPr>
            <w:r>
              <w:rPr>
                <w:rFonts w:ascii="Arial" w:cs="Arial" w:eastAsia="Arial" w:hAnsi="Arial"/>
                <w:sz w:val="16"/>
                <w:szCs w:val="16"/>
                <w:color w:val="auto"/>
              </w:rPr>
              <w:t>Specific items:</w:t>
            </w:r>
          </w:p>
        </w:tc>
        <w:tc>
          <w:tcPr>
            <w:tcW w:w="10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38"/>
        </w:trPr>
        <w:tc>
          <w:tcPr>
            <w:tcW w:w="5820" w:type="dxa"/>
            <w:vAlign w:val="bottom"/>
          </w:tcPr>
          <w:p>
            <w:pPr>
              <w:ind w:left="140"/>
              <w:spacing w:after="0"/>
              <w:rPr>
                <w:sz w:val="20"/>
                <w:szCs w:val="20"/>
                <w:color w:val="auto"/>
              </w:rPr>
            </w:pPr>
            <w:r>
              <w:rPr>
                <w:rFonts w:ascii="Arial" w:cs="Arial" w:eastAsia="Arial" w:hAnsi="Arial"/>
                <w:sz w:val="16"/>
                <w:szCs w:val="16"/>
                <w:color w:val="auto"/>
              </w:rPr>
              <w:t>Gain on sale of PNGTS</w:t>
            </w:r>
          </w:p>
        </w:tc>
        <w:tc>
          <w:tcPr>
            <w:tcW w:w="100" w:type="dxa"/>
            <w:vAlign w:val="bottom"/>
          </w:tcPr>
          <w:p>
            <w:pPr>
              <w:spacing w:after="0"/>
              <w:rPr>
                <w:sz w:val="20"/>
                <w:szCs w:val="20"/>
                <w:color w:val="auto"/>
              </w:rPr>
            </w:pPr>
          </w:p>
        </w:tc>
        <w:tc>
          <w:tcPr>
            <w:tcW w:w="2120" w:type="dxa"/>
            <w:vAlign w:val="bottom"/>
          </w:tcPr>
          <w:p>
            <w:pPr>
              <w:jc w:val="right"/>
              <w:ind w:right="859"/>
              <w:spacing w:after="0"/>
              <w:rPr>
                <w:sz w:val="20"/>
                <w:szCs w:val="20"/>
                <w:color w:val="auto"/>
              </w:rPr>
            </w:pPr>
            <w:r>
              <w:rPr>
                <w:rFonts w:ascii="Arial" w:cs="Arial" w:eastAsia="Arial" w:hAnsi="Arial"/>
                <w:sz w:val="16"/>
                <w:szCs w:val="16"/>
                <w:b w:val="1"/>
                <w:bCs w:val="1"/>
                <w:color w:val="auto"/>
              </w:rPr>
              <w:t>—</w:t>
            </w:r>
          </w:p>
        </w:tc>
        <w:tc>
          <w:tcPr>
            <w:tcW w:w="5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980" w:type="dxa"/>
            <w:vAlign w:val="bottom"/>
          </w:tcPr>
          <w:p>
            <w:pPr>
              <w:jc w:val="right"/>
              <w:ind w:right="719"/>
              <w:spacing w:after="0"/>
              <w:rPr>
                <w:sz w:val="20"/>
                <w:szCs w:val="20"/>
                <w:color w:val="auto"/>
              </w:rPr>
            </w:pPr>
            <w:r>
              <w:rPr>
                <w:rFonts w:ascii="Arial" w:cs="Arial" w:eastAsia="Arial" w:hAnsi="Arial"/>
                <w:sz w:val="16"/>
                <w:szCs w:val="16"/>
                <w:b w:val="1"/>
                <w:bCs w:val="1"/>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572</w:t>
            </w:r>
          </w:p>
        </w:tc>
      </w:tr>
      <w:tr>
        <w:trPr>
          <w:trHeight w:val="230"/>
        </w:trPr>
        <w:tc>
          <w:tcPr>
            <w:tcW w:w="5820" w:type="dxa"/>
            <w:vAlign w:val="bottom"/>
          </w:tcPr>
          <w:p>
            <w:pPr>
              <w:ind w:left="140"/>
              <w:spacing w:after="0"/>
              <w:rPr>
                <w:sz w:val="20"/>
                <w:szCs w:val="20"/>
                <w:color w:val="auto"/>
              </w:rPr>
            </w:pPr>
            <w:r>
              <w:rPr>
                <w:rFonts w:ascii="Arial" w:cs="Arial" w:eastAsia="Arial" w:hAnsi="Arial"/>
                <w:sz w:val="16"/>
                <w:szCs w:val="16"/>
                <w:color w:val="auto"/>
              </w:rPr>
              <w:t>Gain on sale of non-core assets</w:t>
            </w:r>
          </w:p>
        </w:tc>
        <w:tc>
          <w:tcPr>
            <w:tcW w:w="100" w:type="dxa"/>
            <w:vAlign w:val="bottom"/>
          </w:tcPr>
          <w:p>
            <w:pPr>
              <w:spacing w:after="0"/>
              <w:rPr>
                <w:sz w:val="19"/>
                <w:szCs w:val="19"/>
                <w:color w:val="auto"/>
              </w:rPr>
            </w:pPr>
          </w:p>
        </w:tc>
        <w:tc>
          <w:tcPr>
            <w:tcW w:w="2120" w:type="dxa"/>
            <w:vAlign w:val="bottom"/>
          </w:tcPr>
          <w:p>
            <w:pPr>
              <w:jc w:val="right"/>
              <w:ind w:right="859"/>
              <w:spacing w:after="0"/>
              <w:rPr>
                <w:sz w:val="20"/>
                <w:szCs w:val="20"/>
                <w:color w:val="auto"/>
              </w:rPr>
            </w:pPr>
            <w:r>
              <w:rPr>
                <w:rFonts w:ascii="Arial" w:cs="Arial" w:eastAsia="Arial" w:hAnsi="Arial"/>
                <w:sz w:val="16"/>
                <w:szCs w:val="16"/>
                <w:b w:val="1"/>
                <w:bCs w:val="1"/>
                <w:color w:val="auto"/>
              </w:rPr>
              <w:t>—</w:t>
            </w:r>
          </w:p>
        </w:tc>
        <w:tc>
          <w:tcPr>
            <w:tcW w:w="5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980" w:type="dxa"/>
            <w:vAlign w:val="bottom"/>
          </w:tcPr>
          <w:p>
            <w:pPr>
              <w:jc w:val="right"/>
              <w:ind w:right="719"/>
              <w:spacing w:after="0"/>
              <w:rPr>
                <w:sz w:val="20"/>
                <w:szCs w:val="20"/>
                <w:color w:val="auto"/>
              </w:rPr>
            </w:pPr>
            <w:r>
              <w:rPr>
                <w:rFonts w:ascii="Arial" w:cs="Arial" w:eastAsia="Arial" w:hAnsi="Arial"/>
                <w:sz w:val="16"/>
                <w:szCs w:val="16"/>
                <w:b w:val="1"/>
                <w:bCs w:val="1"/>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38</w:t>
            </w:r>
          </w:p>
        </w:tc>
      </w:tr>
      <w:tr>
        <w:trPr>
          <w:trHeight w:val="233"/>
        </w:trPr>
        <w:tc>
          <w:tcPr>
            <w:tcW w:w="582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Risk management activities</w:t>
            </w:r>
          </w:p>
        </w:tc>
        <w:tc>
          <w:tcPr>
            <w:tcW w:w="2220" w:type="dxa"/>
            <w:vAlign w:val="bottom"/>
            <w:tcBorders>
              <w:bottom w:val="single" w:sz="8" w:color="auto"/>
            </w:tcBorders>
            <w:gridSpan w:val="2"/>
          </w:tcPr>
          <w:p>
            <w:pPr>
              <w:jc w:val="right"/>
              <w:ind w:right="819"/>
              <w:spacing w:after="0"/>
              <w:rPr>
                <w:sz w:val="20"/>
                <w:szCs w:val="20"/>
                <w:color w:val="auto"/>
              </w:rPr>
            </w:pPr>
            <w:r>
              <w:rPr>
                <w:rFonts w:ascii="Arial" w:cs="Arial" w:eastAsia="Arial" w:hAnsi="Arial"/>
                <w:sz w:val="16"/>
                <w:szCs w:val="16"/>
                <w:b w:val="1"/>
                <w:bCs w:val="1"/>
                <w:color w:val="auto"/>
              </w:rPr>
              <w:t>(8)</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w:t>
            </w:r>
          </w:p>
        </w:tc>
        <w:tc>
          <w:tcPr>
            <w:tcW w:w="10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tcPr>
          <w:p>
            <w:pPr>
              <w:jc w:val="right"/>
              <w:ind w:right="719"/>
              <w:spacing w:after="0"/>
              <w:rPr>
                <w:sz w:val="20"/>
                <w:szCs w:val="20"/>
                <w:color w:val="auto"/>
              </w:rPr>
            </w:pPr>
            <w:r>
              <w:rPr>
                <w:rFonts w:ascii="Arial" w:cs="Arial" w:eastAsia="Arial" w:hAnsi="Arial"/>
                <w:sz w:val="16"/>
                <w:szCs w:val="16"/>
                <w:b w:val="1"/>
                <w:bCs w:val="1"/>
                <w:color w:val="auto"/>
              </w:rPr>
              <w:t>58</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w:t>
            </w:r>
          </w:p>
        </w:tc>
      </w:tr>
      <w:tr>
        <w:trPr>
          <w:trHeight w:val="223"/>
        </w:trPr>
        <w:tc>
          <w:tcPr>
            <w:tcW w:w="58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0D64EF"/>
              </w:rPr>
              <w:t xml:space="preserve">Segmented earnings (losses) </w:t>
            </w:r>
            <w:r>
              <w:rPr>
                <w:rFonts w:ascii="Arial" w:cs="Arial" w:eastAsia="Arial" w:hAnsi="Arial"/>
                <w:sz w:val="16"/>
                <w:szCs w:val="16"/>
                <w:color w:val="000000"/>
              </w:rPr>
              <w:t>(Cdn$)</w:t>
            </w:r>
          </w:p>
        </w:tc>
        <w:tc>
          <w:tcPr>
            <w:tcW w:w="2220" w:type="dxa"/>
            <w:vAlign w:val="bottom"/>
            <w:tcBorders>
              <w:bottom w:val="single" w:sz="8" w:color="auto"/>
            </w:tcBorders>
            <w:gridSpan w:val="2"/>
          </w:tcPr>
          <w:p>
            <w:pPr>
              <w:jc w:val="right"/>
              <w:ind w:right="859"/>
              <w:spacing w:after="0"/>
              <w:rPr>
                <w:sz w:val="20"/>
                <w:szCs w:val="20"/>
                <w:color w:val="auto"/>
              </w:rPr>
            </w:pPr>
            <w:r>
              <w:rPr>
                <w:rFonts w:ascii="Arial" w:cs="Arial" w:eastAsia="Arial" w:hAnsi="Arial"/>
                <w:sz w:val="16"/>
                <w:szCs w:val="16"/>
                <w:b w:val="1"/>
                <w:bCs w:val="1"/>
                <w:color w:val="auto"/>
              </w:rPr>
              <w:t>1,110</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918</w:t>
            </w:r>
          </w:p>
        </w:tc>
        <w:tc>
          <w:tcPr>
            <w:tcW w:w="10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ind w:right="719"/>
              <w:spacing w:after="0"/>
              <w:rPr>
                <w:sz w:val="20"/>
                <w:szCs w:val="20"/>
                <w:color w:val="auto"/>
              </w:rPr>
            </w:pPr>
            <w:r>
              <w:rPr>
                <w:rFonts w:ascii="Arial" w:cs="Arial" w:eastAsia="Arial" w:hAnsi="Arial"/>
                <w:sz w:val="16"/>
                <w:szCs w:val="16"/>
                <w:b w:val="1"/>
                <w:bCs w:val="1"/>
                <w:color w:val="auto"/>
              </w:rPr>
              <w:t>3,927</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4,053</w:t>
            </w:r>
          </w:p>
        </w:tc>
      </w:tr>
    </w:tbl>
    <w:p>
      <w:pPr>
        <w:spacing w:after="0" w:line="166" w:lineRule="exact"/>
        <w:rPr>
          <w:sz w:val="20"/>
          <w:szCs w:val="20"/>
          <w:color w:val="auto"/>
        </w:rPr>
      </w:pPr>
    </w:p>
    <w:p>
      <w:pPr>
        <w:ind w:left="340" w:hanging="332"/>
        <w:spacing w:after="0"/>
        <w:tabs>
          <w:tab w:leader="none" w:pos="340" w:val="left"/>
        </w:tabs>
        <w:numPr>
          <w:ilvl w:val="0"/>
          <w:numId w:val="40"/>
        </w:numPr>
        <w:rPr>
          <w:rFonts w:ascii="Arial" w:cs="Arial" w:eastAsia="Arial" w:hAnsi="Arial"/>
          <w:sz w:val="14"/>
          <w:szCs w:val="14"/>
          <w:color w:val="auto"/>
        </w:rPr>
      </w:pPr>
      <w:r>
        <w:rPr>
          <w:rFonts w:ascii="Arial" w:cs="Arial" w:eastAsia="Arial" w:hAnsi="Arial"/>
          <w:sz w:val="14"/>
          <w:szCs w:val="14"/>
          <w:color w:val="auto"/>
        </w:rPr>
        <w:t>Includes non-controlling interest. Refer to the Corporate section for additional information.</w:t>
      </w:r>
    </w:p>
    <w:p>
      <w:pPr>
        <w:spacing w:after="0" w:line="41"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4"/>
          <w:szCs w:val="14"/>
          <w:color w:val="auto"/>
        </w:rPr>
        <w:t>2   The sale of PNGTS was completed in August 2024.</w:t>
      </w:r>
    </w:p>
    <w:p>
      <w:pPr>
        <w:spacing w:after="0" w:line="55" w:lineRule="exact"/>
        <w:rPr>
          <w:rFonts w:ascii="Arial" w:cs="Arial" w:eastAsia="Arial" w:hAnsi="Arial"/>
          <w:sz w:val="14"/>
          <w:szCs w:val="14"/>
          <w:color w:val="auto"/>
        </w:rPr>
      </w:pPr>
    </w:p>
    <w:p>
      <w:pPr>
        <w:ind w:left="340" w:right="60" w:hanging="324"/>
        <w:spacing w:after="0" w:line="333" w:lineRule="auto"/>
        <w:rPr>
          <w:rFonts w:ascii="Arial" w:cs="Arial" w:eastAsia="Arial" w:hAnsi="Arial"/>
          <w:sz w:val="14"/>
          <w:szCs w:val="14"/>
          <w:color w:val="auto"/>
        </w:rPr>
      </w:pPr>
      <w:r>
        <w:rPr>
          <w:rFonts w:ascii="Arial" w:cs="Arial" w:eastAsia="Arial" w:hAnsi="Arial"/>
          <w:sz w:val="14"/>
          <w:szCs w:val="14"/>
          <w:color w:val="auto"/>
        </w:rPr>
        <w:t>3 Reflects comparable EBITDA from our ownership in our mineral rights business (CEVCO), North Baja, Gillis Access, Tuscarora, Bison, Crossroads and our share of equity income from Northern Border, Iroquois, Millennium and Hardy Storage, our U.S. natural gas marketing business, as well as general and administrative and business development costs related to our U.S. natural gas pipelines.</w:t>
      </w:r>
    </w:p>
    <w:p>
      <w:pPr>
        <w:spacing w:after="0" w:line="49" w:lineRule="exact"/>
        <w:rPr>
          <w:sz w:val="20"/>
          <w:szCs w:val="20"/>
          <w:color w:val="auto"/>
        </w:rPr>
      </w:pPr>
    </w:p>
    <w:p>
      <w:pPr>
        <w:ind w:right="140"/>
        <w:spacing w:after="0" w:line="323" w:lineRule="auto"/>
        <w:rPr>
          <w:sz w:val="20"/>
          <w:szCs w:val="20"/>
          <w:color w:val="auto"/>
        </w:rPr>
      </w:pPr>
      <w:r>
        <w:rPr>
          <w:rFonts w:ascii="Arial" w:cs="Arial" w:eastAsia="Arial" w:hAnsi="Arial"/>
          <w:sz w:val="18"/>
          <w:szCs w:val="18"/>
          <w:color w:val="auto"/>
        </w:rPr>
        <w:t>U.S. Natural Gas Pipelines segmented earnings increased by $192 million for the three months ended December 31, 2025 compared to the same period in 2024 and included unrealized gains and losses from changes in the fair value of derivatives used in our U.S. natural gas marketing business which has been excluded from our calculation of comparable EBITDA and comparable EBIT.</w:t>
      </w:r>
    </w:p>
    <w:p>
      <w:pPr>
        <w:spacing w:after="0" w:line="42" w:lineRule="exact"/>
        <w:rPr>
          <w:sz w:val="20"/>
          <w:szCs w:val="20"/>
          <w:color w:val="auto"/>
        </w:rPr>
      </w:pPr>
    </w:p>
    <w:p>
      <w:pPr>
        <w:ind w:right="260"/>
        <w:spacing w:after="0" w:line="315" w:lineRule="auto"/>
        <w:rPr>
          <w:sz w:val="20"/>
          <w:szCs w:val="20"/>
          <w:color w:val="auto"/>
        </w:rPr>
      </w:pPr>
      <w:r>
        <w:rPr>
          <w:rFonts w:ascii="Arial" w:cs="Arial" w:eastAsia="Arial" w:hAnsi="Arial"/>
          <w:sz w:val="18"/>
          <w:szCs w:val="18"/>
          <w:color w:val="auto"/>
        </w:rPr>
        <w:t>A weaker U.S. dollar for the three months ended December 31, 2025 had a negative impact on the Canadian dollar equivalent segmented earnings from our U.S. dollar-denominated operations compared to the same period in 2024. Refer to the Foreign exchange section for additional information.</w:t>
      </w:r>
    </w:p>
    <w:p>
      <w:pPr>
        <w:spacing w:after="0" w:line="49" w:lineRule="exact"/>
        <w:rPr>
          <w:sz w:val="20"/>
          <w:szCs w:val="20"/>
          <w:color w:val="auto"/>
        </w:rPr>
      </w:pPr>
    </w:p>
    <w:p>
      <w:pPr>
        <w:jc w:val="both"/>
        <w:ind w:right="20"/>
        <w:spacing w:after="0" w:line="314" w:lineRule="auto"/>
        <w:rPr>
          <w:sz w:val="20"/>
          <w:szCs w:val="20"/>
          <w:color w:val="auto"/>
        </w:rPr>
      </w:pPr>
      <w:r>
        <w:rPr>
          <w:rFonts w:ascii="Arial" w:cs="Arial" w:eastAsia="Arial" w:hAnsi="Arial"/>
          <w:sz w:val="18"/>
          <w:szCs w:val="18"/>
          <w:color w:val="auto"/>
        </w:rPr>
        <w:t>Earnings from our U.S. Natural Gas Pipelines operations are generally affected by contracted volume levels, volumes delivered and the rates charged, as well as by the cost of providing services. Columbia Gas and ANR results are also affected by the contracting and pricing of their natural gas storage capacity and incidental commodity sales. Natural gas pipeline and storage volumes and revenues are generally higher in the winter months because of the seasonal nature of the business.</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7060"/>
        <w:spacing w:after="0"/>
        <w:rPr>
          <w:sz w:val="20"/>
          <w:szCs w:val="20"/>
          <w:color w:val="auto"/>
        </w:rPr>
      </w:pPr>
      <w:r>
        <w:rPr>
          <w:rFonts w:ascii="Arial" w:cs="Arial" w:eastAsia="Arial" w:hAnsi="Arial"/>
          <w:sz w:val="17"/>
          <w:szCs w:val="17"/>
          <w:color w:val="auto"/>
        </w:rPr>
        <w:t xml:space="preserve">TC Energy </w:t>
      </w:r>
      <w:r>
        <w:rPr>
          <w:rFonts w:ascii="Arial" w:cs="Arial" w:eastAsia="Arial" w:hAnsi="Arial"/>
          <w:sz w:val="17"/>
          <w:szCs w:val="17"/>
          <w:b w:val="1"/>
          <w:bCs w:val="1"/>
          <w:color w:val="0D64EF"/>
        </w:rPr>
        <w:t>Fourth Quarter</w:t>
      </w:r>
      <w:r>
        <w:rPr>
          <w:rFonts w:ascii="Arial" w:cs="Arial" w:eastAsia="Arial" w:hAnsi="Arial"/>
          <w:sz w:val="17"/>
          <w:szCs w:val="17"/>
          <w:color w:val="auto"/>
        </w:rPr>
        <w:t xml:space="preserve"> News Release 2025 | 17</w:t>
      </w:r>
    </w:p>
    <w:p>
      <w:pPr>
        <w:sectPr>
          <w:pgSz w:w="11900" w:h="16838" w:orient="portrait"/>
          <w:cols w:equalWidth="0" w:num="1">
            <w:col w:w="11240"/>
          </w:cols>
          <w:pgMar w:left="320" w:top="1359" w:right="339" w:bottom="1440" w:gutter="0" w:footer="0" w:header="0"/>
        </w:sectPr>
      </w:pPr>
    </w:p>
    <w:bookmarkStart w:id="30" w:name="page31"/>
    <w:bookmarkEnd w:id="30"/>
    <w:p>
      <w:pPr>
        <w:spacing w:after="0" w:line="297" w:lineRule="auto"/>
        <w:rPr>
          <w:sz w:val="20"/>
          <w:szCs w:val="20"/>
          <w:color w:val="auto"/>
        </w:rPr>
      </w:pPr>
      <w:r>
        <w:rPr>
          <w:rFonts w:ascii="Arial" w:cs="Arial" w:eastAsia="Arial" w:hAnsi="Arial"/>
          <w:sz w:val="18"/>
          <w:szCs w:val="18"/>
          <w:color w:val="auto"/>
        </w:rPr>
        <w:t>Comparable EBITDA for U.S. Natural Gas Pipelines increased by US$137 million for the three months ended December 31, 2025 compared to the same period in 2024 and was primarily due to the net effect of:</w:t>
      </w:r>
    </w:p>
    <w:p>
      <w:pPr>
        <w:spacing w:after="0" w:line="1" w:lineRule="exact"/>
        <w:rPr>
          <w:sz w:val="20"/>
          <w:szCs w:val="20"/>
          <w:color w:val="auto"/>
        </w:rPr>
      </w:pPr>
    </w:p>
    <w:p>
      <w:pPr>
        <w:ind w:left="140" w:hanging="132"/>
        <w:spacing w:after="0"/>
        <w:tabs>
          <w:tab w:leader="none" w:pos="1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net increase in earnings from Columbia Gas as a result of higher transportation rates effective April 1, 2025, pursuant to the Columbia</w:t>
      </w:r>
    </w:p>
    <w:p>
      <w:pPr>
        <w:spacing w:after="0" w:line="63" w:lineRule="exact"/>
        <w:rPr>
          <w:rFonts w:ascii="Arial" w:cs="Arial" w:eastAsia="Arial" w:hAnsi="Arial"/>
          <w:sz w:val="18"/>
          <w:szCs w:val="18"/>
          <w:color w:val="auto"/>
        </w:rPr>
      </w:pPr>
    </w:p>
    <w:p>
      <w:pPr>
        <w:ind w:left="180" w:right="20"/>
        <w:spacing w:after="0" w:line="297" w:lineRule="auto"/>
        <w:rPr>
          <w:rFonts w:ascii="Arial" w:cs="Arial" w:eastAsia="Arial" w:hAnsi="Arial"/>
          <w:sz w:val="18"/>
          <w:szCs w:val="18"/>
          <w:color w:val="auto"/>
        </w:rPr>
      </w:pPr>
      <w:r>
        <w:rPr>
          <w:rFonts w:ascii="Arial" w:cs="Arial" w:eastAsia="Arial" w:hAnsi="Arial"/>
          <w:sz w:val="18"/>
          <w:szCs w:val="18"/>
          <w:color w:val="auto"/>
        </w:rPr>
        <w:t>Gas Settlement. Refer to the U.S. Natural Gas Pipelines - Significant events section in the MD&amp;A of our 2025 Annual Report for additional information</w:t>
      </w:r>
    </w:p>
    <w:p>
      <w:pPr>
        <w:ind w:left="140" w:hanging="132"/>
        <w:spacing w:after="0"/>
        <w:tabs>
          <w:tab w:leader="none" w:pos="1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incremental earnings from projects placed in service, as well as increased earnings from additional contract sales on GTN</w:t>
      </w:r>
    </w:p>
    <w:p>
      <w:pPr>
        <w:spacing w:after="0" w:line="63" w:lineRule="exact"/>
        <w:rPr>
          <w:rFonts w:ascii="Arial" w:cs="Arial" w:eastAsia="Arial" w:hAnsi="Arial"/>
          <w:sz w:val="18"/>
          <w:szCs w:val="18"/>
          <w:color w:val="auto"/>
        </w:rPr>
      </w:pPr>
    </w:p>
    <w:p>
      <w:pPr>
        <w:ind w:left="140" w:hanging="132"/>
        <w:spacing w:after="0"/>
        <w:tabs>
          <w:tab w:leader="none" w:pos="1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higher realized earnings related to our U.S. natural gas marketing business primarily due to higher margins</w:t>
      </w:r>
    </w:p>
    <w:p>
      <w:pPr>
        <w:spacing w:after="0" w:line="49" w:lineRule="exact"/>
        <w:rPr>
          <w:rFonts w:ascii="Arial" w:cs="Arial" w:eastAsia="Arial" w:hAnsi="Arial"/>
          <w:sz w:val="18"/>
          <w:szCs w:val="18"/>
          <w:color w:val="auto"/>
        </w:rPr>
      </w:pPr>
    </w:p>
    <w:p>
      <w:pPr>
        <w:ind w:left="140" w:hanging="132"/>
        <w:spacing w:after="0"/>
        <w:tabs>
          <w:tab w:leader="none" w:pos="1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decreased earnings due to higher operational costs, reflective of increased system utilization across our footprint.</w:t>
      </w:r>
    </w:p>
    <w:p>
      <w:pPr>
        <w:spacing w:after="0" w:line="193" w:lineRule="exact"/>
        <w:rPr>
          <w:sz w:val="20"/>
          <w:szCs w:val="20"/>
          <w:color w:val="auto"/>
        </w:rPr>
      </w:pPr>
    </w:p>
    <w:p>
      <w:pPr>
        <w:spacing w:after="0"/>
        <w:rPr>
          <w:sz w:val="20"/>
          <w:szCs w:val="20"/>
          <w:color w:val="auto"/>
        </w:rPr>
      </w:pPr>
      <w:r>
        <w:rPr>
          <w:rFonts w:ascii="Arial" w:cs="Arial" w:eastAsia="Arial" w:hAnsi="Arial"/>
          <w:sz w:val="20"/>
          <w:szCs w:val="20"/>
          <w:b w:val="1"/>
          <w:bCs w:val="1"/>
          <w:color w:val="0D64EF"/>
        </w:rPr>
        <w:t>DEPRECIATION AND AMORTIZATION</w:t>
      </w:r>
    </w:p>
    <w:p>
      <w:pPr>
        <w:spacing w:after="0" w:line="58" w:lineRule="exact"/>
        <w:rPr>
          <w:sz w:val="20"/>
          <w:szCs w:val="20"/>
          <w:color w:val="auto"/>
        </w:rPr>
      </w:pPr>
    </w:p>
    <w:p>
      <w:pPr>
        <w:jc w:val="both"/>
        <w:ind w:right="40"/>
        <w:spacing w:after="0" w:line="323" w:lineRule="auto"/>
        <w:rPr>
          <w:sz w:val="20"/>
          <w:szCs w:val="20"/>
          <w:color w:val="auto"/>
        </w:rPr>
      </w:pPr>
      <w:r>
        <w:rPr>
          <w:rFonts w:ascii="Arial" w:cs="Arial" w:eastAsia="Arial" w:hAnsi="Arial"/>
          <w:sz w:val="18"/>
          <w:szCs w:val="18"/>
          <w:color w:val="auto"/>
        </w:rPr>
        <w:t>Depreciation and amortization increased by US$19 million for the three months ended December 31, 2025 compared to the same period in 2024 primarily due to new projects placed in service and depreciation rate changes as a result of the Columbia Gas Settlement. Refer to the U.S. Natural Gas Pipelines - Significant events section in the MD&amp;A of our 2025 Annual Report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18 | TC Energy </w:t>
      </w:r>
      <w:r>
        <w:rPr>
          <w:rFonts w:ascii="Arial" w:cs="Arial" w:eastAsia="Arial" w:hAnsi="Arial"/>
          <w:sz w:val="18"/>
          <w:szCs w:val="18"/>
          <w:b w:val="1"/>
          <w:bCs w:val="1"/>
          <w:color w:val="0D64EF"/>
        </w:rPr>
        <w:t>Fourth Quarter</w:t>
      </w:r>
      <w:r>
        <w:rPr>
          <w:rFonts w:ascii="Arial" w:cs="Arial" w:eastAsia="Arial" w:hAnsi="Arial"/>
          <w:sz w:val="18"/>
          <w:szCs w:val="18"/>
          <w:color w:val="auto"/>
        </w:rPr>
        <w:t xml:space="preserve"> News Release 2025</w:t>
      </w:r>
    </w:p>
    <w:p>
      <w:pPr>
        <w:sectPr>
          <w:pgSz w:w="11900" w:h="16838" w:orient="portrait"/>
          <w:cols w:equalWidth="0" w:num="1">
            <w:col w:w="11160"/>
          </w:cols>
          <w:pgMar w:left="320" w:top="1295" w:right="419" w:bottom="1440" w:gutter="0" w:footer="0" w:header="0"/>
        </w:sectPr>
      </w:pPr>
    </w:p>
    <w:bookmarkStart w:id="31" w:name="page32"/>
    <w:bookmarkEnd w:id="31"/>
    <w:p>
      <w:pPr>
        <w:spacing w:after="0"/>
        <w:rPr>
          <w:sz w:val="20"/>
          <w:szCs w:val="20"/>
          <w:color w:val="auto"/>
        </w:rPr>
      </w:pPr>
      <w:r>
        <w:rPr>
          <w:rFonts w:ascii="Arial" w:cs="Arial" w:eastAsia="Arial" w:hAnsi="Arial"/>
          <w:sz w:val="25"/>
          <w:szCs w:val="25"/>
          <w:color w:val="0D64EF"/>
        </w:rPr>
        <w:t>Mexico Natural Gas Pipelines</w:t>
      </w:r>
    </w:p>
    <w:p>
      <w:pPr>
        <w:spacing w:after="0" w:line="148" w:lineRule="exact"/>
        <w:rPr>
          <w:sz w:val="20"/>
          <w:szCs w:val="20"/>
          <w:color w:val="auto"/>
        </w:rPr>
      </w:pPr>
    </w:p>
    <w:p>
      <w:pPr>
        <w:ind w:right="180"/>
        <w:spacing w:after="0" w:line="350" w:lineRule="auto"/>
        <w:rPr>
          <w:sz w:val="20"/>
          <w:szCs w:val="20"/>
          <w:color w:val="auto"/>
        </w:rPr>
      </w:pPr>
      <w:r>
        <w:rPr>
          <w:rFonts w:ascii="Arial" w:cs="Arial" w:eastAsia="Arial" w:hAnsi="Arial"/>
          <w:sz w:val="18"/>
          <w:szCs w:val="18"/>
          <w:color w:val="auto"/>
        </w:rPr>
        <w:t>The following is a reconciliation of comparable EBITDA and comparable EBIT (our non-GAAP measures) to segmented earnings (losses) (the most directly comparable GAAP measure).</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820" w:type="dxa"/>
            <w:vAlign w:val="bottom"/>
            <w:tcBorders>
              <w:top w:val="single" w:sz="8" w:color="0D64EF"/>
            </w:tcBorders>
            <w:shd w:val="clear" w:color="auto" w:fill="D1D0CF"/>
          </w:tcPr>
          <w:p>
            <w:pPr>
              <w:spacing w:after="0"/>
              <w:rPr>
                <w:sz w:val="16"/>
                <w:szCs w:val="16"/>
                <w:color w:val="auto"/>
              </w:rPr>
            </w:pPr>
          </w:p>
        </w:tc>
        <w:tc>
          <w:tcPr>
            <w:tcW w:w="100" w:type="dxa"/>
            <w:vAlign w:val="bottom"/>
            <w:tcBorders>
              <w:top w:val="single" w:sz="8" w:color="0D64EF"/>
            </w:tcBorders>
            <w:shd w:val="clear" w:color="auto" w:fill="D1D0CF"/>
          </w:tcPr>
          <w:p>
            <w:pPr>
              <w:spacing w:after="0"/>
              <w:rPr>
                <w:sz w:val="16"/>
                <w:szCs w:val="16"/>
                <w:color w:val="auto"/>
              </w:rPr>
            </w:pPr>
          </w:p>
        </w:tc>
        <w:tc>
          <w:tcPr>
            <w:tcW w:w="2140" w:type="dxa"/>
            <w:vAlign w:val="bottom"/>
            <w:tcBorders>
              <w:top w:val="single" w:sz="8" w:color="0D64EF"/>
            </w:tcBorders>
            <w:shd w:val="clear" w:color="auto" w:fill="D1D0CF"/>
          </w:tcPr>
          <w:p>
            <w:pPr>
              <w:jc w:val="right"/>
              <w:spacing w:after="0"/>
              <w:rPr>
                <w:sz w:val="20"/>
                <w:szCs w:val="20"/>
                <w:color w:val="auto"/>
              </w:rPr>
            </w:pPr>
            <w:r>
              <w:rPr>
                <w:rFonts w:ascii="Arial" w:cs="Arial" w:eastAsia="Arial" w:hAnsi="Arial"/>
                <w:sz w:val="16"/>
                <w:szCs w:val="16"/>
                <w:b w:val="1"/>
                <w:bCs w:val="1"/>
                <w:color w:val="auto"/>
              </w:rPr>
              <w:t>three months ended</w:t>
            </w:r>
          </w:p>
        </w:tc>
        <w:tc>
          <w:tcPr>
            <w:tcW w:w="460" w:type="dxa"/>
            <w:vAlign w:val="bottom"/>
            <w:tcBorders>
              <w:top w:val="single" w:sz="8" w:color="0D64EF"/>
            </w:tcBorders>
            <w:shd w:val="clear" w:color="auto" w:fill="D1D0CF"/>
          </w:tcPr>
          <w:p>
            <w:pPr>
              <w:spacing w:after="0"/>
              <w:rPr>
                <w:sz w:val="16"/>
                <w:szCs w:val="16"/>
                <w:color w:val="auto"/>
              </w:rPr>
            </w:pPr>
          </w:p>
        </w:tc>
        <w:tc>
          <w:tcPr>
            <w:tcW w:w="100" w:type="dxa"/>
            <w:vAlign w:val="bottom"/>
            <w:tcBorders>
              <w:top w:val="single" w:sz="8" w:color="0D64EF"/>
            </w:tcBorders>
            <w:shd w:val="clear" w:color="auto" w:fill="D1D0CF"/>
          </w:tcPr>
          <w:p>
            <w:pPr>
              <w:spacing w:after="0"/>
              <w:rPr>
                <w:sz w:val="16"/>
                <w:szCs w:val="16"/>
                <w:color w:val="auto"/>
              </w:rPr>
            </w:pPr>
          </w:p>
        </w:tc>
        <w:tc>
          <w:tcPr>
            <w:tcW w:w="2020" w:type="dxa"/>
            <w:vAlign w:val="bottom"/>
            <w:tcBorders>
              <w:top w:val="single" w:sz="8" w:color="0D64EF"/>
            </w:tcBorders>
            <w:shd w:val="clear" w:color="auto" w:fill="D1D0CF"/>
          </w:tcPr>
          <w:p>
            <w:pPr>
              <w:jc w:val="right"/>
              <w:ind w:right="219"/>
              <w:spacing w:after="0"/>
              <w:rPr>
                <w:sz w:val="20"/>
                <w:szCs w:val="20"/>
                <w:color w:val="auto"/>
              </w:rPr>
            </w:pPr>
            <w:r>
              <w:rPr>
                <w:rFonts w:ascii="Arial" w:cs="Arial" w:eastAsia="Arial" w:hAnsi="Arial"/>
                <w:sz w:val="16"/>
                <w:szCs w:val="16"/>
                <w:b w:val="1"/>
                <w:bCs w:val="1"/>
                <w:color w:val="auto"/>
              </w:rPr>
              <w:t>year ended</w:t>
            </w:r>
          </w:p>
        </w:tc>
        <w:tc>
          <w:tcPr>
            <w:tcW w:w="600" w:type="dxa"/>
            <w:vAlign w:val="bottom"/>
            <w:tcBorders>
              <w:top w:val="single" w:sz="8" w:color="0D64EF"/>
            </w:tcBorders>
            <w:shd w:val="clear" w:color="auto" w:fill="D1D0CF"/>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5820" w:type="dxa"/>
            <w:vAlign w:val="bottom"/>
            <w:tcBorders>
              <w:bottom w:val="single" w:sz="8" w:color="D1D0CF"/>
            </w:tcBorders>
            <w:shd w:val="clear" w:color="auto" w:fill="D1D0CF"/>
          </w:tcPr>
          <w:p>
            <w:pPr>
              <w:spacing w:after="0"/>
              <w:rPr>
                <w:sz w:val="19"/>
                <w:szCs w:val="19"/>
                <w:color w:val="auto"/>
              </w:rPr>
            </w:pPr>
          </w:p>
        </w:tc>
        <w:tc>
          <w:tcPr>
            <w:tcW w:w="100" w:type="dxa"/>
            <w:vAlign w:val="bottom"/>
            <w:tcBorders>
              <w:bottom w:val="single" w:sz="8" w:color="D1D0CF"/>
            </w:tcBorders>
            <w:shd w:val="clear" w:color="auto" w:fill="D1D0CF"/>
          </w:tcPr>
          <w:p>
            <w:pPr>
              <w:spacing w:after="0"/>
              <w:rPr>
                <w:sz w:val="19"/>
                <w:szCs w:val="19"/>
                <w:color w:val="auto"/>
              </w:rPr>
            </w:pPr>
          </w:p>
        </w:tc>
        <w:tc>
          <w:tcPr>
            <w:tcW w:w="2140" w:type="dxa"/>
            <w:vAlign w:val="bottom"/>
            <w:tcBorders>
              <w:bottom w:val="single" w:sz="8" w:color="0D64EF"/>
            </w:tcBorders>
            <w:shd w:val="clear" w:color="auto" w:fill="D1D0CF"/>
          </w:tcPr>
          <w:p>
            <w:pPr>
              <w:jc w:val="right"/>
              <w:ind w:right="259"/>
              <w:spacing w:after="0"/>
              <w:rPr>
                <w:sz w:val="20"/>
                <w:szCs w:val="20"/>
                <w:color w:val="auto"/>
              </w:rPr>
            </w:pPr>
            <w:r>
              <w:rPr>
                <w:rFonts w:ascii="Arial" w:cs="Arial" w:eastAsia="Arial" w:hAnsi="Arial"/>
                <w:sz w:val="16"/>
                <w:szCs w:val="16"/>
                <w:b w:val="1"/>
                <w:bCs w:val="1"/>
                <w:color w:val="auto"/>
              </w:rPr>
              <w:t>December 31</w:t>
            </w:r>
          </w:p>
        </w:tc>
        <w:tc>
          <w:tcPr>
            <w:tcW w:w="460" w:type="dxa"/>
            <w:vAlign w:val="bottom"/>
            <w:tcBorders>
              <w:bottom w:val="single" w:sz="8" w:color="0D64EF"/>
            </w:tcBorders>
            <w:shd w:val="clear" w:color="auto" w:fill="D1D0CF"/>
          </w:tcPr>
          <w:p>
            <w:pPr>
              <w:spacing w:after="0"/>
              <w:rPr>
                <w:sz w:val="19"/>
                <w:szCs w:val="19"/>
                <w:color w:val="auto"/>
              </w:rPr>
            </w:pPr>
          </w:p>
        </w:tc>
        <w:tc>
          <w:tcPr>
            <w:tcW w:w="100" w:type="dxa"/>
            <w:vAlign w:val="bottom"/>
            <w:tcBorders>
              <w:bottom w:val="single" w:sz="8" w:color="D1D0CF"/>
            </w:tcBorders>
            <w:shd w:val="clear" w:color="auto" w:fill="D1D0CF"/>
          </w:tcPr>
          <w:p>
            <w:pPr>
              <w:spacing w:after="0"/>
              <w:rPr>
                <w:sz w:val="19"/>
                <w:szCs w:val="19"/>
                <w:color w:val="auto"/>
              </w:rPr>
            </w:pPr>
          </w:p>
        </w:tc>
        <w:tc>
          <w:tcPr>
            <w:tcW w:w="2020" w:type="dxa"/>
            <w:vAlign w:val="bottom"/>
            <w:tcBorders>
              <w:bottom w:val="single" w:sz="8" w:color="0D64EF"/>
            </w:tcBorders>
            <w:shd w:val="clear" w:color="auto" w:fill="D1D0CF"/>
          </w:tcPr>
          <w:p>
            <w:pPr>
              <w:jc w:val="right"/>
              <w:ind w:right="119"/>
              <w:spacing w:after="0"/>
              <w:rPr>
                <w:sz w:val="20"/>
                <w:szCs w:val="20"/>
                <w:color w:val="auto"/>
              </w:rPr>
            </w:pPr>
            <w:r>
              <w:rPr>
                <w:rFonts w:ascii="Arial" w:cs="Arial" w:eastAsia="Arial" w:hAnsi="Arial"/>
                <w:sz w:val="16"/>
                <w:szCs w:val="16"/>
                <w:b w:val="1"/>
                <w:bCs w:val="1"/>
                <w:color w:val="auto"/>
              </w:rPr>
              <w:t>December 31</w:t>
            </w:r>
          </w:p>
        </w:tc>
        <w:tc>
          <w:tcPr>
            <w:tcW w:w="600" w:type="dxa"/>
            <w:vAlign w:val="bottom"/>
            <w:tcBorders>
              <w:bottom w:val="single" w:sz="8" w:color="0D64EF"/>
            </w:tcBorders>
            <w:shd w:val="clear" w:color="auto" w:fill="D1D0C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820" w:type="dxa"/>
            <w:vAlign w:val="bottom"/>
            <w:tcBorders>
              <w:bottom w:val="single" w:sz="8" w:color="0D64EF"/>
            </w:tcBorders>
            <w:shd w:val="clear" w:color="auto" w:fill="D1D0CF"/>
          </w:tcPr>
          <w:p>
            <w:pPr>
              <w:ind w:left="20"/>
              <w:spacing w:after="0"/>
              <w:rPr>
                <w:sz w:val="20"/>
                <w:szCs w:val="20"/>
                <w:color w:val="auto"/>
              </w:rPr>
            </w:pPr>
            <w:r>
              <w:rPr>
                <w:rFonts w:ascii="Arial" w:cs="Arial" w:eastAsia="Arial" w:hAnsi="Arial"/>
                <w:sz w:val="16"/>
                <w:szCs w:val="16"/>
                <w:color w:val="auto"/>
              </w:rPr>
              <w:t>(millions of US$, unless otherwise noted)</w:t>
            </w:r>
          </w:p>
        </w:tc>
        <w:tc>
          <w:tcPr>
            <w:tcW w:w="100" w:type="dxa"/>
            <w:vAlign w:val="bottom"/>
            <w:tcBorders>
              <w:bottom w:val="single" w:sz="8" w:color="0D64EF"/>
            </w:tcBorders>
            <w:shd w:val="clear" w:color="auto" w:fill="D1D0CF"/>
          </w:tcPr>
          <w:p>
            <w:pPr>
              <w:spacing w:after="0"/>
              <w:rPr>
                <w:sz w:val="19"/>
                <w:szCs w:val="19"/>
                <w:color w:val="auto"/>
              </w:rPr>
            </w:pPr>
          </w:p>
        </w:tc>
        <w:tc>
          <w:tcPr>
            <w:tcW w:w="2140" w:type="dxa"/>
            <w:vAlign w:val="bottom"/>
            <w:tcBorders>
              <w:bottom w:val="single" w:sz="8" w:color="0D64EF"/>
            </w:tcBorders>
            <w:shd w:val="clear" w:color="auto" w:fill="D1D0CF"/>
          </w:tcPr>
          <w:p>
            <w:pPr>
              <w:jc w:val="right"/>
              <w:ind w:right="839"/>
              <w:spacing w:after="0"/>
              <w:rPr>
                <w:sz w:val="20"/>
                <w:szCs w:val="20"/>
                <w:color w:val="auto"/>
              </w:rPr>
            </w:pPr>
            <w:r>
              <w:rPr>
                <w:rFonts w:ascii="Arial" w:cs="Arial" w:eastAsia="Arial" w:hAnsi="Arial"/>
                <w:sz w:val="16"/>
                <w:szCs w:val="16"/>
                <w:b w:val="1"/>
                <w:bCs w:val="1"/>
                <w:color w:val="auto"/>
              </w:rPr>
              <w:t>2025</w:t>
            </w:r>
          </w:p>
        </w:tc>
        <w:tc>
          <w:tcPr>
            <w:tcW w:w="460" w:type="dxa"/>
            <w:vAlign w:val="bottom"/>
            <w:tcBorders>
              <w:bottom w:val="single" w:sz="8" w:color="0D64EF"/>
            </w:tcBorders>
            <w:shd w:val="clear" w:color="auto" w:fill="D1D0CF"/>
          </w:tcPr>
          <w:p>
            <w:pPr>
              <w:jc w:val="right"/>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bottom w:val="single" w:sz="8" w:color="0D64EF"/>
            </w:tcBorders>
            <w:shd w:val="clear" w:color="auto" w:fill="D1D0CF"/>
          </w:tcPr>
          <w:p>
            <w:pPr>
              <w:spacing w:after="0"/>
              <w:rPr>
                <w:sz w:val="19"/>
                <w:szCs w:val="19"/>
                <w:color w:val="auto"/>
              </w:rPr>
            </w:pPr>
          </w:p>
        </w:tc>
        <w:tc>
          <w:tcPr>
            <w:tcW w:w="2020" w:type="dxa"/>
            <w:vAlign w:val="bottom"/>
            <w:tcBorders>
              <w:bottom w:val="single" w:sz="8" w:color="0D64EF"/>
            </w:tcBorders>
            <w:shd w:val="clear" w:color="auto" w:fill="D1D0CF"/>
          </w:tcPr>
          <w:p>
            <w:pPr>
              <w:jc w:val="right"/>
              <w:ind w:right="699"/>
              <w:spacing w:after="0"/>
              <w:rPr>
                <w:sz w:val="20"/>
                <w:szCs w:val="20"/>
                <w:color w:val="auto"/>
              </w:rPr>
            </w:pPr>
            <w:r>
              <w:rPr>
                <w:rFonts w:ascii="Arial" w:cs="Arial" w:eastAsia="Arial" w:hAnsi="Arial"/>
                <w:sz w:val="16"/>
                <w:szCs w:val="16"/>
                <w:b w:val="1"/>
                <w:bCs w:val="1"/>
                <w:color w:val="auto"/>
              </w:rPr>
              <w:t>2025</w:t>
            </w:r>
          </w:p>
        </w:tc>
        <w:tc>
          <w:tcPr>
            <w:tcW w:w="600" w:type="dxa"/>
            <w:vAlign w:val="bottom"/>
            <w:tcBorders>
              <w:bottom w:val="single" w:sz="8" w:color="0D64EF"/>
            </w:tcBorders>
            <w:shd w:val="clear" w:color="auto" w:fill="D1D0CF"/>
          </w:tcPr>
          <w:p>
            <w:pPr>
              <w:jc w:val="right"/>
              <w:spacing w:after="0"/>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266"/>
        </w:trPr>
        <w:tc>
          <w:tcPr>
            <w:tcW w:w="5820" w:type="dxa"/>
            <w:vAlign w:val="bottom"/>
          </w:tcPr>
          <w:p>
            <w:pPr>
              <w:ind w:left="20"/>
              <w:spacing w:after="0"/>
              <w:rPr>
                <w:sz w:val="20"/>
                <w:szCs w:val="20"/>
                <w:color w:val="auto"/>
              </w:rPr>
            </w:pPr>
            <w:r>
              <w:rPr>
                <w:rFonts w:ascii="Arial" w:cs="Arial" w:eastAsia="Arial" w:hAnsi="Arial"/>
                <w:sz w:val="16"/>
                <w:szCs w:val="16"/>
                <w:color w:val="auto"/>
              </w:rPr>
              <w:t>TGNH</w:t>
            </w:r>
            <w:r>
              <w:rPr>
                <w:rFonts w:ascii="Arial" w:cs="Arial" w:eastAsia="Arial" w:hAnsi="Arial"/>
                <w:sz w:val="21"/>
                <w:szCs w:val="21"/>
                <w:color w:val="auto"/>
                <w:vertAlign w:val="superscript"/>
              </w:rPr>
              <w:t>1,2</w:t>
            </w:r>
          </w:p>
        </w:tc>
        <w:tc>
          <w:tcPr>
            <w:tcW w:w="2240" w:type="dxa"/>
            <w:vAlign w:val="bottom"/>
            <w:gridSpan w:val="2"/>
          </w:tcPr>
          <w:p>
            <w:pPr>
              <w:jc w:val="right"/>
              <w:ind w:right="879"/>
              <w:spacing w:after="0"/>
              <w:rPr>
                <w:sz w:val="20"/>
                <w:szCs w:val="20"/>
                <w:color w:val="auto"/>
              </w:rPr>
            </w:pPr>
            <w:r>
              <w:rPr>
                <w:rFonts w:ascii="Arial" w:cs="Arial" w:eastAsia="Arial" w:hAnsi="Arial"/>
                <w:sz w:val="16"/>
                <w:szCs w:val="16"/>
                <w:b w:val="1"/>
                <w:bCs w:val="1"/>
                <w:color w:val="auto"/>
              </w:rPr>
              <w:t>193</w:t>
            </w:r>
          </w:p>
        </w:tc>
        <w:tc>
          <w:tcPr>
            <w:tcW w:w="460" w:type="dxa"/>
            <w:vAlign w:val="bottom"/>
          </w:tcPr>
          <w:p>
            <w:pPr>
              <w:jc w:val="right"/>
              <w:spacing w:after="0"/>
              <w:rPr>
                <w:sz w:val="20"/>
                <w:szCs w:val="20"/>
                <w:color w:val="auto"/>
              </w:rPr>
            </w:pPr>
            <w:r>
              <w:rPr>
                <w:rFonts w:ascii="Arial" w:cs="Arial" w:eastAsia="Arial" w:hAnsi="Arial"/>
                <w:sz w:val="16"/>
                <w:szCs w:val="16"/>
                <w:color w:val="auto"/>
              </w:rPr>
              <w:t>45</w:t>
            </w:r>
          </w:p>
        </w:tc>
        <w:tc>
          <w:tcPr>
            <w:tcW w:w="100" w:type="dxa"/>
            <w:vAlign w:val="bottom"/>
          </w:tcPr>
          <w:p>
            <w:pPr>
              <w:spacing w:after="0"/>
              <w:rPr>
                <w:sz w:val="23"/>
                <w:szCs w:val="23"/>
                <w:color w:val="auto"/>
              </w:rPr>
            </w:pPr>
          </w:p>
        </w:tc>
        <w:tc>
          <w:tcPr>
            <w:tcW w:w="2020" w:type="dxa"/>
            <w:vAlign w:val="bottom"/>
          </w:tcPr>
          <w:p>
            <w:pPr>
              <w:jc w:val="right"/>
              <w:ind w:right="759"/>
              <w:spacing w:after="0"/>
              <w:rPr>
                <w:sz w:val="20"/>
                <w:szCs w:val="20"/>
                <w:color w:val="auto"/>
              </w:rPr>
            </w:pPr>
            <w:r>
              <w:rPr>
                <w:rFonts w:ascii="Arial" w:cs="Arial" w:eastAsia="Arial" w:hAnsi="Arial"/>
                <w:sz w:val="16"/>
                <w:szCs w:val="16"/>
                <w:b w:val="1"/>
                <w:bCs w:val="1"/>
                <w:color w:val="auto"/>
              </w:rPr>
              <w:t>625</w:t>
            </w:r>
          </w:p>
        </w:tc>
        <w:tc>
          <w:tcPr>
            <w:tcW w:w="600" w:type="dxa"/>
            <w:vAlign w:val="bottom"/>
          </w:tcPr>
          <w:p>
            <w:pPr>
              <w:jc w:val="right"/>
              <w:spacing w:after="0"/>
              <w:rPr>
                <w:sz w:val="20"/>
                <w:szCs w:val="20"/>
                <w:color w:val="auto"/>
              </w:rPr>
            </w:pPr>
            <w:r>
              <w:rPr>
                <w:rFonts w:ascii="Arial" w:cs="Arial" w:eastAsia="Arial" w:hAnsi="Arial"/>
                <w:sz w:val="16"/>
                <w:szCs w:val="16"/>
                <w:color w:val="auto"/>
              </w:rPr>
              <w:t>231</w:t>
            </w:r>
          </w:p>
        </w:tc>
        <w:tc>
          <w:tcPr>
            <w:tcW w:w="0" w:type="dxa"/>
            <w:vAlign w:val="bottom"/>
          </w:tcPr>
          <w:p>
            <w:pPr>
              <w:spacing w:after="0"/>
              <w:rPr>
                <w:sz w:val="1"/>
                <w:szCs w:val="1"/>
                <w:color w:val="auto"/>
              </w:rPr>
            </w:pPr>
          </w:p>
        </w:tc>
      </w:tr>
      <w:tr>
        <w:trPr>
          <w:trHeight w:val="230"/>
        </w:trPr>
        <w:tc>
          <w:tcPr>
            <w:tcW w:w="5820" w:type="dxa"/>
            <w:vAlign w:val="bottom"/>
          </w:tcPr>
          <w:p>
            <w:pPr>
              <w:ind w:left="20"/>
              <w:spacing w:after="0" w:line="230" w:lineRule="exact"/>
              <w:rPr>
                <w:sz w:val="20"/>
                <w:szCs w:val="20"/>
                <w:color w:val="auto"/>
              </w:rPr>
            </w:pPr>
            <w:r>
              <w:rPr>
                <w:rFonts w:ascii="Arial" w:cs="Arial" w:eastAsia="Arial" w:hAnsi="Arial"/>
                <w:sz w:val="16"/>
                <w:szCs w:val="16"/>
                <w:color w:val="auto"/>
              </w:rPr>
              <w:t>Sur de Texas</w:t>
            </w:r>
            <w:r>
              <w:rPr>
                <w:rFonts w:ascii="Arial" w:cs="Arial" w:eastAsia="Arial" w:hAnsi="Arial"/>
                <w:sz w:val="21"/>
                <w:szCs w:val="21"/>
                <w:color w:val="auto"/>
                <w:vertAlign w:val="superscript"/>
              </w:rPr>
              <w:t>3</w:t>
            </w:r>
          </w:p>
        </w:tc>
        <w:tc>
          <w:tcPr>
            <w:tcW w:w="2240" w:type="dxa"/>
            <w:vAlign w:val="bottom"/>
            <w:gridSpan w:val="2"/>
          </w:tcPr>
          <w:p>
            <w:pPr>
              <w:jc w:val="right"/>
              <w:ind w:right="879"/>
              <w:spacing w:after="0"/>
              <w:rPr>
                <w:sz w:val="20"/>
                <w:szCs w:val="20"/>
                <w:color w:val="auto"/>
              </w:rPr>
            </w:pPr>
            <w:r>
              <w:rPr>
                <w:rFonts w:ascii="Arial" w:cs="Arial" w:eastAsia="Arial" w:hAnsi="Arial"/>
                <w:sz w:val="16"/>
                <w:szCs w:val="16"/>
                <w:b w:val="1"/>
                <w:bCs w:val="1"/>
                <w:color w:val="auto"/>
              </w:rPr>
              <w:t>28</w:t>
            </w:r>
          </w:p>
        </w:tc>
        <w:tc>
          <w:tcPr>
            <w:tcW w:w="460" w:type="dxa"/>
            <w:vAlign w:val="bottom"/>
          </w:tcPr>
          <w:p>
            <w:pPr>
              <w:jc w:val="right"/>
              <w:spacing w:after="0"/>
              <w:rPr>
                <w:sz w:val="20"/>
                <w:szCs w:val="20"/>
                <w:color w:val="auto"/>
              </w:rPr>
            </w:pPr>
            <w:r>
              <w:rPr>
                <w:rFonts w:ascii="Arial" w:cs="Arial" w:eastAsia="Arial" w:hAnsi="Arial"/>
                <w:sz w:val="16"/>
                <w:szCs w:val="16"/>
                <w:color w:val="auto"/>
              </w:rPr>
              <w:t>56</w:t>
            </w:r>
          </w:p>
        </w:tc>
        <w:tc>
          <w:tcPr>
            <w:tcW w:w="100" w:type="dxa"/>
            <w:vAlign w:val="bottom"/>
          </w:tcPr>
          <w:p>
            <w:pPr>
              <w:spacing w:after="0"/>
              <w:rPr>
                <w:sz w:val="19"/>
                <w:szCs w:val="19"/>
                <w:color w:val="auto"/>
              </w:rPr>
            </w:pPr>
          </w:p>
        </w:tc>
        <w:tc>
          <w:tcPr>
            <w:tcW w:w="2020" w:type="dxa"/>
            <w:vAlign w:val="bottom"/>
          </w:tcPr>
          <w:p>
            <w:pPr>
              <w:jc w:val="right"/>
              <w:ind w:right="759"/>
              <w:spacing w:after="0"/>
              <w:rPr>
                <w:sz w:val="20"/>
                <w:szCs w:val="20"/>
                <w:color w:val="auto"/>
              </w:rPr>
            </w:pPr>
            <w:r>
              <w:rPr>
                <w:rFonts w:ascii="Arial" w:cs="Arial" w:eastAsia="Arial" w:hAnsi="Arial"/>
                <w:sz w:val="16"/>
                <w:szCs w:val="16"/>
                <w:b w:val="1"/>
                <w:bCs w:val="1"/>
                <w:color w:val="auto"/>
              </w:rPr>
              <w:t>79</w:t>
            </w:r>
          </w:p>
        </w:tc>
        <w:tc>
          <w:tcPr>
            <w:tcW w:w="600" w:type="dxa"/>
            <w:vAlign w:val="bottom"/>
          </w:tcPr>
          <w:p>
            <w:pPr>
              <w:jc w:val="right"/>
              <w:spacing w:after="0"/>
              <w:rPr>
                <w:sz w:val="20"/>
                <w:szCs w:val="20"/>
                <w:color w:val="auto"/>
              </w:rPr>
            </w:pPr>
            <w:r>
              <w:rPr>
                <w:rFonts w:ascii="Arial" w:cs="Arial" w:eastAsia="Arial" w:hAnsi="Arial"/>
                <w:sz w:val="16"/>
                <w:szCs w:val="16"/>
                <w:color w:val="auto"/>
              </w:rPr>
              <w:t>220</w:t>
            </w:r>
          </w:p>
        </w:tc>
        <w:tc>
          <w:tcPr>
            <w:tcW w:w="0" w:type="dxa"/>
            <w:vAlign w:val="bottom"/>
          </w:tcPr>
          <w:p>
            <w:pPr>
              <w:spacing w:after="0"/>
              <w:rPr>
                <w:sz w:val="1"/>
                <w:szCs w:val="1"/>
                <w:color w:val="auto"/>
              </w:rPr>
            </w:pPr>
          </w:p>
        </w:tc>
      </w:tr>
      <w:tr>
        <w:trPr>
          <w:trHeight w:val="223"/>
        </w:trPr>
        <w:tc>
          <w:tcPr>
            <w:tcW w:w="5820" w:type="dxa"/>
            <w:vAlign w:val="bottom"/>
          </w:tcPr>
          <w:p>
            <w:pPr>
              <w:ind w:left="20"/>
              <w:spacing w:after="0"/>
              <w:rPr>
                <w:sz w:val="20"/>
                <w:szCs w:val="20"/>
                <w:color w:val="auto"/>
              </w:rPr>
            </w:pPr>
            <w:r>
              <w:rPr>
                <w:rFonts w:ascii="Arial" w:cs="Arial" w:eastAsia="Arial" w:hAnsi="Arial"/>
                <w:sz w:val="16"/>
                <w:szCs w:val="16"/>
                <w:color w:val="auto"/>
              </w:rPr>
              <w:t>Topolobampo</w:t>
            </w:r>
          </w:p>
        </w:tc>
        <w:tc>
          <w:tcPr>
            <w:tcW w:w="2240" w:type="dxa"/>
            <w:vAlign w:val="bottom"/>
            <w:gridSpan w:val="2"/>
          </w:tcPr>
          <w:p>
            <w:pPr>
              <w:jc w:val="right"/>
              <w:ind w:right="879"/>
              <w:spacing w:after="0"/>
              <w:rPr>
                <w:sz w:val="20"/>
                <w:szCs w:val="20"/>
                <w:color w:val="auto"/>
              </w:rPr>
            </w:pPr>
            <w:r>
              <w:rPr>
                <w:rFonts w:ascii="Arial" w:cs="Arial" w:eastAsia="Arial" w:hAnsi="Arial"/>
                <w:sz w:val="16"/>
                <w:szCs w:val="16"/>
                <w:b w:val="1"/>
                <w:bCs w:val="1"/>
                <w:color w:val="auto"/>
              </w:rPr>
              <w:t>37</w:t>
            </w:r>
          </w:p>
        </w:tc>
        <w:tc>
          <w:tcPr>
            <w:tcW w:w="460" w:type="dxa"/>
            <w:vAlign w:val="bottom"/>
          </w:tcPr>
          <w:p>
            <w:pPr>
              <w:jc w:val="right"/>
              <w:spacing w:after="0"/>
              <w:rPr>
                <w:sz w:val="20"/>
                <w:szCs w:val="20"/>
                <w:color w:val="auto"/>
              </w:rPr>
            </w:pPr>
            <w:r>
              <w:rPr>
                <w:rFonts w:ascii="Arial" w:cs="Arial" w:eastAsia="Arial" w:hAnsi="Arial"/>
                <w:sz w:val="16"/>
                <w:szCs w:val="16"/>
                <w:color w:val="auto"/>
              </w:rPr>
              <w:t>38</w:t>
            </w:r>
          </w:p>
        </w:tc>
        <w:tc>
          <w:tcPr>
            <w:tcW w:w="100" w:type="dxa"/>
            <w:vAlign w:val="bottom"/>
          </w:tcPr>
          <w:p>
            <w:pPr>
              <w:spacing w:after="0"/>
              <w:rPr>
                <w:sz w:val="19"/>
                <w:szCs w:val="19"/>
                <w:color w:val="auto"/>
              </w:rPr>
            </w:pPr>
          </w:p>
        </w:tc>
        <w:tc>
          <w:tcPr>
            <w:tcW w:w="2020" w:type="dxa"/>
            <w:vAlign w:val="bottom"/>
          </w:tcPr>
          <w:p>
            <w:pPr>
              <w:jc w:val="right"/>
              <w:ind w:right="759"/>
              <w:spacing w:after="0"/>
              <w:rPr>
                <w:sz w:val="20"/>
                <w:szCs w:val="20"/>
                <w:color w:val="auto"/>
              </w:rPr>
            </w:pPr>
            <w:r>
              <w:rPr>
                <w:rFonts w:ascii="Arial" w:cs="Arial" w:eastAsia="Arial" w:hAnsi="Arial"/>
                <w:sz w:val="16"/>
                <w:szCs w:val="16"/>
                <w:b w:val="1"/>
                <w:bCs w:val="1"/>
                <w:color w:val="auto"/>
              </w:rPr>
              <w:t>154</w:t>
            </w:r>
          </w:p>
        </w:tc>
        <w:tc>
          <w:tcPr>
            <w:tcW w:w="600" w:type="dxa"/>
            <w:vAlign w:val="bottom"/>
          </w:tcPr>
          <w:p>
            <w:pPr>
              <w:jc w:val="right"/>
              <w:spacing w:after="0"/>
              <w:rPr>
                <w:sz w:val="20"/>
                <w:szCs w:val="20"/>
                <w:color w:val="auto"/>
              </w:rPr>
            </w:pPr>
            <w:r>
              <w:rPr>
                <w:rFonts w:ascii="Arial" w:cs="Arial" w:eastAsia="Arial" w:hAnsi="Arial"/>
                <w:sz w:val="16"/>
                <w:szCs w:val="16"/>
                <w:color w:val="auto"/>
              </w:rPr>
              <w:t>156</w:t>
            </w:r>
          </w:p>
        </w:tc>
        <w:tc>
          <w:tcPr>
            <w:tcW w:w="0" w:type="dxa"/>
            <w:vAlign w:val="bottom"/>
          </w:tcPr>
          <w:p>
            <w:pPr>
              <w:spacing w:after="0"/>
              <w:rPr>
                <w:sz w:val="1"/>
                <w:szCs w:val="1"/>
                <w:color w:val="auto"/>
              </w:rPr>
            </w:pPr>
          </w:p>
        </w:tc>
      </w:tr>
      <w:tr>
        <w:trPr>
          <w:trHeight w:val="229"/>
        </w:trPr>
        <w:tc>
          <w:tcPr>
            <w:tcW w:w="5820" w:type="dxa"/>
            <w:vAlign w:val="bottom"/>
          </w:tcPr>
          <w:p>
            <w:pPr>
              <w:ind w:left="20"/>
              <w:spacing w:after="0"/>
              <w:rPr>
                <w:sz w:val="20"/>
                <w:szCs w:val="20"/>
                <w:color w:val="auto"/>
              </w:rPr>
            </w:pPr>
            <w:r>
              <w:rPr>
                <w:rFonts w:ascii="Arial" w:cs="Arial" w:eastAsia="Arial" w:hAnsi="Arial"/>
                <w:sz w:val="16"/>
                <w:szCs w:val="16"/>
                <w:color w:val="auto"/>
              </w:rPr>
              <w:t>Guadalajara</w:t>
            </w:r>
          </w:p>
        </w:tc>
        <w:tc>
          <w:tcPr>
            <w:tcW w:w="2240" w:type="dxa"/>
            <w:vAlign w:val="bottom"/>
            <w:gridSpan w:val="2"/>
          </w:tcPr>
          <w:p>
            <w:pPr>
              <w:jc w:val="right"/>
              <w:ind w:right="879"/>
              <w:spacing w:after="0"/>
              <w:rPr>
                <w:sz w:val="20"/>
                <w:szCs w:val="20"/>
                <w:color w:val="auto"/>
              </w:rPr>
            </w:pPr>
            <w:r>
              <w:rPr>
                <w:rFonts w:ascii="Arial" w:cs="Arial" w:eastAsia="Arial" w:hAnsi="Arial"/>
                <w:sz w:val="16"/>
                <w:szCs w:val="16"/>
                <w:b w:val="1"/>
                <w:bCs w:val="1"/>
                <w:color w:val="auto"/>
              </w:rPr>
              <w:t>12</w:t>
            </w:r>
          </w:p>
        </w:tc>
        <w:tc>
          <w:tcPr>
            <w:tcW w:w="460" w:type="dxa"/>
            <w:vAlign w:val="bottom"/>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9"/>
                <w:szCs w:val="19"/>
                <w:color w:val="auto"/>
              </w:rPr>
            </w:pPr>
          </w:p>
        </w:tc>
        <w:tc>
          <w:tcPr>
            <w:tcW w:w="2020" w:type="dxa"/>
            <w:vAlign w:val="bottom"/>
          </w:tcPr>
          <w:p>
            <w:pPr>
              <w:jc w:val="right"/>
              <w:ind w:right="759"/>
              <w:spacing w:after="0"/>
              <w:rPr>
                <w:sz w:val="20"/>
                <w:szCs w:val="20"/>
                <w:color w:val="auto"/>
              </w:rPr>
            </w:pPr>
            <w:r>
              <w:rPr>
                <w:rFonts w:ascii="Arial" w:cs="Arial" w:eastAsia="Arial" w:hAnsi="Arial"/>
                <w:sz w:val="16"/>
                <w:szCs w:val="16"/>
                <w:b w:val="1"/>
                <w:bCs w:val="1"/>
                <w:color w:val="auto"/>
              </w:rPr>
              <w:t>57</w:t>
            </w:r>
          </w:p>
        </w:tc>
        <w:tc>
          <w:tcPr>
            <w:tcW w:w="600" w:type="dxa"/>
            <w:vAlign w:val="bottom"/>
          </w:tcPr>
          <w:p>
            <w:pPr>
              <w:jc w:val="right"/>
              <w:spacing w:after="0"/>
              <w:rPr>
                <w:sz w:val="20"/>
                <w:szCs w:val="20"/>
                <w:color w:val="auto"/>
              </w:rPr>
            </w:pPr>
            <w:r>
              <w:rPr>
                <w:rFonts w:ascii="Arial" w:cs="Arial" w:eastAsia="Arial" w:hAnsi="Arial"/>
                <w:sz w:val="16"/>
                <w:szCs w:val="16"/>
                <w:color w:val="auto"/>
              </w:rPr>
              <w:t>56</w:t>
            </w:r>
          </w:p>
        </w:tc>
        <w:tc>
          <w:tcPr>
            <w:tcW w:w="0" w:type="dxa"/>
            <w:vAlign w:val="bottom"/>
          </w:tcPr>
          <w:p>
            <w:pPr>
              <w:spacing w:after="0"/>
              <w:rPr>
                <w:sz w:val="1"/>
                <w:szCs w:val="1"/>
                <w:color w:val="auto"/>
              </w:rPr>
            </w:pPr>
          </w:p>
        </w:tc>
      </w:tr>
      <w:tr>
        <w:trPr>
          <w:trHeight w:val="233"/>
        </w:trPr>
        <w:tc>
          <w:tcPr>
            <w:tcW w:w="58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Mazatlán</w:t>
            </w:r>
          </w:p>
        </w:tc>
        <w:tc>
          <w:tcPr>
            <w:tcW w:w="2240" w:type="dxa"/>
            <w:vAlign w:val="bottom"/>
            <w:tcBorders>
              <w:bottom w:val="single" w:sz="8" w:color="auto"/>
            </w:tcBorders>
            <w:gridSpan w:val="2"/>
          </w:tcPr>
          <w:p>
            <w:pPr>
              <w:jc w:val="right"/>
              <w:ind w:right="879"/>
              <w:spacing w:after="0"/>
              <w:rPr>
                <w:sz w:val="20"/>
                <w:szCs w:val="20"/>
                <w:color w:val="auto"/>
              </w:rPr>
            </w:pPr>
            <w:r>
              <w:rPr>
                <w:rFonts w:ascii="Arial" w:cs="Arial" w:eastAsia="Arial" w:hAnsi="Arial"/>
                <w:sz w:val="16"/>
                <w:szCs w:val="16"/>
                <w:b w:val="1"/>
                <w:bCs w:val="1"/>
                <w:color w:val="auto"/>
              </w:rPr>
              <w:t>15</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w:t>
            </w:r>
          </w:p>
        </w:tc>
        <w:tc>
          <w:tcPr>
            <w:tcW w:w="10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tcPr>
          <w:p>
            <w:pPr>
              <w:jc w:val="right"/>
              <w:ind w:right="759"/>
              <w:spacing w:after="0"/>
              <w:rPr>
                <w:sz w:val="20"/>
                <w:szCs w:val="20"/>
                <w:color w:val="auto"/>
              </w:rPr>
            </w:pPr>
            <w:r>
              <w:rPr>
                <w:rFonts w:ascii="Arial" w:cs="Arial" w:eastAsia="Arial" w:hAnsi="Arial"/>
                <w:sz w:val="16"/>
                <w:szCs w:val="16"/>
                <w:b w:val="1"/>
                <w:bCs w:val="1"/>
                <w:color w:val="auto"/>
              </w:rPr>
              <w:t>66</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w:t>
            </w:r>
          </w:p>
        </w:tc>
        <w:tc>
          <w:tcPr>
            <w:tcW w:w="0" w:type="dxa"/>
            <w:vAlign w:val="bottom"/>
          </w:tcPr>
          <w:p>
            <w:pPr>
              <w:spacing w:after="0"/>
              <w:rPr>
                <w:sz w:val="1"/>
                <w:szCs w:val="1"/>
                <w:color w:val="auto"/>
              </w:rPr>
            </w:pPr>
          </w:p>
        </w:tc>
      </w:tr>
      <w:tr>
        <w:trPr>
          <w:trHeight w:val="220"/>
        </w:trPr>
        <w:tc>
          <w:tcPr>
            <w:tcW w:w="5820" w:type="dxa"/>
            <w:vAlign w:val="bottom"/>
          </w:tcPr>
          <w:p>
            <w:pPr>
              <w:ind w:left="20"/>
              <w:spacing w:after="0"/>
              <w:rPr>
                <w:sz w:val="20"/>
                <w:szCs w:val="20"/>
                <w:color w:val="auto"/>
              </w:rPr>
            </w:pPr>
            <w:r>
              <w:rPr>
                <w:rFonts w:ascii="Arial" w:cs="Arial" w:eastAsia="Arial" w:hAnsi="Arial"/>
                <w:sz w:val="16"/>
                <w:szCs w:val="16"/>
                <w:b w:val="1"/>
                <w:bCs w:val="1"/>
                <w:color w:val="0D64EF"/>
              </w:rPr>
              <w:t>Comparable EBITDA</w:t>
            </w:r>
          </w:p>
        </w:tc>
        <w:tc>
          <w:tcPr>
            <w:tcW w:w="2240" w:type="dxa"/>
            <w:vAlign w:val="bottom"/>
            <w:gridSpan w:val="2"/>
          </w:tcPr>
          <w:p>
            <w:pPr>
              <w:jc w:val="right"/>
              <w:ind w:right="879"/>
              <w:spacing w:after="0"/>
              <w:rPr>
                <w:sz w:val="20"/>
                <w:szCs w:val="20"/>
                <w:color w:val="auto"/>
              </w:rPr>
            </w:pPr>
            <w:r>
              <w:rPr>
                <w:rFonts w:ascii="Arial" w:cs="Arial" w:eastAsia="Arial" w:hAnsi="Arial"/>
                <w:sz w:val="16"/>
                <w:szCs w:val="16"/>
                <w:b w:val="1"/>
                <w:bCs w:val="1"/>
                <w:color w:val="auto"/>
              </w:rPr>
              <w:t>285</w:t>
            </w:r>
          </w:p>
        </w:tc>
        <w:tc>
          <w:tcPr>
            <w:tcW w:w="460" w:type="dxa"/>
            <w:vAlign w:val="bottom"/>
          </w:tcPr>
          <w:p>
            <w:pPr>
              <w:jc w:val="right"/>
              <w:spacing w:after="0"/>
              <w:rPr>
                <w:sz w:val="20"/>
                <w:szCs w:val="20"/>
                <w:color w:val="auto"/>
              </w:rPr>
            </w:pPr>
            <w:r>
              <w:rPr>
                <w:rFonts w:ascii="Arial" w:cs="Arial" w:eastAsia="Arial" w:hAnsi="Arial"/>
                <w:sz w:val="16"/>
                <w:szCs w:val="16"/>
                <w:color w:val="auto"/>
              </w:rPr>
              <w:t>167</w:t>
            </w:r>
          </w:p>
        </w:tc>
        <w:tc>
          <w:tcPr>
            <w:tcW w:w="100" w:type="dxa"/>
            <w:vAlign w:val="bottom"/>
          </w:tcPr>
          <w:p>
            <w:pPr>
              <w:spacing w:after="0"/>
              <w:rPr>
                <w:sz w:val="19"/>
                <w:szCs w:val="19"/>
                <w:color w:val="auto"/>
              </w:rPr>
            </w:pPr>
          </w:p>
        </w:tc>
        <w:tc>
          <w:tcPr>
            <w:tcW w:w="2020" w:type="dxa"/>
            <w:vAlign w:val="bottom"/>
          </w:tcPr>
          <w:p>
            <w:pPr>
              <w:jc w:val="right"/>
              <w:ind w:right="759"/>
              <w:spacing w:after="0"/>
              <w:rPr>
                <w:sz w:val="20"/>
                <w:szCs w:val="20"/>
                <w:color w:val="auto"/>
              </w:rPr>
            </w:pPr>
            <w:r>
              <w:rPr>
                <w:rFonts w:ascii="Arial" w:cs="Arial" w:eastAsia="Arial" w:hAnsi="Arial"/>
                <w:sz w:val="16"/>
                <w:szCs w:val="16"/>
                <w:b w:val="1"/>
                <w:bCs w:val="1"/>
                <w:color w:val="auto"/>
              </w:rPr>
              <w:t>981</w:t>
            </w:r>
          </w:p>
        </w:tc>
        <w:tc>
          <w:tcPr>
            <w:tcW w:w="600" w:type="dxa"/>
            <w:vAlign w:val="bottom"/>
          </w:tcPr>
          <w:p>
            <w:pPr>
              <w:jc w:val="right"/>
              <w:spacing w:after="0"/>
              <w:rPr>
                <w:sz w:val="20"/>
                <w:szCs w:val="20"/>
                <w:color w:val="auto"/>
              </w:rPr>
            </w:pPr>
            <w:r>
              <w:rPr>
                <w:rFonts w:ascii="Arial" w:cs="Arial" w:eastAsia="Arial" w:hAnsi="Arial"/>
                <w:sz w:val="16"/>
                <w:szCs w:val="16"/>
                <w:color w:val="auto"/>
              </w:rPr>
              <w:t>730</w:t>
            </w:r>
          </w:p>
        </w:tc>
        <w:tc>
          <w:tcPr>
            <w:tcW w:w="0" w:type="dxa"/>
            <w:vAlign w:val="bottom"/>
          </w:tcPr>
          <w:p>
            <w:pPr>
              <w:spacing w:after="0"/>
              <w:rPr>
                <w:sz w:val="1"/>
                <w:szCs w:val="1"/>
                <w:color w:val="auto"/>
              </w:rPr>
            </w:pPr>
          </w:p>
        </w:tc>
      </w:tr>
      <w:tr>
        <w:trPr>
          <w:trHeight w:val="233"/>
        </w:trPr>
        <w:tc>
          <w:tcPr>
            <w:tcW w:w="58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Depreciation and amortization</w:t>
            </w:r>
          </w:p>
        </w:tc>
        <w:tc>
          <w:tcPr>
            <w:tcW w:w="2240" w:type="dxa"/>
            <w:vAlign w:val="bottom"/>
            <w:tcBorders>
              <w:bottom w:val="single" w:sz="8" w:color="auto"/>
            </w:tcBorders>
            <w:gridSpan w:val="2"/>
          </w:tcPr>
          <w:p>
            <w:pPr>
              <w:jc w:val="right"/>
              <w:ind w:right="839"/>
              <w:spacing w:after="0"/>
              <w:rPr>
                <w:sz w:val="20"/>
                <w:szCs w:val="20"/>
                <w:color w:val="auto"/>
              </w:rPr>
            </w:pPr>
            <w:r>
              <w:rPr>
                <w:rFonts w:ascii="Arial" w:cs="Arial" w:eastAsia="Arial" w:hAnsi="Arial"/>
                <w:sz w:val="16"/>
                <w:szCs w:val="16"/>
                <w:b w:val="1"/>
                <w:bCs w:val="1"/>
                <w:color w:val="auto"/>
              </w:rPr>
              <w:t>(17)</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w:t>
            </w:r>
          </w:p>
        </w:tc>
        <w:tc>
          <w:tcPr>
            <w:tcW w:w="10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tcPr>
          <w:p>
            <w:pPr>
              <w:jc w:val="right"/>
              <w:ind w:right="719"/>
              <w:spacing w:after="0"/>
              <w:rPr>
                <w:sz w:val="20"/>
                <w:szCs w:val="20"/>
                <w:color w:val="auto"/>
              </w:rPr>
            </w:pPr>
            <w:r>
              <w:rPr>
                <w:rFonts w:ascii="Arial" w:cs="Arial" w:eastAsia="Arial" w:hAnsi="Arial"/>
                <w:sz w:val="16"/>
                <w:szCs w:val="16"/>
                <w:b w:val="1"/>
                <w:bCs w:val="1"/>
                <w:color w:val="auto"/>
              </w:rPr>
              <w:t>(69)</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w:t>
            </w:r>
          </w:p>
        </w:tc>
        <w:tc>
          <w:tcPr>
            <w:tcW w:w="0" w:type="dxa"/>
            <w:vAlign w:val="bottom"/>
          </w:tcPr>
          <w:p>
            <w:pPr>
              <w:spacing w:after="0"/>
              <w:rPr>
                <w:sz w:val="1"/>
                <w:szCs w:val="1"/>
                <w:color w:val="auto"/>
              </w:rPr>
            </w:pPr>
          </w:p>
        </w:tc>
      </w:tr>
      <w:tr>
        <w:trPr>
          <w:trHeight w:val="220"/>
        </w:trPr>
        <w:tc>
          <w:tcPr>
            <w:tcW w:w="5820" w:type="dxa"/>
            <w:vAlign w:val="bottom"/>
          </w:tcPr>
          <w:p>
            <w:pPr>
              <w:ind w:left="20"/>
              <w:spacing w:after="0"/>
              <w:rPr>
                <w:sz w:val="20"/>
                <w:szCs w:val="20"/>
                <w:color w:val="auto"/>
              </w:rPr>
            </w:pPr>
            <w:r>
              <w:rPr>
                <w:rFonts w:ascii="Arial" w:cs="Arial" w:eastAsia="Arial" w:hAnsi="Arial"/>
                <w:sz w:val="16"/>
                <w:szCs w:val="16"/>
                <w:b w:val="1"/>
                <w:bCs w:val="1"/>
                <w:color w:val="0D64EF"/>
              </w:rPr>
              <w:t>Comparable EBIT</w:t>
            </w:r>
          </w:p>
        </w:tc>
        <w:tc>
          <w:tcPr>
            <w:tcW w:w="2240" w:type="dxa"/>
            <w:vAlign w:val="bottom"/>
            <w:gridSpan w:val="2"/>
          </w:tcPr>
          <w:p>
            <w:pPr>
              <w:jc w:val="right"/>
              <w:ind w:right="879"/>
              <w:spacing w:after="0"/>
              <w:rPr>
                <w:sz w:val="20"/>
                <w:szCs w:val="20"/>
                <w:color w:val="auto"/>
              </w:rPr>
            </w:pPr>
            <w:r>
              <w:rPr>
                <w:rFonts w:ascii="Arial" w:cs="Arial" w:eastAsia="Arial" w:hAnsi="Arial"/>
                <w:sz w:val="16"/>
                <w:szCs w:val="16"/>
                <w:b w:val="1"/>
                <w:bCs w:val="1"/>
                <w:color w:val="auto"/>
              </w:rPr>
              <w:t>268</w:t>
            </w:r>
          </w:p>
        </w:tc>
        <w:tc>
          <w:tcPr>
            <w:tcW w:w="460" w:type="dxa"/>
            <w:vAlign w:val="bottom"/>
          </w:tcPr>
          <w:p>
            <w:pPr>
              <w:jc w:val="right"/>
              <w:spacing w:after="0"/>
              <w:rPr>
                <w:sz w:val="20"/>
                <w:szCs w:val="20"/>
                <w:color w:val="auto"/>
              </w:rPr>
            </w:pPr>
            <w:r>
              <w:rPr>
                <w:rFonts w:ascii="Arial" w:cs="Arial" w:eastAsia="Arial" w:hAnsi="Arial"/>
                <w:sz w:val="16"/>
                <w:szCs w:val="16"/>
                <w:color w:val="auto"/>
              </w:rPr>
              <w:t>151</w:t>
            </w:r>
          </w:p>
        </w:tc>
        <w:tc>
          <w:tcPr>
            <w:tcW w:w="100" w:type="dxa"/>
            <w:vAlign w:val="bottom"/>
          </w:tcPr>
          <w:p>
            <w:pPr>
              <w:spacing w:after="0"/>
              <w:rPr>
                <w:sz w:val="19"/>
                <w:szCs w:val="19"/>
                <w:color w:val="auto"/>
              </w:rPr>
            </w:pPr>
          </w:p>
        </w:tc>
        <w:tc>
          <w:tcPr>
            <w:tcW w:w="2020" w:type="dxa"/>
            <w:vAlign w:val="bottom"/>
          </w:tcPr>
          <w:p>
            <w:pPr>
              <w:jc w:val="right"/>
              <w:ind w:right="759"/>
              <w:spacing w:after="0"/>
              <w:rPr>
                <w:sz w:val="20"/>
                <w:szCs w:val="20"/>
                <w:color w:val="auto"/>
              </w:rPr>
            </w:pPr>
            <w:r>
              <w:rPr>
                <w:rFonts w:ascii="Arial" w:cs="Arial" w:eastAsia="Arial" w:hAnsi="Arial"/>
                <w:sz w:val="16"/>
                <w:szCs w:val="16"/>
                <w:b w:val="1"/>
                <w:bCs w:val="1"/>
                <w:color w:val="auto"/>
              </w:rPr>
              <w:t>912</w:t>
            </w:r>
          </w:p>
        </w:tc>
        <w:tc>
          <w:tcPr>
            <w:tcW w:w="600" w:type="dxa"/>
            <w:vAlign w:val="bottom"/>
          </w:tcPr>
          <w:p>
            <w:pPr>
              <w:jc w:val="right"/>
              <w:spacing w:after="0"/>
              <w:rPr>
                <w:sz w:val="20"/>
                <w:szCs w:val="20"/>
                <w:color w:val="auto"/>
              </w:rPr>
            </w:pPr>
            <w:r>
              <w:rPr>
                <w:rFonts w:ascii="Arial" w:cs="Arial" w:eastAsia="Arial" w:hAnsi="Arial"/>
                <w:sz w:val="16"/>
                <w:szCs w:val="16"/>
                <w:color w:val="auto"/>
              </w:rPr>
              <w:t>663</w:t>
            </w:r>
          </w:p>
        </w:tc>
        <w:tc>
          <w:tcPr>
            <w:tcW w:w="0" w:type="dxa"/>
            <w:vAlign w:val="bottom"/>
          </w:tcPr>
          <w:p>
            <w:pPr>
              <w:spacing w:after="0"/>
              <w:rPr>
                <w:sz w:val="1"/>
                <w:szCs w:val="1"/>
                <w:color w:val="auto"/>
              </w:rPr>
            </w:pPr>
          </w:p>
        </w:tc>
      </w:tr>
      <w:tr>
        <w:trPr>
          <w:trHeight w:val="233"/>
        </w:trPr>
        <w:tc>
          <w:tcPr>
            <w:tcW w:w="58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Foreign exchange impact</w:t>
            </w:r>
          </w:p>
        </w:tc>
        <w:tc>
          <w:tcPr>
            <w:tcW w:w="2240" w:type="dxa"/>
            <w:vAlign w:val="bottom"/>
            <w:tcBorders>
              <w:bottom w:val="single" w:sz="8" w:color="auto"/>
            </w:tcBorders>
            <w:gridSpan w:val="2"/>
          </w:tcPr>
          <w:p>
            <w:pPr>
              <w:jc w:val="right"/>
              <w:ind w:right="879"/>
              <w:spacing w:after="0"/>
              <w:rPr>
                <w:sz w:val="20"/>
                <w:szCs w:val="20"/>
                <w:color w:val="auto"/>
              </w:rPr>
            </w:pPr>
            <w:r>
              <w:rPr>
                <w:rFonts w:ascii="Arial" w:cs="Arial" w:eastAsia="Arial" w:hAnsi="Arial"/>
                <w:sz w:val="16"/>
                <w:szCs w:val="16"/>
                <w:b w:val="1"/>
                <w:bCs w:val="1"/>
                <w:color w:val="auto"/>
              </w:rPr>
              <w:t>105</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w:t>
            </w:r>
          </w:p>
        </w:tc>
        <w:tc>
          <w:tcPr>
            <w:tcW w:w="10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tcPr>
          <w:p>
            <w:pPr>
              <w:jc w:val="right"/>
              <w:ind w:right="759"/>
              <w:spacing w:after="0"/>
              <w:rPr>
                <w:sz w:val="20"/>
                <w:szCs w:val="20"/>
                <w:color w:val="auto"/>
              </w:rPr>
            </w:pPr>
            <w:r>
              <w:rPr>
                <w:rFonts w:ascii="Arial" w:cs="Arial" w:eastAsia="Arial" w:hAnsi="Arial"/>
                <w:sz w:val="16"/>
                <w:szCs w:val="16"/>
                <w:b w:val="1"/>
                <w:bCs w:val="1"/>
                <w:color w:val="auto"/>
              </w:rPr>
              <w:t>357</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244</w:t>
            </w:r>
          </w:p>
        </w:tc>
        <w:tc>
          <w:tcPr>
            <w:tcW w:w="0" w:type="dxa"/>
            <w:vAlign w:val="bottom"/>
          </w:tcPr>
          <w:p>
            <w:pPr>
              <w:spacing w:after="0"/>
              <w:rPr>
                <w:sz w:val="1"/>
                <w:szCs w:val="1"/>
                <w:color w:val="auto"/>
              </w:rPr>
            </w:pPr>
          </w:p>
        </w:tc>
      </w:tr>
      <w:tr>
        <w:trPr>
          <w:trHeight w:val="220"/>
        </w:trPr>
        <w:tc>
          <w:tcPr>
            <w:tcW w:w="5820" w:type="dxa"/>
            <w:vAlign w:val="bottom"/>
          </w:tcPr>
          <w:p>
            <w:pPr>
              <w:ind w:left="20"/>
              <w:spacing w:after="0"/>
              <w:rPr>
                <w:sz w:val="20"/>
                <w:szCs w:val="20"/>
                <w:color w:val="auto"/>
              </w:rPr>
            </w:pPr>
            <w:r>
              <w:rPr>
                <w:rFonts w:ascii="Arial" w:cs="Arial" w:eastAsia="Arial" w:hAnsi="Arial"/>
                <w:sz w:val="16"/>
                <w:szCs w:val="16"/>
                <w:b w:val="1"/>
                <w:bCs w:val="1"/>
                <w:color w:val="0D64EF"/>
              </w:rPr>
              <w:t xml:space="preserve">Comparable EBIT </w:t>
            </w:r>
            <w:r>
              <w:rPr>
                <w:rFonts w:ascii="Arial" w:cs="Arial" w:eastAsia="Arial" w:hAnsi="Arial"/>
                <w:sz w:val="16"/>
                <w:szCs w:val="16"/>
                <w:color w:val="000000"/>
              </w:rPr>
              <w:t>(Cdn$)</w:t>
            </w:r>
          </w:p>
        </w:tc>
        <w:tc>
          <w:tcPr>
            <w:tcW w:w="2240" w:type="dxa"/>
            <w:vAlign w:val="bottom"/>
            <w:gridSpan w:val="2"/>
          </w:tcPr>
          <w:p>
            <w:pPr>
              <w:jc w:val="right"/>
              <w:ind w:right="879"/>
              <w:spacing w:after="0"/>
              <w:rPr>
                <w:sz w:val="20"/>
                <w:szCs w:val="20"/>
                <w:color w:val="auto"/>
              </w:rPr>
            </w:pPr>
            <w:r>
              <w:rPr>
                <w:rFonts w:ascii="Arial" w:cs="Arial" w:eastAsia="Arial" w:hAnsi="Arial"/>
                <w:sz w:val="16"/>
                <w:szCs w:val="16"/>
                <w:b w:val="1"/>
                <w:bCs w:val="1"/>
                <w:color w:val="auto"/>
              </w:rPr>
              <w:t>373</w:t>
            </w:r>
          </w:p>
        </w:tc>
        <w:tc>
          <w:tcPr>
            <w:tcW w:w="460" w:type="dxa"/>
            <w:vAlign w:val="bottom"/>
          </w:tcPr>
          <w:p>
            <w:pPr>
              <w:jc w:val="right"/>
              <w:spacing w:after="0"/>
              <w:rPr>
                <w:sz w:val="20"/>
                <w:szCs w:val="20"/>
                <w:color w:val="auto"/>
              </w:rPr>
            </w:pPr>
            <w:r>
              <w:rPr>
                <w:rFonts w:ascii="Arial" w:cs="Arial" w:eastAsia="Arial" w:hAnsi="Arial"/>
                <w:sz w:val="16"/>
                <w:szCs w:val="16"/>
                <w:color w:val="auto"/>
              </w:rPr>
              <w:t>211</w:t>
            </w:r>
          </w:p>
        </w:tc>
        <w:tc>
          <w:tcPr>
            <w:tcW w:w="100" w:type="dxa"/>
            <w:vAlign w:val="bottom"/>
          </w:tcPr>
          <w:p>
            <w:pPr>
              <w:spacing w:after="0"/>
              <w:rPr>
                <w:sz w:val="19"/>
                <w:szCs w:val="19"/>
                <w:color w:val="auto"/>
              </w:rPr>
            </w:pPr>
          </w:p>
        </w:tc>
        <w:tc>
          <w:tcPr>
            <w:tcW w:w="2020" w:type="dxa"/>
            <w:vAlign w:val="bottom"/>
          </w:tcPr>
          <w:p>
            <w:pPr>
              <w:jc w:val="right"/>
              <w:ind w:right="759"/>
              <w:spacing w:after="0"/>
              <w:rPr>
                <w:sz w:val="20"/>
                <w:szCs w:val="20"/>
                <w:color w:val="auto"/>
              </w:rPr>
            </w:pPr>
            <w:r>
              <w:rPr>
                <w:rFonts w:ascii="Arial" w:cs="Arial" w:eastAsia="Arial" w:hAnsi="Arial"/>
                <w:sz w:val="16"/>
                <w:szCs w:val="16"/>
                <w:b w:val="1"/>
                <w:bCs w:val="1"/>
                <w:color w:val="auto"/>
              </w:rPr>
              <w:t>1,269</w:t>
            </w:r>
          </w:p>
        </w:tc>
        <w:tc>
          <w:tcPr>
            <w:tcW w:w="600" w:type="dxa"/>
            <w:vAlign w:val="bottom"/>
          </w:tcPr>
          <w:p>
            <w:pPr>
              <w:jc w:val="right"/>
              <w:spacing w:after="0"/>
              <w:rPr>
                <w:sz w:val="20"/>
                <w:szCs w:val="20"/>
                <w:color w:val="auto"/>
              </w:rPr>
            </w:pPr>
            <w:r>
              <w:rPr>
                <w:rFonts w:ascii="Arial" w:cs="Arial" w:eastAsia="Arial" w:hAnsi="Arial"/>
                <w:sz w:val="16"/>
                <w:szCs w:val="16"/>
                <w:color w:val="auto"/>
              </w:rPr>
              <w:t>907</w:t>
            </w:r>
          </w:p>
        </w:tc>
        <w:tc>
          <w:tcPr>
            <w:tcW w:w="0" w:type="dxa"/>
            <w:vAlign w:val="bottom"/>
          </w:tcPr>
          <w:p>
            <w:pPr>
              <w:spacing w:after="0"/>
              <w:rPr>
                <w:sz w:val="1"/>
                <w:szCs w:val="1"/>
                <w:color w:val="auto"/>
              </w:rPr>
            </w:pPr>
          </w:p>
        </w:tc>
      </w:tr>
      <w:tr>
        <w:trPr>
          <w:trHeight w:val="221"/>
        </w:trPr>
        <w:tc>
          <w:tcPr>
            <w:tcW w:w="5820" w:type="dxa"/>
            <w:vAlign w:val="bottom"/>
          </w:tcPr>
          <w:p>
            <w:pPr>
              <w:ind w:left="20"/>
              <w:spacing w:after="0"/>
              <w:rPr>
                <w:sz w:val="20"/>
                <w:szCs w:val="20"/>
                <w:color w:val="auto"/>
              </w:rPr>
            </w:pPr>
            <w:r>
              <w:rPr>
                <w:rFonts w:ascii="Arial" w:cs="Arial" w:eastAsia="Arial" w:hAnsi="Arial"/>
                <w:sz w:val="16"/>
                <w:szCs w:val="16"/>
                <w:color w:val="auto"/>
              </w:rPr>
              <w:t>Specific item:</w:t>
            </w:r>
          </w:p>
        </w:tc>
        <w:tc>
          <w:tcPr>
            <w:tcW w:w="10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5820" w:type="dxa"/>
            <w:vAlign w:val="bottom"/>
          </w:tcPr>
          <w:p>
            <w:pPr>
              <w:ind w:left="100"/>
              <w:spacing w:after="0"/>
              <w:rPr>
                <w:sz w:val="20"/>
                <w:szCs w:val="20"/>
                <w:color w:val="auto"/>
              </w:rPr>
            </w:pPr>
            <w:r>
              <w:rPr>
                <w:rFonts w:ascii="Arial" w:cs="Arial" w:eastAsia="Arial" w:hAnsi="Arial"/>
                <w:sz w:val="16"/>
                <w:szCs w:val="16"/>
                <w:color w:val="auto"/>
              </w:rPr>
              <w:t>Expected credit loss provision on net investment in leases and certain contract</w:t>
            </w:r>
          </w:p>
        </w:tc>
        <w:tc>
          <w:tcPr>
            <w:tcW w:w="2240" w:type="dxa"/>
            <w:vAlign w:val="bottom"/>
            <w:gridSpan w:val="2"/>
            <w:vMerge w:val="restart"/>
          </w:tcPr>
          <w:p>
            <w:pPr>
              <w:jc w:val="right"/>
              <w:ind w:right="879"/>
              <w:spacing w:after="0"/>
              <w:rPr>
                <w:sz w:val="20"/>
                <w:szCs w:val="20"/>
                <w:color w:val="auto"/>
              </w:rPr>
            </w:pPr>
            <w:r>
              <w:rPr>
                <w:rFonts w:ascii="Arial" w:cs="Arial" w:eastAsia="Arial" w:hAnsi="Arial"/>
                <w:sz w:val="16"/>
                <w:szCs w:val="16"/>
                <w:b w:val="1"/>
                <w:bCs w:val="1"/>
                <w:color w:val="auto"/>
              </w:rPr>
              <w:t>4</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20" w:type="dxa"/>
            <w:vAlign w:val="bottom"/>
            <w:vMerge w:val="restart"/>
          </w:tcPr>
          <w:p>
            <w:pPr>
              <w:jc w:val="right"/>
              <w:ind w:right="719"/>
              <w:spacing w:after="0"/>
              <w:rPr>
                <w:sz w:val="20"/>
                <w:szCs w:val="20"/>
                <w:color w:val="auto"/>
              </w:rPr>
            </w:pPr>
            <w:r>
              <w:rPr>
                <w:rFonts w:ascii="Arial" w:cs="Arial" w:eastAsia="Arial" w:hAnsi="Arial"/>
                <w:sz w:val="16"/>
                <w:szCs w:val="16"/>
                <w:b w:val="1"/>
                <w:bCs w:val="1"/>
                <w:color w:val="auto"/>
              </w:rPr>
              <w:t>(83)</w:t>
            </w: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820" w:type="dxa"/>
            <w:vAlign w:val="bottom"/>
            <w:tcBorders>
              <w:bottom w:val="single" w:sz="8" w:color="auto"/>
            </w:tcBorders>
          </w:tcPr>
          <w:p>
            <w:pPr>
              <w:ind w:left="180"/>
              <w:spacing w:after="0" w:line="230" w:lineRule="exact"/>
              <w:rPr>
                <w:sz w:val="20"/>
                <w:szCs w:val="20"/>
                <w:color w:val="auto"/>
              </w:rPr>
            </w:pPr>
            <w:r>
              <w:rPr>
                <w:rFonts w:ascii="Arial" w:cs="Arial" w:eastAsia="Arial" w:hAnsi="Arial"/>
                <w:sz w:val="16"/>
                <w:szCs w:val="16"/>
                <w:color w:val="auto"/>
              </w:rPr>
              <w:t>assets in Mexico</w:t>
            </w:r>
            <w:r>
              <w:rPr>
                <w:rFonts w:ascii="Arial" w:cs="Arial" w:eastAsia="Arial" w:hAnsi="Arial"/>
                <w:sz w:val="21"/>
                <w:szCs w:val="21"/>
                <w:color w:val="auto"/>
                <w:vertAlign w:val="superscript"/>
              </w:rPr>
              <w:t>2</w:t>
            </w:r>
          </w:p>
        </w:tc>
        <w:tc>
          <w:tcPr>
            <w:tcW w:w="2240" w:type="dxa"/>
            <w:vAlign w:val="bottom"/>
            <w:tcBorders>
              <w:bottom w:val="single" w:sz="8" w:color="auto"/>
            </w:tcBorders>
            <w:gridSpan w:val="2"/>
            <w:vMerge w:val="continue"/>
          </w:tcPr>
          <w:p>
            <w:pPr>
              <w:spacing w:after="0"/>
              <w:rPr>
                <w:sz w:val="20"/>
                <w:szCs w:val="20"/>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vMerge w:val="continue"/>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20"/>
        </w:trPr>
        <w:tc>
          <w:tcPr>
            <w:tcW w:w="58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0D64EF"/>
              </w:rPr>
              <w:t xml:space="preserve">Segmented earnings (losses) </w:t>
            </w:r>
            <w:r>
              <w:rPr>
                <w:rFonts w:ascii="Arial" w:cs="Arial" w:eastAsia="Arial" w:hAnsi="Arial"/>
                <w:sz w:val="16"/>
                <w:szCs w:val="16"/>
                <w:color w:val="000000"/>
              </w:rPr>
              <w:t>(Cdn$)</w:t>
            </w:r>
          </w:p>
        </w:tc>
        <w:tc>
          <w:tcPr>
            <w:tcW w:w="2240" w:type="dxa"/>
            <w:vAlign w:val="bottom"/>
            <w:tcBorders>
              <w:bottom w:val="single" w:sz="8" w:color="auto"/>
            </w:tcBorders>
            <w:gridSpan w:val="2"/>
          </w:tcPr>
          <w:p>
            <w:pPr>
              <w:jc w:val="right"/>
              <w:ind w:right="879"/>
              <w:spacing w:after="0"/>
              <w:rPr>
                <w:sz w:val="20"/>
                <w:szCs w:val="20"/>
                <w:color w:val="auto"/>
              </w:rPr>
            </w:pPr>
            <w:r>
              <w:rPr>
                <w:rFonts w:ascii="Arial" w:cs="Arial" w:eastAsia="Arial" w:hAnsi="Arial"/>
                <w:sz w:val="16"/>
                <w:szCs w:val="16"/>
                <w:b w:val="1"/>
                <w:bCs w:val="1"/>
                <w:color w:val="auto"/>
              </w:rPr>
              <w:t>377</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214</w:t>
            </w:r>
          </w:p>
        </w:tc>
        <w:tc>
          <w:tcPr>
            <w:tcW w:w="10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ind w:right="759"/>
              <w:spacing w:after="0"/>
              <w:rPr>
                <w:sz w:val="20"/>
                <w:szCs w:val="20"/>
                <w:color w:val="auto"/>
              </w:rPr>
            </w:pPr>
            <w:r>
              <w:rPr>
                <w:rFonts w:ascii="Arial" w:cs="Arial" w:eastAsia="Arial" w:hAnsi="Arial"/>
                <w:sz w:val="16"/>
                <w:szCs w:val="16"/>
                <w:b w:val="1"/>
                <w:bCs w:val="1"/>
                <w:color w:val="auto"/>
              </w:rPr>
              <w:t>1,186</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929</w:t>
            </w: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340" w:hanging="332"/>
        <w:spacing w:after="0"/>
        <w:tabs>
          <w:tab w:leader="none" w:pos="340" w:val="left"/>
        </w:tabs>
        <w:numPr>
          <w:ilvl w:val="0"/>
          <w:numId w:val="42"/>
        </w:numPr>
        <w:rPr>
          <w:rFonts w:ascii="Arial" w:cs="Arial" w:eastAsia="Arial" w:hAnsi="Arial"/>
          <w:sz w:val="14"/>
          <w:szCs w:val="14"/>
          <w:color w:val="auto"/>
        </w:rPr>
      </w:pPr>
      <w:r>
        <w:rPr>
          <w:rFonts w:ascii="Arial" w:cs="Arial" w:eastAsia="Arial" w:hAnsi="Arial"/>
          <w:sz w:val="14"/>
          <w:szCs w:val="14"/>
          <w:color w:val="auto"/>
        </w:rPr>
        <w:t>Includes the operating sections of the Tamazunchale, Villa de Reyes, Tula and Southeast Gateway pipelines.</w:t>
      </w:r>
    </w:p>
    <w:p>
      <w:pPr>
        <w:spacing w:after="0" w:line="41"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4"/>
          <w:szCs w:val="14"/>
          <w:color w:val="auto"/>
        </w:rPr>
        <w:t>2   Includes non-controlling interest. Refer to the Corporate section for additional information.</w:t>
      </w:r>
    </w:p>
    <w:p>
      <w:pPr>
        <w:spacing w:after="0" w:line="55"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4"/>
          <w:szCs w:val="14"/>
          <w:color w:val="auto"/>
        </w:rPr>
        <w:t>3   Represents equity income from our 60 per cent interest and fees earned from the construction and operation of the pipeline.</w:t>
      </w:r>
    </w:p>
    <w:p>
      <w:pPr>
        <w:spacing w:after="0" w:line="140" w:lineRule="exact"/>
        <w:rPr>
          <w:sz w:val="20"/>
          <w:szCs w:val="20"/>
          <w:color w:val="auto"/>
        </w:rPr>
      </w:pPr>
    </w:p>
    <w:p>
      <w:pPr>
        <w:ind w:right="40"/>
        <w:spacing w:after="0" w:line="314" w:lineRule="auto"/>
        <w:rPr>
          <w:sz w:val="20"/>
          <w:szCs w:val="20"/>
          <w:color w:val="auto"/>
        </w:rPr>
      </w:pPr>
      <w:r>
        <w:rPr>
          <w:rFonts w:ascii="Arial" w:cs="Arial" w:eastAsia="Arial" w:hAnsi="Arial"/>
          <w:sz w:val="18"/>
          <w:szCs w:val="18"/>
          <w:color w:val="auto"/>
        </w:rPr>
        <w:t>Mexico Natural Gas Pipelines segmented earnings increased by $163 million for the three months ended December 31, 2025 compared to the same period in 2024 and included a recovery of $4 million (2024 – recovery of $3 million), on the expected credit loss provision related to the TGNH net investment in leases and certain contract assets in Mexico, which has been excluded from our calculation of comparable EBITDA and comparable EBIT.</w:t>
      </w:r>
    </w:p>
    <w:p>
      <w:pPr>
        <w:spacing w:after="0" w:line="51" w:lineRule="exact"/>
        <w:rPr>
          <w:sz w:val="20"/>
          <w:szCs w:val="20"/>
          <w:color w:val="auto"/>
        </w:rPr>
      </w:pPr>
    </w:p>
    <w:p>
      <w:pPr>
        <w:jc w:val="both"/>
        <w:ind w:right="460"/>
        <w:spacing w:after="0" w:line="323" w:lineRule="auto"/>
        <w:rPr>
          <w:sz w:val="20"/>
          <w:szCs w:val="20"/>
          <w:color w:val="auto"/>
        </w:rPr>
      </w:pPr>
      <w:r>
        <w:rPr>
          <w:rFonts w:ascii="Arial" w:cs="Arial" w:eastAsia="Arial" w:hAnsi="Arial"/>
          <w:sz w:val="18"/>
          <w:szCs w:val="18"/>
          <w:color w:val="auto"/>
        </w:rPr>
        <w:t>A weaker U.S. dollar for the three months and year ended December 31, 2025 had a negative impact on the Canadian dollar equivalent segmented earnings from our U.S. dollar-denominated operations in Mexico compared to the same period in 2024. Refer to the Foreign exchange section for additional information.</w:t>
      </w:r>
    </w:p>
    <w:p>
      <w:pPr>
        <w:spacing w:after="0" w:line="42" w:lineRule="exact"/>
        <w:rPr>
          <w:sz w:val="20"/>
          <w:szCs w:val="20"/>
          <w:color w:val="auto"/>
        </w:rPr>
      </w:pPr>
    </w:p>
    <w:p>
      <w:pPr>
        <w:ind w:right="720"/>
        <w:spacing w:after="0" w:line="297" w:lineRule="auto"/>
        <w:rPr>
          <w:sz w:val="20"/>
          <w:szCs w:val="20"/>
          <w:color w:val="auto"/>
        </w:rPr>
      </w:pPr>
      <w:r>
        <w:rPr>
          <w:rFonts w:ascii="Arial" w:cs="Arial" w:eastAsia="Arial" w:hAnsi="Arial"/>
          <w:sz w:val="18"/>
          <w:szCs w:val="18"/>
          <w:color w:val="auto"/>
        </w:rPr>
        <w:t>Comparable EBITDA for Mexico Natural Gas Pipelines increased by US$118 million for the three months ended December 31, 2025 compared with the same period in 2024, due to the net effect of:</w:t>
      </w:r>
    </w:p>
    <w:p>
      <w:pPr>
        <w:spacing w:after="0" w:line="1" w:lineRule="exact"/>
        <w:rPr>
          <w:sz w:val="20"/>
          <w:szCs w:val="20"/>
          <w:color w:val="auto"/>
        </w:rPr>
      </w:pPr>
    </w:p>
    <w:p>
      <w:pPr>
        <w:ind w:left="140" w:hanging="132"/>
        <w:spacing w:after="0"/>
        <w:tabs>
          <w:tab w:leader="none" w:pos="1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higher earnings in TGNH due to the completion of the Southeast Gateway pipeline in second quarter 2025</w:t>
      </w:r>
    </w:p>
    <w:p>
      <w:pPr>
        <w:spacing w:after="0" w:line="63" w:lineRule="exact"/>
        <w:rPr>
          <w:rFonts w:ascii="Arial" w:cs="Arial" w:eastAsia="Arial" w:hAnsi="Arial"/>
          <w:sz w:val="18"/>
          <w:szCs w:val="18"/>
          <w:color w:val="auto"/>
        </w:rPr>
      </w:pPr>
    </w:p>
    <w:p>
      <w:pPr>
        <w:ind w:left="140" w:hanging="132"/>
        <w:spacing w:after="0"/>
        <w:tabs>
          <w:tab w:leader="none" w:pos="1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lower equity earnings from Sur de Texas primarily due to the foreign exchange impacts on the revaluation of</w:t>
      </w:r>
    </w:p>
    <w:p>
      <w:pPr>
        <w:spacing w:after="0" w:line="50" w:lineRule="exact"/>
        <w:rPr>
          <w:sz w:val="20"/>
          <w:szCs w:val="20"/>
          <w:color w:val="auto"/>
        </w:rPr>
      </w:pPr>
    </w:p>
    <w:p>
      <w:pPr>
        <w:ind w:left="180" w:right="100"/>
        <w:spacing w:after="0" w:line="334" w:lineRule="auto"/>
        <w:rPr>
          <w:sz w:val="20"/>
          <w:szCs w:val="20"/>
          <w:color w:val="auto"/>
        </w:rPr>
      </w:pPr>
      <w:r>
        <w:rPr>
          <w:rFonts w:ascii="Arial" w:cs="Arial" w:eastAsia="Arial" w:hAnsi="Arial"/>
          <w:sz w:val="18"/>
          <w:szCs w:val="18"/>
          <w:color w:val="auto"/>
        </w:rPr>
        <w:t>peso-denominated liabilities as a result of a stronger Mexican peso and higher income tax expense mainly related to the foreign exchange impacts of U.S. dollar-denominated liabilities.</w:t>
      </w:r>
    </w:p>
    <w:p>
      <w:pPr>
        <w:spacing w:after="0" w:line="81" w:lineRule="exact"/>
        <w:rPr>
          <w:sz w:val="20"/>
          <w:szCs w:val="20"/>
          <w:color w:val="auto"/>
        </w:rPr>
      </w:pPr>
    </w:p>
    <w:p>
      <w:pPr>
        <w:spacing w:after="0"/>
        <w:rPr>
          <w:sz w:val="20"/>
          <w:szCs w:val="20"/>
          <w:color w:val="auto"/>
        </w:rPr>
      </w:pPr>
      <w:r>
        <w:rPr>
          <w:rFonts w:ascii="Arial" w:cs="Arial" w:eastAsia="Arial" w:hAnsi="Arial"/>
          <w:sz w:val="20"/>
          <w:szCs w:val="20"/>
          <w:b w:val="1"/>
          <w:bCs w:val="1"/>
          <w:color w:val="0D64EF"/>
        </w:rPr>
        <w:t>DEPRECIATION AND AMORTIZATION</w:t>
      </w:r>
    </w:p>
    <w:p>
      <w:pPr>
        <w:spacing w:after="0" w:line="72" w:lineRule="exact"/>
        <w:rPr>
          <w:sz w:val="20"/>
          <w:szCs w:val="20"/>
          <w:color w:val="auto"/>
        </w:rPr>
      </w:pPr>
    </w:p>
    <w:p>
      <w:pPr>
        <w:ind w:right="140"/>
        <w:spacing w:after="0" w:line="315" w:lineRule="auto"/>
        <w:rPr>
          <w:sz w:val="20"/>
          <w:szCs w:val="20"/>
          <w:color w:val="auto"/>
        </w:rPr>
      </w:pPr>
      <w:r>
        <w:rPr>
          <w:rFonts w:ascii="Arial" w:cs="Arial" w:eastAsia="Arial" w:hAnsi="Arial"/>
          <w:sz w:val="18"/>
          <w:szCs w:val="18"/>
          <w:color w:val="auto"/>
        </w:rPr>
        <w:t>Depreciation and amortization was generally consistent for the three months ended December 31, 2025 compared to the same period in 2024. Under sales-type lease accounting, our in-service TGNH pipeline assets are derecognized from Plant, property and equipment and recorded as a net investment in lease on our Condensed consolidated balance sheet with no depreciation expense being recognized.</w:t>
      </w:r>
    </w:p>
    <w:p>
      <w:pPr>
        <w:spacing w:after="0" w:line="200" w:lineRule="exact"/>
        <w:rPr>
          <w:sz w:val="20"/>
          <w:szCs w:val="20"/>
          <w:color w:val="auto"/>
        </w:rPr>
      </w:pPr>
    </w:p>
    <w:p>
      <w:pPr>
        <w:spacing w:after="0" w:line="389" w:lineRule="exact"/>
        <w:rPr>
          <w:sz w:val="20"/>
          <w:szCs w:val="20"/>
          <w:color w:val="auto"/>
        </w:rPr>
      </w:pPr>
    </w:p>
    <w:p>
      <w:pPr>
        <w:ind w:left="7060"/>
        <w:spacing w:after="0"/>
        <w:rPr>
          <w:sz w:val="20"/>
          <w:szCs w:val="20"/>
          <w:color w:val="auto"/>
        </w:rPr>
      </w:pPr>
      <w:r>
        <w:rPr>
          <w:rFonts w:ascii="Arial" w:cs="Arial" w:eastAsia="Arial" w:hAnsi="Arial"/>
          <w:sz w:val="17"/>
          <w:szCs w:val="17"/>
          <w:color w:val="auto"/>
        </w:rPr>
        <w:t xml:space="preserve">TC Energy </w:t>
      </w:r>
      <w:r>
        <w:rPr>
          <w:rFonts w:ascii="Arial" w:cs="Arial" w:eastAsia="Arial" w:hAnsi="Arial"/>
          <w:sz w:val="17"/>
          <w:szCs w:val="17"/>
          <w:b w:val="1"/>
          <w:bCs w:val="1"/>
          <w:color w:val="0D64EF"/>
        </w:rPr>
        <w:t>Fourth Quarter</w:t>
      </w:r>
      <w:r>
        <w:rPr>
          <w:rFonts w:ascii="Arial" w:cs="Arial" w:eastAsia="Arial" w:hAnsi="Arial"/>
          <w:sz w:val="17"/>
          <w:szCs w:val="17"/>
          <w:color w:val="auto"/>
        </w:rPr>
        <w:t xml:space="preserve"> News Release 2025 | 19</w:t>
      </w:r>
    </w:p>
    <w:p>
      <w:pPr>
        <w:sectPr>
          <w:pgSz w:w="11900" w:h="16838" w:orient="portrait"/>
          <w:cols w:equalWidth="0" w:num="1">
            <w:col w:w="11240"/>
          </w:cols>
          <w:pgMar w:left="320" w:top="1359" w:right="339" w:bottom="1440" w:gutter="0" w:footer="0" w:header="0"/>
        </w:sectPr>
      </w:pPr>
    </w:p>
    <w:bookmarkStart w:id="32" w:name="page33"/>
    <w:bookmarkEnd w:id="32"/>
    <w:p>
      <w:pPr>
        <w:spacing w:after="0"/>
        <w:rPr>
          <w:sz w:val="20"/>
          <w:szCs w:val="20"/>
          <w:color w:val="auto"/>
        </w:rPr>
      </w:pPr>
      <w:r>
        <w:rPr>
          <w:rFonts w:ascii="Arial" w:cs="Arial" w:eastAsia="Arial" w:hAnsi="Arial"/>
          <w:sz w:val="20"/>
          <w:szCs w:val="20"/>
          <w:b w:val="1"/>
          <w:bCs w:val="1"/>
          <w:color w:val="0D64EF"/>
        </w:rPr>
        <w:t>Sur de Texas results</w:t>
      </w:r>
    </w:p>
    <w:p>
      <w:pPr>
        <w:spacing w:after="0" w:line="58" w:lineRule="exact"/>
        <w:rPr>
          <w:sz w:val="20"/>
          <w:szCs w:val="20"/>
          <w:color w:val="auto"/>
        </w:rPr>
      </w:pPr>
    </w:p>
    <w:p>
      <w:pPr>
        <w:ind w:right="140"/>
        <w:spacing w:after="0" w:line="314" w:lineRule="auto"/>
        <w:rPr>
          <w:sz w:val="20"/>
          <w:szCs w:val="20"/>
          <w:color w:val="auto"/>
        </w:rPr>
      </w:pPr>
      <w:r>
        <w:rPr>
          <w:rFonts w:ascii="Arial" w:cs="Arial" w:eastAsia="Arial" w:hAnsi="Arial"/>
          <w:sz w:val="18"/>
          <w:szCs w:val="18"/>
          <w:color w:val="auto"/>
        </w:rPr>
        <w:t>Sur de Texas results reflect equity income from our 60 per cent interest and fees earned from the construction and operation of the pipeline. We use foreign exchange derivatives to manage Sur de Texas' foreign exchange exposures, and the impact of these derivatives is recognized in Foreign exchange (gains) losses, net in the Condensed consolidated statement of income. Refer to the Foreign exchange section for additional information.</w:t>
      </w:r>
    </w:p>
    <w:p>
      <w:pPr>
        <w:spacing w:after="0" w:line="51" w:lineRule="exact"/>
        <w:rPr>
          <w:sz w:val="20"/>
          <w:szCs w:val="20"/>
          <w:color w:val="auto"/>
        </w:rPr>
      </w:pPr>
    </w:p>
    <w:p>
      <w:pPr>
        <w:ind w:right="180"/>
        <w:spacing w:after="0" w:line="350" w:lineRule="auto"/>
        <w:rPr>
          <w:sz w:val="20"/>
          <w:szCs w:val="20"/>
          <w:color w:val="auto"/>
        </w:rPr>
      </w:pPr>
      <w:r>
        <w:rPr>
          <w:rFonts w:ascii="Arial" w:cs="Arial" w:eastAsia="Arial" w:hAnsi="Arial"/>
          <w:sz w:val="18"/>
          <w:szCs w:val="18"/>
          <w:color w:val="auto"/>
        </w:rPr>
        <w:t>The following table details our proportionate share of equity income and the foreign exchange impact on Sur de Texas equity earnings from changes in the value of the Mexican peso against the U.S. dollar:</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820" w:type="dxa"/>
            <w:vAlign w:val="bottom"/>
            <w:tcBorders>
              <w:top w:val="single" w:sz="8" w:color="0D64EF"/>
            </w:tcBorders>
            <w:shd w:val="clear" w:color="auto" w:fill="D1D0CF"/>
          </w:tcPr>
          <w:p>
            <w:pPr>
              <w:spacing w:after="0"/>
              <w:rPr>
                <w:sz w:val="16"/>
                <w:szCs w:val="16"/>
                <w:color w:val="auto"/>
              </w:rPr>
            </w:pPr>
          </w:p>
        </w:tc>
        <w:tc>
          <w:tcPr>
            <w:tcW w:w="100" w:type="dxa"/>
            <w:vAlign w:val="bottom"/>
            <w:tcBorders>
              <w:top w:val="single" w:sz="8" w:color="0D64EF"/>
            </w:tcBorders>
            <w:shd w:val="clear" w:color="auto" w:fill="D1D0CF"/>
          </w:tcPr>
          <w:p>
            <w:pPr>
              <w:spacing w:after="0"/>
              <w:rPr>
                <w:sz w:val="16"/>
                <w:szCs w:val="16"/>
                <w:color w:val="auto"/>
              </w:rPr>
            </w:pPr>
          </w:p>
        </w:tc>
        <w:tc>
          <w:tcPr>
            <w:tcW w:w="2140" w:type="dxa"/>
            <w:vAlign w:val="bottom"/>
            <w:tcBorders>
              <w:top w:val="single" w:sz="8" w:color="0D64EF"/>
            </w:tcBorders>
            <w:shd w:val="clear" w:color="auto" w:fill="D1D0CF"/>
          </w:tcPr>
          <w:p>
            <w:pPr>
              <w:jc w:val="right"/>
              <w:spacing w:after="0"/>
              <w:rPr>
                <w:sz w:val="20"/>
                <w:szCs w:val="20"/>
                <w:color w:val="auto"/>
              </w:rPr>
            </w:pPr>
            <w:r>
              <w:rPr>
                <w:rFonts w:ascii="Arial" w:cs="Arial" w:eastAsia="Arial" w:hAnsi="Arial"/>
                <w:sz w:val="16"/>
                <w:szCs w:val="16"/>
                <w:b w:val="1"/>
                <w:bCs w:val="1"/>
                <w:color w:val="auto"/>
              </w:rPr>
              <w:t>three months ended</w:t>
            </w:r>
          </w:p>
        </w:tc>
        <w:tc>
          <w:tcPr>
            <w:tcW w:w="460" w:type="dxa"/>
            <w:vAlign w:val="bottom"/>
            <w:tcBorders>
              <w:top w:val="single" w:sz="8" w:color="0D64EF"/>
            </w:tcBorders>
            <w:shd w:val="clear" w:color="auto" w:fill="D1D0CF"/>
          </w:tcPr>
          <w:p>
            <w:pPr>
              <w:spacing w:after="0"/>
              <w:rPr>
                <w:sz w:val="16"/>
                <w:szCs w:val="16"/>
                <w:color w:val="auto"/>
              </w:rPr>
            </w:pPr>
          </w:p>
        </w:tc>
        <w:tc>
          <w:tcPr>
            <w:tcW w:w="100" w:type="dxa"/>
            <w:vAlign w:val="bottom"/>
            <w:tcBorders>
              <w:top w:val="single" w:sz="8" w:color="0D64EF"/>
            </w:tcBorders>
            <w:shd w:val="clear" w:color="auto" w:fill="D1D0CF"/>
          </w:tcPr>
          <w:p>
            <w:pPr>
              <w:spacing w:after="0"/>
              <w:rPr>
                <w:sz w:val="16"/>
                <w:szCs w:val="16"/>
                <w:color w:val="auto"/>
              </w:rPr>
            </w:pPr>
          </w:p>
        </w:tc>
        <w:tc>
          <w:tcPr>
            <w:tcW w:w="2020" w:type="dxa"/>
            <w:vAlign w:val="bottom"/>
            <w:tcBorders>
              <w:top w:val="single" w:sz="8" w:color="0D64EF"/>
            </w:tcBorders>
            <w:shd w:val="clear" w:color="auto" w:fill="D1D0CF"/>
          </w:tcPr>
          <w:p>
            <w:pPr>
              <w:jc w:val="right"/>
              <w:ind w:right="219"/>
              <w:spacing w:after="0"/>
              <w:rPr>
                <w:sz w:val="20"/>
                <w:szCs w:val="20"/>
                <w:color w:val="auto"/>
              </w:rPr>
            </w:pPr>
            <w:r>
              <w:rPr>
                <w:rFonts w:ascii="Arial" w:cs="Arial" w:eastAsia="Arial" w:hAnsi="Arial"/>
                <w:sz w:val="16"/>
                <w:szCs w:val="16"/>
                <w:b w:val="1"/>
                <w:bCs w:val="1"/>
                <w:color w:val="auto"/>
              </w:rPr>
              <w:t>year ended</w:t>
            </w:r>
          </w:p>
        </w:tc>
        <w:tc>
          <w:tcPr>
            <w:tcW w:w="600" w:type="dxa"/>
            <w:vAlign w:val="bottom"/>
            <w:tcBorders>
              <w:top w:val="single" w:sz="8" w:color="0D64EF"/>
            </w:tcBorders>
            <w:shd w:val="clear" w:color="auto" w:fill="D1D0CF"/>
          </w:tcPr>
          <w:p>
            <w:pPr>
              <w:spacing w:after="0"/>
              <w:rPr>
                <w:sz w:val="16"/>
                <w:szCs w:val="16"/>
                <w:color w:val="auto"/>
              </w:rPr>
            </w:pPr>
          </w:p>
        </w:tc>
      </w:tr>
      <w:tr>
        <w:trPr>
          <w:trHeight w:val="224"/>
        </w:trPr>
        <w:tc>
          <w:tcPr>
            <w:tcW w:w="5820" w:type="dxa"/>
            <w:vAlign w:val="bottom"/>
            <w:tcBorders>
              <w:bottom w:val="single" w:sz="8" w:color="D1D0CF"/>
            </w:tcBorders>
            <w:shd w:val="clear" w:color="auto" w:fill="D1D0CF"/>
          </w:tcPr>
          <w:p>
            <w:pPr>
              <w:spacing w:after="0"/>
              <w:rPr>
                <w:sz w:val="19"/>
                <w:szCs w:val="19"/>
                <w:color w:val="auto"/>
              </w:rPr>
            </w:pPr>
          </w:p>
        </w:tc>
        <w:tc>
          <w:tcPr>
            <w:tcW w:w="100" w:type="dxa"/>
            <w:vAlign w:val="bottom"/>
            <w:tcBorders>
              <w:bottom w:val="single" w:sz="8" w:color="D1D0CF"/>
            </w:tcBorders>
            <w:shd w:val="clear" w:color="auto" w:fill="D1D0CF"/>
          </w:tcPr>
          <w:p>
            <w:pPr>
              <w:spacing w:after="0"/>
              <w:rPr>
                <w:sz w:val="19"/>
                <w:szCs w:val="19"/>
                <w:color w:val="auto"/>
              </w:rPr>
            </w:pPr>
          </w:p>
        </w:tc>
        <w:tc>
          <w:tcPr>
            <w:tcW w:w="2140" w:type="dxa"/>
            <w:vAlign w:val="bottom"/>
            <w:tcBorders>
              <w:bottom w:val="single" w:sz="8" w:color="0D64EF"/>
            </w:tcBorders>
            <w:shd w:val="clear" w:color="auto" w:fill="D1D0CF"/>
          </w:tcPr>
          <w:p>
            <w:pPr>
              <w:jc w:val="right"/>
              <w:ind w:right="259"/>
              <w:spacing w:after="0"/>
              <w:rPr>
                <w:sz w:val="20"/>
                <w:szCs w:val="20"/>
                <w:color w:val="auto"/>
              </w:rPr>
            </w:pPr>
            <w:r>
              <w:rPr>
                <w:rFonts w:ascii="Arial" w:cs="Arial" w:eastAsia="Arial" w:hAnsi="Arial"/>
                <w:sz w:val="16"/>
                <w:szCs w:val="16"/>
                <w:b w:val="1"/>
                <w:bCs w:val="1"/>
                <w:color w:val="auto"/>
              </w:rPr>
              <w:t>December 31</w:t>
            </w:r>
          </w:p>
        </w:tc>
        <w:tc>
          <w:tcPr>
            <w:tcW w:w="460" w:type="dxa"/>
            <w:vAlign w:val="bottom"/>
            <w:tcBorders>
              <w:bottom w:val="single" w:sz="8" w:color="0D64EF"/>
            </w:tcBorders>
            <w:shd w:val="clear" w:color="auto" w:fill="D1D0CF"/>
          </w:tcPr>
          <w:p>
            <w:pPr>
              <w:spacing w:after="0"/>
              <w:rPr>
                <w:sz w:val="19"/>
                <w:szCs w:val="19"/>
                <w:color w:val="auto"/>
              </w:rPr>
            </w:pPr>
          </w:p>
        </w:tc>
        <w:tc>
          <w:tcPr>
            <w:tcW w:w="100" w:type="dxa"/>
            <w:vAlign w:val="bottom"/>
            <w:tcBorders>
              <w:bottom w:val="single" w:sz="8" w:color="D1D0CF"/>
            </w:tcBorders>
            <w:shd w:val="clear" w:color="auto" w:fill="D1D0CF"/>
          </w:tcPr>
          <w:p>
            <w:pPr>
              <w:spacing w:after="0"/>
              <w:rPr>
                <w:sz w:val="19"/>
                <w:szCs w:val="19"/>
                <w:color w:val="auto"/>
              </w:rPr>
            </w:pPr>
          </w:p>
        </w:tc>
        <w:tc>
          <w:tcPr>
            <w:tcW w:w="2020" w:type="dxa"/>
            <w:vAlign w:val="bottom"/>
            <w:tcBorders>
              <w:bottom w:val="single" w:sz="8" w:color="0D64EF"/>
            </w:tcBorders>
            <w:shd w:val="clear" w:color="auto" w:fill="D1D0CF"/>
          </w:tcPr>
          <w:p>
            <w:pPr>
              <w:jc w:val="right"/>
              <w:ind w:right="119"/>
              <w:spacing w:after="0"/>
              <w:rPr>
                <w:sz w:val="20"/>
                <w:szCs w:val="20"/>
                <w:color w:val="auto"/>
              </w:rPr>
            </w:pPr>
            <w:r>
              <w:rPr>
                <w:rFonts w:ascii="Arial" w:cs="Arial" w:eastAsia="Arial" w:hAnsi="Arial"/>
                <w:sz w:val="16"/>
                <w:szCs w:val="16"/>
                <w:b w:val="1"/>
                <w:bCs w:val="1"/>
                <w:color w:val="auto"/>
              </w:rPr>
              <w:t>December 31</w:t>
            </w:r>
          </w:p>
        </w:tc>
        <w:tc>
          <w:tcPr>
            <w:tcW w:w="600" w:type="dxa"/>
            <w:vAlign w:val="bottom"/>
            <w:tcBorders>
              <w:bottom w:val="single" w:sz="8" w:color="0D64EF"/>
            </w:tcBorders>
            <w:shd w:val="clear" w:color="auto" w:fill="D1D0CF"/>
          </w:tcPr>
          <w:p>
            <w:pPr>
              <w:spacing w:after="0"/>
              <w:rPr>
                <w:sz w:val="19"/>
                <w:szCs w:val="19"/>
                <w:color w:val="auto"/>
              </w:rPr>
            </w:pPr>
          </w:p>
        </w:tc>
      </w:tr>
      <w:tr>
        <w:trPr>
          <w:trHeight w:val="226"/>
        </w:trPr>
        <w:tc>
          <w:tcPr>
            <w:tcW w:w="5820" w:type="dxa"/>
            <w:vAlign w:val="bottom"/>
            <w:tcBorders>
              <w:bottom w:val="single" w:sz="8" w:color="0D64EF"/>
            </w:tcBorders>
            <w:shd w:val="clear" w:color="auto" w:fill="D1D0CF"/>
          </w:tcPr>
          <w:p>
            <w:pPr>
              <w:ind w:left="20"/>
              <w:spacing w:after="0"/>
              <w:rPr>
                <w:sz w:val="20"/>
                <w:szCs w:val="20"/>
                <w:color w:val="auto"/>
              </w:rPr>
            </w:pPr>
            <w:r>
              <w:rPr>
                <w:rFonts w:ascii="Arial" w:cs="Arial" w:eastAsia="Arial" w:hAnsi="Arial"/>
                <w:sz w:val="16"/>
                <w:szCs w:val="16"/>
                <w:color w:val="auto"/>
              </w:rPr>
              <w:t>(millions of US$)</w:t>
            </w:r>
          </w:p>
        </w:tc>
        <w:tc>
          <w:tcPr>
            <w:tcW w:w="100" w:type="dxa"/>
            <w:vAlign w:val="bottom"/>
            <w:tcBorders>
              <w:bottom w:val="single" w:sz="8" w:color="0D64EF"/>
            </w:tcBorders>
            <w:shd w:val="clear" w:color="auto" w:fill="D1D0CF"/>
          </w:tcPr>
          <w:p>
            <w:pPr>
              <w:spacing w:after="0"/>
              <w:rPr>
                <w:sz w:val="19"/>
                <w:szCs w:val="19"/>
                <w:color w:val="auto"/>
              </w:rPr>
            </w:pPr>
          </w:p>
        </w:tc>
        <w:tc>
          <w:tcPr>
            <w:tcW w:w="2140" w:type="dxa"/>
            <w:vAlign w:val="bottom"/>
            <w:tcBorders>
              <w:bottom w:val="single" w:sz="8" w:color="0D64EF"/>
            </w:tcBorders>
            <w:shd w:val="clear" w:color="auto" w:fill="D1D0CF"/>
          </w:tcPr>
          <w:p>
            <w:pPr>
              <w:jc w:val="right"/>
              <w:ind w:right="839"/>
              <w:spacing w:after="0"/>
              <w:rPr>
                <w:sz w:val="20"/>
                <w:szCs w:val="20"/>
                <w:color w:val="auto"/>
              </w:rPr>
            </w:pPr>
            <w:r>
              <w:rPr>
                <w:rFonts w:ascii="Arial" w:cs="Arial" w:eastAsia="Arial" w:hAnsi="Arial"/>
                <w:sz w:val="16"/>
                <w:szCs w:val="16"/>
                <w:b w:val="1"/>
                <w:bCs w:val="1"/>
                <w:color w:val="auto"/>
              </w:rPr>
              <w:t>2025</w:t>
            </w:r>
          </w:p>
        </w:tc>
        <w:tc>
          <w:tcPr>
            <w:tcW w:w="460" w:type="dxa"/>
            <w:vAlign w:val="bottom"/>
            <w:tcBorders>
              <w:bottom w:val="single" w:sz="8" w:color="0D64EF"/>
            </w:tcBorders>
            <w:shd w:val="clear" w:color="auto" w:fill="D1D0CF"/>
          </w:tcPr>
          <w:p>
            <w:pPr>
              <w:jc w:val="right"/>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bottom w:val="single" w:sz="8" w:color="0D64EF"/>
            </w:tcBorders>
            <w:shd w:val="clear" w:color="auto" w:fill="D1D0CF"/>
          </w:tcPr>
          <w:p>
            <w:pPr>
              <w:spacing w:after="0"/>
              <w:rPr>
                <w:sz w:val="19"/>
                <w:szCs w:val="19"/>
                <w:color w:val="auto"/>
              </w:rPr>
            </w:pPr>
          </w:p>
        </w:tc>
        <w:tc>
          <w:tcPr>
            <w:tcW w:w="2020" w:type="dxa"/>
            <w:vAlign w:val="bottom"/>
            <w:tcBorders>
              <w:bottom w:val="single" w:sz="8" w:color="0D64EF"/>
            </w:tcBorders>
            <w:shd w:val="clear" w:color="auto" w:fill="D1D0CF"/>
          </w:tcPr>
          <w:p>
            <w:pPr>
              <w:jc w:val="right"/>
              <w:ind w:right="699"/>
              <w:spacing w:after="0"/>
              <w:rPr>
                <w:sz w:val="20"/>
                <w:szCs w:val="20"/>
                <w:color w:val="auto"/>
              </w:rPr>
            </w:pPr>
            <w:r>
              <w:rPr>
                <w:rFonts w:ascii="Arial" w:cs="Arial" w:eastAsia="Arial" w:hAnsi="Arial"/>
                <w:sz w:val="16"/>
                <w:szCs w:val="16"/>
                <w:b w:val="1"/>
                <w:bCs w:val="1"/>
                <w:color w:val="auto"/>
              </w:rPr>
              <w:t>2025</w:t>
            </w:r>
          </w:p>
        </w:tc>
        <w:tc>
          <w:tcPr>
            <w:tcW w:w="600" w:type="dxa"/>
            <w:vAlign w:val="bottom"/>
            <w:tcBorders>
              <w:bottom w:val="single" w:sz="8" w:color="0D64EF"/>
            </w:tcBorders>
            <w:shd w:val="clear" w:color="auto" w:fill="D1D0CF"/>
          </w:tcPr>
          <w:p>
            <w:pPr>
              <w:jc w:val="right"/>
              <w:spacing w:after="0"/>
              <w:rPr>
                <w:sz w:val="20"/>
                <w:szCs w:val="20"/>
                <w:color w:val="auto"/>
              </w:rPr>
            </w:pPr>
            <w:r>
              <w:rPr>
                <w:rFonts w:ascii="Arial" w:cs="Arial" w:eastAsia="Arial" w:hAnsi="Arial"/>
                <w:sz w:val="16"/>
                <w:szCs w:val="16"/>
                <w:b w:val="1"/>
                <w:bCs w:val="1"/>
                <w:color w:val="auto"/>
              </w:rPr>
              <w:t>2024</w:t>
            </w:r>
          </w:p>
        </w:tc>
      </w:tr>
      <w:tr>
        <w:trPr>
          <w:trHeight w:val="259"/>
        </w:trPr>
        <w:tc>
          <w:tcPr>
            <w:tcW w:w="5820" w:type="dxa"/>
            <w:vAlign w:val="bottom"/>
          </w:tcPr>
          <w:p>
            <w:pPr>
              <w:ind w:left="20"/>
              <w:spacing w:after="0"/>
              <w:rPr>
                <w:sz w:val="20"/>
                <w:szCs w:val="20"/>
                <w:color w:val="auto"/>
              </w:rPr>
            </w:pPr>
            <w:r>
              <w:rPr>
                <w:rFonts w:ascii="Arial" w:cs="Arial" w:eastAsia="Arial" w:hAnsi="Arial"/>
                <w:sz w:val="16"/>
                <w:szCs w:val="16"/>
                <w:color w:val="auto"/>
              </w:rPr>
              <w:t>Equity income before foreign exchange impact</w:t>
            </w:r>
          </w:p>
        </w:tc>
        <w:tc>
          <w:tcPr>
            <w:tcW w:w="2240" w:type="dxa"/>
            <w:vAlign w:val="bottom"/>
            <w:gridSpan w:val="2"/>
          </w:tcPr>
          <w:p>
            <w:pPr>
              <w:jc w:val="right"/>
              <w:ind w:right="839"/>
              <w:spacing w:after="0"/>
              <w:rPr>
                <w:sz w:val="20"/>
                <w:szCs w:val="20"/>
                <w:color w:val="auto"/>
              </w:rPr>
            </w:pPr>
            <w:r>
              <w:rPr>
                <w:rFonts w:ascii="Arial" w:cs="Arial" w:eastAsia="Arial" w:hAnsi="Arial"/>
                <w:sz w:val="16"/>
                <w:szCs w:val="16"/>
                <w:b w:val="1"/>
                <w:bCs w:val="1"/>
                <w:color w:val="auto"/>
              </w:rPr>
              <w:t>36</w:t>
            </w:r>
          </w:p>
        </w:tc>
        <w:tc>
          <w:tcPr>
            <w:tcW w:w="460" w:type="dxa"/>
            <w:vAlign w:val="bottom"/>
          </w:tcPr>
          <w:p>
            <w:pPr>
              <w:jc w:val="right"/>
              <w:spacing w:after="0"/>
              <w:rPr>
                <w:sz w:val="20"/>
                <w:szCs w:val="20"/>
                <w:color w:val="auto"/>
              </w:rPr>
            </w:pPr>
            <w:r>
              <w:rPr>
                <w:rFonts w:ascii="Arial" w:cs="Arial" w:eastAsia="Arial" w:hAnsi="Arial"/>
                <w:sz w:val="16"/>
                <w:szCs w:val="16"/>
                <w:color w:val="auto"/>
              </w:rPr>
              <w:t>35</w:t>
            </w:r>
          </w:p>
        </w:tc>
        <w:tc>
          <w:tcPr>
            <w:tcW w:w="100" w:type="dxa"/>
            <w:vAlign w:val="bottom"/>
          </w:tcPr>
          <w:p>
            <w:pPr>
              <w:spacing w:after="0"/>
              <w:rPr>
                <w:sz w:val="22"/>
                <w:szCs w:val="22"/>
                <w:color w:val="auto"/>
              </w:rPr>
            </w:pPr>
          </w:p>
        </w:tc>
        <w:tc>
          <w:tcPr>
            <w:tcW w:w="2020" w:type="dxa"/>
            <w:vAlign w:val="bottom"/>
          </w:tcPr>
          <w:p>
            <w:pPr>
              <w:jc w:val="right"/>
              <w:ind w:right="759"/>
              <w:spacing w:after="0"/>
              <w:rPr>
                <w:sz w:val="20"/>
                <w:szCs w:val="20"/>
                <w:color w:val="auto"/>
              </w:rPr>
            </w:pPr>
            <w:r>
              <w:rPr>
                <w:rFonts w:ascii="Arial" w:cs="Arial" w:eastAsia="Arial" w:hAnsi="Arial"/>
                <w:sz w:val="16"/>
                <w:szCs w:val="16"/>
                <w:b w:val="1"/>
                <w:bCs w:val="1"/>
                <w:color w:val="auto"/>
              </w:rPr>
              <w:t>136</w:t>
            </w:r>
          </w:p>
        </w:tc>
        <w:tc>
          <w:tcPr>
            <w:tcW w:w="600" w:type="dxa"/>
            <w:vAlign w:val="bottom"/>
          </w:tcPr>
          <w:p>
            <w:pPr>
              <w:jc w:val="right"/>
              <w:spacing w:after="0"/>
              <w:rPr>
                <w:sz w:val="20"/>
                <w:szCs w:val="20"/>
                <w:color w:val="auto"/>
              </w:rPr>
            </w:pPr>
            <w:r>
              <w:rPr>
                <w:rFonts w:ascii="Arial" w:cs="Arial" w:eastAsia="Arial" w:hAnsi="Arial"/>
                <w:sz w:val="16"/>
                <w:szCs w:val="16"/>
                <w:color w:val="auto"/>
              </w:rPr>
              <w:t>137</w:t>
            </w:r>
          </w:p>
        </w:tc>
      </w:tr>
      <w:tr>
        <w:trPr>
          <w:trHeight w:val="233"/>
        </w:trPr>
        <w:tc>
          <w:tcPr>
            <w:tcW w:w="58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Foreign exchange impact included in equity earnings</w:t>
            </w:r>
          </w:p>
        </w:tc>
        <w:tc>
          <w:tcPr>
            <w:tcW w:w="2240" w:type="dxa"/>
            <w:vAlign w:val="bottom"/>
            <w:tcBorders>
              <w:bottom w:val="single" w:sz="8" w:color="auto"/>
            </w:tcBorders>
            <w:gridSpan w:val="2"/>
          </w:tcPr>
          <w:p>
            <w:pPr>
              <w:jc w:val="right"/>
              <w:ind w:right="839"/>
              <w:spacing w:after="0"/>
              <w:rPr>
                <w:sz w:val="20"/>
                <w:szCs w:val="20"/>
                <w:color w:val="auto"/>
              </w:rPr>
            </w:pPr>
            <w:r>
              <w:rPr>
                <w:rFonts w:ascii="Arial" w:cs="Arial" w:eastAsia="Arial" w:hAnsi="Arial"/>
                <w:sz w:val="16"/>
                <w:szCs w:val="16"/>
                <w:b w:val="1"/>
                <w:bCs w:val="1"/>
                <w:color w:val="auto"/>
              </w:rPr>
              <w:t>(8)</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w:t>
            </w:r>
          </w:p>
        </w:tc>
        <w:tc>
          <w:tcPr>
            <w:tcW w:w="10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tcPr>
          <w:p>
            <w:pPr>
              <w:jc w:val="right"/>
              <w:ind w:right="719"/>
              <w:spacing w:after="0"/>
              <w:rPr>
                <w:sz w:val="20"/>
                <w:szCs w:val="20"/>
                <w:color w:val="auto"/>
              </w:rPr>
            </w:pPr>
            <w:r>
              <w:rPr>
                <w:rFonts w:ascii="Arial" w:cs="Arial" w:eastAsia="Arial" w:hAnsi="Arial"/>
                <w:sz w:val="16"/>
                <w:szCs w:val="16"/>
                <w:b w:val="1"/>
                <w:bCs w:val="1"/>
                <w:color w:val="auto"/>
              </w:rPr>
              <w:t>(57)</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w:t>
            </w:r>
          </w:p>
        </w:tc>
      </w:tr>
      <w:tr>
        <w:trPr>
          <w:trHeight w:val="223"/>
        </w:trPr>
        <w:tc>
          <w:tcPr>
            <w:tcW w:w="58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0D64EF"/>
              </w:rPr>
              <w:t>Comparable EBITDA - Sur de Texas</w:t>
            </w:r>
          </w:p>
        </w:tc>
        <w:tc>
          <w:tcPr>
            <w:tcW w:w="2240" w:type="dxa"/>
            <w:vAlign w:val="bottom"/>
            <w:tcBorders>
              <w:bottom w:val="single" w:sz="8" w:color="auto"/>
            </w:tcBorders>
            <w:gridSpan w:val="2"/>
          </w:tcPr>
          <w:p>
            <w:pPr>
              <w:jc w:val="right"/>
              <w:ind w:right="879"/>
              <w:spacing w:after="0"/>
              <w:rPr>
                <w:sz w:val="20"/>
                <w:szCs w:val="20"/>
                <w:color w:val="auto"/>
              </w:rPr>
            </w:pPr>
            <w:r>
              <w:rPr>
                <w:rFonts w:ascii="Arial" w:cs="Arial" w:eastAsia="Arial" w:hAnsi="Arial"/>
                <w:sz w:val="16"/>
                <w:szCs w:val="16"/>
                <w:b w:val="1"/>
                <w:bCs w:val="1"/>
                <w:color w:val="auto"/>
              </w:rPr>
              <w:t>28</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w:t>
            </w:r>
          </w:p>
        </w:tc>
        <w:tc>
          <w:tcPr>
            <w:tcW w:w="10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ind w:right="759"/>
              <w:spacing w:after="0"/>
              <w:rPr>
                <w:sz w:val="20"/>
                <w:szCs w:val="20"/>
                <w:color w:val="auto"/>
              </w:rPr>
            </w:pPr>
            <w:r>
              <w:rPr>
                <w:rFonts w:ascii="Arial" w:cs="Arial" w:eastAsia="Arial" w:hAnsi="Arial"/>
                <w:sz w:val="16"/>
                <w:szCs w:val="16"/>
                <w:b w:val="1"/>
                <w:bCs w:val="1"/>
                <w:color w:val="auto"/>
              </w:rPr>
              <w:t>79</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20 | TC Energy </w:t>
      </w:r>
      <w:r>
        <w:rPr>
          <w:rFonts w:ascii="Arial" w:cs="Arial" w:eastAsia="Arial" w:hAnsi="Arial"/>
          <w:sz w:val="18"/>
          <w:szCs w:val="18"/>
          <w:b w:val="1"/>
          <w:bCs w:val="1"/>
          <w:color w:val="0D64EF"/>
        </w:rPr>
        <w:t>Fourth Quarter</w:t>
      </w:r>
      <w:r>
        <w:rPr>
          <w:rFonts w:ascii="Arial" w:cs="Arial" w:eastAsia="Arial" w:hAnsi="Arial"/>
          <w:sz w:val="18"/>
          <w:szCs w:val="18"/>
          <w:color w:val="auto"/>
        </w:rPr>
        <w:t xml:space="preserve"> News Release 2025</w:t>
      </w:r>
    </w:p>
    <w:p>
      <w:pPr>
        <w:sectPr>
          <w:pgSz w:w="11900" w:h="16838" w:orient="portrait"/>
          <w:cols w:equalWidth="0" w:num="1">
            <w:col w:w="11240"/>
          </w:cols>
          <w:pgMar w:left="320" w:top="1304" w:right="339" w:bottom="1440" w:gutter="0" w:footer="0" w:header="0"/>
        </w:sectPr>
      </w:pPr>
    </w:p>
    <w:bookmarkStart w:id="33" w:name="page34"/>
    <w:bookmarkEnd w:id="33"/>
    <w:p>
      <w:pPr>
        <w:spacing w:after="0"/>
        <w:rPr>
          <w:sz w:val="20"/>
          <w:szCs w:val="20"/>
          <w:color w:val="auto"/>
        </w:rPr>
      </w:pPr>
      <w:r>
        <w:rPr>
          <w:rFonts w:ascii="Arial" w:cs="Arial" w:eastAsia="Arial" w:hAnsi="Arial"/>
          <w:sz w:val="25"/>
          <w:szCs w:val="25"/>
          <w:color w:val="0D64EF"/>
        </w:rPr>
        <w:t>Power and Energy Solutions</w:t>
      </w:r>
    </w:p>
    <w:p>
      <w:pPr>
        <w:spacing w:after="0" w:line="148" w:lineRule="exact"/>
        <w:rPr>
          <w:sz w:val="20"/>
          <w:szCs w:val="20"/>
          <w:color w:val="auto"/>
        </w:rPr>
      </w:pPr>
    </w:p>
    <w:p>
      <w:pPr>
        <w:ind w:right="180"/>
        <w:spacing w:after="0" w:line="350" w:lineRule="auto"/>
        <w:rPr>
          <w:sz w:val="20"/>
          <w:szCs w:val="20"/>
          <w:color w:val="auto"/>
        </w:rPr>
      </w:pPr>
      <w:r>
        <w:rPr>
          <w:rFonts w:ascii="Arial" w:cs="Arial" w:eastAsia="Arial" w:hAnsi="Arial"/>
          <w:sz w:val="18"/>
          <w:szCs w:val="18"/>
          <w:color w:val="auto"/>
        </w:rPr>
        <w:t>The following is a reconciliation of comparable EBITDA and comparable EBIT (our non-GAAP measures) to segmented earnings (losses) (the most directly comparable GAAP measure).</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820" w:type="dxa"/>
            <w:vAlign w:val="bottom"/>
            <w:tcBorders>
              <w:top w:val="single" w:sz="8" w:color="0D64EF"/>
            </w:tcBorders>
            <w:shd w:val="clear" w:color="auto" w:fill="D1D0CF"/>
          </w:tcPr>
          <w:p>
            <w:pPr>
              <w:spacing w:after="0"/>
              <w:rPr>
                <w:sz w:val="16"/>
                <w:szCs w:val="16"/>
                <w:color w:val="auto"/>
              </w:rPr>
            </w:pPr>
          </w:p>
        </w:tc>
        <w:tc>
          <w:tcPr>
            <w:tcW w:w="100" w:type="dxa"/>
            <w:vAlign w:val="bottom"/>
            <w:tcBorders>
              <w:top w:val="single" w:sz="8" w:color="0D64EF"/>
            </w:tcBorders>
            <w:shd w:val="clear" w:color="auto" w:fill="D1D0CF"/>
          </w:tcPr>
          <w:p>
            <w:pPr>
              <w:spacing w:after="0"/>
              <w:rPr>
                <w:sz w:val="16"/>
                <w:szCs w:val="16"/>
                <w:color w:val="auto"/>
              </w:rPr>
            </w:pPr>
          </w:p>
        </w:tc>
        <w:tc>
          <w:tcPr>
            <w:tcW w:w="2140" w:type="dxa"/>
            <w:vAlign w:val="bottom"/>
            <w:tcBorders>
              <w:top w:val="single" w:sz="8" w:color="0D64EF"/>
            </w:tcBorders>
            <w:shd w:val="clear" w:color="auto" w:fill="D1D0CF"/>
          </w:tcPr>
          <w:p>
            <w:pPr>
              <w:jc w:val="right"/>
              <w:spacing w:after="0"/>
              <w:rPr>
                <w:sz w:val="20"/>
                <w:szCs w:val="20"/>
                <w:color w:val="auto"/>
              </w:rPr>
            </w:pPr>
            <w:r>
              <w:rPr>
                <w:rFonts w:ascii="Arial" w:cs="Arial" w:eastAsia="Arial" w:hAnsi="Arial"/>
                <w:sz w:val="16"/>
                <w:szCs w:val="16"/>
                <w:b w:val="1"/>
                <w:bCs w:val="1"/>
                <w:color w:val="auto"/>
              </w:rPr>
              <w:t>three months ended</w:t>
            </w:r>
          </w:p>
        </w:tc>
        <w:tc>
          <w:tcPr>
            <w:tcW w:w="460" w:type="dxa"/>
            <w:vAlign w:val="bottom"/>
            <w:tcBorders>
              <w:top w:val="single" w:sz="8" w:color="0D64EF"/>
            </w:tcBorders>
            <w:shd w:val="clear" w:color="auto" w:fill="D1D0CF"/>
          </w:tcPr>
          <w:p>
            <w:pPr>
              <w:spacing w:after="0"/>
              <w:rPr>
                <w:sz w:val="16"/>
                <w:szCs w:val="16"/>
                <w:color w:val="auto"/>
              </w:rPr>
            </w:pPr>
          </w:p>
        </w:tc>
        <w:tc>
          <w:tcPr>
            <w:tcW w:w="100" w:type="dxa"/>
            <w:vAlign w:val="bottom"/>
            <w:tcBorders>
              <w:top w:val="single" w:sz="8" w:color="0D64EF"/>
            </w:tcBorders>
            <w:shd w:val="clear" w:color="auto" w:fill="D1D0CF"/>
          </w:tcPr>
          <w:p>
            <w:pPr>
              <w:spacing w:after="0"/>
              <w:rPr>
                <w:sz w:val="16"/>
                <w:szCs w:val="16"/>
                <w:color w:val="auto"/>
              </w:rPr>
            </w:pPr>
          </w:p>
        </w:tc>
        <w:tc>
          <w:tcPr>
            <w:tcW w:w="1980" w:type="dxa"/>
            <w:vAlign w:val="bottom"/>
            <w:tcBorders>
              <w:top w:val="single" w:sz="8" w:color="0D64EF"/>
            </w:tcBorders>
            <w:shd w:val="clear" w:color="auto" w:fill="D1D0CF"/>
          </w:tcPr>
          <w:p>
            <w:pPr>
              <w:jc w:val="right"/>
              <w:ind w:right="179"/>
              <w:spacing w:after="0"/>
              <w:rPr>
                <w:sz w:val="20"/>
                <w:szCs w:val="20"/>
                <w:color w:val="auto"/>
              </w:rPr>
            </w:pPr>
            <w:r>
              <w:rPr>
                <w:rFonts w:ascii="Arial" w:cs="Arial" w:eastAsia="Arial" w:hAnsi="Arial"/>
                <w:sz w:val="16"/>
                <w:szCs w:val="16"/>
                <w:b w:val="1"/>
                <w:bCs w:val="1"/>
                <w:color w:val="auto"/>
              </w:rPr>
              <w:t>year ended</w:t>
            </w:r>
          </w:p>
        </w:tc>
        <w:tc>
          <w:tcPr>
            <w:tcW w:w="640" w:type="dxa"/>
            <w:vAlign w:val="bottom"/>
            <w:tcBorders>
              <w:top w:val="single" w:sz="8" w:color="0D64EF"/>
            </w:tcBorders>
            <w:shd w:val="clear" w:color="auto" w:fill="D1D0CF"/>
          </w:tcPr>
          <w:p>
            <w:pPr>
              <w:spacing w:after="0"/>
              <w:rPr>
                <w:sz w:val="16"/>
                <w:szCs w:val="16"/>
                <w:color w:val="auto"/>
              </w:rPr>
            </w:pPr>
          </w:p>
        </w:tc>
      </w:tr>
      <w:tr>
        <w:trPr>
          <w:trHeight w:val="224"/>
        </w:trPr>
        <w:tc>
          <w:tcPr>
            <w:tcW w:w="5820" w:type="dxa"/>
            <w:vAlign w:val="bottom"/>
            <w:tcBorders>
              <w:bottom w:val="single" w:sz="8" w:color="D1D0CF"/>
            </w:tcBorders>
            <w:shd w:val="clear" w:color="auto" w:fill="D1D0CF"/>
          </w:tcPr>
          <w:p>
            <w:pPr>
              <w:spacing w:after="0"/>
              <w:rPr>
                <w:sz w:val="19"/>
                <w:szCs w:val="19"/>
                <w:color w:val="auto"/>
              </w:rPr>
            </w:pPr>
          </w:p>
        </w:tc>
        <w:tc>
          <w:tcPr>
            <w:tcW w:w="100" w:type="dxa"/>
            <w:vAlign w:val="bottom"/>
            <w:tcBorders>
              <w:bottom w:val="single" w:sz="8" w:color="D1D0CF"/>
            </w:tcBorders>
            <w:shd w:val="clear" w:color="auto" w:fill="D1D0CF"/>
          </w:tcPr>
          <w:p>
            <w:pPr>
              <w:spacing w:after="0"/>
              <w:rPr>
                <w:sz w:val="19"/>
                <w:szCs w:val="19"/>
                <w:color w:val="auto"/>
              </w:rPr>
            </w:pPr>
          </w:p>
        </w:tc>
        <w:tc>
          <w:tcPr>
            <w:tcW w:w="2140" w:type="dxa"/>
            <w:vAlign w:val="bottom"/>
            <w:tcBorders>
              <w:bottom w:val="single" w:sz="8" w:color="0D64EF"/>
            </w:tcBorders>
            <w:shd w:val="clear" w:color="auto" w:fill="D1D0CF"/>
          </w:tcPr>
          <w:p>
            <w:pPr>
              <w:jc w:val="right"/>
              <w:ind w:right="259"/>
              <w:spacing w:after="0"/>
              <w:rPr>
                <w:sz w:val="20"/>
                <w:szCs w:val="20"/>
                <w:color w:val="auto"/>
              </w:rPr>
            </w:pPr>
            <w:r>
              <w:rPr>
                <w:rFonts w:ascii="Arial" w:cs="Arial" w:eastAsia="Arial" w:hAnsi="Arial"/>
                <w:sz w:val="16"/>
                <w:szCs w:val="16"/>
                <w:b w:val="1"/>
                <w:bCs w:val="1"/>
                <w:color w:val="auto"/>
              </w:rPr>
              <w:t>December 31</w:t>
            </w:r>
          </w:p>
        </w:tc>
        <w:tc>
          <w:tcPr>
            <w:tcW w:w="460" w:type="dxa"/>
            <w:vAlign w:val="bottom"/>
            <w:tcBorders>
              <w:bottom w:val="single" w:sz="8" w:color="0D64EF"/>
            </w:tcBorders>
            <w:shd w:val="clear" w:color="auto" w:fill="D1D0CF"/>
          </w:tcPr>
          <w:p>
            <w:pPr>
              <w:spacing w:after="0"/>
              <w:rPr>
                <w:sz w:val="19"/>
                <w:szCs w:val="19"/>
                <w:color w:val="auto"/>
              </w:rPr>
            </w:pPr>
          </w:p>
        </w:tc>
        <w:tc>
          <w:tcPr>
            <w:tcW w:w="100" w:type="dxa"/>
            <w:vAlign w:val="bottom"/>
            <w:tcBorders>
              <w:bottom w:val="single" w:sz="8" w:color="D1D0CF"/>
            </w:tcBorders>
            <w:shd w:val="clear" w:color="auto" w:fill="D1D0CF"/>
          </w:tcPr>
          <w:p>
            <w:pPr>
              <w:spacing w:after="0"/>
              <w:rPr>
                <w:sz w:val="19"/>
                <w:szCs w:val="19"/>
                <w:color w:val="auto"/>
              </w:rPr>
            </w:pPr>
          </w:p>
        </w:tc>
        <w:tc>
          <w:tcPr>
            <w:tcW w:w="1980" w:type="dxa"/>
            <w:vAlign w:val="bottom"/>
            <w:tcBorders>
              <w:bottom w:val="single" w:sz="8" w:color="0D64EF"/>
            </w:tcBorders>
            <w:shd w:val="clear" w:color="auto" w:fill="D1D0CF"/>
          </w:tcPr>
          <w:p>
            <w:pPr>
              <w:jc w:val="right"/>
              <w:ind w:right="79"/>
              <w:spacing w:after="0"/>
              <w:rPr>
                <w:sz w:val="20"/>
                <w:szCs w:val="20"/>
                <w:color w:val="auto"/>
              </w:rPr>
            </w:pPr>
            <w:r>
              <w:rPr>
                <w:rFonts w:ascii="Arial" w:cs="Arial" w:eastAsia="Arial" w:hAnsi="Arial"/>
                <w:sz w:val="16"/>
                <w:szCs w:val="16"/>
                <w:b w:val="1"/>
                <w:bCs w:val="1"/>
                <w:color w:val="auto"/>
              </w:rPr>
              <w:t>December 31</w:t>
            </w:r>
          </w:p>
        </w:tc>
        <w:tc>
          <w:tcPr>
            <w:tcW w:w="640" w:type="dxa"/>
            <w:vAlign w:val="bottom"/>
            <w:tcBorders>
              <w:bottom w:val="single" w:sz="8" w:color="0D64EF"/>
            </w:tcBorders>
            <w:shd w:val="clear" w:color="auto" w:fill="D1D0CF"/>
          </w:tcPr>
          <w:p>
            <w:pPr>
              <w:spacing w:after="0"/>
              <w:rPr>
                <w:sz w:val="19"/>
                <w:szCs w:val="19"/>
                <w:color w:val="auto"/>
              </w:rPr>
            </w:pPr>
          </w:p>
        </w:tc>
      </w:tr>
      <w:tr>
        <w:trPr>
          <w:trHeight w:val="226"/>
        </w:trPr>
        <w:tc>
          <w:tcPr>
            <w:tcW w:w="5820" w:type="dxa"/>
            <w:vAlign w:val="bottom"/>
            <w:tcBorders>
              <w:bottom w:val="single" w:sz="8" w:color="0D64EF"/>
            </w:tcBorders>
            <w:shd w:val="clear" w:color="auto" w:fill="D1D0CF"/>
          </w:tcPr>
          <w:p>
            <w:pPr>
              <w:ind w:left="20"/>
              <w:spacing w:after="0"/>
              <w:rPr>
                <w:sz w:val="20"/>
                <w:szCs w:val="20"/>
                <w:color w:val="auto"/>
              </w:rPr>
            </w:pPr>
            <w:r>
              <w:rPr>
                <w:rFonts w:ascii="Arial" w:cs="Arial" w:eastAsia="Arial" w:hAnsi="Arial"/>
                <w:sz w:val="16"/>
                <w:szCs w:val="16"/>
                <w:color w:val="auto"/>
              </w:rPr>
              <w:t>(millions of $)</w:t>
            </w:r>
          </w:p>
        </w:tc>
        <w:tc>
          <w:tcPr>
            <w:tcW w:w="100" w:type="dxa"/>
            <w:vAlign w:val="bottom"/>
            <w:tcBorders>
              <w:bottom w:val="single" w:sz="8" w:color="0D64EF"/>
            </w:tcBorders>
            <w:shd w:val="clear" w:color="auto" w:fill="D1D0CF"/>
          </w:tcPr>
          <w:p>
            <w:pPr>
              <w:spacing w:after="0"/>
              <w:rPr>
                <w:sz w:val="19"/>
                <w:szCs w:val="19"/>
                <w:color w:val="auto"/>
              </w:rPr>
            </w:pPr>
          </w:p>
        </w:tc>
        <w:tc>
          <w:tcPr>
            <w:tcW w:w="2140" w:type="dxa"/>
            <w:vAlign w:val="bottom"/>
            <w:tcBorders>
              <w:bottom w:val="single" w:sz="8" w:color="0D64EF"/>
            </w:tcBorders>
            <w:shd w:val="clear" w:color="auto" w:fill="D1D0CF"/>
          </w:tcPr>
          <w:p>
            <w:pPr>
              <w:jc w:val="right"/>
              <w:ind w:right="839"/>
              <w:spacing w:after="0"/>
              <w:rPr>
                <w:sz w:val="20"/>
                <w:szCs w:val="20"/>
                <w:color w:val="auto"/>
              </w:rPr>
            </w:pPr>
            <w:r>
              <w:rPr>
                <w:rFonts w:ascii="Arial" w:cs="Arial" w:eastAsia="Arial" w:hAnsi="Arial"/>
                <w:sz w:val="16"/>
                <w:szCs w:val="16"/>
                <w:b w:val="1"/>
                <w:bCs w:val="1"/>
                <w:color w:val="auto"/>
              </w:rPr>
              <w:t>2025</w:t>
            </w:r>
          </w:p>
        </w:tc>
        <w:tc>
          <w:tcPr>
            <w:tcW w:w="460" w:type="dxa"/>
            <w:vAlign w:val="bottom"/>
            <w:tcBorders>
              <w:bottom w:val="single" w:sz="8" w:color="0D64EF"/>
            </w:tcBorders>
            <w:shd w:val="clear" w:color="auto" w:fill="D1D0CF"/>
          </w:tcPr>
          <w:p>
            <w:pPr>
              <w:jc w:val="right"/>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bottom w:val="single" w:sz="8" w:color="0D64EF"/>
            </w:tcBorders>
            <w:shd w:val="clear" w:color="auto" w:fill="D1D0CF"/>
          </w:tcPr>
          <w:p>
            <w:pPr>
              <w:spacing w:after="0"/>
              <w:rPr>
                <w:sz w:val="19"/>
                <w:szCs w:val="19"/>
                <w:color w:val="auto"/>
              </w:rPr>
            </w:pPr>
          </w:p>
        </w:tc>
        <w:tc>
          <w:tcPr>
            <w:tcW w:w="1980" w:type="dxa"/>
            <w:vAlign w:val="bottom"/>
            <w:tcBorders>
              <w:bottom w:val="single" w:sz="8" w:color="0D64EF"/>
            </w:tcBorders>
            <w:shd w:val="clear" w:color="auto" w:fill="D1D0CF"/>
          </w:tcPr>
          <w:p>
            <w:pPr>
              <w:jc w:val="right"/>
              <w:ind w:right="659"/>
              <w:spacing w:after="0"/>
              <w:rPr>
                <w:sz w:val="20"/>
                <w:szCs w:val="20"/>
                <w:color w:val="auto"/>
              </w:rPr>
            </w:pPr>
            <w:r>
              <w:rPr>
                <w:rFonts w:ascii="Arial" w:cs="Arial" w:eastAsia="Arial" w:hAnsi="Arial"/>
                <w:sz w:val="16"/>
                <w:szCs w:val="16"/>
                <w:b w:val="1"/>
                <w:bCs w:val="1"/>
                <w:color w:val="auto"/>
              </w:rPr>
              <w:t>2025</w:t>
            </w:r>
          </w:p>
        </w:tc>
        <w:tc>
          <w:tcPr>
            <w:tcW w:w="640" w:type="dxa"/>
            <w:vAlign w:val="bottom"/>
            <w:tcBorders>
              <w:bottom w:val="single" w:sz="8" w:color="0D64EF"/>
            </w:tcBorders>
            <w:shd w:val="clear" w:color="auto" w:fill="D1D0CF"/>
          </w:tcPr>
          <w:p>
            <w:pPr>
              <w:jc w:val="right"/>
              <w:spacing w:after="0"/>
              <w:rPr>
                <w:sz w:val="20"/>
                <w:szCs w:val="20"/>
                <w:color w:val="auto"/>
              </w:rPr>
            </w:pPr>
            <w:r>
              <w:rPr>
                <w:rFonts w:ascii="Arial" w:cs="Arial" w:eastAsia="Arial" w:hAnsi="Arial"/>
                <w:sz w:val="16"/>
                <w:szCs w:val="16"/>
                <w:b w:val="1"/>
                <w:bCs w:val="1"/>
                <w:color w:val="auto"/>
              </w:rPr>
              <w:t>2024</w:t>
            </w:r>
          </w:p>
        </w:tc>
      </w:tr>
      <w:tr>
        <w:trPr>
          <w:trHeight w:val="266"/>
        </w:trPr>
        <w:tc>
          <w:tcPr>
            <w:tcW w:w="5820" w:type="dxa"/>
            <w:vAlign w:val="bottom"/>
          </w:tcPr>
          <w:p>
            <w:pPr>
              <w:ind w:left="20"/>
              <w:spacing w:after="0"/>
              <w:rPr>
                <w:sz w:val="20"/>
                <w:szCs w:val="20"/>
                <w:color w:val="auto"/>
              </w:rPr>
            </w:pPr>
            <w:r>
              <w:rPr>
                <w:rFonts w:ascii="Arial" w:cs="Arial" w:eastAsia="Arial" w:hAnsi="Arial"/>
                <w:sz w:val="16"/>
                <w:szCs w:val="16"/>
                <w:color w:val="auto"/>
              </w:rPr>
              <w:t>Bruce Power</w:t>
            </w:r>
            <w:r>
              <w:rPr>
                <w:rFonts w:ascii="Arial" w:cs="Arial" w:eastAsia="Arial" w:hAnsi="Arial"/>
                <w:sz w:val="21"/>
                <w:szCs w:val="21"/>
                <w:color w:val="auto"/>
                <w:vertAlign w:val="superscript"/>
              </w:rPr>
              <w:t>1</w:t>
            </w:r>
          </w:p>
        </w:tc>
        <w:tc>
          <w:tcPr>
            <w:tcW w:w="2240" w:type="dxa"/>
            <w:vAlign w:val="bottom"/>
            <w:gridSpan w:val="2"/>
          </w:tcPr>
          <w:p>
            <w:pPr>
              <w:jc w:val="right"/>
              <w:ind w:right="879"/>
              <w:spacing w:after="0"/>
              <w:rPr>
                <w:sz w:val="20"/>
                <w:szCs w:val="20"/>
                <w:color w:val="auto"/>
              </w:rPr>
            </w:pPr>
            <w:r>
              <w:rPr>
                <w:rFonts w:ascii="Arial" w:cs="Arial" w:eastAsia="Arial" w:hAnsi="Arial"/>
                <w:sz w:val="16"/>
                <w:szCs w:val="16"/>
                <w:b w:val="1"/>
                <w:bCs w:val="1"/>
                <w:color w:val="auto"/>
              </w:rPr>
              <w:t>155</w:t>
            </w:r>
          </w:p>
        </w:tc>
        <w:tc>
          <w:tcPr>
            <w:tcW w:w="460" w:type="dxa"/>
            <w:vAlign w:val="bottom"/>
          </w:tcPr>
          <w:p>
            <w:pPr>
              <w:jc w:val="right"/>
              <w:spacing w:after="0"/>
              <w:rPr>
                <w:sz w:val="20"/>
                <w:szCs w:val="20"/>
                <w:color w:val="auto"/>
              </w:rPr>
            </w:pPr>
            <w:r>
              <w:rPr>
                <w:rFonts w:ascii="Arial" w:cs="Arial" w:eastAsia="Arial" w:hAnsi="Arial"/>
                <w:sz w:val="16"/>
                <w:szCs w:val="16"/>
                <w:color w:val="auto"/>
              </w:rPr>
              <w:t>277</w:t>
            </w:r>
          </w:p>
        </w:tc>
        <w:tc>
          <w:tcPr>
            <w:tcW w:w="100" w:type="dxa"/>
            <w:vAlign w:val="bottom"/>
          </w:tcPr>
          <w:p>
            <w:pPr>
              <w:spacing w:after="0"/>
              <w:rPr>
                <w:sz w:val="23"/>
                <w:szCs w:val="23"/>
                <w:color w:val="auto"/>
              </w:rPr>
            </w:pPr>
          </w:p>
        </w:tc>
        <w:tc>
          <w:tcPr>
            <w:tcW w:w="1980" w:type="dxa"/>
            <w:vAlign w:val="bottom"/>
          </w:tcPr>
          <w:p>
            <w:pPr>
              <w:jc w:val="right"/>
              <w:ind w:right="719"/>
              <w:spacing w:after="0"/>
              <w:rPr>
                <w:sz w:val="20"/>
                <w:szCs w:val="20"/>
                <w:color w:val="auto"/>
              </w:rPr>
            </w:pPr>
            <w:r>
              <w:rPr>
                <w:rFonts w:ascii="Arial" w:cs="Arial" w:eastAsia="Arial" w:hAnsi="Arial"/>
                <w:sz w:val="16"/>
                <w:szCs w:val="16"/>
                <w:b w:val="1"/>
                <w:bCs w:val="1"/>
                <w:color w:val="auto"/>
              </w:rPr>
              <w:t>733</w:t>
            </w:r>
          </w:p>
        </w:tc>
        <w:tc>
          <w:tcPr>
            <w:tcW w:w="640" w:type="dxa"/>
            <w:vAlign w:val="bottom"/>
          </w:tcPr>
          <w:p>
            <w:pPr>
              <w:jc w:val="right"/>
              <w:spacing w:after="0"/>
              <w:rPr>
                <w:sz w:val="20"/>
                <w:szCs w:val="20"/>
                <w:color w:val="auto"/>
              </w:rPr>
            </w:pPr>
            <w:r>
              <w:rPr>
                <w:rFonts w:ascii="Arial" w:cs="Arial" w:eastAsia="Arial" w:hAnsi="Arial"/>
                <w:sz w:val="16"/>
                <w:szCs w:val="16"/>
                <w:color w:val="auto"/>
              </w:rPr>
              <w:t>890</w:t>
            </w:r>
          </w:p>
        </w:tc>
      </w:tr>
      <w:tr>
        <w:trPr>
          <w:trHeight w:val="223"/>
        </w:trPr>
        <w:tc>
          <w:tcPr>
            <w:tcW w:w="5820" w:type="dxa"/>
            <w:vAlign w:val="bottom"/>
          </w:tcPr>
          <w:p>
            <w:pPr>
              <w:ind w:left="20"/>
              <w:spacing w:after="0"/>
              <w:rPr>
                <w:sz w:val="20"/>
                <w:szCs w:val="20"/>
                <w:color w:val="auto"/>
              </w:rPr>
            </w:pPr>
            <w:r>
              <w:rPr>
                <w:rFonts w:ascii="Arial" w:cs="Arial" w:eastAsia="Arial" w:hAnsi="Arial"/>
                <w:sz w:val="16"/>
                <w:szCs w:val="16"/>
                <w:color w:val="auto"/>
              </w:rPr>
              <w:t>Canadian Power</w:t>
            </w:r>
          </w:p>
        </w:tc>
        <w:tc>
          <w:tcPr>
            <w:tcW w:w="2240" w:type="dxa"/>
            <w:vAlign w:val="bottom"/>
            <w:gridSpan w:val="2"/>
          </w:tcPr>
          <w:p>
            <w:pPr>
              <w:jc w:val="right"/>
              <w:ind w:right="879"/>
              <w:spacing w:after="0"/>
              <w:rPr>
                <w:sz w:val="20"/>
                <w:szCs w:val="20"/>
                <w:color w:val="auto"/>
              </w:rPr>
            </w:pPr>
            <w:r>
              <w:rPr>
                <w:rFonts w:ascii="Arial" w:cs="Arial" w:eastAsia="Arial" w:hAnsi="Arial"/>
                <w:sz w:val="16"/>
                <w:szCs w:val="16"/>
                <w:b w:val="1"/>
                <w:bCs w:val="1"/>
                <w:color w:val="auto"/>
              </w:rPr>
              <w:t>36</w:t>
            </w:r>
          </w:p>
        </w:tc>
        <w:tc>
          <w:tcPr>
            <w:tcW w:w="460" w:type="dxa"/>
            <w:vAlign w:val="bottom"/>
          </w:tcPr>
          <w:p>
            <w:pPr>
              <w:jc w:val="right"/>
              <w:spacing w:after="0"/>
              <w:rPr>
                <w:sz w:val="20"/>
                <w:szCs w:val="20"/>
                <w:color w:val="auto"/>
              </w:rPr>
            </w:pPr>
            <w:r>
              <w:rPr>
                <w:rFonts w:ascii="Arial" w:cs="Arial" w:eastAsia="Arial" w:hAnsi="Arial"/>
                <w:sz w:val="16"/>
                <w:szCs w:val="16"/>
                <w:color w:val="auto"/>
              </w:rPr>
              <w:t>54</w:t>
            </w:r>
          </w:p>
        </w:tc>
        <w:tc>
          <w:tcPr>
            <w:tcW w:w="100" w:type="dxa"/>
            <w:vAlign w:val="bottom"/>
          </w:tcPr>
          <w:p>
            <w:pPr>
              <w:spacing w:after="0"/>
              <w:rPr>
                <w:sz w:val="19"/>
                <w:szCs w:val="19"/>
                <w:color w:val="auto"/>
              </w:rPr>
            </w:pPr>
          </w:p>
        </w:tc>
        <w:tc>
          <w:tcPr>
            <w:tcW w:w="1980" w:type="dxa"/>
            <w:vAlign w:val="bottom"/>
          </w:tcPr>
          <w:p>
            <w:pPr>
              <w:jc w:val="right"/>
              <w:ind w:right="719"/>
              <w:spacing w:after="0"/>
              <w:rPr>
                <w:sz w:val="20"/>
                <w:szCs w:val="20"/>
                <w:color w:val="auto"/>
              </w:rPr>
            </w:pPr>
            <w:r>
              <w:rPr>
                <w:rFonts w:ascii="Arial" w:cs="Arial" w:eastAsia="Arial" w:hAnsi="Arial"/>
                <w:sz w:val="16"/>
                <w:szCs w:val="16"/>
                <w:b w:val="1"/>
                <w:bCs w:val="1"/>
                <w:color w:val="auto"/>
              </w:rPr>
              <w:t>181</w:t>
            </w:r>
          </w:p>
        </w:tc>
        <w:tc>
          <w:tcPr>
            <w:tcW w:w="640" w:type="dxa"/>
            <w:vAlign w:val="bottom"/>
          </w:tcPr>
          <w:p>
            <w:pPr>
              <w:jc w:val="right"/>
              <w:spacing w:after="0"/>
              <w:rPr>
                <w:sz w:val="20"/>
                <w:szCs w:val="20"/>
                <w:color w:val="auto"/>
              </w:rPr>
            </w:pPr>
            <w:r>
              <w:rPr>
                <w:rFonts w:ascii="Arial" w:cs="Arial" w:eastAsia="Arial" w:hAnsi="Arial"/>
                <w:sz w:val="16"/>
                <w:szCs w:val="16"/>
                <w:color w:val="auto"/>
              </w:rPr>
              <w:t>273</w:t>
            </w:r>
          </w:p>
        </w:tc>
      </w:tr>
      <w:tr>
        <w:trPr>
          <w:trHeight w:val="237"/>
        </w:trPr>
        <w:tc>
          <w:tcPr>
            <w:tcW w:w="5820" w:type="dxa"/>
            <w:vAlign w:val="bottom"/>
            <w:tcBorders>
              <w:bottom w:val="single" w:sz="8" w:color="auto"/>
            </w:tcBorders>
          </w:tcPr>
          <w:p>
            <w:pPr>
              <w:ind w:left="20"/>
              <w:spacing w:after="0" w:line="237" w:lineRule="exact"/>
              <w:rPr>
                <w:sz w:val="20"/>
                <w:szCs w:val="20"/>
                <w:color w:val="auto"/>
              </w:rPr>
            </w:pPr>
            <w:r>
              <w:rPr>
                <w:rFonts w:ascii="Arial" w:cs="Arial" w:eastAsia="Arial" w:hAnsi="Arial"/>
                <w:sz w:val="16"/>
                <w:szCs w:val="16"/>
                <w:color w:val="auto"/>
              </w:rPr>
              <w:t>Natural Gas Storage and other</w:t>
            </w:r>
            <w:r>
              <w:rPr>
                <w:rFonts w:ascii="Arial" w:cs="Arial" w:eastAsia="Arial" w:hAnsi="Arial"/>
                <w:sz w:val="21"/>
                <w:szCs w:val="21"/>
                <w:color w:val="auto"/>
                <w:vertAlign w:val="superscript"/>
              </w:rPr>
              <w:t>2</w:t>
            </w:r>
          </w:p>
        </w:tc>
        <w:tc>
          <w:tcPr>
            <w:tcW w:w="2240" w:type="dxa"/>
            <w:vAlign w:val="bottom"/>
            <w:tcBorders>
              <w:bottom w:val="single" w:sz="8" w:color="auto"/>
            </w:tcBorders>
            <w:gridSpan w:val="2"/>
          </w:tcPr>
          <w:p>
            <w:pPr>
              <w:jc w:val="right"/>
              <w:ind w:right="879"/>
              <w:spacing w:after="0"/>
              <w:rPr>
                <w:sz w:val="20"/>
                <w:szCs w:val="20"/>
                <w:color w:val="auto"/>
              </w:rPr>
            </w:pPr>
            <w:r>
              <w:rPr>
                <w:rFonts w:ascii="Arial" w:cs="Arial" w:eastAsia="Arial" w:hAnsi="Arial"/>
                <w:sz w:val="16"/>
                <w:szCs w:val="16"/>
                <w:b w:val="1"/>
                <w:bCs w:val="1"/>
                <w:color w:val="auto"/>
              </w:rPr>
              <w:t>26</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tcPr>
          <w:p>
            <w:pPr>
              <w:jc w:val="right"/>
              <w:ind w:right="719"/>
              <w:spacing w:after="0"/>
              <w:rPr>
                <w:sz w:val="20"/>
                <w:szCs w:val="20"/>
                <w:color w:val="auto"/>
              </w:rPr>
            </w:pPr>
            <w:r>
              <w:rPr>
                <w:rFonts w:ascii="Arial" w:cs="Arial" w:eastAsia="Arial" w:hAnsi="Arial"/>
                <w:sz w:val="16"/>
                <w:szCs w:val="16"/>
                <w:b w:val="1"/>
                <w:bCs w:val="1"/>
                <w:color w:val="auto"/>
              </w:rPr>
              <w:t>94</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w:t>
            </w:r>
          </w:p>
        </w:tc>
      </w:tr>
      <w:tr>
        <w:trPr>
          <w:trHeight w:val="216"/>
        </w:trPr>
        <w:tc>
          <w:tcPr>
            <w:tcW w:w="5820" w:type="dxa"/>
            <w:vAlign w:val="bottom"/>
          </w:tcPr>
          <w:p>
            <w:pPr>
              <w:ind w:left="20"/>
              <w:spacing w:after="0"/>
              <w:rPr>
                <w:sz w:val="20"/>
                <w:szCs w:val="20"/>
                <w:color w:val="auto"/>
              </w:rPr>
            </w:pPr>
            <w:r>
              <w:rPr>
                <w:rFonts w:ascii="Arial" w:cs="Arial" w:eastAsia="Arial" w:hAnsi="Arial"/>
                <w:sz w:val="16"/>
                <w:szCs w:val="16"/>
                <w:b w:val="1"/>
                <w:bCs w:val="1"/>
                <w:color w:val="0D64EF"/>
              </w:rPr>
              <w:t>Comparable EBITDA</w:t>
            </w:r>
          </w:p>
        </w:tc>
        <w:tc>
          <w:tcPr>
            <w:tcW w:w="2240" w:type="dxa"/>
            <w:vAlign w:val="bottom"/>
            <w:gridSpan w:val="2"/>
          </w:tcPr>
          <w:p>
            <w:pPr>
              <w:jc w:val="right"/>
              <w:ind w:right="879"/>
              <w:spacing w:after="0"/>
              <w:rPr>
                <w:sz w:val="20"/>
                <w:szCs w:val="20"/>
                <w:color w:val="auto"/>
              </w:rPr>
            </w:pPr>
            <w:r>
              <w:rPr>
                <w:rFonts w:ascii="Arial" w:cs="Arial" w:eastAsia="Arial" w:hAnsi="Arial"/>
                <w:sz w:val="16"/>
                <w:szCs w:val="16"/>
                <w:b w:val="1"/>
                <w:bCs w:val="1"/>
                <w:color w:val="auto"/>
              </w:rPr>
              <w:t>217</w:t>
            </w:r>
          </w:p>
        </w:tc>
        <w:tc>
          <w:tcPr>
            <w:tcW w:w="460" w:type="dxa"/>
            <w:vAlign w:val="bottom"/>
          </w:tcPr>
          <w:p>
            <w:pPr>
              <w:jc w:val="right"/>
              <w:spacing w:after="0"/>
              <w:rPr>
                <w:sz w:val="20"/>
                <w:szCs w:val="20"/>
                <w:color w:val="auto"/>
              </w:rPr>
            </w:pPr>
            <w:r>
              <w:rPr>
                <w:rFonts w:ascii="Arial" w:cs="Arial" w:eastAsia="Arial" w:hAnsi="Arial"/>
                <w:sz w:val="16"/>
                <w:szCs w:val="16"/>
                <w:color w:val="auto"/>
              </w:rPr>
              <w:t>341</w:t>
            </w:r>
          </w:p>
        </w:tc>
        <w:tc>
          <w:tcPr>
            <w:tcW w:w="100" w:type="dxa"/>
            <w:vAlign w:val="bottom"/>
          </w:tcPr>
          <w:p>
            <w:pPr>
              <w:spacing w:after="0"/>
              <w:rPr>
                <w:sz w:val="18"/>
                <w:szCs w:val="18"/>
                <w:color w:val="auto"/>
              </w:rPr>
            </w:pPr>
          </w:p>
        </w:tc>
        <w:tc>
          <w:tcPr>
            <w:tcW w:w="1980" w:type="dxa"/>
            <w:vAlign w:val="bottom"/>
          </w:tcPr>
          <w:p>
            <w:pPr>
              <w:jc w:val="right"/>
              <w:ind w:right="719"/>
              <w:spacing w:after="0"/>
              <w:rPr>
                <w:sz w:val="20"/>
                <w:szCs w:val="20"/>
                <w:color w:val="auto"/>
              </w:rPr>
            </w:pPr>
            <w:r>
              <w:rPr>
                <w:rFonts w:ascii="Arial" w:cs="Arial" w:eastAsia="Arial" w:hAnsi="Arial"/>
                <w:sz w:val="16"/>
                <w:szCs w:val="16"/>
                <w:b w:val="1"/>
                <w:bCs w:val="1"/>
                <w:color w:val="auto"/>
              </w:rPr>
              <w:t>1,008</w:t>
            </w:r>
          </w:p>
        </w:tc>
        <w:tc>
          <w:tcPr>
            <w:tcW w:w="640" w:type="dxa"/>
            <w:vAlign w:val="bottom"/>
          </w:tcPr>
          <w:p>
            <w:pPr>
              <w:jc w:val="right"/>
              <w:spacing w:after="0"/>
              <w:rPr>
                <w:sz w:val="20"/>
                <w:szCs w:val="20"/>
                <w:color w:val="auto"/>
              </w:rPr>
            </w:pPr>
            <w:r>
              <w:rPr>
                <w:rFonts w:ascii="Arial" w:cs="Arial" w:eastAsia="Arial" w:hAnsi="Arial"/>
                <w:sz w:val="16"/>
                <w:szCs w:val="16"/>
                <w:color w:val="auto"/>
              </w:rPr>
              <w:t>1,214</w:t>
            </w:r>
          </w:p>
        </w:tc>
      </w:tr>
      <w:tr>
        <w:trPr>
          <w:trHeight w:val="233"/>
        </w:trPr>
        <w:tc>
          <w:tcPr>
            <w:tcW w:w="58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Depreciation and amortization</w:t>
            </w:r>
          </w:p>
        </w:tc>
        <w:tc>
          <w:tcPr>
            <w:tcW w:w="2240" w:type="dxa"/>
            <w:vAlign w:val="bottom"/>
            <w:tcBorders>
              <w:bottom w:val="single" w:sz="8" w:color="auto"/>
            </w:tcBorders>
            <w:gridSpan w:val="2"/>
          </w:tcPr>
          <w:p>
            <w:pPr>
              <w:jc w:val="right"/>
              <w:ind w:right="839"/>
              <w:spacing w:after="0"/>
              <w:rPr>
                <w:sz w:val="20"/>
                <w:szCs w:val="20"/>
                <w:color w:val="auto"/>
              </w:rPr>
            </w:pPr>
            <w:r>
              <w:rPr>
                <w:rFonts w:ascii="Arial" w:cs="Arial" w:eastAsia="Arial" w:hAnsi="Arial"/>
                <w:sz w:val="16"/>
                <w:szCs w:val="16"/>
                <w:b w:val="1"/>
                <w:bCs w:val="1"/>
                <w:color w:val="auto"/>
              </w:rPr>
              <w:t>(28)</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w:t>
            </w:r>
          </w:p>
        </w:tc>
        <w:tc>
          <w:tcPr>
            <w:tcW w:w="10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b w:val="1"/>
                <w:bCs w:val="1"/>
                <w:color w:val="auto"/>
              </w:rPr>
              <w:t>(113)</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w:t>
            </w:r>
          </w:p>
        </w:tc>
      </w:tr>
      <w:tr>
        <w:trPr>
          <w:trHeight w:val="220"/>
        </w:trPr>
        <w:tc>
          <w:tcPr>
            <w:tcW w:w="5820" w:type="dxa"/>
            <w:vAlign w:val="bottom"/>
          </w:tcPr>
          <w:p>
            <w:pPr>
              <w:ind w:left="20"/>
              <w:spacing w:after="0"/>
              <w:rPr>
                <w:sz w:val="20"/>
                <w:szCs w:val="20"/>
                <w:color w:val="auto"/>
              </w:rPr>
            </w:pPr>
            <w:r>
              <w:rPr>
                <w:rFonts w:ascii="Arial" w:cs="Arial" w:eastAsia="Arial" w:hAnsi="Arial"/>
                <w:sz w:val="16"/>
                <w:szCs w:val="16"/>
                <w:b w:val="1"/>
                <w:bCs w:val="1"/>
                <w:color w:val="0D64EF"/>
              </w:rPr>
              <w:t>Comparable EBIT</w:t>
            </w:r>
          </w:p>
        </w:tc>
        <w:tc>
          <w:tcPr>
            <w:tcW w:w="2240" w:type="dxa"/>
            <w:vAlign w:val="bottom"/>
            <w:gridSpan w:val="2"/>
          </w:tcPr>
          <w:p>
            <w:pPr>
              <w:jc w:val="right"/>
              <w:ind w:right="879"/>
              <w:spacing w:after="0"/>
              <w:rPr>
                <w:sz w:val="20"/>
                <w:szCs w:val="20"/>
                <w:color w:val="auto"/>
              </w:rPr>
            </w:pPr>
            <w:r>
              <w:rPr>
                <w:rFonts w:ascii="Arial" w:cs="Arial" w:eastAsia="Arial" w:hAnsi="Arial"/>
                <w:sz w:val="16"/>
                <w:szCs w:val="16"/>
                <w:b w:val="1"/>
                <w:bCs w:val="1"/>
                <w:color w:val="auto"/>
              </w:rPr>
              <w:t>189</w:t>
            </w:r>
          </w:p>
        </w:tc>
        <w:tc>
          <w:tcPr>
            <w:tcW w:w="460" w:type="dxa"/>
            <w:vAlign w:val="bottom"/>
          </w:tcPr>
          <w:p>
            <w:pPr>
              <w:jc w:val="right"/>
              <w:spacing w:after="0"/>
              <w:rPr>
                <w:sz w:val="20"/>
                <w:szCs w:val="20"/>
                <w:color w:val="auto"/>
              </w:rPr>
            </w:pPr>
            <w:r>
              <w:rPr>
                <w:rFonts w:ascii="Arial" w:cs="Arial" w:eastAsia="Arial" w:hAnsi="Arial"/>
                <w:sz w:val="16"/>
                <w:szCs w:val="16"/>
                <w:color w:val="auto"/>
              </w:rPr>
              <w:t>315</w:t>
            </w:r>
          </w:p>
        </w:tc>
        <w:tc>
          <w:tcPr>
            <w:tcW w:w="100" w:type="dxa"/>
            <w:vAlign w:val="bottom"/>
          </w:tcPr>
          <w:p>
            <w:pPr>
              <w:spacing w:after="0"/>
              <w:rPr>
                <w:sz w:val="19"/>
                <w:szCs w:val="19"/>
                <w:color w:val="auto"/>
              </w:rPr>
            </w:pPr>
          </w:p>
        </w:tc>
        <w:tc>
          <w:tcPr>
            <w:tcW w:w="1980" w:type="dxa"/>
            <w:vAlign w:val="bottom"/>
          </w:tcPr>
          <w:p>
            <w:pPr>
              <w:jc w:val="right"/>
              <w:ind w:right="719"/>
              <w:spacing w:after="0"/>
              <w:rPr>
                <w:sz w:val="20"/>
                <w:szCs w:val="20"/>
                <w:color w:val="auto"/>
              </w:rPr>
            </w:pPr>
            <w:r>
              <w:rPr>
                <w:rFonts w:ascii="Arial" w:cs="Arial" w:eastAsia="Arial" w:hAnsi="Arial"/>
                <w:sz w:val="16"/>
                <w:szCs w:val="16"/>
                <w:b w:val="1"/>
                <w:bCs w:val="1"/>
                <w:color w:val="auto"/>
              </w:rPr>
              <w:t>895</w:t>
            </w:r>
          </w:p>
        </w:tc>
        <w:tc>
          <w:tcPr>
            <w:tcW w:w="640" w:type="dxa"/>
            <w:vAlign w:val="bottom"/>
          </w:tcPr>
          <w:p>
            <w:pPr>
              <w:jc w:val="right"/>
              <w:spacing w:after="0"/>
              <w:rPr>
                <w:sz w:val="20"/>
                <w:szCs w:val="20"/>
                <w:color w:val="auto"/>
              </w:rPr>
            </w:pPr>
            <w:r>
              <w:rPr>
                <w:rFonts w:ascii="Arial" w:cs="Arial" w:eastAsia="Arial" w:hAnsi="Arial"/>
                <w:sz w:val="16"/>
                <w:szCs w:val="16"/>
                <w:color w:val="auto"/>
              </w:rPr>
              <w:t>1,113</w:t>
            </w:r>
          </w:p>
        </w:tc>
      </w:tr>
      <w:tr>
        <w:trPr>
          <w:trHeight w:val="221"/>
        </w:trPr>
        <w:tc>
          <w:tcPr>
            <w:tcW w:w="5820" w:type="dxa"/>
            <w:vAlign w:val="bottom"/>
          </w:tcPr>
          <w:p>
            <w:pPr>
              <w:ind w:left="20"/>
              <w:spacing w:after="0"/>
              <w:rPr>
                <w:sz w:val="20"/>
                <w:szCs w:val="20"/>
                <w:color w:val="auto"/>
              </w:rPr>
            </w:pPr>
            <w:r>
              <w:rPr>
                <w:rFonts w:ascii="Arial" w:cs="Arial" w:eastAsia="Arial" w:hAnsi="Arial"/>
                <w:sz w:val="16"/>
                <w:szCs w:val="16"/>
                <w:color w:val="auto"/>
              </w:rPr>
              <w:t>Specific items:</w:t>
            </w:r>
          </w:p>
        </w:tc>
        <w:tc>
          <w:tcPr>
            <w:tcW w:w="10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38"/>
        </w:trPr>
        <w:tc>
          <w:tcPr>
            <w:tcW w:w="5820" w:type="dxa"/>
            <w:vAlign w:val="bottom"/>
          </w:tcPr>
          <w:p>
            <w:pPr>
              <w:ind w:left="100"/>
              <w:spacing w:after="0"/>
              <w:rPr>
                <w:sz w:val="20"/>
                <w:szCs w:val="20"/>
                <w:color w:val="auto"/>
              </w:rPr>
            </w:pPr>
            <w:r>
              <w:rPr>
                <w:rFonts w:ascii="Arial" w:cs="Arial" w:eastAsia="Arial" w:hAnsi="Arial"/>
                <w:sz w:val="16"/>
                <w:szCs w:val="16"/>
                <w:color w:val="auto"/>
              </w:rPr>
              <w:t>Power and Energy Solutions impairment charges</w:t>
            </w:r>
          </w:p>
        </w:tc>
        <w:tc>
          <w:tcPr>
            <w:tcW w:w="2240" w:type="dxa"/>
            <w:vAlign w:val="bottom"/>
            <w:gridSpan w:val="2"/>
          </w:tcPr>
          <w:p>
            <w:pPr>
              <w:jc w:val="right"/>
              <w:ind w:right="839"/>
              <w:spacing w:after="0"/>
              <w:rPr>
                <w:sz w:val="20"/>
                <w:szCs w:val="20"/>
                <w:color w:val="auto"/>
              </w:rPr>
            </w:pPr>
            <w:r>
              <w:rPr>
                <w:rFonts w:ascii="Arial" w:cs="Arial" w:eastAsia="Arial" w:hAnsi="Arial"/>
                <w:sz w:val="16"/>
                <w:szCs w:val="16"/>
                <w:b w:val="1"/>
                <w:bCs w:val="1"/>
                <w:color w:val="auto"/>
              </w:rPr>
              <w:t>(110)</w:t>
            </w:r>
          </w:p>
        </w:tc>
        <w:tc>
          <w:tcPr>
            <w:tcW w:w="460" w:type="dxa"/>
            <w:vAlign w:val="bottom"/>
          </w:tcPr>
          <w:p>
            <w:pPr>
              <w:jc w:val="right"/>
              <w:spacing w:after="0"/>
              <w:rPr>
                <w:sz w:val="20"/>
                <w:szCs w:val="20"/>
                <w:color w:val="auto"/>
              </w:rPr>
            </w:pPr>
            <w:r>
              <w:rPr>
                <w:rFonts w:ascii="Arial" w:cs="Arial" w:eastAsia="Arial" w:hAnsi="Arial"/>
                <w:sz w:val="16"/>
                <w:szCs w:val="16"/>
                <w:color w:val="auto"/>
              </w:rPr>
              <w:t>(36)</w:t>
            </w:r>
          </w:p>
        </w:tc>
        <w:tc>
          <w:tcPr>
            <w:tcW w:w="100" w:type="dxa"/>
            <w:vAlign w:val="bottom"/>
          </w:tcPr>
          <w:p>
            <w:pPr>
              <w:spacing w:after="0"/>
              <w:rPr>
                <w:sz w:val="20"/>
                <w:szCs w:val="20"/>
                <w:color w:val="auto"/>
              </w:rPr>
            </w:pPr>
          </w:p>
        </w:tc>
        <w:tc>
          <w:tcPr>
            <w:tcW w:w="1980" w:type="dxa"/>
            <w:vAlign w:val="bottom"/>
          </w:tcPr>
          <w:p>
            <w:pPr>
              <w:jc w:val="right"/>
              <w:ind w:right="679"/>
              <w:spacing w:after="0"/>
              <w:rPr>
                <w:sz w:val="20"/>
                <w:szCs w:val="20"/>
                <w:color w:val="auto"/>
              </w:rPr>
            </w:pPr>
            <w:r>
              <w:rPr>
                <w:rFonts w:ascii="Arial" w:cs="Arial" w:eastAsia="Arial" w:hAnsi="Arial"/>
                <w:sz w:val="16"/>
                <w:szCs w:val="16"/>
                <w:b w:val="1"/>
                <w:bCs w:val="1"/>
                <w:color w:val="auto"/>
              </w:rPr>
              <w:t>(110)</w:t>
            </w:r>
          </w:p>
        </w:tc>
        <w:tc>
          <w:tcPr>
            <w:tcW w:w="640" w:type="dxa"/>
            <w:vAlign w:val="bottom"/>
          </w:tcPr>
          <w:p>
            <w:pPr>
              <w:jc w:val="right"/>
              <w:spacing w:after="0"/>
              <w:rPr>
                <w:sz w:val="20"/>
                <w:szCs w:val="20"/>
                <w:color w:val="auto"/>
              </w:rPr>
            </w:pPr>
            <w:r>
              <w:rPr>
                <w:rFonts w:ascii="Arial" w:cs="Arial" w:eastAsia="Arial" w:hAnsi="Arial"/>
                <w:sz w:val="16"/>
                <w:szCs w:val="16"/>
                <w:color w:val="auto"/>
              </w:rPr>
              <w:t>(36)</w:t>
            </w:r>
          </w:p>
        </w:tc>
      </w:tr>
      <w:tr>
        <w:trPr>
          <w:trHeight w:val="229"/>
        </w:trPr>
        <w:tc>
          <w:tcPr>
            <w:tcW w:w="5820" w:type="dxa"/>
            <w:vAlign w:val="bottom"/>
          </w:tcPr>
          <w:p>
            <w:pPr>
              <w:ind w:left="100"/>
              <w:spacing w:after="0"/>
              <w:rPr>
                <w:sz w:val="20"/>
                <w:szCs w:val="20"/>
                <w:color w:val="auto"/>
              </w:rPr>
            </w:pPr>
            <w:r>
              <w:rPr>
                <w:rFonts w:ascii="Arial" w:cs="Arial" w:eastAsia="Arial" w:hAnsi="Arial"/>
                <w:sz w:val="16"/>
                <w:szCs w:val="16"/>
                <w:color w:val="auto"/>
              </w:rPr>
              <w:t>Bruce Power unrealized fair value adjustments</w:t>
            </w:r>
          </w:p>
        </w:tc>
        <w:tc>
          <w:tcPr>
            <w:tcW w:w="2240" w:type="dxa"/>
            <w:vAlign w:val="bottom"/>
            <w:gridSpan w:val="2"/>
          </w:tcPr>
          <w:p>
            <w:pPr>
              <w:jc w:val="right"/>
              <w:ind w:right="879"/>
              <w:spacing w:after="0"/>
              <w:rPr>
                <w:sz w:val="20"/>
                <w:szCs w:val="20"/>
                <w:color w:val="auto"/>
              </w:rPr>
            </w:pPr>
            <w:r>
              <w:rPr>
                <w:rFonts w:ascii="Arial" w:cs="Arial" w:eastAsia="Arial" w:hAnsi="Arial"/>
                <w:sz w:val="16"/>
                <w:szCs w:val="16"/>
                <w:b w:val="1"/>
                <w:bCs w:val="1"/>
                <w:color w:val="auto"/>
              </w:rPr>
              <w:t>4</w:t>
            </w:r>
          </w:p>
        </w:tc>
        <w:tc>
          <w:tcPr>
            <w:tcW w:w="46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9"/>
                <w:szCs w:val="19"/>
                <w:color w:val="auto"/>
              </w:rPr>
            </w:pPr>
          </w:p>
        </w:tc>
        <w:tc>
          <w:tcPr>
            <w:tcW w:w="1980" w:type="dxa"/>
            <w:vAlign w:val="bottom"/>
          </w:tcPr>
          <w:p>
            <w:pPr>
              <w:jc w:val="right"/>
              <w:ind w:right="719"/>
              <w:spacing w:after="0"/>
              <w:rPr>
                <w:sz w:val="20"/>
                <w:szCs w:val="20"/>
                <w:color w:val="auto"/>
              </w:rPr>
            </w:pPr>
            <w:r>
              <w:rPr>
                <w:rFonts w:ascii="Arial" w:cs="Arial" w:eastAsia="Arial" w:hAnsi="Arial"/>
                <w:sz w:val="16"/>
                <w:szCs w:val="16"/>
                <w:b w:val="1"/>
                <w:bCs w:val="1"/>
                <w:color w:val="auto"/>
              </w:rPr>
              <w:t>30</w:t>
            </w:r>
          </w:p>
        </w:tc>
        <w:tc>
          <w:tcPr>
            <w:tcW w:w="64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233"/>
        </w:trPr>
        <w:tc>
          <w:tcPr>
            <w:tcW w:w="582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Risk management activities</w:t>
            </w:r>
          </w:p>
        </w:tc>
        <w:tc>
          <w:tcPr>
            <w:tcW w:w="2240" w:type="dxa"/>
            <w:vAlign w:val="bottom"/>
            <w:tcBorders>
              <w:bottom w:val="single" w:sz="8" w:color="auto"/>
            </w:tcBorders>
            <w:gridSpan w:val="2"/>
          </w:tcPr>
          <w:p>
            <w:pPr>
              <w:jc w:val="right"/>
              <w:ind w:right="879"/>
              <w:spacing w:after="0"/>
              <w:rPr>
                <w:sz w:val="20"/>
                <w:szCs w:val="20"/>
                <w:color w:val="auto"/>
              </w:rPr>
            </w:pPr>
            <w:r>
              <w:rPr>
                <w:rFonts w:ascii="Arial" w:cs="Arial" w:eastAsia="Arial" w:hAnsi="Arial"/>
                <w:sz w:val="16"/>
                <w:szCs w:val="16"/>
                <w:b w:val="1"/>
                <w:bCs w:val="1"/>
                <w:color w:val="auto"/>
              </w:rPr>
              <w:t>53</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b w:val="1"/>
                <w:bCs w:val="1"/>
                <w:color w:val="auto"/>
              </w:rPr>
              <w:t>(42)</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w:t>
            </w:r>
          </w:p>
        </w:tc>
      </w:tr>
      <w:tr>
        <w:trPr>
          <w:trHeight w:val="223"/>
        </w:trPr>
        <w:tc>
          <w:tcPr>
            <w:tcW w:w="58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0D64EF"/>
              </w:rPr>
              <w:t>Segmented earnings (losses)</w:t>
            </w:r>
          </w:p>
        </w:tc>
        <w:tc>
          <w:tcPr>
            <w:tcW w:w="2240" w:type="dxa"/>
            <w:vAlign w:val="bottom"/>
            <w:tcBorders>
              <w:bottom w:val="single" w:sz="8" w:color="auto"/>
            </w:tcBorders>
            <w:gridSpan w:val="2"/>
          </w:tcPr>
          <w:p>
            <w:pPr>
              <w:jc w:val="right"/>
              <w:ind w:right="879"/>
              <w:spacing w:after="0"/>
              <w:rPr>
                <w:sz w:val="20"/>
                <w:szCs w:val="20"/>
                <w:color w:val="auto"/>
              </w:rPr>
            </w:pPr>
            <w:r>
              <w:rPr>
                <w:rFonts w:ascii="Arial" w:cs="Arial" w:eastAsia="Arial" w:hAnsi="Arial"/>
                <w:sz w:val="16"/>
                <w:szCs w:val="16"/>
                <w:b w:val="1"/>
                <w:bCs w:val="1"/>
                <w:color w:val="auto"/>
              </w:rPr>
              <w:t>136</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276</w:t>
            </w:r>
          </w:p>
        </w:tc>
        <w:tc>
          <w:tcPr>
            <w:tcW w:w="10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ind w:right="719"/>
              <w:spacing w:after="0"/>
              <w:rPr>
                <w:sz w:val="20"/>
                <w:szCs w:val="20"/>
                <w:color w:val="auto"/>
              </w:rPr>
            </w:pPr>
            <w:r>
              <w:rPr>
                <w:rFonts w:ascii="Arial" w:cs="Arial" w:eastAsia="Arial" w:hAnsi="Arial"/>
                <w:sz w:val="16"/>
                <w:szCs w:val="16"/>
                <w:b w:val="1"/>
                <w:bCs w:val="1"/>
                <w:color w:val="auto"/>
              </w:rPr>
              <w:t>773</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1,102</w:t>
            </w:r>
          </w:p>
        </w:tc>
      </w:tr>
    </w:tbl>
    <w:p>
      <w:pPr>
        <w:spacing w:after="0" w:line="180" w:lineRule="exact"/>
        <w:rPr>
          <w:sz w:val="20"/>
          <w:szCs w:val="20"/>
          <w:color w:val="auto"/>
        </w:rPr>
      </w:pPr>
    </w:p>
    <w:p>
      <w:pPr>
        <w:ind w:left="340" w:hanging="332"/>
        <w:spacing w:after="0"/>
        <w:tabs>
          <w:tab w:leader="none" w:pos="340" w:val="left"/>
        </w:tabs>
        <w:numPr>
          <w:ilvl w:val="0"/>
          <w:numId w:val="44"/>
        </w:numPr>
        <w:rPr>
          <w:rFonts w:ascii="Arial" w:cs="Arial" w:eastAsia="Arial" w:hAnsi="Arial"/>
          <w:sz w:val="14"/>
          <w:szCs w:val="14"/>
          <w:color w:val="auto"/>
        </w:rPr>
      </w:pPr>
      <w:r>
        <w:rPr>
          <w:rFonts w:ascii="Arial" w:cs="Arial" w:eastAsia="Arial" w:hAnsi="Arial"/>
          <w:sz w:val="14"/>
          <w:szCs w:val="14"/>
          <w:color w:val="auto"/>
        </w:rPr>
        <w:t>Represents our share of equity income from Bruce Power.</w:t>
      </w:r>
    </w:p>
    <w:p>
      <w:pPr>
        <w:spacing w:after="0" w:line="42" w:lineRule="exact"/>
        <w:rPr>
          <w:sz w:val="20"/>
          <w:szCs w:val="20"/>
          <w:color w:val="auto"/>
        </w:rPr>
      </w:pPr>
    </w:p>
    <w:p>
      <w:pPr>
        <w:ind w:left="340" w:right="440" w:hanging="332"/>
        <w:spacing w:after="0" w:line="365" w:lineRule="auto"/>
        <w:tabs>
          <w:tab w:leader="none" w:pos="339" w:val="left"/>
        </w:tabs>
        <w:numPr>
          <w:ilvl w:val="0"/>
          <w:numId w:val="45"/>
        </w:numPr>
        <w:rPr>
          <w:rFonts w:ascii="Arial" w:cs="Arial" w:eastAsia="Arial" w:hAnsi="Arial"/>
          <w:sz w:val="14"/>
          <w:szCs w:val="14"/>
          <w:color w:val="auto"/>
        </w:rPr>
      </w:pPr>
      <w:r>
        <w:rPr>
          <w:rFonts w:ascii="Arial" w:cs="Arial" w:eastAsia="Arial" w:hAnsi="Arial"/>
          <w:sz w:val="14"/>
          <w:szCs w:val="14"/>
          <w:color w:val="auto"/>
        </w:rPr>
        <w:t>Includes non-controlling interest in the Fluvanna and Blue Cloud Wind Farms (Texas Wind Farms), which is comprised of Class A Membership Interests. Refer to the Corporate section for additional information.</w:t>
      </w:r>
    </w:p>
    <w:p>
      <w:pPr>
        <w:spacing w:after="0" w:line="27" w:lineRule="exact"/>
        <w:rPr>
          <w:sz w:val="20"/>
          <w:szCs w:val="20"/>
          <w:color w:val="auto"/>
        </w:rPr>
      </w:pPr>
    </w:p>
    <w:p>
      <w:pPr>
        <w:ind w:right="20"/>
        <w:spacing w:after="0" w:line="302" w:lineRule="auto"/>
        <w:rPr>
          <w:sz w:val="20"/>
          <w:szCs w:val="20"/>
          <w:color w:val="auto"/>
        </w:rPr>
      </w:pPr>
      <w:r>
        <w:rPr>
          <w:rFonts w:ascii="Arial" w:cs="Arial" w:eastAsia="Arial" w:hAnsi="Arial"/>
          <w:sz w:val="18"/>
          <w:szCs w:val="18"/>
          <w:color w:val="auto"/>
        </w:rPr>
        <w:t>Power and Energy Solutions segmented earnings decreased by $140 million for the three months ended December 31, 2025 compared to the same period in 2024 and included the following specific items which have been excluded from our calculation of comparable EBITDA and comparable EBIT:</w:t>
      </w:r>
    </w:p>
    <w:p>
      <w:pPr>
        <w:spacing w:after="0" w:line="2" w:lineRule="exact"/>
        <w:rPr>
          <w:sz w:val="20"/>
          <w:szCs w:val="20"/>
          <w:color w:val="auto"/>
        </w:rPr>
      </w:pPr>
    </w:p>
    <w:p>
      <w:pPr>
        <w:ind w:left="180" w:right="380" w:hanging="172"/>
        <w:spacing w:after="0" w:line="323" w:lineRule="auto"/>
        <w:tabs>
          <w:tab w:leader="none" w:pos="148" w:val="left"/>
        </w:tabs>
        <w:numPr>
          <w:ilvl w:val="0"/>
          <w:numId w:val="46"/>
        </w:numPr>
        <w:rPr>
          <w:rFonts w:ascii="Arial" w:cs="Arial" w:eastAsia="Arial" w:hAnsi="Arial"/>
          <w:sz w:val="17"/>
          <w:szCs w:val="17"/>
          <w:color w:val="auto"/>
        </w:rPr>
      </w:pPr>
      <w:r>
        <w:rPr>
          <w:rFonts w:ascii="Arial" w:cs="Arial" w:eastAsia="Arial" w:hAnsi="Arial"/>
          <w:sz w:val="17"/>
          <w:szCs w:val="17"/>
          <w:color w:val="auto"/>
        </w:rPr>
        <w:t>a pre-tax impairment charge in 2025 of $110 million (2024 - $36 million) for certain Power and Energy Solutions projects following our decision to discontinue development along with updated forecast assumptions as we refocus our Power and Energy Solutions strategy</w:t>
      </w:r>
    </w:p>
    <w:p>
      <w:pPr>
        <w:ind w:left="180" w:right="120" w:hanging="172"/>
        <w:spacing w:after="0" w:line="297" w:lineRule="auto"/>
        <w:tabs>
          <w:tab w:leader="none" w:pos="148" w:val="left"/>
        </w:tabs>
        <w:numPr>
          <w:ilvl w:val="0"/>
          <w:numId w:val="46"/>
        </w:numPr>
        <w:rPr>
          <w:rFonts w:ascii="Arial" w:cs="Arial" w:eastAsia="Arial" w:hAnsi="Arial"/>
          <w:sz w:val="18"/>
          <w:szCs w:val="18"/>
          <w:color w:val="auto"/>
        </w:rPr>
      </w:pPr>
      <w:r>
        <w:rPr>
          <w:rFonts w:ascii="Arial" w:cs="Arial" w:eastAsia="Arial" w:hAnsi="Arial"/>
          <w:sz w:val="18"/>
          <w:szCs w:val="18"/>
          <w:color w:val="auto"/>
        </w:rPr>
        <w:t>our proportionate share of Bruce Power's unrealized gains and losses on funds invested for post-retirement benefits and risk management activities</w:t>
      </w:r>
    </w:p>
    <w:p>
      <w:pPr>
        <w:ind w:left="140" w:hanging="132"/>
        <w:spacing w:after="0"/>
        <w:tabs>
          <w:tab w:leader="none" w:pos="1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unrealized gains and losses from changes in the fair value of derivatives used to reduce commodity exposures.</w:t>
      </w:r>
    </w:p>
    <w:p>
      <w:pPr>
        <w:spacing w:after="0" w:line="144" w:lineRule="exact"/>
        <w:rPr>
          <w:sz w:val="20"/>
          <w:szCs w:val="20"/>
          <w:color w:val="auto"/>
        </w:rPr>
      </w:pPr>
    </w:p>
    <w:p>
      <w:pPr>
        <w:ind w:right="140"/>
        <w:spacing w:after="0" w:line="305" w:lineRule="auto"/>
        <w:rPr>
          <w:sz w:val="20"/>
          <w:szCs w:val="20"/>
          <w:color w:val="auto"/>
        </w:rPr>
      </w:pPr>
      <w:r>
        <w:rPr>
          <w:rFonts w:ascii="Arial" w:cs="Arial" w:eastAsia="Arial" w:hAnsi="Arial"/>
          <w:sz w:val="18"/>
          <w:szCs w:val="18"/>
          <w:color w:val="auto"/>
        </w:rPr>
        <w:t>Comparable EBITDA for Power and Energy Solutions decreased by $124 million for the three months ended December 31, 2025 compared to the same period in 2024 primarily due to the net effect of:</w:t>
      </w:r>
    </w:p>
    <w:p>
      <w:pPr>
        <w:ind w:left="180" w:right="400" w:hanging="172"/>
        <w:spacing w:after="0" w:line="323" w:lineRule="auto"/>
        <w:tabs>
          <w:tab w:leader="none" w:pos="148" w:val="left"/>
        </w:tabs>
        <w:numPr>
          <w:ilvl w:val="0"/>
          <w:numId w:val="47"/>
        </w:numPr>
        <w:rPr>
          <w:rFonts w:ascii="Arial" w:cs="Arial" w:eastAsia="Arial" w:hAnsi="Arial"/>
          <w:sz w:val="17"/>
          <w:szCs w:val="17"/>
          <w:color w:val="auto"/>
        </w:rPr>
      </w:pPr>
      <w:r>
        <w:rPr>
          <w:rFonts w:ascii="Arial" w:cs="Arial" w:eastAsia="Arial" w:hAnsi="Arial"/>
          <w:sz w:val="17"/>
          <w:szCs w:val="17"/>
          <w:color w:val="auto"/>
        </w:rPr>
        <w:t>lower Bruce Power contributions from reduced generation due to the Unit 4 MCR, planned Unit 2 outage in fourth quarter 2025 and increased operating costs, partially offset by a higher contract price. Refer to the Bruce Power results section for additional information</w:t>
      </w:r>
    </w:p>
    <w:p>
      <w:pPr>
        <w:ind w:left="140" w:hanging="132"/>
        <w:spacing w:after="0"/>
        <w:tabs>
          <w:tab w:leader="none" w:pos="1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decreased Canadian Power financial results primarily from lower realized power prices</w:t>
      </w:r>
    </w:p>
    <w:p>
      <w:pPr>
        <w:spacing w:after="0" w:line="49" w:lineRule="exact"/>
        <w:rPr>
          <w:rFonts w:ascii="Arial" w:cs="Arial" w:eastAsia="Arial" w:hAnsi="Arial"/>
          <w:sz w:val="18"/>
          <w:szCs w:val="18"/>
          <w:color w:val="auto"/>
        </w:rPr>
      </w:pPr>
    </w:p>
    <w:p>
      <w:pPr>
        <w:ind w:left="140" w:hanging="132"/>
        <w:spacing w:after="0"/>
        <w:tabs>
          <w:tab w:leader="none" w:pos="1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increased Natural Gas Storage and other is primarily due to lower business development costs.</w:t>
      </w:r>
    </w:p>
    <w:p>
      <w:pPr>
        <w:spacing w:after="0" w:line="153" w:lineRule="exact"/>
        <w:rPr>
          <w:sz w:val="20"/>
          <w:szCs w:val="20"/>
          <w:color w:val="auto"/>
        </w:rPr>
      </w:pPr>
    </w:p>
    <w:p>
      <w:pPr>
        <w:spacing w:after="0"/>
        <w:rPr>
          <w:sz w:val="20"/>
          <w:szCs w:val="20"/>
          <w:color w:val="auto"/>
        </w:rPr>
      </w:pPr>
      <w:r>
        <w:rPr>
          <w:rFonts w:ascii="Arial" w:cs="Arial" w:eastAsia="Arial" w:hAnsi="Arial"/>
          <w:sz w:val="20"/>
          <w:szCs w:val="20"/>
          <w:b w:val="1"/>
          <w:bCs w:val="1"/>
          <w:color w:val="0D64EF"/>
        </w:rPr>
        <w:t>DEPRECIATION AND AMORTIZATION</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Depreciation and amortization generally consistent for the three months ended December 31, 2025 compared to the same period in 2024.</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7060"/>
        <w:spacing w:after="0"/>
        <w:rPr>
          <w:sz w:val="20"/>
          <w:szCs w:val="20"/>
          <w:color w:val="auto"/>
        </w:rPr>
      </w:pPr>
      <w:r>
        <w:rPr>
          <w:rFonts w:ascii="Arial" w:cs="Arial" w:eastAsia="Arial" w:hAnsi="Arial"/>
          <w:sz w:val="17"/>
          <w:szCs w:val="17"/>
          <w:color w:val="auto"/>
        </w:rPr>
        <w:t xml:space="preserve">TC Energy </w:t>
      </w:r>
      <w:r>
        <w:rPr>
          <w:rFonts w:ascii="Arial" w:cs="Arial" w:eastAsia="Arial" w:hAnsi="Arial"/>
          <w:sz w:val="17"/>
          <w:szCs w:val="17"/>
          <w:b w:val="1"/>
          <w:bCs w:val="1"/>
          <w:color w:val="0D64EF"/>
        </w:rPr>
        <w:t>Fourth Quarter</w:t>
      </w:r>
      <w:r>
        <w:rPr>
          <w:rFonts w:ascii="Arial" w:cs="Arial" w:eastAsia="Arial" w:hAnsi="Arial"/>
          <w:sz w:val="17"/>
          <w:szCs w:val="17"/>
          <w:color w:val="auto"/>
        </w:rPr>
        <w:t xml:space="preserve"> News Release 2025 | 21</w:t>
      </w:r>
    </w:p>
    <w:p>
      <w:pPr>
        <w:sectPr>
          <w:pgSz w:w="11900" w:h="16838" w:orient="portrait"/>
          <w:cols w:equalWidth="0" w:num="1">
            <w:col w:w="11240"/>
          </w:cols>
          <w:pgMar w:left="320" w:top="1359" w:right="339" w:bottom="1440" w:gutter="0" w:footer="0" w:header="0"/>
        </w:sectPr>
      </w:pPr>
    </w:p>
    <w:bookmarkStart w:id="34" w:name="page35"/>
    <w:bookmarkEnd w:id="34"/>
    <w:p>
      <w:pPr>
        <w:spacing w:after="0"/>
        <w:rPr>
          <w:sz w:val="20"/>
          <w:szCs w:val="20"/>
          <w:color w:val="auto"/>
        </w:rPr>
      </w:pPr>
      <w:r>
        <w:rPr>
          <w:rFonts w:ascii="Arial" w:cs="Arial" w:eastAsia="Arial" w:hAnsi="Arial"/>
          <w:sz w:val="20"/>
          <w:szCs w:val="20"/>
          <w:b w:val="1"/>
          <w:bCs w:val="1"/>
          <w:color w:val="0D64EF"/>
        </w:rPr>
        <w:t>BRUCE POWER</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our proportionate share of the components of comparable EBITDA and comparable EBIT.</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440" w:type="dxa"/>
            <w:vAlign w:val="bottom"/>
            <w:tcBorders>
              <w:top w:val="single" w:sz="8" w:color="0D64EF"/>
            </w:tcBorders>
            <w:shd w:val="clear" w:color="auto" w:fill="D1D0CF"/>
          </w:tcPr>
          <w:p>
            <w:pPr>
              <w:spacing w:after="0"/>
              <w:rPr>
                <w:sz w:val="16"/>
                <w:szCs w:val="16"/>
                <w:color w:val="auto"/>
              </w:rPr>
            </w:pPr>
          </w:p>
        </w:tc>
        <w:tc>
          <w:tcPr>
            <w:tcW w:w="120" w:type="dxa"/>
            <w:vAlign w:val="bottom"/>
            <w:tcBorders>
              <w:top w:val="single" w:sz="8" w:color="0D64EF"/>
            </w:tcBorders>
            <w:shd w:val="clear" w:color="auto" w:fill="D1D0CF"/>
          </w:tcPr>
          <w:p>
            <w:pPr>
              <w:spacing w:after="0"/>
              <w:rPr>
                <w:sz w:val="16"/>
                <w:szCs w:val="16"/>
                <w:color w:val="auto"/>
              </w:rPr>
            </w:pPr>
          </w:p>
        </w:tc>
        <w:tc>
          <w:tcPr>
            <w:tcW w:w="2160" w:type="dxa"/>
            <w:vAlign w:val="bottom"/>
            <w:tcBorders>
              <w:top w:val="single" w:sz="8" w:color="0D64EF"/>
            </w:tcBorders>
            <w:shd w:val="clear" w:color="auto" w:fill="D1D0CF"/>
          </w:tcPr>
          <w:p>
            <w:pPr>
              <w:jc w:val="right"/>
              <w:spacing w:after="0"/>
              <w:rPr>
                <w:sz w:val="20"/>
                <w:szCs w:val="20"/>
                <w:color w:val="auto"/>
              </w:rPr>
            </w:pPr>
            <w:r>
              <w:rPr>
                <w:rFonts w:ascii="Arial" w:cs="Arial" w:eastAsia="Arial" w:hAnsi="Arial"/>
                <w:sz w:val="16"/>
                <w:szCs w:val="16"/>
                <w:b w:val="1"/>
                <w:bCs w:val="1"/>
                <w:color w:val="auto"/>
              </w:rPr>
              <w:t>three months ended</w:t>
            </w:r>
          </w:p>
        </w:tc>
        <w:tc>
          <w:tcPr>
            <w:tcW w:w="620" w:type="dxa"/>
            <w:vAlign w:val="bottom"/>
            <w:tcBorders>
              <w:top w:val="single" w:sz="8" w:color="0D64EF"/>
            </w:tcBorders>
            <w:shd w:val="clear" w:color="auto" w:fill="D1D0CF"/>
          </w:tcPr>
          <w:p>
            <w:pPr>
              <w:spacing w:after="0"/>
              <w:rPr>
                <w:sz w:val="16"/>
                <w:szCs w:val="16"/>
                <w:color w:val="auto"/>
              </w:rPr>
            </w:pPr>
          </w:p>
        </w:tc>
        <w:tc>
          <w:tcPr>
            <w:tcW w:w="100" w:type="dxa"/>
            <w:vAlign w:val="bottom"/>
            <w:tcBorders>
              <w:top w:val="single" w:sz="8" w:color="0D64EF"/>
            </w:tcBorders>
            <w:shd w:val="clear" w:color="auto" w:fill="D1D0CF"/>
          </w:tcPr>
          <w:p>
            <w:pPr>
              <w:spacing w:after="0"/>
              <w:rPr>
                <w:sz w:val="16"/>
                <w:szCs w:val="16"/>
                <w:color w:val="auto"/>
              </w:rPr>
            </w:pPr>
          </w:p>
        </w:tc>
        <w:tc>
          <w:tcPr>
            <w:tcW w:w="2000" w:type="dxa"/>
            <w:vAlign w:val="bottom"/>
            <w:tcBorders>
              <w:top w:val="single" w:sz="8" w:color="0D64EF"/>
            </w:tcBorders>
            <w:shd w:val="clear" w:color="auto" w:fill="D1D0CF"/>
          </w:tcPr>
          <w:p>
            <w:pPr>
              <w:jc w:val="right"/>
              <w:ind w:right="119"/>
              <w:spacing w:after="0"/>
              <w:rPr>
                <w:sz w:val="20"/>
                <w:szCs w:val="20"/>
                <w:color w:val="auto"/>
              </w:rPr>
            </w:pPr>
            <w:r>
              <w:rPr>
                <w:rFonts w:ascii="Arial" w:cs="Arial" w:eastAsia="Arial" w:hAnsi="Arial"/>
                <w:sz w:val="16"/>
                <w:szCs w:val="16"/>
                <w:b w:val="1"/>
                <w:bCs w:val="1"/>
                <w:color w:val="auto"/>
              </w:rPr>
              <w:t>year ended</w:t>
            </w:r>
          </w:p>
        </w:tc>
        <w:tc>
          <w:tcPr>
            <w:tcW w:w="800" w:type="dxa"/>
            <w:vAlign w:val="bottom"/>
            <w:tcBorders>
              <w:top w:val="single" w:sz="8" w:color="0D64EF"/>
            </w:tcBorders>
            <w:shd w:val="clear" w:color="auto" w:fill="D1D0CF"/>
          </w:tcPr>
          <w:p>
            <w:pPr>
              <w:spacing w:after="0"/>
              <w:rPr>
                <w:sz w:val="16"/>
                <w:szCs w:val="16"/>
                <w:color w:val="auto"/>
              </w:rPr>
            </w:pPr>
          </w:p>
        </w:tc>
      </w:tr>
      <w:tr>
        <w:trPr>
          <w:trHeight w:val="224"/>
        </w:trPr>
        <w:tc>
          <w:tcPr>
            <w:tcW w:w="5440" w:type="dxa"/>
            <w:vAlign w:val="bottom"/>
            <w:tcBorders>
              <w:bottom w:val="single" w:sz="8" w:color="D1D0CF"/>
            </w:tcBorders>
            <w:shd w:val="clear" w:color="auto" w:fill="D1D0CF"/>
          </w:tcPr>
          <w:p>
            <w:pPr>
              <w:spacing w:after="0"/>
              <w:rPr>
                <w:sz w:val="19"/>
                <w:szCs w:val="19"/>
                <w:color w:val="auto"/>
              </w:rPr>
            </w:pPr>
          </w:p>
        </w:tc>
        <w:tc>
          <w:tcPr>
            <w:tcW w:w="120" w:type="dxa"/>
            <w:vAlign w:val="bottom"/>
            <w:tcBorders>
              <w:bottom w:val="single" w:sz="8" w:color="D1D0CF"/>
            </w:tcBorders>
            <w:shd w:val="clear" w:color="auto" w:fill="D1D0CF"/>
          </w:tcPr>
          <w:p>
            <w:pPr>
              <w:spacing w:after="0"/>
              <w:rPr>
                <w:sz w:val="19"/>
                <w:szCs w:val="19"/>
                <w:color w:val="auto"/>
              </w:rPr>
            </w:pPr>
          </w:p>
        </w:tc>
        <w:tc>
          <w:tcPr>
            <w:tcW w:w="2160" w:type="dxa"/>
            <w:vAlign w:val="bottom"/>
            <w:tcBorders>
              <w:bottom w:val="single" w:sz="8" w:color="0D64EF"/>
            </w:tcBorders>
            <w:shd w:val="clear" w:color="auto" w:fill="D1D0CF"/>
          </w:tcPr>
          <w:p>
            <w:pPr>
              <w:jc w:val="right"/>
              <w:ind w:right="179"/>
              <w:spacing w:after="0"/>
              <w:rPr>
                <w:sz w:val="20"/>
                <w:szCs w:val="20"/>
                <w:color w:val="auto"/>
              </w:rPr>
            </w:pPr>
            <w:r>
              <w:rPr>
                <w:rFonts w:ascii="Arial" w:cs="Arial" w:eastAsia="Arial" w:hAnsi="Arial"/>
                <w:sz w:val="16"/>
                <w:szCs w:val="16"/>
                <w:b w:val="1"/>
                <w:bCs w:val="1"/>
                <w:color w:val="auto"/>
              </w:rPr>
              <w:t>December 31</w:t>
            </w:r>
          </w:p>
        </w:tc>
        <w:tc>
          <w:tcPr>
            <w:tcW w:w="620" w:type="dxa"/>
            <w:vAlign w:val="bottom"/>
            <w:tcBorders>
              <w:bottom w:val="single" w:sz="8" w:color="0D64EF"/>
            </w:tcBorders>
            <w:shd w:val="clear" w:color="auto" w:fill="D1D0CF"/>
          </w:tcPr>
          <w:p>
            <w:pPr>
              <w:spacing w:after="0"/>
              <w:rPr>
                <w:sz w:val="19"/>
                <w:szCs w:val="19"/>
                <w:color w:val="auto"/>
              </w:rPr>
            </w:pPr>
          </w:p>
        </w:tc>
        <w:tc>
          <w:tcPr>
            <w:tcW w:w="100" w:type="dxa"/>
            <w:vAlign w:val="bottom"/>
            <w:tcBorders>
              <w:bottom w:val="single" w:sz="8" w:color="D1D0CF"/>
            </w:tcBorders>
            <w:shd w:val="clear" w:color="auto" w:fill="D1D0CF"/>
          </w:tcPr>
          <w:p>
            <w:pPr>
              <w:spacing w:after="0"/>
              <w:rPr>
                <w:sz w:val="19"/>
                <w:szCs w:val="19"/>
                <w:color w:val="auto"/>
              </w:rPr>
            </w:pPr>
          </w:p>
        </w:tc>
        <w:tc>
          <w:tcPr>
            <w:tcW w:w="2000" w:type="dxa"/>
            <w:vAlign w:val="bottom"/>
            <w:tcBorders>
              <w:bottom w:val="single" w:sz="8" w:color="0D64EF"/>
            </w:tcBorders>
            <w:shd w:val="clear" w:color="auto" w:fill="D1D0CF"/>
          </w:tcPr>
          <w:p>
            <w:pPr>
              <w:jc w:val="right"/>
              <w:ind w:right="19"/>
              <w:spacing w:after="0"/>
              <w:rPr>
                <w:sz w:val="20"/>
                <w:szCs w:val="20"/>
                <w:color w:val="auto"/>
              </w:rPr>
            </w:pPr>
            <w:r>
              <w:rPr>
                <w:rFonts w:ascii="Arial" w:cs="Arial" w:eastAsia="Arial" w:hAnsi="Arial"/>
                <w:sz w:val="16"/>
                <w:szCs w:val="16"/>
                <w:b w:val="1"/>
                <w:bCs w:val="1"/>
                <w:color w:val="auto"/>
              </w:rPr>
              <w:t>December 31</w:t>
            </w:r>
          </w:p>
        </w:tc>
        <w:tc>
          <w:tcPr>
            <w:tcW w:w="800" w:type="dxa"/>
            <w:vAlign w:val="bottom"/>
            <w:tcBorders>
              <w:bottom w:val="single" w:sz="8" w:color="0D64EF"/>
            </w:tcBorders>
            <w:shd w:val="clear" w:color="auto" w:fill="D1D0CF"/>
          </w:tcPr>
          <w:p>
            <w:pPr>
              <w:spacing w:after="0"/>
              <w:rPr>
                <w:sz w:val="19"/>
                <w:szCs w:val="19"/>
                <w:color w:val="auto"/>
              </w:rPr>
            </w:pPr>
          </w:p>
        </w:tc>
      </w:tr>
      <w:tr>
        <w:trPr>
          <w:trHeight w:val="226"/>
        </w:trPr>
        <w:tc>
          <w:tcPr>
            <w:tcW w:w="5440" w:type="dxa"/>
            <w:vAlign w:val="bottom"/>
            <w:tcBorders>
              <w:bottom w:val="single" w:sz="8" w:color="0D64EF"/>
            </w:tcBorders>
            <w:shd w:val="clear" w:color="auto" w:fill="D1D0CF"/>
          </w:tcPr>
          <w:p>
            <w:pPr>
              <w:ind w:left="20"/>
              <w:spacing w:after="0"/>
              <w:rPr>
                <w:sz w:val="20"/>
                <w:szCs w:val="20"/>
                <w:color w:val="auto"/>
              </w:rPr>
            </w:pPr>
            <w:r>
              <w:rPr>
                <w:rFonts w:ascii="Arial" w:cs="Arial" w:eastAsia="Arial" w:hAnsi="Arial"/>
                <w:sz w:val="16"/>
                <w:szCs w:val="16"/>
                <w:color w:val="auto"/>
              </w:rPr>
              <w:t>(millions of $, unless otherwise noted)</w:t>
            </w:r>
          </w:p>
        </w:tc>
        <w:tc>
          <w:tcPr>
            <w:tcW w:w="120" w:type="dxa"/>
            <w:vAlign w:val="bottom"/>
            <w:tcBorders>
              <w:bottom w:val="single" w:sz="8" w:color="0D64EF"/>
            </w:tcBorders>
            <w:shd w:val="clear" w:color="auto" w:fill="D1D0CF"/>
          </w:tcPr>
          <w:p>
            <w:pPr>
              <w:spacing w:after="0"/>
              <w:rPr>
                <w:sz w:val="19"/>
                <w:szCs w:val="19"/>
                <w:color w:val="auto"/>
              </w:rPr>
            </w:pPr>
          </w:p>
        </w:tc>
        <w:tc>
          <w:tcPr>
            <w:tcW w:w="2160" w:type="dxa"/>
            <w:vAlign w:val="bottom"/>
            <w:tcBorders>
              <w:bottom w:val="single" w:sz="8" w:color="0D64EF"/>
            </w:tcBorders>
            <w:shd w:val="clear" w:color="auto" w:fill="D1D0CF"/>
          </w:tcPr>
          <w:p>
            <w:pPr>
              <w:jc w:val="right"/>
              <w:ind w:right="759"/>
              <w:spacing w:after="0"/>
              <w:rPr>
                <w:sz w:val="20"/>
                <w:szCs w:val="20"/>
                <w:color w:val="auto"/>
              </w:rPr>
            </w:pPr>
            <w:r>
              <w:rPr>
                <w:rFonts w:ascii="Arial" w:cs="Arial" w:eastAsia="Arial" w:hAnsi="Arial"/>
                <w:sz w:val="16"/>
                <w:szCs w:val="16"/>
                <w:b w:val="1"/>
                <w:bCs w:val="1"/>
                <w:color w:val="auto"/>
              </w:rPr>
              <w:t>2025</w:t>
            </w:r>
          </w:p>
        </w:tc>
        <w:tc>
          <w:tcPr>
            <w:tcW w:w="620" w:type="dxa"/>
            <w:vAlign w:val="bottom"/>
            <w:tcBorders>
              <w:bottom w:val="single" w:sz="8" w:color="0D64EF"/>
            </w:tcBorders>
            <w:shd w:val="clear" w:color="auto" w:fill="D1D0CF"/>
          </w:tcPr>
          <w:p>
            <w:pPr>
              <w:jc w:val="right"/>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bottom w:val="single" w:sz="8" w:color="0D64EF"/>
            </w:tcBorders>
            <w:shd w:val="clear" w:color="auto" w:fill="D1D0CF"/>
          </w:tcPr>
          <w:p>
            <w:pPr>
              <w:spacing w:after="0"/>
              <w:rPr>
                <w:sz w:val="19"/>
                <w:szCs w:val="19"/>
                <w:color w:val="auto"/>
              </w:rPr>
            </w:pPr>
          </w:p>
        </w:tc>
        <w:tc>
          <w:tcPr>
            <w:tcW w:w="2000" w:type="dxa"/>
            <w:vAlign w:val="bottom"/>
            <w:tcBorders>
              <w:bottom w:val="single" w:sz="8" w:color="0D64EF"/>
            </w:tcBorders>
            <w:shd w:val="clear" w:color="auto" w:fill="D1D0CF"/>
          </w:tcPr>
          <w:p>
            <w:pPr>
              <w:jc w:val="right"/>
              <w:ind w:right="599"/>
              <w:spacing w:after="0"/>
              <w:rPr>
                <w:sz w:val="20"/>
                <w:szCs w:val="20"/>
                <w:color w:val="auto"/>
              </w:rPr>
            </w:pPr>
            <w:r>
              <w:rPr>
                <w:rFonts w:ascii="Arial" w:cs="Arial" w:eastAsia="Arial" w:hAnsi="Arial"/>
                <w:sz w:val="16"/>
                <w:szCs w:val="16"/>
                <w:b w:val="1"/>
                <w:bCs w:val="1"/>
                <w:color w:val="auto"/>
              </w:rPr>
              <w:t>2025</w:t>
            </w:r>
          </w:p>
        </w:tc>
        <w:tc>
          <w:tcPr>
            <w:tcW w:w="800" w:type="dxa"/>
            <w:vAlign w:val="bottom"/>
            <w:tcBorders>
              <w:bottom w:val="single" w:sz="8" w:color="0D64EF"/>
            </w:tcBorders>
            <w:shd w:val="clear" w:color="auto" w:fill="D1D0CF"/>
          </w:tcPr>
          <w:p>
            <w:pPr>
              <w:jc w:val="right"/>
              <w:spacing w:after="0"/>
              <w:rPr>
                <w:sz w:val="20"/>
                <w:szCs w:val="20"/>
                <w:color w:val="auto"/>
              </w:rPr>
            </w:pPr>
            <w:r>
              <w:rPr>
                <w:rFonts w:ascii="Arial" w:cs="Arial" w:eastAsia="Arial" w:hAnsi="Arial"/>
                <w:sz w:val="16"/>
                <w:szCs w:val="16"/>
                <w:b w:val="1"/>
                <w:bCs w:val="1"/>
                <w:color w:val="auto"/>
              </w:rPr>
              <w:t>2024</w:t>
            </w:r>
          </w:p>
        </w:tc>
      </w:tr>
      <w:tr>
        <w:trPr>
          <w:trHeight w:val="212"/>
        </w:trPr>
        <w:tc>
          <w:tcPr>
            <w:tcW w:w="5440" w:type="dxa"/>
            <w:vAlign w:val="bottom"/>
          </w:tcPr>
          <w:p>
            <w:pPr>
              <w:ind w:left="20"/>
              <w:spacing w:after="0"/>
              <w:rPr>
                <w:sz w:val="20"/>
                <w:szCs w:val="20"/>
                <w:color w:val="auto"/>
              </w:rPr>
            </w:pPr>
            <w:r>
              <w:rPr>
                <w:rFonts w:ascii="Arial" w:cs="Arial" w:eastAsia="Arial" w:hAnsi="Arial"/>
                <w:sz w:val="16"/>
                <w:szCs w:val="16"/>
                <w:b w:val="1"/>
                <w:bCs w:val="1"/>
                <w:color w:val="0D64EF"/>
              </w:rPr>
              <w:t>Items included in comparable EBITDA and comparable EBIT are</w:t>
            </w:r>
          </w:p>
        </w:tc>
        <w:tc>
          <w:tcPr>
            <w:tcW w:w="1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23"/>
        </w:trPr>
        <w:tc>
          <w:tcPr>
            <w:tcW w:w="5440" w:type="dxa"/>
            <w:vAlign w:val="bottom"/>
          </w:tcPr>
          <w:p>
            <w:pPr>
              <w:ind w:left="100"/>
              <w:spacing w:after="0"/>
              <w:rPr>
                <w:sz w:val="20"/>
                <w:szCs w:val="20"/>
                <w:color w:val="auto"/>
              </w:rPr>
            </w:pPr>
            <w:r>
              <w:rPr>
                <w:rFonts w:ascii="Arial" w:cs="Arial" w:eastAsia="Arial" w:hAnsi="Arial"/>
                <w:sz w:val="16"/>
                <w:szCs w:val="16"/>
                <w:b w:val="1"/>
                <w:bCs w:val="1"/>
                <w:color w:val="0D64EF"/>
              </w:rPr>
              <w:t>comprised of:</w:t>
            </w:r>
          </w:p>
        </w:tc>
        <w:tc>
          <w:tcPr>
            <w:tcW w:w="1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36"/>
        </w:trPr>
        <w:tc>
          <w:tcPr>
            <w:tcW w:w="5440" w:type="dxa"/>
            <w:vAlign w:val="bottom"/>
          </w:tcPr>
          <w:p>
            <w:pPr>
              <w:ind w:left="140"/>
              <w:spacing w:after="0" w:line="236" w:lineRule="exact"/>
              <w:rPr>
                <w:sz w:val="20"/>
                <w:szCs w:val="20"/>
                <w:color w:val="auto"/>
              </w:rPr>
            </w:pPr>
            <w:r>
              <w:rPr>
                <w:rFonts w:ascii="Arial" w:cs="Arial" w:eastAsia="Arial" w:hAnsi="Arial"/>
                <w:sz w:val="16"/>
                <w:szCs w:val="16"/>
                <w:color w:val="auto"/>
              </w:rPr>
              <w:t>Revenues</w:t>
            </w:r>
            <w:r>
              <w:rPr>
                <w:rFonts w:ascii="Arial" w:cs="Arial" w:eastAsia="Arial" w:hAnsi="Arial"/>
                <w:sz w:val="21"/>
                <w:szCs w:val="21"/>
                <w:color w:val="auto"/>
                <w:vertAlign w:val="superscript"/>
              </w:rPr>
              <w:t>1</w:t>
            </w:r>
          </w:p>
        </w:tc>
        <w:tc>
          <w:tcPr>
            <w:tcW w:w="2280" w:type="dxa"/>
            <w:vAlign w:val="bottom"/>
            <w:gridSpan w:val="2"/>
          </w:tcPr>
          <w:p>
            <w:pPr>
              <w:jc w:val="right"/>
              <w:ind w:right="959"/>
              <w:spacing w:after="0"/>
              <w:rPr>
                <w:sz w:val="20"/>
                <w:szCs w:val="20"/>
                <w:color w:val="auto"/>
              </w:rPr>
            </w:pPr>
            <w:r>
              <w:rPr>
                <w:rFonts w:ascii="Arial" w:cs="Arial" w:eastAsia="Arial" w:hAnsi="Arial"/>
                <w:sz w:val="16"/>
                <w:szCs w:val="16"/>
                <w:b w:val="1"/>
                <w:bCs w:val="1"/>
                <w:color w:val="auto"/>
              </w:rPr>
              <w:t>502</w:t>
            </w:r>
          </w:p>
        </w:tc>
        <w:tc>
          <w:tcPr>
            <w:tcW w:w="620" w:type="dxa"/>
            <w:vAlign w:val="bottom"/>
          </w:tcPr>
          <w:p>
            <w:pPr>
              <w:jc w:val="right"/>
              <w:ind w:right="119"/>
              <w:spacing w:after="0"/>
              <w:rPr>
                <w:sz w:val="20"/>
                <w:szCs w:val="20"/>
                <w:color w:val="auto"/>
              </w:rPr>
            </w:pPr>
            <w:r>
              <w:rPr>
                <w:rFonts w:ascii="Arial" w:cs="Arial" w:eastAsia="Arial" w:hAnsi="Arial"/>
                <w:sz w:val="16"/>
                <w:szCs w:val="16"/>
                <w:color w:val="auto"/>
              </w:rPr>
              <w:t>622</w:t>
            </w:r>
          </w:p>
        </w:tc>
        <w:tc>
          <w:tcPr>
            <w:tcW w:w="100" w:type="dxa"/>
            <w:vAlign w:val="bottom"/>
          </w:tcPr>
          <w:p>
            <w:pPr>
              <w:spacing w:after="0"/>
              <w:rPr>
                <w:sz w:val="20"/>
                <w:szCs w:val="20"/>
                <w:color w:val="auto"/>
              </w:rPr>
            </w:pPr>
          </w:p>
        </w:tc>
        <w:tc>
          <w:tcPr>
            <w:tcW w:w="2000" w:type="dxa"/>
            <w:vAlign w:val="bottom"/>
          </w:tcPr>
          <w:p>
            <w:pPr>
              <w:jc w:val="right"/>
              <w:ind w:right="779"/>
              <w:spacing w:after="0"/>
              <w:rPr>
                <w:sz w:val="20"/>
                <w:szCs w:val="20"/>
                <w:color w:val="auto"/>
              </w:rPr>
            </w:pPr>
            <w:r>
              <w:rPr>
                <w:rFonts w:ascii="Arial" w:cs="Arial" w:eastAsia="Arial" w:hAnsi="Arial"/>
                <w:sz w:val="16"/>
                <w:szCs w:val="16"/>
                <w:b w:val="1"/>
                <w:bCs w:val="1"/>
                <w:color w:val="auto"/>
              </w:rPr>
              <w:t>2,112</w:t>
            </w:r>
          </w:p>
        </w:tc>
        <w:tc>
          <w:tcPr>
            <w:tcW w:w="800" w:type="dxa"/>
            <w:vAlign w:val="bottom"/>
          </w:tcPr>
          <w:p>
            <w:pPr>
              <w:jc w:val="right"/>
              <w:ind w:right="119"/>
              <w:spacing w:after="0"/>
              <w:rPr>
                <w:sz w:val="20"/>
                <w:szCs w:val="20"/>
                <w:color w:val="auto"/>
              </w:rPr>
            </w:pPr>
            <w:r>
              <w:rPr>
                <w:rFonts w:ascii="Arial" w:cs="Arial" w:eastAsia="Arial" w:hAnsi="Arial"/>
                <w:sz w:val="16"/>
                <w:szCs w:val="16"/>
                <w:color w:val="auto"/>
              </w:rPr>
              <w:t>2,242</w:t>
            </w:r>
          </w:p>
        </w:tc>
      </w:tr>
      <w:tr>
        <w:trPr>
          <w:trHeight w:val="223"/>
        </w:trPr>
        <w:tc>
          <w:tcPr>
            <w:tcW w:w="5440" w:type="dxa"/>
            <w:vAlign w:val="bottom"/>
          </w:tcPr>
          <w:p>
            <w:pPr>
              <w:ind w:left="140"/>
              <w:spacing w:after="0"/>
              <w:rPr>
                <w:sz w:val="20"/>
                <w:szCs w:val="20"/>
                <w:color w:val="auto"/>
              </w:rPr>
            </w:pPr>
            <w:r>
              <w:rPr>
                <w:rFonts w:ascii="Arial" w:cs="Arial" w:eastAsia="Arial" w:hAnsi="Arial"/>
                <w:sz w:val="16"/>
                <w:szCs w:val="16"/>
                <w:color w:val="auto"/>
              </w:rPr>
              <w:t>Operating expenses</w:t>
            </w:r>
          </w:p>
        </w:tc>
        <w:tc>
          <w:tcPr>
            <w:tcW w:w="2280" w:type="dxa"/>
            <w:vAlign w:val="bottom"/>
            <w:gridSpan w:val="2"/>
          </w:tcPr>
          <w:p>
            <w:pPr>
              <w:jc w:val="right"/>
              <w:ind w:right="899"/>
              <w:spacing w:after="0"/>
              <w:rPr>
                <w:sz w:val="20"/>
                <w:szCs w:val="20"/>
                <w:color w:val="auto"/>
              </w:rPr>
            </w:pPr>
            <w:r>
              <w:rPr>
                <w:rFonts w:ascii="Arial" w:cs="Arial" w:eastAsia="Arial" w:hAnsi="Arial"/>
                <w:sz w:val="16"/>
                <w:szCs w:val="16"/>
                <w:b w:val="1"/>
                <w:bCs w:val="1"/>
                <w:color w:val="auto"/>
              </w:rPr>
              <w:t>(252)</w:t>
            </w:r>
          </w:p>
        </w:tc>
        <w:tc>
          <w:tcPr>
            <w:tcW w:w="620" w:type="dxa"/>
            <w:vAlign w:val="bottom"/>
          </w:tcPr>
          <w:p>
            <w:pPr>
              <w:jc w:val="right"/>
              <w:ind w:right="79"/>
              <w:spacing w:after="0"/>
              <w:rPr>
                <w:sz w:val="20"/>
                <w:szCs w:val="20"/>
                <w:color w:val="auto"/>
              </w:rPr>
            </w:pPr>
            <w:r>
              <w:rPr>
                <w:rFonts w:ascii="Arial" w:cs="Arial" w:eastAsia="Arial" w:hAnsi="Arial"/>
                <w:sz w:val="16"/>
                <w:szCs w:val="16"/>
                <w:color w:val="auto"/>
              </w:rPr>
              <w:t>(254)</w:t>
            </w:r>
          </w:p>
        </w:tc>
        <w:tc>
          <w:tcPr>
            <w:tcW w:w="100" w:type="dxa"/>
            <w:vAlign w:val="bottom"/>
          </w:tcPr>
          <w:p>
            <w:pPr>
              <w:spacing w:after="0"/>
              <w:rPr>
                <w:sz w:val="19"/>
                <w:szCs w:val="19"/>
                <w:color w:val="auto"/>
              </w:rPr>
            </w:pPr>
          </w:p>
        </w:tc>
        <w:tc>
          <w:tcPr>
            <w:tcW w:w="2000" w:type="dxa"/>
            <w:vAlign w:val="bottom"/>
          </w:tcPr>
          <w:p>
            <w:pPr>
              <w:jc w:val="right"/>
              <w:ind w:right="739"/>
              <w:spacing w:after="0"/>
              <w:rPr>
                <w:sz w:val="20"/>
                <w:szCs w:val="20"/>
                <w:color w:val="auto"/>
              </w:rPr>
            </w:pPr>
            <w:r>
              <w:rPr>
                <w:rFonts w:ascii="Arial" w:cs="Arial" w:eastAsia="Arial" w:hAnsi="Arial"/>
                <w:sz w:val="16"/>
                <w:szCs w:val="16"/>
                <w:b w:val="1"/>
                <w:bCs w:val="1"/>
                <w:color w:val="auto"/>
              </w:rPr>
              <w:t>(1,000)</w:t>
            </w:r>
          </w:p>
        </w:tc>
        <w:tc>
          <w:tcPr>
            <w:tcW w:w="800" w:type="dxa"/>
            <w:vAlign w:val="bottom"/>
          </w:tcPr>
          <w:p>
            <w:pPr>
              <w:jc w:val="right"/>
              <w:ind w:right="79"/>
              <w:spacing w:after="0"/>
              <w:rPr>
                <w:sz w:val="20"/>
                <w:szCs w:val="20"/>
                <w:color w:val="auto"/>
              </w:rPr>
            </w:pPr>
            <w:r>
              <w:rPr>
                <w:rFonts w:ascii="Arial" w:cs="Arial" w:eastAsia="Arial" w:hAnsi="Arial"/>
                <w:sz w:val="16"/>
                <w:szCs w:val="16"/>
                <w:color w:val="auto"/>
              </w:rPr>
              <w:t>(984)</w:t>
            </w:r>
          </w:p>
        </w:tc>
      </w:tr>
      <w:tr>
        <w:trPr>
          <w:trHeight w:val="233"/>
        </w:trPr>
        <w:tc>
          <w:tcPr>
            <w:tcW w:w="544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Depreciation and other</w:t>
            </w:r>
          </w:p>
        </w:tc>
        <w:tc>
          <w:tcPr>
            <w:tcW w:w="2280" w:type="dxa"/>
            <w:vAlign w:val="bottom"/>
            <w:tcBorders>
              <w:bottom w:val="single" w:sz="8" w:color="auto"/>
            </w:tcBorders>
            <w:gridSpan w:val="2"/>
          </w:tcPr>
          <w:p>
            <w:pPr>
              <w:jc w:val="right"/>
              <w:ind w:right="899"/>
              <w:spacing w:after="0"/>
              <w:rPr>
                <w:sz w:val="20"/>
                <w:szCs w:val="20"/>
                <w:color w:val="auto"/>
              </w:rPr>
            </w:pPr>
            <w:r>
              <w:rPr>
                <w:rFonts w:ascii="Arial" w:cs="Arial" w:eastAsia="Arial" w:hAnsi="Arial"/>
                <w:sz w:val="16"/>
                <w:szCs w:val="16"/>
                <w:b w:val="1"/>
                <w:bCs w:val="1"/>
                <w:color w:val="auto"/>
              </w:rPr>
              <w:t>(95)</w:t>
            </w:r>
          </w:p>
        </w:tc>
        <w:tc>
          <w:tcPr>
            <w:tcW w:w="6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(91)</w:t>
            </w:r>
          </w:p>
        </w:tc>
        <w:tc>
          <w:tcPr>
            <w:tcW w:w="10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tcPr>
          <w:p>
            <w:pPr>
              <w:jc w:val="right"/>
              <w:ind w:right="739"/>
              <w:spacing w:after="0"/>
              <w:rPr>
                <w:sz w:val="20"/>
                <w:szCs w:val="20"/>
                <w:color w:val="auto"/>
              </w:rPr>
            </w:pPr>
            <w:r>
              <w:rPr>
                <w:rFonts w:ascii="Arial" w:cs="Arial" w:eastAsia="Arial" w:hAnsi="Arial"/>
                <w:sz w:val="16"/>
                <w:szCs w:val="16"/>
                <w:b w:val="1"/>
                <w:bCs w:val="1"/>
                <w:color w:val="auto"/>
              </w:rPr>
              <w:t>(379)</w:t>
            </w:r>
          </w:p>
        </w:tc>
        <w:tc>
          <w:tcPr>
            <w:tcW w:w="8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(368)</w:t>
            </w:r>
          </w:p>
        </w:tc>
      </w:tr>
      <w:tr>
        <w:trPr>
          <w:trHeight w:val="227"/>
        </w:trPr>
        <w:tc>
          <w:tcPr>
            <w:tcW w:w="5440" w:type="dxa"/>
            <w:vAlign w:val="bottom"/>
            <w:tcBorders>
              <w:bottom w:val="single" w:sz="8" w:color="auto"/>
            </w:tcBorders>
          </w:tcPr>
          <w:p>
            <w:pPr>
              <w:ind w:left="20"/>
              <w:spacing w:after="0" w:line="227" w:lineRule="exact"/>
              <w:rPr>
                <w:sz w:val="20"/>
                <w:szCs w:val="20"/>
                <w:color w:val="auto"/>
              </w:rPr>
            </w:pPr>
            <w:r>
              <w:rPr>
                <w:rFonts w:ascii="Arial" w:cs="Arial" w:eastAsia="Arial" w:hAnsi="Arial"/>
                <w:sz w:val="16"/>
                <w:szCs w:val="16"/>
                <w:b w:val="1"/>
                <w:bCs w:val="1"/>
                <w:color w:val="0D64EF"/>
              </w:rPr>
              <w:t>Comparable EBITDA and comparable EBIT</w:t>
            </w:r>
            <w:r>
              <w:rPr>
                <w:rFonts w:ascii="Arial" w:cs="Arial" w:eastAsia="Arial" w:hAnsi="Arial"/>
                <w:sz w:val="21"/>
                <w:szCs w:val="21"/>
                <w:color w:val="000000"/>
                <w:vertAlign w:val="superscript"/>
              </w:rPr>
              <w:t>2</w:t>
            </w:r>
          </w:p>
        </w:tc>
        <w:tc>
          <w:tcPr>
            <w:tcW w:w="2280" w:type="dxa"/>
            <w:vAlign w:val="bottom"/>
            <w:tcBorders>
              <w:bottom w:val="single" w:sz="8" w:color="auto"/>
            </w:tcBorders>
            <w:gridSpan w:val="2"/>
          </w:tcPr>
          <w:p>
            <w:pPr>
              <w:jc w:val="right"/>
              <w:ind w:right="959"/>
              <w:spacing w:after="0"/>
              <w:rPr>
                <w:sz w:val="20"/>
                <w:szCs w:val="20"/>
                <w:color w:val="auto"/>
              </w:rPr>
            </w:pPr>
            <w:r>
              <w:rPr>
                <w:rFonts w:ascii="Arial" w:cs="Arial" w:eastAsia="Arial" w:hAnsi="Arial"/>
                <w:sz w:val="16"/>
                <w:szCs w:val="16"/>
                <w:b w:val="1"/>
                <w:bCs w:val="1"/>
                <w:color w:val="auto"/>
              </w:rPr>
              <w:t>155</w:t>
            </w:r>
          </w:p>
        </w:tc>
        <w:tc>
          <w:tcPr>
            <w:tcW w:w="6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277</w:t>
            </w:r>
          </w:p>
        </w:tc>
        <w:tc>
          <w:tcPr>
            <w:tcW w:w="10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ind w:right="779"/>
              <w:spacing w:after="0"/>
              <w:rPr>
                <w:sz w:val="20"/>
                <w:szCs w:val="20"/>
                <w:color w:val="auto"/>
              </w:rPr>
            </w:pPr>
            <w:r>
              <w:rPr>
                <w:rFonts w:ascii="Arial" w:cs="Arial" w:eastAsia="Arial" w:hAnsi="Arial"/>
                <w:sz w:val="16"/>
                <w:szCs w:val="16"/>
                <w:b w:val="1"/>
                <w:bCs w:val="1"/>
                <w:color w:val="auto"/>
              </w:rPr>
              <w:t>733</w:t>
            </w:r>
          </w:p>
        </w:tc>
        <w:tc>
          <w:tcPr>
            <w:tcW w:w="8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890</w:t>
            </w:r>
          </w:p>
        </w:tc>
      </w:tr>
      <w:tr>
        <w:trPr>
          <w:trHeight w:val="216"/>
        </w:trPr>
        <w:tc>
          <w:tcPr>
            <w:tcW w:w="5440" w:type="dxa"/>
            <w:vAlign w:val="bottom"/>
          </w:tcPr>
          <w:p>
            <w:pPr>
              <w:ind w:left="20"/>
              <w:spacing w:after="0"/>
              <w:rPr>
                <w:sz w:val="20"/>
                <w:szCs w:val="20"/>
                <w:color w:val="auto"/>
              </w:rPr>
            </w:pPr>
            <w:r>
              <w:rPr>
                <w:rFonts w:ascii="Arial" w:cs="Arial" w:eastAsia="Arial" w:hAnsi="Arial"/>
                <w:sz w:val="16"/>
                <w:szCs w:val="16"/>
                <w:b w:val="1"/>
                <w:bCs w:val="1"/>
                <w:color w:val="0D64EF"/>
              </w:rPr>
              <w:t>Bruce Power – other information</w:t>
            </w:r>
          </w:p>
        </w:tc>
        <w:tc>
          <w:tcPr>
            <w:tcW w:w="1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36"/>
        </w:trPr>
        <w:tc>
          <w:tcPr>
            <w:tcW w:w="5440" w:type="dxa"/>
            <w:vAlign w:val="bottom"/>
          </w:tcPr>
          <w:p>
            <w:pPr>
              <w:ind w:left="20"/>
              <w:spacing w:after="0" w:line="236" w:lineRule="exact"/>
              <w:rPr>
                <w:sz w:val="20"/>
                <w:szCs w:val="20"/>
                <w:color w:val="auto"/>
              </w:rPr>
            </w:pPr>
            <w:r>
              <w:rPr>
                <w:rFonts w:ascii="Arial" w:cs="Arial" w:eastAsia="Arial" w:hAnsi="Arial"/>
                <w:sz w:val="16"/>
                <w:szCs w:val="16"/>
                <w:color w:val="auto"/>
              </w:rPr>
              <w:t>Plant availability</w:t>
            </w:r>
            <w:r>
              <w:rPr>
                <w:rFonts w:ascii="Arial" w:cs="Arial" w:eastAsia="Arial" w:hAnsi="Arial"/>
                <w:sz w:val="21"/>
                <w:szCs w:val="21"/>
                <w:color w:val="auto"/>
                <w:vertAlign w:val="superscript"/>
              </w:rPr>
              <w:t>3,4</w:t>
            </w:r>
          </w:p>
        </w:tc>
        <w:tc>
          <w:tcPr>
            <w:tcW w:w="2280" w:type="dxa"/>
            <w:vAlign w:val="bottom"/>
            <w:gridSpan w:val="2"/>
          </w:tcPr>
          <w:p>
            <w:pPr>
              <w:jc w:val="right"/>
              <w:ind w:right="759"/>
              <w:spacing w:after="0"/>
              <w:rPr>
                <w:sz w:val="20"/>
                <w:szCs w:val="20"/>
                <w:color w:val="auto"/>
              </w:rPr>
            </w:pPr>
            <w:r>
              <w:rPr>
                <w:rFonts w:ascii="Arial" w:cs="Arial" w:eastAsia="Arial" w:hAnsi="Arial"/>
                <w:sz w:val="16"/>
                <w:szCs w:val="16"/>
                <w:b w:val="1"/>
                <w:bCs w:val="1"/>
                <w:color w:val="auto"/>
              </w:rPr>
              <w:t>86%</w:t>
            </w:r>
          </w:p>
        </w:tc>
        <w:tc>
          <w:tcPr>
            <w:tcW w:w="620" w:type="dxa"/>
            <w:vAlign w:val="bottom"/>
          </w:tcPr>
          <w:p>
            <w:pPr>
              <w:jc w:val="right"/>
              <w:spacing w:after="0"/>
              <w:rPr>
                <w:sz w:val="20"/>
                <w:szCs w:val="20"/>
                <w:color w:val="auto"/>
              </w:rPr>
            </w:pPr>
            <w:r>
              <w:rPr>
                <w:rFonts w:ascii="Arial" w:cs="Arial" w:eastAsia="Arial" w:hAnsi="Arial"/>
                <w:sz w:val="16"/>
                <w:szCs w:val="16"/>
                <w:color w:val="auto"/>
              </w:rPr>
              <w:t>99%</w:t>
            </w:r>
          </w:p>
        </w:tc>
        <w:tc>
          <w:tcPr>
            <w:tcW w:w="100" w:type="dxa"/>
            <w:vAlign w:val="bottom"/>
          </w:tcPr>
          <w:p>
            <w:pPr>
              <w:spacing w:after="0"/>
              <w:rPr>
                <w:sz w:val="20"/>
                <w:szCs w:val="20"/>
                <w:color w:val="auto"/>
              </w:rPr>
            </w:pPr>
          </w:p>
        </w:tc>
        <w:tc>
          <w:tcPr>
            <w:tcW w:w="2000" w:type="dxa"/>
            <w:vAlign w:val="bottom"/>
          </w:tcPr>
          <w:p>
            <w:pPr>
              <w:jc w:val="right"/>
              <w:ind w:right="599"/>
              <w:spacing w:after="0"/>
              <w:rPr>
                <w:sz w:val="20"/>
                <w:szCs w:val="20"/>
                <w:color w:val="auto"/>
              </w:rPr>
            </w:pPr>
            <w:r>
              <w:rPr>
                <w:rFonts w:ascii="Arial" w:cs="Arial" w:eastAsia="Arial" w:hAnsi="Arial"/>
                <w:sz w:val="16"/>
                <w:szCs w:val="16"/>
                <w:b w:val="1"/>
                <w:bCs w:val="1"/>
                <w:color w:val="auto"/>
              </w:rPr>
              <w:t>91%</w:t>
            </w:r>
          </w:p>
        </w:tc>
        <w:tc>
          <w:tcPr>
            <w:tcW w:w="800" w:type="dxa"/>
            <w:vAlign w:val="bottom"/>
          </w:tcPr>
          <w:p>
            <w:pPr>
              <w:jc w:val="right"/>
              <w:spacing w:after="0"/>
              <w:rPr>
                <w:sz w:val="20"/>
                <w:szCs w:val="20"/>
                <w:color w:val="auto"/>
              </w:rPr>
            </w:pPr>
            <w:r>
              <w:rPr>
                <w:rFonts w:ascii="Arial" w:cs="Arial" w:eastAsia="Arial" w:hAnsi="Arial"/>
                <w:sz w:val="16"/>
                <w:szCs w:val="16"/>
                <w:color w:val="auto"/>
              </w:rPr>
              <w:t>92%</w:t>
            </w:r>
          </w:p>
        </w:tc>
      </w:tr>
      <w:tr>
        <w:trPr>
          <w:trHeight w:val="229"/>
        </w:trPr>
        <w:tc>
          <w:tcPr>
            <w:tcW w:w="5440" w:type="dxa"/>
            <w:vAlign w:val="bottom"/>
          </w:tcPr>
          <w:p>
            <w:pPr>
              <w:ind w:left="20"/>
              <w:spacing w:after="0" w:line="230" w:lineRule="exact"/>
              <w:rPr>
                <w:sz w:val="20"/>
                <w:szCs w:val="20"/>
                <w:color w:val="auto"/>
              </w:rPr>
            </w:pPr>
            <w:r>
              <w:rPr>
                <w:rFonts w:ascii="Arial" w:cs="Arial" w:eastAsia="Arial" w:hAnsi="Arial"/>
                <w:sz w:val="16"/>
                <w:szCs w:val="16"/>
                <w:color w:val="auto"/>
              </w:rPr>
              <w:t>Planned outage days</w:t>
            </w:r>
            <w:r>
              <w:rPr>
                <w:rFonts w:ascii="Arial" w:cs="Arial" w:eastAsia="Arial" w:hAnsi="Arial"/>
                <w:sz w:val="21"/>
                <w:szCs w:val="21"/>
                <w:color w:val="auto"/>
                <w:vertAlign w:val="superscript"/>
              </w:rPr>
              <w:t>4</w:t>
            </w:r>
          </w:p>
        </w:tc>
        <w:tc>
          <w:tcPr>
            <w:tcW w:w="2280" w:type="dxa"/>
            <w:vAlign w:val="bottom"/>
            <w:gridSpan w:val="2"/>
          </w:tcPr>
          <w:p>
            <w:pPr>
              <w:jc w:val="right"/>
              <w:ind w:right="959"/>
              <w:spacing w:after="0"/>
              <w:rPr>
                <w:sz w:val="20"/>
                <w:szCs w:val="20"/>
                <w:color w:val="auto"/>
              </w:rPr>
            </w:pPr>
            <w:r>
              <w:rPr>
                <w:rFonts w:ascii="Arial" w:cs="Arial" w:eastAsia="Arial" w:hAnsi="Arial"/>
                <w:sz w:val="16"/>
                <w:szCs w:val="16"/>
                <w:b w:val="1"/>
                <w:bCs w:val="1"/>
                <w:color w:val="auto"/>
              </w:rPr>
              <w:t>76</w:t>
            </w:r>
          </w:p>
        </w:tc>
        <w:tc>
          <w:tcPr>
            <w:tcW w:w="72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2000" w:type="dxa"/>
            <w:vAlign w:val="bottom"/>
          </w:tcPr>
          <w:p>
            <w:pPr>
              <w:jc w:val="right"/>
              <w:ind w:right="779"/>
              <w:spacing w:after="0"/>
              <w:rPr>
                <w:sz w:val="20"/>
                <w:szCs w:val="20"/>
                <w:color w:val="auto"/>
              </w:rPr>
            </w:pPr>
            <w:r>
              <w:rPr>
                <w:rFonts w:ascii="Arial" w:cs="Arial" w:eastAsia="Arial" w:hAnsi="Arial"/>
                <w:sz w:val="16"/>
                <w:szCs w:val="16"/>
                <w:b w:val="1"/>
                <w:bCs w:val="1"/>
                <w:color w:val="auto"/>
              </w:rPr>
              <w:t>152</w:t>
            </w:r>
          </w:p>
        </w:tc>
        <w:tc>
          <w:tcPr>
            <w:tcW w:w="800" w:type="dxa"/>
            <w:vAlign w:val="bottom"/>
          </w:tcPr>
          <w:p>
            <w:pPr>
              <w:jc w:val="right"/>
              <w:ind w:right="119"/>
              <w:spacing w:after="0"/>
              <w:rPr>
                <w:sz w:val="20"/>
                <w:szCs w:val="20"/>
                <w:color w:val="auto"/>
              </w:rPr>
            </w:pPr>
            <w:r>
              <w:rPr>
                <w:rFonts w:ascii="Arial" w:cs="Arial" w:eastAsia="Arial" w:hAnsi="Arial"/>
                <w:sz w:val="16"/>
                <w:szCs w:val="16"/>
                <w:color w:val="auto"/>
              </w:rPr>
              <w:t>160</w:t>
            </w:r>
          </w:p>
        </w:tc>
      </w:tr>
      <w:tr>
        <w:trPr>
          <w:trHeight w:val="223"/>
        </w:trPr>
        <w:tc>
          <w:tcPr>
            <w:tcW w:w="5440" w:type="dxa"/>
            <w:vAlign w:val="bottom"/>
          </w:tcPr>
          <w:p>
            <w:pPr>
              <w:ind w:left="20"/>
              <w:spacing w:after="0"/>
              <w:rPr>
                <w:sz w:val="20"/>
                <w:szCs w:val="20"/>
                <w:color w:val="auto"/>
              </w:rPr>
            </w:pPr>
            <w:r>
              <w:rPr>
                <w:rFonts w:ascii="Arial" w:cs="Arial" w:eastAsia="Arial" w:hAnsi="Arial"/>
                <w:sz w:val="16"/>
                <w:szCs w:val="16"/>
                <w:color w:val="auto"/>
              </w:rPr>
              <w:t>Unplanned outage days</w:t>
            </w:r>
          </w:p>
        </w:tc>
        <w:tc>
          <w:tcPr>
            <w:tcW w:w="120" w:type="dxa"/>
            <w:vAlign w:val="bottom"/>
          </w:tcPr>
          <w:p>
            <w:pPr>
              <w:spacing w:after="0"/>
              <w:rPr>
                <w:sz w:val="19"/>
                <w:szCs w:val="19"/>
                <w:color w:val="auto"/>
              </w:rPr>
            </w:pPr>
          </w:p>
        </w:tc>
        <w:tc>
          <w:tcPr>
            <w:tcW w:w="2160" w:type="dxa"/>
            <w:vAlign w:val="bottom"/>
          </w:tcPr>
          <w:p>
            <w:pPr>
              <w:jc w:val="right"/>
              <w:ind w:right="959"/>
              <w:spacing w:after="0"/>
              <w:rPr>
                <w:sz w:val="20"/>
                <w:szCs w:val="20"/>
                <w:color w:val="auto"/>
              </w:rPr>
            </w:pPr>
            <w:r>
              <w:rPr>
                <w:rFonts w:ascii="Arial" w:cs="Arial" w:eastAsia="Arial" w:hAnsi="Arial"/>
                <w:sz w:val="16"/>
                <w:szCs w:val="16"/>
                <w:b w:val="1"/>
                <w:bCs w:val="1"/>
                <w:color w:val="auto"/>
              </w:rPr>
              <w:t>—</w:t>
            </w:r>
          </w:p>
        </w:tc>
        <w:tc>
          <w:tcPr>
            <w:tcW w:w="620" w:type="dxa"/>
            <w:vAlign w:val="bottom"/>
          </w:tcPr>
          <w:p>
            <w:pPr>
              <w:jc w:val="right"/>
              <w:ind w:right="119"/>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9"/>
                <w:szCs w:val="19"/>
                <w:color w:val="auto"/>
              </w:rPr>
            </w:pPr>
          </w:p>
        </w:tc>
        <w:tc>
          <w:tcPr>
            <w:tcW w:w="2000" w:type="dxa"/>
            <w:vAlign w:val="bottom"/>
          </w:tcPr>
          <w:p>
            <w:pPr>
              <w:jc w:val="right"/>
              <w:ind w:right="779"/>
              <w:spacing w:after="0"/>
              <w:rPr>
                <w:sz w:val="20"/>
                <w:szCs w:val="20"/>
                <w:color w:val="auto"/>
              </w:rPr>
            </w:pPr>
            <w:r>
              <w:rPr>
                <w:rFonts w:ascii="Arial" w:cs="Arial" w:eastAsia="Arial" w:hAnsi="Arial"/>
                <w:sz w:val="16"/>
                <w:szCs w:val="16"/>
                <w:b w:val="1"/>
                <w:bCs w:val="1"/>
                <w:color w:val="auto"/>
              </w:rPr>
              <w:t>44</w:t>
            </w:r>
          </w:p>
        </w:tc>
        <w:tc>
          <w:tcPr>
            <w:tcW w:w="800" w:type="dxa"/>
            <w:vAlign w:val="bottom"/>
          </w:tcPr>
          <w:p>
            <w:pPr>
              <w:jc w:val="right"/>
              <w:ind w:right="119"/>
              <w:spacing w:after="0"/>
              <w:rPr>
                <w:sz w:val="20"/>
                <w:szCs w:val="20"/>
                <w:color w:val="auto"/>
              </w:rPr>
            </w:pPr>
            <w:r>
              <w:rPr>
                <w:rFonts w:ascii="Arial" w:cs="Arial" w:eastAsia="Arial" w:hAnsi="Arial"/>
                <w:sz w:val="16"/>
                <w:szCs w:val="16"/>
                <w:color w:val="auto"/>
              </w:rPr>
              <w:t>32</w:t>
            </w:r>
          </w:p>
        </w:tc>
      </w:tr>
      <w:tr>
        <w:trPr>
          <w:trHeight w:val="236"/>
        </w:trPr>
        <w:tc>
          <w:tcPr>
            <w:tcW w:w="5440" w:type="dxa"/>
            <w:vAlign w:val="bottom"/>
          </w:tcPr>
          <w:p>
            <w:pPr>
              <w:ind w:left="20"/>
              <w:spacing w:after="0" w:line="236" w:lineRule="exact"/>
              <w:rPr>
                <w:sz w:val="20"/>
                <w:szCs w:val="20"/>
                <w:color w:val="auto"/>
              </w:rPr>
            </w:pPr>
            <w:r>
              <w:rPr>
                <w:rFonts w:ascii="Arial" w:cs="Arial" w:eastAsia="Arial" w:hAnsi="Arial"/>
                <w:sz w:val="16"/>
                <w:szCs w:val="16"/>
                <w:color w:val="auto"/>
              </w:rPr>
              <w:t>Sales volumes (GWh)</w:t>
            </w:r>
            <w:r>
              <w:rPr>
                <w:rFonts w:ascii="Arial" w:cs="Arial" w:eastAsia="Arial" w:hAnsi="Arial"/>
                <w:sz w:val="21"/>
                <w:szCs w:val="21"/>
                <w:color w:val="auto"/>
                <w:vertAlign w:val="superscript"/>
              </w:rPr>
              <w:t>5</w:t>
            </w:r>
          </w:p>
        </w:tc>
        <w:tc>
          <w:tcPr>
            <w:tcW w:w="2280" w:type="dxa"/>
            <w:vAlign w:val="bottom"/>
            <w:gridSpan w:val="2"/>
          </w:tcPr>
          <w:p>
            <w:pPr>
              <w:jc w:val="right"/>
              <w:ind w:right="959"/>
              <w:spacing w:after="0"/>
              <w:rPr>
                <w:sz w:val="20"/>
                <w:szCs w:val="20"/>
                <w:color w:val="auto"/>
              </w:rPr>
            </w:pPr>
            <w:r>
              <w:rPr>
                <w:rFonts w:ascii="Arial" w:cs="Arial" w:eastAsia="Arial" w:hAnsi="Arial"/>
                <w:sz w:val="16"/>
                <w:szCs w:val="16"/>
                <w:b w:val="1"/>
                <w:bCs w:val="1"/>
                <w:color w:val="auto"/>
              </w:rPr>
              <w:t>4,500</w:t>
            </w:r>
          </w:p>
        </w:tc>
        <w:tc>
          <w:tcPr>
            <w:tcW w:w="620" w:type="dxa"/>
            <w:vAlign w:val="bottom"/>
          </w:tcPr>
          <w:p>
            <w:pPr>
              <w:jc w:val="right"/>
              <w:ind w:right="119"/>
              <w:spacing w:after="0"/>
              <w:rPr>
                <w:sz w:val="20"/>
                <w:szCs w:val="20"/>
                <w:color w:val="auto"/>
              </w:rPr>
            </w:pPr>
            <w:r>
              <w:rPr>
                <w:rFonts w:ascii="Arial" w:cs="Arial" w:eastAsia="Arial" w:hAnsi="Arial"/>
                <w:sz w:val="16"/>
                <w:szCs w:val="16"/>
                <w:color w:val="auto"/>
                <w:w w:val="99"/>
              </w:rPr>
              <w:t>6,057</w:t>
            </w:r>
          </w:p>
        </w:tc>
        <w:tc>
          <w:tcPr>
            <w:tcW w:w="100" w:type="dxa"/>
            <w:vAlign w:val="bottom"/>
          </w:tcPr>
          <w:p>
            <w:pPr>
              <w:spacing w:after="0"/>
              <w:rPr>
                <w:sz w:val="20"/>
                <w:szCs w:val="20"/>
                <w:color w:val="auto"/>
              </w:rPr>
            </w:pPr>
          </w:p>
        </w:tc>
        <w:tc>
          <w:tcPr>
            <w:tcW w:w="2000" w:type="dxa"/>
            <w:vAlign w:val="bottom"/>
          </w:tcPr>
          <w:p>
            <w:pPr>
              <w:jc w:val="right"/>
              <w:ind w:right="779"/>
              <w:spacing w:after="0"/>
              <w:rPr>
                <w:sz w:val="20"/>
                <w:szCs w:val="20"/>
                <w:color w:val="auto"/>
              </w:rPr>
            </w:pPr>
            <w:r>
              <w:rPr>
                <w:rFonts w:ascii="Arial" w:cs="Arial" w:eastAsia="Arial" w:hAnsi="Arial"/>
                <w:sz w:val="16"/>
                <w:szCs w:val="16"/>
                <w:b w:val="1"/>
                <w:bCs w:val="1"/>
                <w:color w:val="auto"/>
              </w:rPr>
              <w:t>19,126</w:t>
            </w:r>
          </w:p>
        </w:tc>
        <w:tc>
          <w:tcPr>
            <w:tcW w:w="800" w:type="dxa"/>
            <w:vAlign w:val="bottom"/>
          </w:tcPr>
          <w:p>
            <w:pPr>
              <w:jc w:val="right"/>
              <w:ind w:right="119"/>
              <w:spacing w:after="0"/>
              <w:rPr>
                <w:sz w:val="20"/>
                <w:szCs w:val="20"/>
                <w:color w:val="auto"/>
              </w:rPr>
            </w:pPr>
            <w:r>
              <w:rPr>
                <w:rFonts w:ascii="Arial" w:cs="Arial" w:eastAsia="Arial" w:hAnsi="Arial"/>
                <w:sz w:val="16"/>
                <w:szCs w:val="16"/>
                <w:color w:val="auto"/>
              </w:rPr>
              <w:t>22,209</w:t>
            </w:r>
          </w:p>
        </w:tc>
      </w:tr>
      <w:tr>
        <w:trPr>
          <w:trHeight w:val="230"/>
        </w:trPr>
        <w:tc>
          <w:tcPr>
            <w:tcW w:w="5440" w:type="dxa"/>
            <w:vAlign w:val="bottom"/>
            <w:tcBorders>
              <w:bottom w:val="single" w:sz="8" w:color="auto"/>
            </w:tcBorders>
          </w:tcPr>
          <w:p>
            <w:pPr>
              <w:ind w:left="20"/>
              <w:spacing w:after="0" w:line="230" w:lineRule="exact"/>
              <w:rPr>
                <w:sz w:val="20"/>
                <w:szCs w:val="20"/>
                <w:color w:val="auto"/>
              </w:rPr>
            </w:pPr>
            <w:r>
              <w:rPr>
                <w:rFonts w:ascii="Arial" w:cs="Arial" w:eastAsia="Arial" w:hAnsi="Arial"/>
                <w:sz w:val="16"/>
                <w:szCs w:val="16"/>
                <w:color w:val="auto"/>
              </w:rPr>
              <w:t>Realized power price per MWh</w:t>
            </w:r>
            <w:r>
              <w:rPr>
                <w:rFonts w:ascii="Arial" w:cs="Arial" w:eastAsia="Arial" w:hAnsi="Arial"/>
                <w:sz w:val="21"/>
                <w:szCs w:val="21"/>
                <w:color w:val="auto"/>
                <w:vertAlign w:val="superscript"/>
              </w:rPr>
              <w:t>6</w:t>
            </w:r>
          </w:p>
        </w:tc>
        <w:tc>
          <w:tcPr>
            <w:tcW w:w="2280" w:type="dxa"/>
            <w:vAlign w:val="bottom"/>
            <w:tcBorders>
              <w:bottom w:val="single" w:sz="8" w:color="auto"/>
            </w:tcBorders>
            <w:gridSpan w:val="2"/>
          </w:tcPr>
          <w:p>
            <w:pPr>
              <w:jc w:val="right"/>
              <w:ind w:right="959"/>
              <w:spacing w:after="0"/>
              <w:rPr>
                <w:sz w:val="20"/>
                <w:szCs w:val="20"/>
                <w:color w:val="auto"/>
              </w:rPr>
            </w:pPr>
            <w:r>
              <w:rPr>
                <w:rFonts w:ascii="Arial" w:cs="Arial" w:eastAsia="Arial" w:hAnsi="Arial"/>
                <w:sz w:val="16"/>
                <w:szCs w:val="16"/>
                <w:b w:val="1"/>
                <w:bCs w:val="1"/>
                <w:color w:val="auto"/>
              </w:rPr>
              <w:t>$111</w:t>
            </w:r>
          </w:p>
        </w:tc>
        <w:tc>
          <w:tcPr>
            <w:tcW w:w="6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$102</w:t>
            </w:r>
          </w:p>
        </w:tc>
        <w:tc>
          <w:tcPr>
            <w:tcW w:w="10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tcPr>
          <w:p>
            <w:pPr>
              <w:jc w:val="right"/>
              <w:ind w:right="779"/>
              <w:spacing w:after="0"/>
              <w:rPr>
                <w:sz w:val="20"/>
                <w:szCs w:val="20"/>
                <w:color w:val="auto"/>
              </w:rPr>
            </w:pPr>
            <w:r>
              <w:rPr>
                <w:rFonts w:ascii="Arial" w:cs="Arial" w:eastAsia="Arial" w:hAnsi="Arial"/>
                <w:sz w:val="16"/>
                <w:szCs w:val="16"/>
                <w:b w:val="1"/>
                <w:bCs w:val="1"/>
                <w:color w:val="auto"/>
              </w:rPr>
              <w:t>$109</w:t>
            </w:r>
          </w:p>
        </w:tc>
        <w:tc>
          <w:tcPr>
            <w:tcW w:w="8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$100</w:t>
            </w:r>
          </w:p>
        </w:tc>
      </w:tr>
    </w:tbl>
    <w:p>
      <w:pPr>
        <w:spacing w:after="0" w:line="193" w:lineRule="exact"/>
        <w:rPr>
          <w:sz w:val="20"/>
          <w:szCs w:val="20"/>
          <w:color w:val="auto"/>
        </w:rPr>
      </w:pPr>
    </w:p>
    <w:p>
      <w:pPr>
        <w:ind w:left="340" w:hanging="332"/>
        <w:spacing w:after="0"/>
        <w:tabs>
          <w:tab w:leader="none" w:pos="340" w:val="left"/>
        </w:tabs>
        <w:numPr>
          <w:ilvl w:val="0"/>
          <w:numId w:val="48"/>
        </w:numPr>
        <w:rPr>
          <w:rFonts w:ascii="Arial" w:cs="Arial" w:eastAsia="Arial" w:hAnsi="Arial"/>
          <w:sz w:val="14"/>
          <w:szCs w:val="14"/>
          <w:color w:val="auto"/>
        </w:rPr>
      </w:pPr>
      <w:r>
        <w:rPr>
          <w:rFonts w:ascii="Arial" w:cs="Arial" w:eastAsia="Arial" w:hAnsi="Arial"/>
          <w:sz w:val="14"/>
          <w:szCs w:val="14"/>
          <w:color w:val="auto"/>
        </w:rPr>
        <w:t>Net of amounts recorded to reflect operating cost efficiencies shared with the IESO, if applicable.</w:t>
      </w:r>
    </w:p>
    <w:p>
      <w:pPr>
        <w:spacing w:after="0" w:line="42" w:lineRule="exact"/>
        <w:rPr>
          <w:sz w:val="20"/>
          <w:szCs w:val="20"/>
          <w:color w:val="auto"/>
        </w:rPr>
      </w:pPr>
    </w:p>
    <w:p>
      <w:pPr>
        <w:ind w:left="340" w:right="120" w:hanging="332"/>
        <w:spacing w:after="0" w:line="311" w:lineRule="auto"/>
        <w:tabs>
          <w:tab w:leader="none" w:pos="339" w:val="left"/>
        </w:tabs>
        <w:numPr>
          <w:ilvl w:val="0"/>
          <w:numId w:val="49"/>
        </w:numPr>
        <w:rPr>
          <w:rFonts w:ascii="Arial" w:cs="Arial" w:eastAsia="Arial" w:hAnsi="Arial"/>
          <w:sz w:val="14"/>
          <w:szCs w:val="14"/>
          <w:color w:val="auto"/>
        </w:rPr>
      </w:pPr>
      <w:r>
        <w:rPr>
          <w:rFonts w:ascii="Arial" w:cs="Arial" w:eastAsia="Arial" w:hAnsi="Arial"/>
          <w:sz w:val="14"/>
          <w:szCs w:val="14"/>
          <w:color w:val="auto"/>
        </w:rPr>
        <w:t>Represents our 48.3 per cent ownership interest and internal costs supporting our investment in Bruce Power. Excludes unrealized gains and losses on funds invested for post-retirement benefits and risk management activities.</w:t>
      </w:r>
    </w:p>
    <w:p>
      <w:pPr>
        <w:spacing w:after="0" w:line="1" w:lineRule="exact"/>
        <w:rPr>
          <w:sz w:val="20"/>
          <w:szCs w:val="20"/>
          <w:color w:val="auto"/>
        </w:rPr>
      </w:pPr>
    </w:p>
    <w:p>
      <w:pPr>
        <w:ind w:left="340" w:hanging="332"/>
        <w:spacing w:after="0"/>
        <w:tabs>
          <w:tab w:leader="none" w:pos="340" w:val="left"/>
        </w:tabs>
        <w:numPr>
          <w:ilvl w:val="0"/>
          <w:numId w:val="50"/>
        </w:numPr>
        <w:rPr>
          <w:rFonts w:ascii="Arial" w:cs="Arial" w:eastAsia="Arial" w:hAnsi="Arial"/>
          <w:sz w:val="14"/>
          <w:szCs w:val="14"/>
          <w:color w:val="auto"/>
        </w:rPr>
      </w:pPr>
      <w:r>
        <w:rPr>
          <w:rFonts w:ascii="Arial" w:cs="Arial" w:eastAsia="Arial" w:hAnsi="Arial"/>
          <w:sz w:val="14"/>
          <w:szCs w:val="14"/>
          <w:color w:val="auto"/>
        </w:rPr>
        <w:t>The percentage of time the plant was available to generate power, regardless of whether it was running.</w:t>
      </w:r>
    </w:p>
    <w:p>
      <w:pPr>
        <w:spacing w:after="0" w:line="41"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4"/>
          <w:szCs w:val="14"/>
          <w:color w:val="auto"/>
        </w:rPr>
        <w:t>4   Excludes MCR outage days.</w:t>
      </w:r>
    </w:p>
    <w:p>
      <w:pPr>
        <w:spacing w:after="0" w:line="55"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4"/>
          <w:szCs w:val="14"/>
          <w:color w:val="auto"/>
        </w:rPr>
        <w:t>5   Sales volumes include deemed generation, if applicable.</w:t>
      </w:r>
    </w:p>
    <w:p>
      <w:pPr>
        <w:spacing w:after="0" w:line="41" w:lineRule="exact"/>
        <w:rPr>
          <w:rFonts w:ascii="Arial" w:cs="Arial" w:eastAsia="Arial" w:hAnsi="Arial"/>
          <w:sz w:val="14"/>
          <w:szCs w:val="14"/>
          <w:color w:val="auto"/>
        </w:rPr>
      </w:pPr>
    </w:p>
    <w:p>
      <w:pPr>
        <w:ind w:left="340" w:right="240" w:hanging="324"/>
        <w:spacing w:after="0" w:line="365" w:lineRule="auto"/>
        <w:rPr>
          <w:rFonts w:ascii="Arial" w:cs="Arial" w:eastAsia="Arial" w:hAnsi="Arial"/>
          <w:sz w:val="14"/>
          <w:szCs w:val="14"/>
          <w:color w:val="auto"/>
        </w:rPr>
      </w:pPr>
      <w:r>
        <w:rPr>
          <w:rFonts w:ascii="Arial" w:cs="Arial" w:eastAsia="Arial" w:hAnsi="Arial"/>
          <w:sz w:val="14"/>
          <w:szCs w:val="14"/>
          <w:color w:val="auto"/>
        </w:rPr>
        <w:t>6 Calculation based on actual and deemed generation. Realized power price per MWh includes realized gains and losses from contracting activities and cost flow-through items. Excludes unrealized gains and losses on contracting activities and non-electricity revenues.</w:t>
      </w:r>
    </w:p>
    <w:p>
      <w:pPr>
        <w:spacing w:after="0" w:line="27" w:lineRule="exact"/>
        <w:rPr>
          <w:sz w:val="20"/>
          <w:szCs w:val="20"/>
          <w:color w:val="auto"/>
        </w:rPr>
      </w:pPr>
    </w:p>
    <w:p>
      <w:pPr>
        <w:ind w:right="400"/>
        <w:spacing w:after="0" w:line="334" w:lineRule="auto"/>
        <w:rPr>
          <w:sz w:val="20"/>
          <w:szCs w:val="20"/>
          <w:color w:val="auto"/>
        </w:rPr>
      </w:pPr>
      <w:r>
        <w:rPr>
          <w:rFonts w:ascii="Arial" w:cs="Arial" w:eastAsia="Arial" w:hAnsi="Arial"/>
          <w:sz w:val="18"/>
          <w:szCs w:val="18"/>
          <w:color w:val="auto"/>
        </w:rPr>
        <w:t>Planned maintenance in 2025 was completed on Unit 5 in first quarter and on Unit 2 in fourth quarter. Planned maintenance in 2024 was completed in second quarter on Units 5 to 8.</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On January 31, 2025, Unit 4 was removed from service to commence its MCR program, with a return to service expected in 2028.</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22 | TC Energy </w:t>
      </w:r>
      <w:r>
        <w:rPr>
          <w:rFonts w:ascii="Arial" w:cs="Arial" w:eastAsia="Arial" w:hAnsi="Arial"/>
          <w:sz w:val="18"/>
          <w:szCs w:val="18"/>
          <w:b w:val="1"/>
          <w:bCs w:val="1"/>
          <w:color w:val="0D64EF"/>
        </w:rPr>
        <w:t>Fourth Quarter</w:t>
      </w:r>
      <w:r>
        <w:rPr>
          <w:rFonts w:ascii="Arial" w:cs="Arial" w:eastAsia="Arial" w:hAnsi="Arial"/>
          <w:sz w:val="18"/>
          <w:szCs w:val="18"/>
          <w:color w:val="auto"/>
        </w:rPr>
        <w:t xml:space="preserve"> News Release 2025</w:t>
      </w:r>
    </w:p>
    <w:p>
      <w:pPr>
        <w:sectPr>
          <w:pgSz w:w="11900" w:h="16838" w:orient="portrait"/>
          <w:cols w:equalWidth="0" w:num="1">
            <w:col w:w="11240"/>
          </w:cols>
          <w:pgMar w:left="320" w:top="1304" w:right="339" w:bottom="1440" w:gutter="0" w:footer="0" w:header="0"/>
        </w:sectPr>
      </w:pPr>
    </w:p>
    <w:bookmarkStart w:id="35" w:name="page36"/>
    <w:bookmarkEnd w:id="35"/>
    <w:p>
      <w:pPr>
        <w:spacing w:after="0"/>
        <w:rPr>
          <w:sz w:val="20"/>
          <w:szCs w:val="20"/>
          <w:color w:val="auto"/>
        </w:rPr>
      </w:pPr>
      <w:r>
        <w:rPr>
          <w:rFonts w:ascii="Arial" w:cs="Arial" w:eastAsia="Arial" w:hAnsi="Arial"/>
          <w:sz w:val="25"/>
          <w:szCs w:val="25"/>
          <w:color w:val="0D64EF"/>
        </w:rPr>
        <w:t>Corporate</w:t>
      </w:r>
    </w:p>
    <w:p>
      <w:pPr>
        <w:spacing w:after="0" w:line="148" w:lineRule="exact"/>
        <w:rPr>
          <w:sz w:val="20"/>
          <w:szCs w:val="20"/>
          <w:color w:val="auto"/>
        </w:rPr>
      </w:pPr>
    </w:p>
    <w:p>
      <w:pPr>
        <w:ind w:right="180"/>
        <w:spacing w:after="0" w:line="350" w:lineRule="auto"/>
        <w:rPr>
          <w:sz w:val="20"/>
          <w:szCs w:val="20"/>
          <w:color w:val="auto"/>
        </w:rPr>
      </w:pPr>
      <w:r>
        <w:rPr>
          <w:rFonts w:ascii="Arial" w:cs="Arial" w:eastAsia="Arial" w:hAnsi="Arial"/>
          <w:sz w:val="18"/>
          <w:szCs w:val="18"/>
          <w:color w:val="auto"/>
        </w:rPr>
        <w:t>The following is a reconciliation of comparable EBITDA and comparable EBIT (our non-GAAP measures) to segmented earnings (losses) (the most directly comparable GAAP measure).</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560" w:type="dxa"/>
            <w:vAlign w:val="bottom"/>
            <w:tcBorders>
              <w:top w:val="single" w:sz="8" w:color="0D64EF"/>
            </w:tcBorders>
            <w:shd w:val="clear" w:color="auto" w:fill="D1D0CF"/>
          </w:tcPr>
          <w:p>
            <w:pPr>
              <w:spacing w:after="0"/>
              <w:rPr>
                <w:sz w:val="16"/>
                <w:szCs w:val="16"/>
                <w:color w:val="auto"/>
              </w:rPr>
            </w:pPr>
          </w:p>
        </w:tc>
        <w:tc>
          <w:tcPr>
            <w:tcW w:w="120" w:type="dxa"/>
            <w:vAlign w:val="bottom"/>
            <w:tcBorders>
              <w:top w:val="single" w:sz="8" w:color="0D64EF"/>
            </w:tcBorders>
            <w:shd w:val="clear" w:color="auto" w:fill="D1D0CF"/>
          </w:tcPr>
          <w:p>
            <w:pPr>
              <w:spacing w:after="0"/>
              <w:rPr>
                <w:sz w:val="16"/>
                <w:szCs w:val="16"/>
                <w:color w:val="auto"/>
              </w:rPr>
            </w:pPr>
          </w:p>
        </w:tc>
        <w:tc>
          <w:tcPr>
            <w:tcW w:w="2240" w:type="dxa"/>
            <w:vAlign w:val="bottom"/>
            <w:tcBorders>
              <w:top w:val="single" w:sz="8" w:color="0D64EF"/>
            </w:tcBorders>
            <w:shd w:val="clear" w:color="auto" w:fill="D1D0CF"/>
          </w:tcPr>
          <w:p>
            <w:pPr>
              <w:jc w:val="right"/>
              <w:ind w:right="19"/>
              <w:spacing w:after="0"/>
              <w:rPr>
                <w:sz w:val="20"/>
                <w:szCs w:val="20"/>
                <w:color w:val="auto"/>
              </w:rPr>
            </w:pPr>
            <w:r>
              <w:rPr>
                <w:rFonts w:ascii="Arial" w:cs="Arial" w:eastAsia="Arial" w:hAnsi="Arial"/>
                <w:sz w:val="16"/>
                <w:szCs w:val="16"/>
                <w:b w:val="1"/>
                <w:bCs w:val="1"/>
                <w:color w:val="auto"/>
              </w:rPr>
              <w:t>three months ended</w:t>
            </w:r>
          </w:p>
        </w:tc>
        <w:tc>
          <w:tcPr>
            <w:tcW w:w="480" w:type="dxa"/>
            <w:vAlign w:val="bottom"/>
            <w:tcBorders>
              <w:top w:val="single" w:sz="8" w:color="0D64EF"/>
            </w:tcBorders>
            <w:shd w:val="clear" w:color="auto" w:fill="D1D0CF"/>
          </w:tcPr>
          <w:p>
            <w:pPr>
              <w:spacing w:after="0"/>
              <w:rPr>
                <w:sz w:val="16"/>
                <w:szCs w:val="16"/>
                <w:color w:val="auto"/>
              </w:rPr>
            </w:pPr>
          </w:p>
        </w:tc>
        <w:tc>
          <w:tcPr>
            <w:tcW w:w="120" w:type="dxa"/>
            <w:vAlign w:val="bottom"/>
            <w:tcBorders>
              <w:top w:val="single" w:sz="8" w:color="0D64EF"/>
            </w:tcBorders>
            <w:shd w:val="clear" w:color="auto" w:fill="D1D0CF"/>
          </w:tcPr>
          <w:p>
            <w:pPr>
              <w:spacing w:after="0"/>
              <w:rPr>
                <w:sz w:val="16"/>
                <w:szCs w:val="16"/>
                <w:color w:val="auto"/>
              </w:rPr>
            </w:pPr>
          </w:p>
        </w:tc>
        <w:tc>
          <w:tcPr>
            <w:tcW w:w="2080" w:type="dxa"/>
            <w:vAlign w:val="bottom"/>
            <w:tcBorders>
              <w:top w:val="single" w:sz="8" w:color="0D64EF"/>
            </w:tcBorders>
            <w:shd w:val="clear" w:color="auto" w:fill="D1D0CF"/>
          </w:tcPr>
          <w:p>
            <w:pPr>
              <w:ind w:left="900"/>
              <w:spacing w:after="0"/>
              <w:rPr>
                <w:sz w:val="20"/>
                <w:szCs w:val="20"/>
                <w:color w:val="auto"/>
              </w:rPr>
            </w:pPr>
            <w:r>
              <w:rPr>
                <w:rFonts w:ascii="Arial" w:cs="Arial" w:eastAsia="Arial" w:hAnsi="Arial"/>
                <w:sz w:val="16"/>
                <w:szCs w:val="16"/>
                <w:b w:val="1"/>
                <w:bCs w:val="1"/>
                <w:color w:val="auto"/>
              </w:rPr>
              <w:t>year ended</w:t>
            </w:r>
          </w:p>
        </w:tc>
        <w:tc>
          <w:tcPr>
            <w:tcW w:w="640" w:type="dxa"/>
            <w:vAlign w:val="bottom"/>
            <w:tcBorders>
              <w:top w:val="single" w:sz="8" w:color="0D64EF"/>
            </w:tcBorders>
            <w:shd w:val="clear" w:color="auto" w:fill="D1D0CF"/>
          </w:tcPr>
          <w:p>
            <w:pPr>
              <w:spacing w:after="0"/>
              <w:rPr>
                <w:sz w:val="16"/>
                <w:szCs w:val="16"/>
                <w:color w:val="auto"/>
              </w:rPr>
            </w:pPr>
          </w:p>
        </w:tc>
      </w:tr>
      <w:tr>
        <w:trPr>
          <w:trHeight w:val="224"/>
        </w:trPr>
        <w:tc>
          <w:tcPr>
            <w:tcW w:w="5560" w:type="dxa"/>
            <w:vAlign w:val="bottom"/>
            <w:tcBorders>
              <w:bottom w:val="single" w:sz="8" w:color="D1D0CF"/>
            </w:tcBorders>
            <w:shd w:val="clear" w:color="auto" w:fill="D1D0CF"/>
          </w:tcPr>
          <w:p>
            <w:pPr>
              <w:spacing w:after="0"/>
              <w:rPr>
                <w:sz w:val="19"/>
                <w:szCs w:val="19"/>
                <w:color w:val="auto"/>
              </w:rPr>
            </w:pPr>
          </w:p>
        </w:tc>
        <w:tc>
          <w:tcPr>
            <w:tcW w:w="120" w:type="dxa"/>
            <w:vAlign w:val="bottom"/>
            <w:tcBorders>
              <w:bottom w:val="single" w:sz="8" w:color="D1D0CF"/>
            </w:tcBorders>
            <w:shd w:val="clear" w:color="auto" w:fill="D1D0CF"/>
          </w:tcPr>
          <w:p>
            <w:pPr>
              <w:spacing w:after="0"/>
              <w:rPr>
                <w:sz w:val="19"/>
                <w:szCs w:val="19"/>
                <w:color w:val="auto"/>
              </w:rPr>
            </w:pPr>
          </w:p>
        </w:tc>
        <w:tc>
          <w:tcPr>
            <w:tcW w:w="2240" w:type="dxa"/>
            <w:vAlign w:val="bottom"/>
            <w:tcBorders>
              <w:bottom w:val="single" w:sz="8" w:color="0D64EF"/>
            </w:tcBorders>
            <w:shd w:val="clear" w:color="auto" w:fill="D1D0CF"/>
          </w:tcPr>
          <w:p>
            <w:pPr>
              <w:jc w:val="right"/>
              <w:ind w:right="299"/>
              <w:spacing w:after="0"/>
              <w:rPr>
                <w:sz w:val="20"/>
                <w:szCs w:val="20"/>
                <w:color w:val="auto"/>
              </w:rPr>
            </w:pPr>
            <w:r>
              <w:rPr>
                <w:rFonts w:ascii="Arial" w:cs="Arial" w:eastAsia="Arial" w:hAnsi="Arial"/>
                <w:sz w:val="16"/>
                <w:szCs w:val="16"/>
                <w:b w:val="1"/>
                <w:bCs w:val="1"/>
                <w:color w:val="auto"/>
              </w:rPr>
              <w:t>December 31</w:t>
            </w:r>
          </w:p>
        </w:tc>
        <w:tc>
          <w:tcPr>
            <w:tcW w:w="480" w:type="dxa"/>
            <w:vAlign w:val="bottom"/>
            <w:tcBorders>
              <w:bottom w:val="single" w:sz="8" w:color="0D64EF"/>
            </w:tcBorders>
            <w:shd w:val="clear" w:color="auto" w:fill="D1D0CF"/>
          </w:tcPr>
          <w:p>
            <w:pPr>
              <w:spacing w:after="0"/>
              <w:rPr>
                <w:sz w:val="19"/>
                <w:szCs w:val="19"/>
                <w:color w:val="auto"/>
              </w:rPr>
            </w:pPr>
          </w:p>
        </w:tc>
        <w:tc>
          <w:tcPr>
            <w:tcW w:w="120" w:type="dxa"/>
            <w:vAlign w:val="bottom"/>
            <w:tcBorders>
              <w:bottom w:val="single" w:sz="8" w:color="D1D0CF"/>
            </w:tcBorders>
            <w:shd w:val="clear" w:color="auto" w:fill="D1D0CF"/>
          </w:tcPr>
          <w:p>
            <w:pPr>
              <w:spacing w:after="0"/>
              <w:rPr>
                <w:sz w:val="19"/>
                <w:szCs w:val="19"/>
                <w:color w:val="auto"/>
              </w:rPr>
            </w:pPr>
          </w:p>
        </w:tc>
        <w:tc>
          <w:tcPr>
            <w:tcW w:w="2080" w:type="dxa"/>
            <w:vAlign w:val="bottom"/>
            <w:tcBorders>
              <w:bottom w:val="single" w:sz="8" w:color="0D64EF"/>
            </w:tcBorders>
            <w:shd w:val="clear" w:color="auto" w:fill="D1D0CF"/>
          </w:tcPr>
          <w:p>
            <w:pPr>
              <w:ind w:left="860"/>
              <w:spacing w:after="0"/>
              <w:rPr>
                <w:sz w:val="20"/>
                <w:szCs w:val="20"/>
                <w:color w:val="auto"/>
              </w:rPr>
            </w:pPr>
            <w:r>
              <w:rPr>
                <w:rFonts w:ascii="Arial" w:cs="Arial" w:eastAsia="Arial" w:hAnsi="Arial"/>
                <w:sz w:val="16"/>
                <w:szCs w:val="16"/>
                <w:b w:val="1"/>
                <w:bCs w:val="1"/>
                <w:color w:val="auto"/>
              </w:rPr>
              <w:t>December 31</w:t>
            </w:r>
          </w:p>
        </w:tc>
        <w:tc>
          <w:tcPr>
            <w:tcW w:w="640" w:type="dxa"/>
            <w:vAlign w:val="bottom"/>
            <w:tcBorders>
              <w:bottom w:val="single" w:sz="8" w:color="0D64EF"/>
            </w:tcBorders>
            <w:shd w:val="clear" w:color="auto" w:fill="D1D0CF"/>
          </w:tcPr>
          <w:p>
            <w:pPr>
              <w:spacing w:after="0"/>
              <w:rPr>
                <w:sz w:val="19"/>
                <w:szCs w:val="19"/>
                <w:color w:val="auto"/>
              </w:rPr>
            </w:pPr>
          </w:p>
        </w:tc>
      </w:tr>
      <w:tr>
        <w:trPr>
          <w:trHeight w:val="226"/>
        </w:trPr>
        <w:tc>
          <w:tcPr>
            <w:tcW w:w="5560" w:type="dxa"/>
            <w:vAlign w:val="bottom"/>
            <w:tcBorders>
              <w:bottom w:val="single" w:sz="8" w:color="0D64EF"/>
            </w:tcBorders>
            <w:shd w:val="clear" w:color="auto" w:fill="D1D0CF"/>
          </w:tcPr>
          <w:p>
            <w:pPr>
              <w:ind w:left="20"/>
              <w:spacing w:after="0"/>
              <w:rPr>
                <w:sz w:val="20"/>
                <w:szCs w:val="20"/>
                <w:color w:val="auto"/>
              </w:rPr>
            </w:pPr>
            <w:r>
              <w:rPr>
                <w:rFonts w:ascii="Arial" w:cs="Arial" w:eastAsia="Arial" w:hAnsi="Arial"/>
                <w:sz w:val="16"/>
                <w:szCs w:val="16"/>
                <w:color w:val="auto"/>
              </w:rPr>
              <w:t>(millions of $)</w:t>
            </w:r>
          </w:p>
        </w:tc>
        <w:tc>
          <w:tcPr>
            <w:tcW w:w="120" w:type="dxa"/>
            <w:vAlign w:val="bottom"/>
            <w:tcBorders>
              <w:bottom w:val="single" w:sz="8" w:color="0D64EF"/>
            </w:tcBorders>
            <w:shd w:val="clear" w:color="auto" w:fill="D1D0CF"/>
          </w:tcPr>
          <w:p>
            <w:pPr>
              <w:spacing w:after="0"/>
              <w:rPr>
                <w:sz w:val="19"/>
                <w:szCs w:val="19"/>
                <w:color w:val="auto"/>
              </w:rPr>
            </w:pPr>
          </w:p>
        </w:tc>
        <w:tc>
          <w:tcPr>
            <w:tcW w:w="2240" w:type="dxa"/>
            <w:vAlign w:val="bottom"/>
            <w:tcBorders>
              <w:bottom w:val="single" w:sz="8" w:color="0D64EF"/>
            </w:tcBorders>
            <w:shd w:val="clear" w:color="auto" w:fill="D1D0CF"/>
          </w:tcPr>
          <w:p>
            <w:pPr>
              <w:jc w:val="right"/>
              <w:ind w:right="879"/>
              <w:spacing w:after="0"/>
              <w:rPr>
                <w:sz w:val="20"/>
                <w:szCs w:val="20"/>
                <w:color w:val="auto"/>
              </w:rPr>
            </w:pPr>
            <w:r>
              <w:rPr>
                <w:rFonts w:ascii="Arial" w:cs="Arial" w:eastAsia="Arial" w:hAnsi="Arial"/>
                <w:sz w:val="16"/>
                <w:szCs w:val="16"/>
                <w:b w:val="1"/>
                <w:bCs w:val="1"/>
                <w:color w:val="auto"/>
              </w:rPr>
              <w:t>2025</w:t>
            </w:r>
          </w:p>
        </w:tc>
        <w:tc>
          <w:tcPr>
            <w:tcW w:w="480" w:type="dxa"/>
            <w:vAlign w:val="bottom"/>
            <w:tcBorders>
              <w:bottom w:val="single" w:sz="8" w:color="0D64EF"/>
            </w:tcBorders>
            <w:shd w:val="clear" w:color="auto" w:fill="D1D0CF"/>
          </w:tcPr>
          <w:p>
            <w:pPr>
              <w:jc w:val="right"/>
              <w:spacing w:after="0"/>
              <w:rPr>
                <w:sz w:val="20"/>
                <w:szCs w:val="20"/>
                <w:color w:val="auto"/>
              </w:rPr>
            </w:pPr>
            <w:r>
              <w:rPr>
                <w:rFonts w:ascii="Arial" w:cs="Arial" w:eastAsia="Arial" w:hAnsi="Arial"/>
                <w:sz w:val="16"/>
                <w:szCs w:val="16"/>
                <w:b w:val="1"/>
                <w:bCs w:val="1"/>
                <w:color w:val="auto"/>
              </w:rPr>
              <w:t>2024</w:t>
            </w:r>
          </w:p>
        </w:tc>
        <w:tc>
          <w:tcPr>
            <w:tcW w:w="120" w:type="dxa"/>
            <w:vAlign w:val="bottom"/>
            <w:tcBorders>
              <w:bottom w:val="single" w:sz="8" w:color="0D64EF"/>
            </w:tcBorders>
            <w:shd w:val="clear" w:color="auto" w:fill="D1D0CF"/>
          </w:tcPr>
          <w:p>
            <w:pPr>
              <w:spacing w:after="0"/>
              <w:rPr>
                <w:sz w:val="19"/>
                <w:szCs w:val="19"/>
                <w:color w:val="auto"/>
              </w:rPr>
            </w:pPr>
          </w:p>
        </w:tc>
        <w:tc>
          <w:tcPr>
            <w:tcW w:w="2080" w:type="dxa"/>
            <w:vAlign w:val="bottom"/>
            <w:tcBorders>
              <w:bottom w:val="single" w:sz="8" w:color="0D64EF"/>
            </w:tcBorders>
            <w:shd w:val="clear" w:color="auto" w:fill="D1D0CF"/>
          </w:tcPr>
          <w:p>
            <w:pPr>
              <w:ind w:left="920"/>
              <w:spacing w:after="0"/>
              <w:rPr>
                <w:sz w:val="20"/>
                <w:szCs w:val="20"/>
                <w:color w:val="auto"/>
              </w:rPr>
            </w:pPr>
            <w:r>
              <w:rPr>
                <w:rFonts w:ascii="Arial" w:cs="Arial" w:eastAsia="Arial" w:hAnsi="Arial"/>
                <w:sz w:val="16"/>
                <w:szCs w:val="16"/>
                <w:b w:val="1"/>
                <w:bCs w:val="1"/>
                <w:color w:val="auto"/>
              </w:rPr>
              <w:t>2025</w:t>
            </w:r>
          </w:p>
        </w:tc>
        <w:tc>
          <w:tcPr>
            <w:tcW w:w="640" w:type="dxa"/>
            <w:vAlign w:val="bottom"/>
            <w:tcBorders>
              <w:bottom w:val="single" w:sz="8" w:color="0D64EF"/>
            </w:tcBorders>
            <w:shd w:val="clear" w:color="auto" w:fill="D1D0CF"/>
          </w:tcPr>
          <w:p>
            <w:pPr>
              <w:jc w:val="right"/>
              <w:spacing w:after="0"/>
              <w:rPr>
                <w:sz w:val="20"/>
                <w:szCs w:val="20"/>
                <w:color w:val="auto"/>
              </w:rPr>
            </w:pPr>
            <w:r>
              <w:rPr>
                <w:rFonts w:ascii="Arial" w:cs="Arial" w:eastAsia="Arial" w:hAnsi="Arial"/>
                <w:sz w:val="16"/>
                <w:szCs w:val="16"/>
                <w:b w:val="1"/>
                <w:bCs w:val="1"/>
                <w:color w:val="auto"/>
              </w:rPr>
              <w:t>2024</w:t>
            </w:r>
          </w:p>
        </w:tc>
      </w:tr>
      <w:tr>
        <w:trPr>
          <w:trHeight w:val="259"/>
        </w:trPr>
        <w:tc>
          <w:tcPr>
            <w:tcW w:w="5560" w:type="dxa"/>
            <w:vAlign w:val="bottom"/>
          </w:tcPr>
          <w:p>
            <w:pPr>
              <w:ind w:left="20"/>
              <w:spacing w:after="0"/>
              <w:rPr>
                <w:sz w:val="20"/>
                <w:szCs w:val="20"/>
                <w:color w:val="auto"/>
              </w:rPr>
            </w:pPr>
            <w:r>
              <w:rPr>
                <w:rFonts w:ascii="Arial" w:cs="Arial" w:eastAsia="Arial" w:hAnsi="Arial"/>
                <w:sz w:val="16"/>
                <w:szCs w:val="16"/>
                <w:b w:val="1"/>
                <w:bCs w:val="1"/>
                <w:color w:val="0D64EF"/>
              </w:rPr>
              <w:t>Comparable EBITDA</w:t>
            </w:r>
          </w:p>
        </w:tc>
        <w:tc>
          <w:tcPr>
            <w:tcW w:w="2360" w:type="dxa"/>
            <w:vAlign w:val="bottom"/>
            <w:gridSpan w:val="2"/>
          </w:tcPr>
          <w:p>
            <w:pPr>
              <w:jc w:val="right"/>
              <w:ind w:right="919"/>
              <w:spacing w:after="0"/>
              <w:rPr>
                <w:sz w:val="20"/>
                <w:szCs w:val="20"/>
                <w:color w:val="auto"/>
              </w:rPr>
            </w:pPr>
            <w:r>
              <w:rPr>
                <w:rFonts w:ascii="Arial" w:cs="Arial" w:eastAsia="Arial" w:hAnsi="Arial"/>
                <w:sz w:val="16"/>
                <w:szCs w:val="16"/>
                <w:b w:val="1"/>
                <w:bCs w:val="1"/>
                <w:color w:val="auto"/>
              </w:rPr>
              <w:t>1</w:t>
            </w:r>
          </w:p>
        </w:tc>
        <w:tc>
          <w:tcPr>
            <w:tcW w:w="480" w:type="dxa"/>
            <w:vAlign w:val="bottom"/>
          </w:tcPr>
          <w:p>
            <w:pPr>
              <w:jc w:val="right"/>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22"/>
                <w:szCs w:val="22"/>
                <w:color w:val="auto"/>
              </w:rPr>
            </w:pPr>
          </w:p>
        </w:tc>
        <w:tc>
          <w:tcPr>
            <w:tcW w:w="2080" w:type="dxa"/>
            <w:vAlign w:val="bottom"/>
          </w:tcPr>
          <w:p>
            <w:pPr>
              <w:jc w:val="center"/>
              <w:ind w:left="99"/>
              <w:spacing w:after="0"/>
              <w:rPr>
                <w:sz w:val="20"/>
                <w:szCs w:val="20"/>
                <w:color w:val="auto"/>
              </w:rPr>
            </w:pPr>
            <w:r>
              <w:rPr>
                <w:rFonts w:ascii="Arial" w:cs="Arial" w:eastAsia="Arial" w:hAnsi="Arial"/>
                <w:sz w:val="16"/>
                <w:szCs w:val="16"/>
                <w:b w:val="1"/>
                <w:bCs w:val="1"/>
                <w:color w:val="auto"/>
              </w:rPr>
              <w:t>(14)</w:t>
            </w:r>
          </w:p>
        </w:tc>
        <w:tc>
          <w:tcPr>
            <w:tcW w:w="640" w:type="dxa"/>
            <w:vAlign w:val="bottom"/>
          </w:tcPr>
          <w:p>
            <w:pPr>
              <w:jc w:val="right"/>
              <w:spacing w:after="0"/>
              <w:rPr>
                <w:sz w:val="20"/>
                <w:szCs w:val="20"/>
                <w:color w:val="auto"/>
              </w:rPr>
            </w:pPr>
            <w:r>
              <w:rPr>
                <w:rFonts w:ascii="Arial" w:cs="Arial" w:eastAsia="Arial" w:hAnsi="Arial"/>
                <w:sz w:val="16"/>
                <w:szCs w:val="16"/>
                <w:color w:val="auto"/>
              </w:rPr>
              <w:t>(63)</w:t>
            </w:r>
          </w:p>
        </w:tc>
      </w:tr>
      <w:tr>
        <w:trPr>
          <w:trHeight w:val="233"/>
        </w:trPr>
        <w:tc>
          <w:tcPr>
            <w:tcW w:w="556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Depreciation and amortization</w:t>
            </w:r>
          </w:p>
        </w:tc>
        <w:tc>
          <w:tcPr>
            <w:tcW w:w="12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tcPr>
          <w:p>
            <w:pPr>
              <w:jc w:val="right"/>
              <w:ind w:right="919"/>
              <w:spacing w:after="0"/>
              <w:rPr>
                <w:sz w:val="20"/>
                <w:szCs w:val="20"/>
                <w:color w:val="auto"/>
              </w:rPr>
            </w:pPr>
            <w:r>
              <w:rPr>
                <w:rFonts w:ascii="Arial" w:cs="Arial" w:eastAsia="Arial" w:hAnsi="Arial"/>
                <w:sz w:val="16"/>
                <w:szCs w:val="16"/>
                <w:b w:val="1"/>
                <w:bCs w:val="1"/>
                <w:color w:val="auto"/>
              </w:rPr>
              <w:t>—</w:t>
            </w:r>
          </w:p>
        </w:tc>
        <w:tc>
          <w:tcPr>
            <w:tcW w:w="600" w:type="dxa"/>
            <w:vAlign w:val="bottom"/>
            <w:tcBorders>
              <w:bottom w:val="single" w:sz="8" w:color="auto"/>
            </w:tcBorders>
            <w:gridSpan w:val="2"/>
          </w:tcPr>
          <w:p>
            <w:pPr>
              <w:ind w:left="260"/>
              <w:spacing w:after="0"/>
              <w:rPr>
                <w:sz w:val="20"/>
                <w:szCs w:val="20"/>
                <w:color w:val="auto"/>
              </w:rPr>
            </w:pPr>
            <w:r>
              <w:rPr>
                <w:rFonts w:ascii="Arial" w:cs="Arial" w:eastAsia="Arial" w:hAnsi="Arial"/>
                <w:sz w:val="16"/>
                <w:szCs w:val="16"/>
                <w:color w:val="auto"/>
              </w:rPr>
              <w:t>—</w:t>
            </w:r>
          </w:p>
        </w:tc>
        <w:tc>
          <w:tcPr>
            <w:tcW w:w="2080" w:type="dxa"/>
            <w:vAlign w:val="bottom"/>
            <w:tcBorders>
              <w:bottom w:val="single" w:sz="8" w:color="auto"/>
            </w:tcBorders>
          </w:tcPr>
          <w:p>
            <w:pPr>
              <w:jc w:val="center"/>
              <w:ind w:left="139"/>
              <w:spacing w:after="0"/>
              <w:rPr>
                <w:sz w:val="20"/>
                <w:szCs w:val="20"/>
                <w:color w:val="auto"/>
              </w:rPr>
            </w:pPr>
            <w:r>
              <w:rPr>
                <w:rFonts w:ascii="Arial" w:cs="Arial" w:eastAsia="Arial" w:hAnsi="Arial"/>
                <w:sz w:val="16"/>
                <w:szCs w:val="16"/>
                <w:b w:val="1"/>
                <w:bCs w:val="1"/>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r>
      <w:tr>
        <w:trPr>
          <w:trHeight w:val="220"/>
        </w:trPr>
        <w:tc>
          <w:tcPr>
            <w:tcW w:w="5560" w:type="dxa"/>
            <w:vAlign w:val="bottom"/>
          </w:tcPr>
          <w:p>
            <w:pPr>
              <w:ind w:left="20"/>
              <w:spacing w:after="0"/>
              <w:rPr>
                <w:sz w:val="20"/>
                <w:szCs w:val="20"/>
                <w:color w:val="auto"/>
              </w:rPr>
            </w:pPr>
            <w:r>
              <w:rPr>
                <w:rFonts w:ascii="Arial" w:cs="Arial" w:eastAsia="Arial" w:hAnsi="Arial"/>
                <w:sz w:val="16"/>
                <w:szCs w:val="16"/>
                <w:b w:val="1"/>
                <w:bCs w:val="1"/>
                <w:color w:val="0D64EF"/>
              </w:rPr>
              <w:t>Comparable EBIT</w:t>
            </w:r>
          </w:p>
        </w:tc>
        <w:tc>
          <w:tcPr>
            <w:tcW w:w="2360" w:type="dxa"/>
            <w:vAlign w:val="bottom"/>
            <w:gridSpan w:val="2"/>
          </w:tcPr>
          <w:p>
            <w:pPr>
              <w:jc w:val="right"/>
              <w:ind w:right="919"/>
              <w:spacing w:after="0"/>
              <w:rPr>
                <w:sz w:val="20"/>
                <w:szCs w:val="20"/>
                <w:color w:val="auto"/>
              </w:rPr>
            </w:pPr>
            <w:r>
              <w:rPr>
                <w:rFonts w:ascii="Arial" w:cs="Arial" w:eastAsia="Arial" w:hAnsi="Arial"/>
                <w:sz w:val="16"/>
                <w:szCs w:val="16"/>
                <w:b w:val="1"/>
                <w:bCs w:val="1"/>
                <w:color w:val="auto"/>
              </w:rPr>
              <w:t>1</w:t>
            </w:r>
          </w:p>
        </w:tc>
        <w:tc>
          <w:tcPr>
            <w:tcW w:w="480" w:type="dxa"/>
            <w:vAlign w:val="bottom"/>
          </w:tcPr>
          <w:p>
            <w:pPr>
              <w:jc w:val="right"/>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19"/>
                <w:szCs w:val="19"/>
                <w:color w:val="auto"/>
              </w:rPr>
            </w:pPr>
          </w:p>
        </w:tc>
        <w:tc>
          <w:tcPr>
            <w:tcW w:w="2080" w:type="dxa"/>
            <w:vAlign w:val="bottom"/>
          </w:tcPr>
          <w:p>
            <w:pPr>
              <w:jc w:val="center"/>
              <w:ind w:left="99"/>
              <w:spacing w:after="0"/>
              <w:rPr>
                <w:sz w:val="20"/>
                <w:szCs w:val="20"/>
                <w:color w:val="auto"/>
              </w:rPr>
            </w:pPr>
            <w:r>
              <w:rPr>
                <w:rFonts w:ascii="Arial" w:cs="Arial" w:eastAsia="Arial" w:hAnsi="Arial"/>
                <w:sz w:val="16"/>
                <w:szCs w:val="16"/>
                <w:b w:val="1"/>
                <w:bCs w:val="1"/>
                <w:color w:val="auto"/>
              </w:rPr>
              <w:t>(14)</w:t>
            </w:r>
          </w:p>
        </w:tc>
        <w:tc>
          <w:tcPr>
            <w:tcW w:w="640" w:type="dxa"/>
            <w:vAlign w:val="bottom"/>
          </w:tcPr>
          <w:p>
            <w:pPr>
              <w:jc w:val="right"/>
              <w:spacing w:after="0"/>
              <w:rPr>
                <w:sz w:val="20"/>
                <w:szCs w:val="20"/>
                <w:color w:val="auto"/>
              </w:rPr>
            </w:pPr>
            <w:r>
              <w:rPr>
                <w:rFonts w:ascii="Arial" w:cs="Arial" w:eastAsia="Arial" w:hAnsi="Arial"/>
                <w:sz w:val="16"/>
                <w:szCs w:val="16"/>
                <w:color w:val="auto"/>
              </w:rPr>
              <w:t>(68)</w:t>
            </w:r>
          </w:p>
        </w:tc>
      </w:tr>
      <w:tr>
        <w:trPr>
          <w:trHeight w:val="221"/>
        </w:trPr>
        <w:tc>
          <w:tcPr>
            <w:tcW w:w="5560" w:type="dxa"/>
            <w:vAlign w:val="bottom"/>
          </w:tcPr>
          <w:p>
            <w:pPr>
              <w:ind w:left="20"/>
              <w:spacing w:after="0"/>
              <w:rPr>
                <w:sz w:val="20"/>
                <w:szCs w:val="20"/>
                <w:color w:val="auto"/>
              </w:rPr>
            </w:pPr>
            <w:r>
              <w:rPr>
                <w:rFonts w:ascii="Arial" w:cs="Arial" w:eastAsia="Arial" w:hAnsi="Arial"/>
                <w:sz w:val="16"/>
                <w:szCs w:val="16"/>
                <w:color w:val="auto"/>
              </w:rPr>
              <w:t>Specific items:</w:t>
            </w:r>
          </w:p>
        </w:tc>
        <w:tc>
          <w:tcPr>
            <w:tcW w:w="12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38"/>
        </w:trPr>
        <w:tc>
          <w:tcPr>
            <w:tcW w:w="5560" w:type="dxa"/>
            <w:vAlign w:val="bottom"/>
          </w:tcPr>
          <w:p>
            <w:pPr>
              <w:ind w:left="100"/>
              <w:spacing w:after="0"/>
              <w:rPr>
                <w:sz w:val="20"/>
                <w:szCs w:val="20"/>
                <w:color w:val="auto"/>
              </w:rPr>
            </w:pPr>
            <w:r>
              <w:rPr>
                <w:rFonts w:ascii="Arial" w:cs="Arial" w:eastAsia="Arial" w:hAnsi="Arial"/>
                <w:sz w:val="16"/>
                <w:szCs w:val="16"/>
                <w:color w:val="auto"/>
              </w:rPr>
              <w:t>Third-party settlement</w:t>
            </w:r>
          </w:p>
        </w:tc>
        <w:tc>
          <w:tcPr>
            <w:tcW w:w="120" w:type="dxa"/>
            <w:vAlign w:val="bottom"/>
          </w:tcPr>
          <w:p>
            <w:pPr>
              <w:spacing w:after="0"/>
              <w:rPr>
                <w:sz w:val="20"/>
                <w:szCs w:val="20"/>
                <w:color w:val="auto"/>
              </w:rPr>
            </w:pPr>
          </w:p>
        </w:tc>
        <w:tc>
          <w:tcPr>
            <w:tcW w:w="2240" w:type="dxa"/>
            <w:vAlign w:val="bottom"/>
          </w:tcPr>
          <w:p>
            <w:pPr>
              <w:jc w:val="right"/>
              <w:ind w:right="919"/>
              <w:spacing w:after="0"/>
              <w:rPr>
                <w:sz w:val="20"/>
                <w:szCs w:val="20"/>
                <w:color w:val="auto"/>
              </w:rPr>
            </w:pPr>
            <w:r>
              <w:rPr>
                <w:rFonts w:ascii="Arial" w:cs="Arial" w:eastAsia="Arial" w:hAnsi="Arial"/>
                <w:sz w:val="16"/>
                <w:szCs w:val="16"/>
                <w:b w:val="1"/>
                <w:bCs w:val="1"/>
                <w:color w:val="auto"/>
              </w:rPr>
              <w:t>—</w:t>
            </w:r>
          </w:p>
        </w:tc>
        <w:tc>
          <w:tcPr>
            <w:tcW w:w="600" w:type="dxa"/>
            <w:vAlign w:val="bottom"/>
            <w:gridSpan w:val="2"/>
          </w:tcPr>
          <w:p>
            <w:pPr>
              <w:ind w:left="260"/>
              <w:spacing w:after="0"/>
              <w:rPr>
                <w:sz w:val="20"/>
                <w:szCs w:val="20"/>
                <w:color w:val="auto"/>
              </w:rPr>
            </w:pPr>
            <w:r>
              <w:rPr>
                <w:rFonts w:ascii="Arial" w:cs="Arial" w:eastAsia="Arial" w:hAnsi="Arial"/>
                <w:sz w:val="16"/>
                <w:szCs w:val="16"/>
                <w:color w:val="auto"/>
              </w:rPr>
              <w:t>—</w:t>
            </w:r>
          </w:p>
        </w:tc>
        <w:tc>
          <w:tcPr>
            <w:tcW w:w="2080" w:type="dxa"/>
            <w:vAlign w:val="bottom"/>
          </w:tcPr>
          <w:p>
            <w:pPr>
              <w:jc w:val="center"/>
              <w:ind w:left="139"/>
              <w:spacing w:after="0"/>
              <w:rPr>
                <w:sz w:val="20"/>
                <w:szCs w:val="20"/>
                <w:color w:val="auto"/>
              </w:rPr>
            </w:pPr>
            <w:r>
              <w:rPr>
                <w:rFonts w:ascii="Arial" w:cs="Arial" w:eastAsia="Arial" w:hAnsi="Arial"/>
                <w:sz w:val="16"/>
                <w:szCs w:val="16"/>
                <w:b w:val="1"/>
                <w:bCs w:val="1"/>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(34)</w:t>
            </w:r>
          </w:p>
        </w:tc>
      </w:tr>
      <w:tr>
        <w:trPr>
          <w:trHeight w:val="229"/>
        </w:trPr>
        <w:tc>
          <w:tcPr>
            <w:tcW w:w="5560" w:type="dxa"/>
            <w:vAlign w:val="bottom"/>
          </w:tcPr>
          <w:p>
            <w:pPr>
              <w:ind w:left="100"/>
              <w:spacing w:after="0"/>
              <w:rPr>
                <w:sz w:val="20"/>
                <w:szCs w:val="20"/>
                <w:color w:val="auto"/>
              </w:rPr>
            </w:pPr>
            <w:r>
              <w:rPr>
                <w:rFonts w:ascii="Arial" w:cs="Arial" w:eastAsia="Arial" w:hAnsi="Arial"/>
                <w:sz w:val="16"/>
                <w:szCs w:val="16"/>
                <w:color w:val="auto"/>
              </w:rPr>
              <w:t>Focus Project costs</w:t>
            </w:r>
          </w:p>
        </w:tc>
        <w:tc>
          <w:tcPr>
            <w:tcW w:w="120" w:type="dxa"/>
            <w:vAlign w:val="bottom"/>
          </w:tcPr>
          <w:p>
            <w:pPr>
              <w:spacing w:after="0"/>
              <w:rPr>
                <w:sz w:val="19"/>
                <w:szCs w:val="19"/>
                <w:color w:val="auto"/>
              </w:rPr>
            </w:pPr>
          </w:p>
        </w:tc>
        <w:tc>
          <w:tcPr>
            <w:tcW w:w="2240" w:type="dxa"/>
            <w:vAlign w:val="bottom"/>
          </w:tcPr>
          <w:p>
            <w:pPr>
              <w:jc w:val="right"/>
              <w:ind w:right="919"/>
              <w:spacing w:after="0"/>
              <w:rPr>
                <w:sz w:val="20"/>
                <w:szCs w:val="20"/>
                <w:color w:val="auto"/>
              </w:rPr>
            </w:pPr>
            <w:r>
              <w:rPr>
                <w:rFonts w:ascii="Arial" w:cs="Arial" w:eastAsia="Arial" w:hAnsi="Arial"/>
                <w:sz w:val="16"/>
                <w:szCs w:val="16"/>
                <w:b w:val="1"/>
                <w:bCs w:val="1"/>
                <w:color w:val="auto"/>
              </w:rPr>
              <w:t>—</w:t>
            </w:r>
          </w:p>
        </w:tc>
        <w:tc>
          <w:tcPr>
            <w:tcW w:w="480" w:type="dxa"/>
            <w:vAlign w:val="bottom"/>
          </w:tcPr>
          <w:p>
            <w:pPr>
              <w:jc w:val="right"/>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19"/>
                <w:szCs w:val="19"/>
                <w:color w:val="auto"/>
              </w:rPr>
            </w:pPr>
          </w:p>
        </w:tc>
        <w:tc>
          <w:tcPr>
            <w:tcW w:w="2080" w:type="dxa"/>
            <w:vAlign w:val="bottom"/>
          </w:tcPr>
          <w:p>
            <w:pPr>
              <w:jc w:val="center"/>
              <w:ind w:left="139"/>
              <w:spacing w:after="0"/>
              <w:rPr>
                <w:sz w:val="20"/>
                <w:szCs w:val="20"/>
                <w:color w:val="auto"/>
              </w:rPr>
            </w:pPr>
            <w:r>
              <w:rPr>
                <w:rFonts w:ascii="Arial" w:cs="Arial" w:eastAsia="Arial" w:hAnsi="Arial"/>
                <w:sz w:val="16"/>
                <w:szCs w:val="16"/>
                <w:b w:val="1"/>
                <w:bCs w:val="1"/>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(24)</w:t>
            </w:r>
          </w:p>
        </w:tc>
      </w:tr>
      <w:tr>
        <w:trPr>
          <w:trHeight w:val="233"/>
        </w:trPr>
        <w:tc>
          <w:tcPr>
            <w:tcW w:w="556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NGTL System ownership transfer costs</w:t>
            </w:r>
          </w:p>
        </w:tc>
        <w:tc>
          <w:tcPr>
            <w:tcW w:w="12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tcPr>
          <w:p>
            <w:pPr>
              <w:jc w:val="right"/>
              <w:ind w:right="919"/>
              <w:spacing w:after="0"/>
              <w:rPr>
                <w:sz w:val="20"/>
                <w:szCs w:val="20"/>
                <w:color w:val="auto"/>
              </w:rPr>
            </w:pPr>
            <w:r>
              <w:rPr>
                <w:rFonts w:ascii="Arial" w:cs="Arial" w:eastAsia="Arial" w:hAnsi="Arial"/>
                <w:sz w:val="16"/>
                <w:szCs w:val="16"/>
                <w:b w:val="1"/>
                <w:bCs w:val="1"/>
                <w:color w:val="auto"/>
              </w:rPr>
              <w:t>—</w:t>
            </w:r>
          </w:p>
        </w:tc>
        <w:tc>
          <w:tcPr>
            <w:tcW w:w="600" w:type="dxa"/>
            <w:vAlign w:val="bottom"/>
            <w:tcBorders>
              <w:bottom w:val="single" w:sz="8" w:color="auto"/>
            </w:tcBorders>
            <w:gridSpan w:val="2"/>
          </w:tcPr>
          <w:p>
            <w:pPr>
              <w:ind w:left="260"/>
              <w:spacing w:after="0"/>
              <w:rPr>
                <w:sz w:val="20"/>
                <w:szCs w:val="20"/>
                <w:color w:val="auto"/>
              </w:rPr>
            </w:pPr>
            <w:r>
              <w:rPr>
                <w:rFonts w:ascii="Arial" w:cs="Arial" w:eastAsia="Arial" w:hAnsi="Arial"/>
                <w:sz w:val="16"/>
                <w:szCs w:val="16"/>
                <w:color w:val="auto"/>
              </w:rPr>
              <w:t>—</w:t>
            </w:r>
          </w:p>
        </w:tc>
        <w:tc>
          <w:tcPr>
            <w:tcW w:w="2080" w:type="dxa"/>
            <w:vAlign w:val="bottom"/>
            <w:tcBorders>
              <w:bottom w:val="single" w:sz="8" w:color="auto"/>
            </w:tcBorders>
          </w:tcPr>
          <w:p>
            <w:pPr>
              <w:jc w:val="center"/>
              <w:ind w:left="139"/>
              <w:spacing w:after="0"/>
              <w:rPr>
                <w:sz w:val="20"/>
                <w:szCs w:val="20"/>
                <w:color w:val="auto"/>
              </w:rPr>
            </w:pPr>
            <w:r>
              <w:rPr>
                <w:rFonts w:ascii="Arial" w:cs="Arial" w:eastAsia="Arial" w:hAnsi="Arial"/>
                <w:sz w:val="16"/>
                <w:szCs w:val="16"/>
                <w:b w:val="1"/>
                <w:bCs w:val="1"/>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r>
      <w:tr>
        <w:trPr>
          <w:trHeight w:val="223"/>
        </w:trPr>
        <w:tc>
          <w:tcPr>
            <w:tcW w:w="55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0D64EF"/>
              </w:rPr>
              <w:t>Segmented earnings (losses)</w:t>
            </w:r>
          </w:p>
        </w:tc>
        <w:tc>
          <w:tcPr>
            <w:tcW w:w="2360" w:type="dxa"/>
            <w:vAlign w:val="bottom"/>
            <w:tcBorders>
              <w:bottom w:val="single" w:sz="8" w:color="auto"/>
            </w:tcBorders>
            <w:gridSpan w:val="2"/>
          </w:tcPr>
          <w:p>
            <w:pPr>
              <w:jc w:val="right"/>
              <w:ind w:right="919"/>
              <w:spacing w:after="0"/>
              <w:rPr>
                <w:sz w:val="20"/>
                <w:szCs w:val="20"/>
                <w:color w:val="auto"/>
              </w:rPr>
            </w:pPr>
            <w:r>
              <w:rPr>
                <w:rFonts w:ascii="Arial" w:cs="Arial" w:eastAsia="Arial" w:hAnsi="Arial"/>
                <w:sz w:val="16"/>
                <w:szCs w:val="16"/>
                <w:b w:val="1"/>
                <w:bCs w:val="1"/>
                <w:color w:val="auto"/>
              </w:rPr>
              <w:t>1</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w:t>
            </w:r>
          </w:p>
        </w:tc>
        <w:tc>
          <w:tcPr>
            <w:tcW w:w="12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tcPr>
          <w:p>
            <w:pPr>
              <w:jc w:val="center"/>
              <w:ind w:left="99"/>
              <w:spacing w:after="0"/>
              <w:rPr>
                <w:sz w:val="20"/>
                <w:szCs w:val="20"/>
                <w:color w:val="auto"/>
              </w:rPr>
            </w:pPr>
            <w:r>
              <w:rPr>
                <w:rFonts w:ascii="Arial" w:cs="Arial" w:eastAsia="Arial" w:hAnsi="Arial"/>
                <w:sz w:val="16"/>
                <w:szCs w:val="16"/>
                <w:b w:val="1"/>
                <w:bCs w:val="1"/>
                <w:color w:val="auto"/>
              </w:rPr>
              <w:t>(14)</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w:t>
            </w:r>
          </w:p>
        </w:tc>
      </w:tr>
    </w:tbl>
    <w:p>
      <w:pPr>
        <w:spacing w:after="0" w:line="184" w:lineRule="exact"/>
        <w:rPr>
          <w:sz w:val="20"/>
          <w:szCs w:val="20"/>
          <w:color w:val="auto"/>
        </w:rPr>
      </w:pPr>
    </w:p>
    <w:p>
      <w:pPr>
        <w:ind w:right="160"/>
        <w:spacing w:after="0" w:line="323" w:lineRule="auto"/>
        <w:rPr>
          <w:sz w:val="20"/>
          <w:szCs w:val="20"/>
          <w:color w:val="auto"/>
        </w:rPr>
      </w:pPr>
      <w:r>
        <w:rPr>
          <w:rFonts w:ascii="Arial" w:cs="Arial" w:eastAsia="Arial" w:hAnsi="Arial"/>
          <w:sz w:val="18"/>
          <w:szCs w:val="18"/>
          <w:color w:val="auto"/>
        </w:rPr>
        <w:t>Corporate segmented earnings increased by $17 million for the three months ended December 31, 2025 compared to the same period in 2024. Corporate segmented losses included a pre-tax charge of $9 million for the three months ended December 31, 2024 related to Focus Project costs, which has been excluded from our calculation of comparable EBITDA and comparable EBIT.</w:t>
      </w:r>
    </w:p>
    <w:p>
      <w:pPr>
        <w:spacing w:after="0" w:line="42" w:lineRule="exact"/>
        <w:rPr>
          <w:sz w:val="20"/>
          <w:szCs w:val="20"/>
          <w:color w:val="auto"/>
        </w:rPr>
      </w:pPr>
    </w:p>
    <w:p>
      <w:pPr>
        <w:ind w:right="80"/>
        <w:spacing w:after="0" w:line="334" w:lineRule="auto"/>
        <w:rPr>
          <w:sz w:val="20"/>
          <w:szCs w:val="20"/>
          <w:color w:val="auto"/>
        </w:rPr>
      </w:pPr>
      <w:r>
        <w:rPr>
          <w:rFonts w:ascii="Arial" w:cs="Arial" w:eastAsia="Arial" w:hAnsi="Arial"/>
          <w:sz w:val="18"/>
          <w:szCs w:val="18"/>
          <w:color w:val="auto"/>
        </w:rPr>
        <w:t>Comparable EBITDA and EBIT for Corporate increased by $8 million for the three months ended December 31, 2025 compared to the same period in 2024.</w:t>
      </w:r>
    </w:p>
    <w:p>
      <w:pPr>
        <w:spacing w:after="0" w:line="81" w:lineRule="exact"/>
        <w:rPr>
          <w:sz w:val="20"/>
          <w:szCs w:val="20"/>
          <w:color w:val="auto"/>
        </w:rPr>
      </w:pPr>
    </w:p>
    <w:p>
      <w:pPr>
        <w:spacing w:after="0"/>
        <w:rPr>
          <w:sz w:val="20"/>
          <w:szCs w:val="20"/>
          <w:color w:val="auto"/>
        </w:rPr>
      </w:pPr>
      <w:r>
        <w:rPr>
          <w:rFonts w:ascii="Arial" w:cs="Arial" w:eastAsia="Arial" w:hAnsi="Arial"/>
          <w:sz w:val="20"/>
          <w:szCs w:val="20"/>
          <w:b w:val="1"/>
          <w:bCs w:val="1"/>
          <w:color w:val="0D64EF"/>
        </w:rPr>
        <w:t>INTEREST EXPENSE</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560" w:type="dxa"/>
            <w:vAlign w:val="bottom"/>
            <w:tcBorders>
              <w:top w:val="single" w:sz="8" w:color="0D64EF"/>
            </w:tcBorders>
            <w:shd w:val="clear" w:color="auto" w:fill="D1D0CF"/>
          </w:tcPr>
          <w:p>
            <w:pPr>
              <w:spacing w:after="0"/>
              <w:rPr>
                <w:sz w:val="16"/>
                <w:szCs w:val="16"/>
                <w:color w:val="auto"/>
              </w:rPr>
            </w:pPr>
          </w:p>
        </w:tc>
        <w:tc>
          <w:tcPr>
            <w:tcW w:w="120" w:type="dxa"/>
            <w:vAlign w:val="bottom"/>
            <w:tcBorders>
              <w:top w:val="single" w:sz="8" w:color="0D64EF"/>
            </w:tcBorders>
            <w:shd w:val="clear" w:color="auto" w:fill="D1D0CF"/>
          </w:tcPr>
          <w:p>
            <w:pPr>
              <w:spacing w:after="0"/>
              <w:rPr>
                <w:sz w:val="16"/>
                <w:szCs w:val="16"/>
                <w:color w:val="auto"/>
              </w:rPr>
            </w:pPr>
          </w:p>
        </w:tc>
        <w:tc>
          <w:tcPr>
            <w:tcW w:w="2220" w:type="dxa"/>
            <w:vAlign w:val="bottom"/>
            <w:tcBorders>
              <w:top w:val="single" w:sz="8" w:color="0D64EF"/>
            </w:tcBorders>
            <w:shd w:val="clear" w:color="auto" w:fill="D1D0CF"/>
          </w:tcPr>
          <w:p>
            <w:pPr>
              <w:jc w:val="right"/>
              <w:spacing w:after="0"/>
              <w:rPr>
                <w:sz w:val="20"/>
                <w:szCs w:val="20"/>
                <w:color w:val="auto"/>
              </w:rPr>
            </w:pPr>
            <w:r>
              <w:rPr>
                <w:rFonts w:ascii="Arial" w:cs="Arial" w:eastAsia="Arial" w:hAnsi="Arial"/>
                <w:sz w:val="16"/>
                <w:szCs w:val="16"/>
                <w:b w:val="1"/>
                <w:bCs w:val="1"/>
                <w:color w:val="auto"/>
              </w:rPr>
              <w:t>three months ended</w:t>
            </w:r>
          </w:p>
        </w:tc>
        <w:tc>
          <w:tcPr>
            <w:tcW w:w="500" w:type="dxa"/>
            <w:vAlign w:val="bottom"/>
            <w:tcBorders>
              <w:top w:val="single" w:sz="8" w:color="0D64EF"/>
            </w:tcBorders>
            <w:shd w:val="clear" w:color="auto" w:fill="D1D0CF"/>
          </w:tcPr>
          <w:p>
            <w:pPr>
              <w:spacing w:after="0"/>
              <w:rPr>
                <w:sz w:val="16"/>
                <w:szCs w:val="16"/>
                <w:color w:val="auto"/>
              </w:rPr>
            </w:pPr>
          </w:p>
        </w:tc>
        <w:tc>
          <w:tcPr>
            <w:tcW w:w="120" w:type="dxa"/>
            <w:vAlign w:val="bottom"/>
            <w:tcBorders>
              <w:top w:val="single" w:sz="8" w:color="0D64EF"/>
            </w:tcBorders>
            <w:shd w:val="clear" w:color="auto" w:fill="D1D0CF"/>
          </w:tcPr>
          <w:p>
            <w:pPr>
              <w:spacing w:after="0"/>
              <w:rPr>
                <w:sz w:val="16"/>
                <w:szCs w:val="16"/>
                <w:color w:val="auto"/>
              </w:rPr>
            </w:pPr>
          </w:p>
        </w:tc>
        <w:tc>
          <w:tcPr>
            <w:tcW w:w="2020" w:type="dxa"/>
            <w:vAlign w:val="bottom"/>
            <w:tcBorders>
              <w:top w:val="single" w:sz="8" w:color="0D64EF"/>
            </w:tcBorders>
            <w:shd w:val="clear" w:color="auto" w:fill="D1D0CF"/>
          </w:tcPr>
          <w:p>
            <w:pPr>
              <w:jc w:val="right"/>
              <w:ind w:right="179"/>
              <w:spacing w:after="0"/>
              <w:rPr>
                <w:sz w:val="20"/>
                <w:szCs w:val="20"/>
                <w:color w:val="auto"/>
              </w:rPr>
            </w:pPr>
            <w:r>
              <w:rPr>
                <w:rFonts w:ascii="Arial" w:cs="Arial" w:eastAsia="Arial" w:hAnsi="Arial"/>
                <w:sz w:val="16"/>
                <w:szCs w:val="16"/>
                <w:b w:val="1"/>
                <w:bCs w:val="1"/>
                <w:color w:val="auto"/>
              </w:rPr>
              <w:t>year ended</w:t>
            </w:r>
          </w:p>
        </w:tc>
        <w:tc>
          <w:tcPr>
            <w:tcW w:w="700" w:type="dxa"/>
            <w:vAlign w:val="bottom"/>
            <w:tcBorders>
              <w:top w:val="single" w:sz="8" w:color="0D64EF"/>
            </w:tcBorders>
            <w:shd w:val="clear" w:color="auto" w:fill="D1D0CF"/>
          </w:tcPr>
          <w:p>
            <w:pPr>
              <w:spacing w:after="0"/>
              <w:rPr>
                <w:sz w:val="16"/>
                <w:szCs w:val="16"/>
                <w:color w:val="auto"/>
              </w:rPr>
            </w:pPr>
          </w:p>
        </w:tc>
      </w:tr>
      <w:tr>
        <w:trPr>
          <w:trHeight w:val="224"/>
        </w:trPr>
        <w:tc>
          <w:tcPr>
            <w:tcW w:w="5560" w:type="dxa"/>
            <w:vAlign w:val="bottom"/>
            <w:tcBorders>
              <w:bottom w:val="single" w:sz="8" w:color="D1D0CF"/>
            </w:tcBorders>
            <w:shd w:val="clear" w:color="auto" w:fill="D1D0CF"/>
          </w:tcPr>
          <w:p>
            <w:pPr>
              <w:spacing w:after="0"/>
              <w:rPr>
                <w:sz w:val="19"/>
                <w:szCs w:val="19"/>
                <w:color w:val="auto"/>
              </w:rPr>
            </w:pPr>
          </w:p>
        </w:tc>
        <w:tc>
          <w:tcPr>
            <w:tcW w:w="120" w:type="dxa"/>
            <w:vAlign w:val="bottom"/>
            <w:tcBorders>
              <w:bottom w:val="single" w:sz="8" w:color="D1D0CF"/>
            </w:tcBorders>
            <w:shd w:val="clear" w:color="auto" w:fill="D1D0CF"/>
          </w:tcPr>
          <w:p>
            <w:pPr>
              <w:spacing w:after="0"/>
              <w:rPr>
                <w:sz w:val="19"/>
                <w:szCs w:val="19"/>
                <w:color w:val="auto"/>
              </w:rPr>
            </w:pPr>
          </w:p>
        </w:tc>
        <w:tc>
          <w:tcPr>
            <w:tcW w:w="2220" w:type="dxa"/>
            <w:vAlign w:val="bottom"/>
            <w:tcBorders>
              <w:bottom w:val="single" w:sz="8" w:color="0D64EF"/>
            </w:tcBorders>
            <w:shd w:val="clear" w:color="auto" w:fill="D1D0CF"/>
          </w:tcPr>
          <w:p>
            <w:pPr>
              <w:jc w:val="right"/>
              <w:ind w:right="279"/>
              <w:spacing w:after="0"/>
              <w:rPr>
                <w:sz w:val="20"/>
                <w:szCs w:val="20"/>
                <w:color w:val="auto"/>
              </w:rPr>
            </w:pPr>
            <w:r>
              <w:rPr>
                <w:rFonts w:ascii="Arial" w:cs="Arial" w:eastAsia="Arial" w:hAnsi="Arial"/>
                <w:sz w:val="16"/>
                <w:szCs w:val="16"/>
                <w:b w:val="1"/>
                <w:bCs w:val="1"/>
                <w:color w:val="auto"/>
              </w:rPr>
              <w:t>December 31</w:t>
            </w:r>
          </w:p>
        </w:tc>
        <w:tc>
          <w:tcPr>
            <w:tcW w:w="500" w:type="dxa"/>
            <w:vAlign w:val="bottom"/>
            <w:tcBorders>
              <w:bottom w:val="single" w:sz="8" w:color="0D64EF"/>
            </w:tcBorders>
            <w:shd w:val="clear" w:color="auto" w:fill="D1D0CF"/>
          </w:tcPr>
          <w:p>
            <w:pPr>
              <w:spacing w:after="0"/>
              <w:rPr>
                <w:sz w:val="19"/>
                <w:szCs w:val="19"/>
                <w:color w:val="auto"/>
              </w:rPr>
            </w:pPr>
          </w:p>
        </w:tc>
        <w:tc>
          <w:tcPr>
            <w:tcW w:w="120" w:type="dxa"/>
            <w:vAlign w:val="bottom"/>
            <w:tcBorders>
              <w:bottom w:val="single" w:sz="8" w:color="D1D0CF"/>
            </w:tcBorders>
            <w:shd w:val="clear" w:color="auto" w:fill="D1D0CF"/>
          </w:tcPr>
          <w:p>
            <w:pPr>
              <w:spacing w:after="0"/>
              <w:rPr>
                <w:sz w:val="19"/>
                <w:szCs w:val="19"/>
                <w:color w:val="auto"/>
              </w:rPr>
            </w:pPr>
          </w:p>
        </w:tc>
        <w:tc>
          <w:tcPr>
            <w:tcW w:w="2020" w:type="dxa"/>
            <w:vAlign w:val="bottom"/>
            <w:tcBorders>
              <w:bottom w:val="single" w:sz="8" w:color="0D64EF"/>
            </w:tcBorders>
            <w:shd w:val="clear" w:color="auto" w:fill="D1D0CF"/>
          </w:tcPr>
          <w:p>
            <w:pPr>
              <w:jc w:val="right"/>
              <w:ind w:right="79"/>
              <w:spacing w:after="0"/>
              <w:rPr>
                <w:sz w:val="20"/>
                <w:szCs w:val="20"/>
                <w:color w:val="auto"/>
              </w:rPr>
            </w:pPr>
            <w:r>
              <w:rPr>
                <w:rFonts w:ascii="Arial" w:cs="Arial" w:eastAsia="Arial" w:hAnsi="Arial"/>
                <w:sz w:val="16"/>
                <w:szCs w:val="16"/>
                <w:b w:val="1"/>
                <w:bCs w:val="1"/>
                <w:color w:val="auto"/>
              </w:rPr>
              <w:t>December 31</w:t>
            </w:r>
          </w:p>
        </w:tc>
        <w:tc>
          <w:tcPr>
            <w:tcW w:w="700" w:type="dxa"/>
            <w:vAlign w:val="bottom"/>
            <w:tcBorders>
              <w:bottom w:val="single" w:sz="8" w:color="0D64EF"/>
            </w:tcBorders>
            <w:shd w:val="clear" w:color="auto" w:fill="D1D0CF"/>
          </w:tcPr>
          <w:p>
            <w:pPr>
              <w:spacing w:after="0"/>
              <w:rPr>
                <w:sz w:val="19"/>
                <w:szCs w:val="19"/>
                <w:color w:val="auto"/>
              </w:rPr>
            </w:pPr>
          </w:p>
        </w:tc>
      </w:tr>
      <w:tr>
        <w:trPr>
          <w:trHeight w:val="226"/>
        </w:trPr>
        <w:tc>
          <w:tcPr>
            <w:tcW w:w="5560" w:type="dxa"/>
            <w:vAlign w:val="bottom"/>
            <w:tcBorders>
              <w:bottom w:val="single" w:sz="8" w:color="0D64EF"/>
            </w:tcBorders>
            <w:shd w:val="clear" w:color="auto" w:fill="D1D0CF"/>
          </w:tcPr>
          <w:p>
            <w:pPr>
              <w:ind w:left="20"/>
              <w:spacing w:after="0"/>
              <w:rPr>
                <w:sz w:val="20"/>
                <w:szCs w:val="20"/>
                <w:color w:val="auto"/>
              </w:rPr>
            </w:pPr>
            <w:r>
              <w:rPr>
                <w:rFonts w:ascii="Arial" w:cs="Arial" w:eastAsia="Arial" w:hAnsi="Arial"/>
                <w:sz w:val="16"/>
                <w:szCs w:val="16"/>
                <w:color w:val="auto"/>
              </w:rPr>
              <w:t>(millions of $)</w:t>
            </w:r>
          </w:p>
        </w:tc>
        <w:tc>
          <w:tcPr>
            <w:tcW w:w="120" w:type="dxa"/>
            <w:vAlign w:val="bottom"/>
            <w:tcBorders>
              <w:bottom w:val="single" w:sz="8" w:color="0D64EF"/>
            </w:tcBorders>
            <w:shd w:val="clear" w:color="auto" w:fill="D1D0CF"/>
          </w:tcPr>
          <w:p>
            <w:pPr>
              <w:spacing w:after="0"/>
              <w:rPr>
                <w:sz w:val="19"/>
                <w:szCs w:val="19"/>
                <w:color w:val="auto"/>
              </w:rPr>
            </w:pPr>
          </w:p>
        </w:tc>
        <w:tc>
          <w:tcPr>
            <w:tcW w:w="2220" w:type="dxa"/>
            <w:vAlign w:val="bottom"/>
            <w:tcBorders>
              <w:bottom w:val="single" w:sz="8" w:color="0D64EF"/>
            </w:tcBorders>
            <w:shd w:val="clear" w:color="auto" w:fill="D1D0CF"/>
          </w:tcPr>
          <w:p>
            <w:pPr>
              <w:jc w:val="right"/>
              <w:ind w:right="859"/>
              <w:spacing w:after="0"/>
              <w:rPr>
                <w:sz w:val="20"/>
                <w:szCs w:val="20"/>
                <w:color w:val="auto"/>
              </w:rPr>
            </w:pPr>
            <w:r>
              <w:rPr>
                <w:rFonts w:ascii="Arial" w:cs="Arial" w:eastAsia="Arial" w:hAnsi="Arial"/>
                <w:sz w:val="16"/>
                <w:szCs w:val="16"/>
                <w:b w:val="1"/>
                <w:bCs w:val="1"/>
                <w:color w:val="auto"/>
              </w:rPr>
              <w:t>2025</w:t>
            </w:r>
          </w:p>
        </w:tc>
        <w:tc>
          <w:tcPr>
            <w:tcW w:w="500" w:type="dxa"/>
            <w:vAlign w:val="bottom"/>
            <w:tcBorders>
              <w:bottom w:val="single" w:sz="8" w:color="0D64EF"/>
            </w:tcBorders>
            <w:shd w:val="clear" w:color="auto" w:fill="D1D0CF"/>
          </w:tcPr>
          <w:p>
            <w:pPr>
              <w:jc w:val="right"/>
              <w:spacing w:after="0"/>
              <w:rPr>
                <w:sz w:val="20"/>
                <w:szCs w:val="20"/>
                <w:color w:val="auto"/>
              </w:rPr>
            </w:pPr>
            <w:r>
              <w:rPr>
                <w:rFonts w:ascii="Arial" w:cs="Arial" w:eastAsia="Arial" w:hAnsi="Arial"/>
                <w:sz w:val="16"/>
                <w:szCs w:val="16"/>
                <w:b w:val="1"/>
                <w:bCs w:val="1"/>
                <w:color w:val="auto"/>
              </w:rPr>
              <w:t>2024</w:t>
            </w:r>
          </w:p>
        </w:tc>
        <w:tc>
          <w:tcPr>
            <w:tcW w:w="120" w:type="dxa"/>
            <w:vAlign w:val="bottom"/>
            <w:tcBorders>
              <w:bottom w:val="single" w:sz="8" w:color="0D64EF"/>
            </w:tcBorders>
            <w:shd w:val="clear" w:color="auto" w:fill="D1D0CF"/>
          </w:tcPr>
          <w:p>
            <w:pPr>
              <w:spacing w:after="0"/>
              <w:rPr>
                <w:sz w:val="19"/>
                <w:szCs w:val="19"/>
                <w:color w:val="auto"/>
              </w:rPr>
            </w:pPr>
          </w:p>
        </w:tc>
        <w:tc>
          <w:tcPr>
            <w:tcW w:w="2020" w:type="dxa"/>
            <w:vAlign w:val="bottom"/>
            <w:tcBorders>
              <w:bottom w:val="single" w:sz="8" w:color="0D64EF"/>
            </w:tcBorders>
            <w:shd w:val="clear" w:color="auto" w:fill="D1D0CF"/>
          </w:tcPr>
          <w:p>
            <w:pPr>
              <w:jc w:val="right"/>
              <w:ind w:right="659"/>
              <w:spacing w:after="0"/>
              <w:rPr>
                <w:sz w:val="20"/>
                <w:szCs w:val="20"/>
                <w:color w:val="auto"/>
              </w:rPr>
            </w:pPr>
            <w:r>
              <w:rPr>
                <w:rFonts w:ascii="Arial" w:cs="Arial" w:eastAsia="Arial" w:hAnsi="Arial"/>
                <w:sz w:val="16"/>
                <w:szCs w:val="16"/>
                <w:b w:val="1"/>
                <w:bCs w:val="1"/>
                <w:color w:val="auto"/>
              </w:rPr>
              <w:t>2025</w:t>
            </w:r>
          </w:p>
        </w:tc>
        <w:tc>
          <w:tcPr>
            <w:tcW w:w="700" w:type="dxa"/>
            <w:vAlign w:val="bottom"/>
            <w:tcBorders>
              <w:bottom w:val="single" w:sz="8" w:color="0D64EF"/>
            </w:tcBorders>
            <w:shd w:val="clear" w:color="auto" w:fill="D1D0CF"/>
          </w:tcPr>
          <w:p>
            <w:pPr>
              <w:jc w:val="right"/>
              <w:spacing w:after="0"/>
              <w:rPr>
                <w:sz w:val="20"/>
                <w:szCs w:val="20"/>
                <w:color w:val="auto"/>
              </w:rPr>
            </w:pPr>
            <w:r>
              <w:rPr>
                <w:rFonts w:ascii="Arial" w:cs="Arial" w:eastAsia="Arial" w:hAnsi="Arial"/>
                <w:sz w:val="16"/>
                <w:szCs w:val="16"/>
                <w:b w:val="1"/>
                <w:bCs w:val="1"/>
                <w:color w:val="auto"/>
              </w:rPr>
              <w:t>2024</w:t>
            </w:r>
          </w:p>
        </w:tc>
      </w:tr>
      <w:tr>
        <w:trPr>
          <w:trHeight w:val="259"/>
        </w:trPr>
        <w:tc>
          <w:tcPr>
            <w:tcW w:w="5560" w:type="dxa"/>
            <w:vAlign w:val="bottom"/>
          </w:tcPr>
          <w:p>
            <w:pPr>
              <w:ind w:left="20"/>
              <w:spacing w:after="0"/>
              <w:rPr>
                <w:sz w:val="20"/>
                <w:szCs w:val="20"/>
                <w:color w:val="auto"/>
              </w:rPr>
            </w:pPr>
            <w:r>
              <w:rPr>
                <w:rFonts w:ascii="Arial" w:cs="Arial" w:eastAsia="Arial" w:hAnsi="Arial"/>
                <w:sz w:val="16"/>
                <w:szCs w:val="16"/>
                <w:b w:val="1"/>
                <w:bCs w:val="1"/>
                <w:color w:val="0D64EF"/>
              </w:rPr>
              <w:t>Interest expense on long-term debt and junior subordinated notes</w:t>
            </w:r>
          </w:p>
        </w:tc>
        <w:tc>
          <w:tcPr>
            <w:tcW w:w="120" w:type="dxa"/>
            <w:vAlign w:val="bottom"/>
          </w:tcPr>
          <w:p>
            <w:pPr>
              <w:spacing w:after="0"/>
              <w:rPr>
                <w:sz w:val="22"/>
                <w:szCs w:val="22"/>
                <w:color w:val="auto"/>
              </w:rPr>
            </w:pPr>
          </w:p>
        </w:tc>
        <w:tc>
          <w:tcPr>
            <w:tcW w:w="22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20" w:type="dxa"/>
            <w:vAlign w:val="bottom"/>
          </w:tcPr>
          <w:p>
            <w:pPr>
              <w:spacing w:after="0"/>
              <w:rPr>
                <w:sz w:val="22"/>
                <w:szCs w:val="22"/>
                <w:color w:val="auto"/>
              </w:rPr>
            </w:pPr>
          </w:p>
        </w:tc>
        <w:tc>
          <w:tcPr>
            <w:tcW w:w="700" w:type="dxa"/>
            <w:vAlign w:val="bottom"/>
          </w:tcPr>
          <w:p>
            <w:pPr>
              <w:spacing w:after="0"/>
              <w:rPr>
                <w:sz w:val="22"/>
                <w:szCs w:val="22"/>
                <w:color w:val="auto"/>
              </w:rPr>
            </w:pPr>
          </w:p>
        </w:tc>
      </w:tr>
      <w:tr>
        <w:trPr>
          <w:trHeight w:val="230"/>
        </w:trPr>
        <w:tc>
          <w:tcPr>
            <w:tcW w:w="5560" w:type="dxa"/>
            <w:vAlign w:val="bottom"/>
          </w:tcPr>
          <w:p>
            <w:pPr>
              <w:ind w:left="20"/>
              <w:spacing w:after="0"/>
              <w:rPr>
                <w:sz w:val="20"/>
                <w:szCs w:val="20"/>
                <w:color w:val="auto"/>
              </w:rPr>
            </w:pPr>
            <w:r>
              <w:rPr>
                <w:rFonts w:ascii="Arial" w:cs="Arial" w:eastAsia="Arial" w:hAnsi="Arial"/>
                <w:sz w:val="16"/>
                <w:szCs w:val="16"/>
                <w:color w:val="auto"/>
              </w:rPr>
              <w:t>Canadian dollar-denominated</w:t>
            </w:r>
          </w:p>
        </w:tc>
        <w:tc>
          <w:tcPr>
            <w:tcW w:w="2340" w:type="dxa"/>
            <w:vAlign w:val="bottom"/>
            <w:gridSpan w:val="2"/>
          </w:tcPr>
          <w:p>
            <w:pPr>
              <w:jc w:val="right"/>
              <w:ind w:right="859"/>
              <w:spacing w:after="0"/>
              <w:rPr>
                <w:sz w:val="20"/>
                <w:szCs w:val="20"/>
                <w:color w:val="auto"/>
              </w:rPr>
            </w:pPr>
            <w:r>
              <w:rPr>
                <w:rFonts w:ascii="Arial" w:cs="Arial" w:eastAsia="Arial" w:hAnsi="Arial"/>
                <w:sz w:val="16"/>
                <w:szCs w:val="16"/>
                <w:b w:val="1"/>
                <w:bCs w:val="1"/>
                <w:color w:val="auto"/>
              </w:rPr>
              <w:t>(215)</w:t>
            </w:r>
          </w:p>
        </w:tc>
        <w:tc>
          <w:tcPr>
            <w:tcW w:w="500" w:type="dxa"/>
            <w:vAlign w:val="bottom"/>
          </w:tcPr>
          <w:p>
            <w:pPr>
              <w:jc w:val="right"/>
              <w:spacing w:after="0"/>
              <w:rPr>
                <w:sz w:val="20"/>
                <w:szCs w:val="20"/>
                <w:color w:val="auto"/>
              </w:rPr>
            </w:pPr>
            <w:r>
              <w:rPr>
                <w:rFonts w:ascii="Arial" w:cs="Arial" w:eastAsia="Arial" w:hAnsi="Arial"/>
                <w:sz w:val="16"/>
                <w:szCs w:val="16"/>
                <w:color w:val="auto"/>
              </w:rPr>
              <w:t>(200)</w:t>
            </w:r>
          </w:p>
        </w:tc>
        <w:tc>
          <w:tcPr>
            <w:tcW w:w="120" w:type="dxa"/>
            <w:vAlign w:val="bottom"/>
          </w:tcPr>
          <w:p>
            <w:pPr>
              <w:spacing w:after="0"/>
              <w:rPr>
                <w:sz w:val="19"/>
                <w:szCs w:val="19"/>
                <w:color w:val="auto"/>
              </w:rPr>
            </w:pPr>
          </w:p>
        </w:tc>
        <w:tc>
          <w:tcPr>
            <w:tcW w:w="2020" w:type="dxa"/>
            <w:vAlign w:val="bottom"/>
          </w:tcPr>
          <w:p>
            <w:pPr>
              <w:jc w:val="right"/>
              <w:ind w:right="659"/>
              <w:spacing w:after="0"/>
              <w:rPr>
                <w:sz w:val="20"/>
                <w:szCs w:val="20"/>
                <w:color w:val="auto"/>
              </w:rPr>
            </w:pPr>
            <w:r>
              <w:rPr>
                <w:rFonts w:ascii="Arial" w:cs="Arial" w:eastAsia="Arial" w:hAnsi="Arial"/>
                <w:sz w:val="16"/>
                <w:szCs w:val="16"/>
                <w:b w:val="1"/>
                <w:bCs w:val="1"/>
                <w:color w:val="auto"/>
              </w:rPr>
              <w:t>(816)</w:t>
            </w:r>
          </w:p>
        </w:tc>
        <w:tc>
          <w:tcPr>
            <w:tcW w:w="700" w:type="dxa"/>
            <w:vAlign w:val="bottom"/>
          </w:tcPr>
          <w:p>
            <w:pPr>
              <w:jc w:val="right"/>
              <w:spacing w:after="0"/>
              <w:rPr>
                <w:sz w:val="20"/>
                <w:szCs w:val="20"/>
                <w:color w:val="auto"/>
              </w:rPr>
            </w:pPr>
            <w:r>
              <w:rPr>
                <w:rFonts w:ascii="Arial" w:cs="Arial" w:eastAsia="Arial" w:hAnsi="Arial"/>
                <w:sz w:val="16"/>
                <w:szCs w:val="16"/>
                <w:color w:val="auto"/>
              </w:rPr>
              <w:t>(856)</w:t>
            </w:r>
          </w:p>
        </w:tc>
      </w:tr>
      <w:tr>
        <w:trPr>
          <w:trHeight w:val="229"/>
        </w:trPr>
        <w:tc>
          <w:tcPr>
            <w:tcW w:w="5560" w:type="dxa"/>
            <w:vAlign w:val="bottom"/>
          </w:tcPr>
          <w:p>
            <w:pPr>
              <w:ind w:left="20"/>
              <w:spacing w:after="0"/>
              <w:rPr>
                <w:sz w:val="20"/>
                <w:szCs w:val="20"/>
                <w:color w:val="auto"/>
              </w:rPr>
            </w:pPr>
            <w:r>
              <w:rPr>
                <w:rFonts w:ascii="Arial" w:cs="Arial" w:eastAsia="Arial" w:hAnsi="Arial"/>
                <w:sz w:val="16"/>
                <w:szCs w:val="16"/>
                <w:color w:val="auto"/>
              </w:rPr>
              <w:t>U.S. dollar-denominated</w:t>
            </w:r>
          </w:p>
        </w:tc>
        <w:tc>
          <w:tcPr>
            <w:tcW w:w="2340" w:type="dxa"/>
            <w:vAlign w:val="bottom"/>
            <w:gridSpan w:val="2"/>
          </w:tcPr>
          <w:p>
            <w:pPr>
              <w:jc w:val="right"/>
              <w:ind w:right="859"/>
              <w:spacing w:after="0"/>
              <w:rPr>
                <w:sz w:val="20"/>
                <w:szCs w:val="20"/>
                <w:color w:val="auto"/>
              </w:rPr>
            </w:pPr>
            <w:r>
              <w:rPr>
                <w:rFonts w:ascii="Arial" w:cs="Arial" w:eastAsia="Arial" w:hAnsi="Arial"/>
                <w:sz w:val="16"/>
                <w:szCs w:val="16"/>
                <w:b w:val="1"/>
                <w:bCs w:val="1"/>
                <w:color w:val="auto"/>
              </w:rPr>
              <w:t>(434)</w:t>
            </w:r>
          </w:p>
        </w:tc>
        <w:tc>
          <w:tcPr>
            <w:tcW w:w="500" w:type="dxa"/>
            <w:vAlign w:val="bottom"/>
          </w:tcPr>
          <w:p>
            <w:pPr>
              <w:jc w:val="right"/>
              <w:spacing w:after="0"/>
              <w:rPr>
                <w:sz w:val="20"/>
                <w:szCs w:val="20"/>
                <w:color w:val="auto"/>
              </w:rPr>
            </w:pPr>
            <w:r>
              <w:rPr>
                <w:rFonts w:ascii="Arial" w:cs="Arial" w:eastAsia="Arial" w:hAnsi="Arial"/>
                <w:sz w:val="16"/>
                <w:szCs w:val="16"/>
                <w:color w:val="auto"/>
              </w:rPr>
              <w:t>(440)</w:t>
            </w:r>
          </w:p>
        </w:tc>
        <w:tc>
          <w:tcPr>
            <w:tcW w:w="120" w:type="dxa"/>
            <w:vAlign w:val="bottom"/>
          </w:tcPr>
          <w:p>
            <w:pPr>
              <w:spacing w:after="0"/>
              <w:rPr>
                <w:sz w:val="19"/>
                <w:szCs w:val="19"/>
                <w:color w:val="auto"/>
              </w:rPr>
            </w:pPr>
          </w:p>
        </w:tc>
        <w:tc>
          <w:tcPr>
            <w:tcW w:w="2020" w:type="dxa"/>
            <w:vAlign w:val="bottom"/>
          </w:tcPr>
          <w:p>
            <w:pPr>
              <w:jc w:val="right"/>
              <w:ind w:right="659"/>
              <w:spacing w:after="0"/>
              <w:rPr>
                <w:sz w:val="20"/>
                <w:szCs w:val="20"/>
                <w:color w:val="auto"/>
              </w:rPr>
            </w:pPr>
            <w:r>
              <w:rPr>
                <w:rFonts w:ascii="Arial" w:cs="Arial" w:eastAsia="Arial" w:hAnsi="Arial"/>
                <w:sz w:val="16"/>
                <w:szCs w:val="16"/>
                <w:b w:val="1"/>
                <w:bCs w:val="1"/>
                <w:color w:val="auto"/>
              </w:rPr>
              <w:t>(1,716)</w:t>
            </w:r>
          </w:p>
        </w:tc>
        <w:tc>
          <w:tcPr>
            <w:tcW w:w="700" w:type="dxa"/>
            <w:vAlign w:val="bottom"/>
          </w:tcPr>
          <w:p>
            <w:pPr>
              <w:jc w:val="right"/>
              <w:spacing w:after="0"/>
              <w:rPr>
                <w:sz w:val="20"/>
                <w:szCs w:val="20"/>
                <w:color w:val="auto"/>
              </w:rPr>
            </w:pPr>
            <w:r>
              <w:rPr>
                <w:rFonts w:ascii="Arial" w:cs="Arial" w:eastAsia="Arial" w:hAnsi="Arial"/>
                <w:sz w:val="16"/>
                <w:szCs w:val="16"/>
                <w:color w:val="auto"/>
              </w:rPr>
              <w:t>(1,855)</w:t>
            </w:r>
          </w:p>
        </w:tc>
      </w:tr>
      <w:tr>
        <w:trPr>
          <w:trHeight w:val="233"/>
        </w:trPr>
        <w:tc>
          <w:tcPr>
            <w:tcW w:w="55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Foreign exchange impact</w:t>
            </w:r>
          </w:p>
        </w:tc>
        <w:tc>
          <w:tcPr>
            <w:tcW w:w="2340" w:type="dxa"/>
            <w:vAlign w:val="bottom"/>
            <w:tcBorders>
              <w:bottom w:val="single" w:sz="8" w:color="auto"/>
            </w:tcBorders>
            <w:gridSpan w:val="2"/>
          </w:tcPr>
          <w:p>
            <w:pPr>
              <w:jc w:val="right"/>
              <w:ind w:right="859"/>
              <w:spacing w:after="0"/>
              <w:rPr>
                <w:sz w:val="20"/>
                <w:szCs w:val="20"/>
                <w:color w:val="auto"/>
              </w:rPr>
            </w:pPr>
            <w:r>
              <w:rPr>
                <w:rFonts w:ascii="Arial" w:cs="Arial" w:eastAsia="Arial" w:hAnsi="Arial"/>
                <w:sz w:val="16"/>
                <w:szCs w:val="16"/>
                <w:b w:val="1"/>
                <w:bCs w:val="1"/>
                <w:color w:val="auto"/>
              </w:rPr>
              <w:t>(172)</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(175)</w:t>
            </w:r>
          </w:p>
        </w:tc>
        <w:tc>
          <w:tcPr>
            <w:tcW w:w="12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b w:val="1"/>
                <w:bCs w:val="1"/>
                <w:color w:val="auto"/>
              </w:rPr>
              <w:t>(683)</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(685)</w:t>
            </w:r>
          </w:p>
        </w:tc>
      </w:tr>
      <w:tr>
        <w:trPr>
          <w:trHeight w:val="220"/>
        </w:trPr>
        <w:tc>
          <w:tcPr>
            <w:tcW w:w="5560" w:type="dxa"/>
            <w:vAlign w:val="bottom"/>
          </w:tcPr>
          <w:p>
            <w:pPr>
              <w:spacing w:after="0"/>
              <w:rPr>
                <w:sz w:val="19"/>
                <w:szCs w:val="19"/>
                <w:color w:val="auto"/>
              </w:rPr>
            </w:pPr>
          </w:p>
        </w:tc>
        <w:tc>
          <w:tcPr>
            <w:tcW w:w="2340" w:type="dxa"/>
            <w:vAlign w:val="bottom"/>
            <w:gridSpan w:val="2"/>
          </w:tcPr>
          <w:p>
            <w:pPr>
              <w:jc w:val="right"/>
              <w:ind w:right="859"/>
              <w:spacing w:after="0"/>
              <w:rPr>
                <w:sz w:val="20"/>
                <w:szCs w:val="20"/>
                <w:color w:val="auto"/>
              </w:rPr>
            </w:pPr>
            <w:r>
              <w:rPr>
                <w:rFonts w:ascii="Arial" w:cs="Arial" w:eastAsia="Arial" w:hAnsi="Arial"/>
                <w:sz w:val="16"/>
                <w:szCs w:val="16"/>
                <w:b w:val="1"/>
                <w:bCs w:val="1"/>
                <w:color w:val="auto"/>
              </w:rPr>
              <w:t>(821)</w:t>
            </w:r>
          </w:p>
        </w:tc>
        <w:tc>
          <w:tcPr>
            <w:tcW w:w="500" w:type="dxa"/>
            <w:vAlign w:val="bottom"/>
          </w:tcPr>
          <w:p>
            <w:pPr>
              <w:jc w:val="right"/>
              <w:spacing w:after="0"/>
              <w:rPr>
                <w:sz w:val="20"/>
                <w:szCs w:val="20"/>
                <w:color w:val="auto"/>
              </w:rPr>
            </w:pPr>
            <w:r>
              <w:rPr>
                <w:rFonts w:ascii="Arial" w:cs="Arial" w:eastAsia="Arial" w:hAnsi="Arial"/>
                <w:sz w:val="16"/>
                <w:szCs w:val="16"/>
                <w:color w:val="auto"/>
              </w:rPr>
              <w:t>(815)</w:t>
            </w:r>
          </w:p>
        </w:tc>
        <w:tc>
          <w:tcPr>
            <w:tcW w:w="120" w:type="dxa"/>
            <w:vAlign w:val="bottom"/>
          </w:tcPr>
          <w:p>
            <w:pPr>
              <w:spacing w:after="0"/>
              <w:rPr>
                <w:sz w:val="19"/>
                <w:szCs w:val="19"/>
                <w:color w:val="auto"/>
              </w:rPr>
            </w:pPr>
          </w:p>
        </w:tc>
        <w:tc>
          <w:tcPr>
            <w:tcW w:w="2020" w:type="dxa"/>
            <w:vAlign w:val="bottom"/>
          </w:tcPr>
          <w:p>
            <w:pPr>
              <w:jc w:val="right"/>
              <w:ind w:right="659"/>
              <w:spacing w:after="0"/>
              <w:rPr>
                <w:sz w:val="20"/>
                <w:szCs w:val="20"/>
                <w:color w:val="auto"/>
              </w:rPr>
            </w:pPr>
            <w:r>
              <w:rPr>
                <w:rFonts w:ascii="Arial" w:cs="Arial" w:eastAsia="Arial" w:hAnsi="Arial"/>
                <w:sz w:val="16"/>
                <w:szCs w:val="16"/>
                <w:b w:val="1"/>
                <w:bCs w:val="1"/>
                <w:color w:val="auto"/>
              </w:rPr>
              <w:t>(3,215)</w:t>
            </w:r>
          </w:p>
        </w:tc>
        <w:tc>
          <w:tcPr>
            <w:tcW w:w="700" w:type="dxa"/>
            <w:vAlign w:val="bottom"/>
          </w:tcPr>
          <w:p>
            <w:pPr>
              <w:jc w:val="right"/>
              <w:spacing w:after="0"/>
              <w:rPr>
                <w:sz w:val="20"/>
                <w:szCs w:val="20"/>
                <w:color w:val="auto"/>
              </w:rPr>
            </w:pPr>
            <w:r>
              <w:rPr>
                <w:rFonts w:ascii="Arial" w:cs="Arial" w:eastAsia="Arial" w:hAnsi="Arial"/>
                <w:sz w:val="16"/>
                <w:szCs w:val="16"/>
                <w:color w:val="auto"/>
              </w:rPr>
              <w:t>(3,396)</w:t>
            </w:r>
          </w:p>
        </w:tc>
      </w:tr>
      <w:tr>
        <w:trPr>
          <w:trHeight w:val="229"/>
        </w:trPr>
        <w:tc>
          <w:tcPr>
            <w:tcW w:w="5560" w:type="dxa"/>
            <w:vAlign w:val="bottom"/>
          </w:tcPr>
          <w:p>
            <w:pPr>
              <w:ind w:left="20"/>
              <w:spacing w:after="0"/>
              <w:rPr>
                <w:sz w:val="20"/>
                <w:szCs w:val="20"/>
                <w:color w:val="auto"/>
              </w:rPr>
            </w:pPr>
            <w:r>
              <w:rPr>
                <w:rFonts w:ascii="Arial" w:cs="Arial" w:eastAsia="Arial" w:hAnsi="Arial"/>
                <w:sz w:val="16"/>
                <w:szCs w:val="16"/>
                <w:color w:val="auto"/>
              </w:rPr>
              <w:t>Other interest and amortization expense</w:t>
            </w:r>
          </w:p>
        </w:tc>
        <w:tc>
          <w:tcPr>
            <w:tcW w:w="2340" w:type="dxa"/>
            <w:vAlign w:val="bottom"/>
            <w:gridSpan w:val="2"/>
          </w:tcPr>
          <w:p>
            <w:pPr>
              <w:jc w:val="right"/>
              <w:ind w:right="859"/>
              <w:spacing w:after="0"/>
              <w:rPr>
                <w:sz w:val="20"/>
                <w:szCs w:val="20"/>
                <w:color w:val="auto"/>
              </w:rPr>
            </w:pPr>
            <w:r>
              <w:rPr>
                <w:rFonts w:ascii="Arial" w:cs="Arial" w:eastAsia="Arial" w:hAnsi="Arial"/>
                <w:sz w:val="16"/>
                <w:szCs w:val="16"/>
                <w:b w:val="1"/>
                <w:bCs w:val="1"/>
                <w:color w:val="auto"/>
              </w:rPr>
              <w:t>(56)</w:t>
            </w:r>
          </w:p>
        </w:tc>
        <w:tc>
          <w:tcPr>
            <w:tcW w:w="500" w:type="dxa"/>
            <w:vAlign w:val="bottom"/>
          </w:tcPr>
          <w:p>
            <w:pPr>
              <w:jc w:val="right"/>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19"/>
                <w:szCs w:val="19"/>
                <w:color w:val="auto"/>
              </w:rPr>
            </w:pPr>
          </w:p>
        </w:tc>
        <w:tc>
          <w:tcPr>
            <w:tcW w:w="2020" w:type="dxa"/>
            <w:vAlign w:val="bottom"/>
          </w:tcPr>
          <w:p>
            <w:pPr>
              <w:jc w:val="right"/>
              <w:ind w:right="659"/>
              <w:spacing w:after="0"/>
              <w:rPr>
                <w:sz w:val="20"/>
                <w:szCs w:val="20"/>
                <w:color w:val="auto"/>
              </w:rPr>
            </w:pPr>
            <w:r>
              <w:rPr>
                <w:rFonts w:ascii="Arial" w:cs="Arial" w:eastAsia="Arial" w:hAnsi="Arial"/>
                <w:sz w:val="16"/>
                <w:szCs w:val="16"/>
                <w:b w:val="1"/>
                <w:bCs w:val="1"/>
                <w:color w:val="auto"/>
              </w:rPr>
              <w:t>(204)</w:t>
            </w:r>
          </w:p>
        </w:tc>
        <w:tc>
          <w:tcPr>
            <w:tcW w:w="700" w:type="dxa"/>
            <w:vAlign w:val="bottom"/>
          </w:tcPr>
          <w:p>
            <w:pPr>
              <w:jc w:val="right"/>
              <w:spacing w:after="0"/>
              <w:rPr>
                <w:sz w:val="20"/>
                <w:szCs w:val="20"/>
                <w:color w:val="auto"/>
              </w:rPr>
            </w:pPr>
            <w:r>
              <w:rPr>
                <w:rFonts w:ascii="Arial" w:cs="Arial" w:eastAsia="Arial" w:hAnsi="Arial"/>
                <w:sz w:val="16"/>
                <w:szCs w:val="16"/>
                <w:color w:val="auto"/>
              </w:rPr>
              <w:t>(147)</w:t>
            </w:r>
          </w:p>
        </w:tc>
      </w:tr>
      <w:tr>
        <w:trPr>
          <w:trHeight w:val="230"/>
        </w:trPr>
        <w:tc>
          <w:tcPr>
            <w:tcW w:w="5560" w:type="dxa"/>
            <w:vAlign w:val="bottom"/>
          </w:tcPr>
          <w:p>
            <w:pPr>
              <w:ind w:left="20"/>
              <w:spacing w:after="0"/>
              <w:rPr>
                <w:sz w:val="20"/>
                <w:szCs w:val="20"/>
                <w:color w:val="auto"/>
              </w:rPr>
            </w:pPr>
            <w:r>
              <w:rPr>
                <w:rFonts w:ascii="Arial" w:cs="Arial" w:eastAsia="Arial" w:hAnsi="Arial"/>
                <w:sz w:val="16"/>
                <w:szCs w:val="16"/>
                <w:color w:val="auto"/>
              </w:rPr>
              <w:t>Capitalized interest</w:t>
            </w:r>
          </w:p>
        </w:tc>
        <w:tc>
          <w:tcPr>
            <w:tcW w:w="2340" w:type="dxa"/>
            <w:vAlign w:val="bottom"/>
            <w:gridSpan w:val="2"/>
          </w:tcPr>
          <w:p>
            <w:pPr>
              <w:jc w:val="right"/>
              <w:ind w:right="899"/>
              <w:spacing w:after="0"/>
              <w:rPr>
                <w:sz w:val="20"/>
                <w:szCs w:val="20"/>
                <w:color w:val="auto"/>
              </w:rPr>
            </w:pPr>
            <w:r>
              <w:rPr>
                <w:rFonts w:ascii="Arial" w:cs="Arial" w:eastAsia="Arial" w:hAnsi="Arial"/>
                <w:sz w:val="16"/>
                <w:szCs w:val="16"/>
                <w:b w:val="1"/>
                <w:bCs w:val="1"/>
                <w:color w:val="auto"/>
              </w:rPr>
              <w:t>3</w:t>
            </w:r>
          </w:p>
        </w:tc>
        <w:tc>
          <w:tcPr>
            <w:tcW w:w="500" w:type="dxa"/>
            <w:vAlign w:val="bottom"/>
          </w:tcPr>
          <w:p>
            <w:pPr>
              <w:jc w:val="right"/>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19"/>
                <w:szCs w:val="19"/>
                <w:color w:val="auto"/>
              </w:rPr>
            </w:pPr>
          </w:p>
        </w:tc>
        <w:tc>
          <w:tcPr>
            <w:tcW w:w="2020" w:type="dxa"/>
            <w:vAlign w:val="bottom"/>
          </w:tcPr>
          <w:p>
            <w:pPr>
              <w:jc w:val="right"/>
              <w:ind w:right="699"/>
              <w:spacing w:after="0"/>
              <w:rPr>
                <w:sz w:val="20"/>
                <w:szCs w:val="20"/>
                <w:color w:val="auto"/>
              </w:rPr>
            </w:pPr>
            <w:r>
              <w:rPr>
                <w:rFonts w:ascii="Arial" w:cs="Arial" w:eastAsia="Arial" w:hAnsi="Arial"/>
                <w:sz w:val="16"/>
                <w:szCs w:val="16"/>
                <w:b w:val="1"/>
                <w:bCs w:val="1"/>
                <w:color w:val="auto"/>
              </w:rPr>
              <w:t>10</w:t>
            </w:r>
          </w:p>
        </w:tc>
        <w:tc>
          <w:tcPr>
            <w:tcW w:w="700" w:type="dxa"/>
            <w:vAlign w:val="bottom"/>
          </w:tcPr>
          <w:p>
            <w:pPr>
              <w:jc w:val="right"/>
              <w:spacing w:after="0"/>
              <w:rPr>
                <w:sz w:val="20"/>
                <w:szCs w:val="20"/>
                <w:color w:val="auto"/>
              </w:rPr>
            </w:pPr>
            <w:r>
              <w:rPr>
                <w:rFonts w:ascii="Arial" w:cs="Arial" w:eastAsia="Arial" w:hAnsi="Arial"/>
                <w:sz w:val="16"/>
                <w:szCs w:val="16"/>
                <w:color w:val="auto"/>
              </w:rPr>
              <w:t>191</w:t>
            </w:r>
          </w:p>
        </w:tc>
      </w:tr>
      <w:tr>
        <w:trPr>
          <w:trHeight w:val="233"/>
        </w:trPr>
        <w:tc>
          <w:tcPr>
            <w:tcW w:w="55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Interest expense allocated to discontinued operations</w:t>
            </w:r>
          </w:p>
        </w:tc>
        <w:tc>
          <w:tcPr>
            <w:tcW w:w="12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tcPr>
          <w:p>
            <w:pPr>
              <w:jc w:val="right"/>
              <w:ind w:right="899"/>
              <w:spacing w:after="0"/>
              <w:rPr>
                <w:sz w:val="20"/>
                <w:szCs w:val="20"/>
                <w:color w:val="auto"/>
              </w:rPr>
            </w:pPr>
            <w:r>
              <w:rPr>
                <w:rFonts w:ascii="Arial" w:cs="Arial" w:eastAsia="Arial" w:hAnsi="Arial"/>
                <w:sz w:val="16"/>
                <w:szCs w:val="16"/>
                <w:b w:val="1"/>
                <w:bCs w:val="1"/>
                <w:color w:val="auto"/>
              </w:rPr>
              <w:t>—</w:t>
            </w:r>
          </w:p>
        </w:tc>
        <w:tc>
          <w:tcPr>
            <w:tcW w:w="62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2020" w:type="dxa"/>
            <w:vAlign w:val="bottom"/>
            <w:tcBorders>
              <w:bottom w:val="single" w:sz="8" w:color="auto"/>
            </w:tcBorders>
          </w:tcPr>
          <w:p>
            <w:pPr>
              <w:jc w:val="right"/>
              <w:ind w:right="699"/>
              <w:spacing w:after="0"/>
              <w:rPr>
                <w:sz w:val="20"/>
                <w:szCs w:val="20"/>
                <w:color w:val="auto"/>
              </w:rPr>
            </w:pPr>
            <w:r>
              <w:rPr>
                <w:rFonts w:ascii="Arial" w:cs="Arial" w:eastAsia="Arial" w:hAnsi="Arial"/>
                <w:sz w:val="16"/>
                <w:szCs w:val="16"/>
                <w:b w:val="1"/>
                <w:bCs w:val="1"/>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176</w:t>
            </w:r>
          </w:p>
        </w:tc>
      </w:tr>
      <w:tr>
        <w:trPr>
          <w:trHeight w:val="220"/>
        </w:trPr>
        <w:tc>
          <w:tcPr>
            <w:tcW w:w="5560" w:type="dxa"/>
            <w:vAlign w:val="bottom"/>
          </w:tcPr>
          <w:p>
            <w:pPr>
              <w:ind w:left="20"/>
              <w:spacing w:after="0"/>
              <w:rPr>
                <w:sz w:val="20"/>
                <w:szCs w:val="20"/>
                <w:color w:val="auto"/>
              </w:rPr>
            </w:pPr>
            <w:r>
              <w:rPr>
                <w:rFonts w:ascii="Arial" w:cs="Arial" w:eastAsia="Arial" w:hAnsi="Arial"/>
                <w:sz w:val="16"/>
                <w:szCs w:val="16"/>
                <w:b w:val="1"/>
                <w:bCs w:val="1"/>
                <w:color w:val="0D64EF"/>
              </w:rPr>
              <w:t>Interest expense included in comparable earnings</w:t>
            </w:r>
          </w:p>
        </w:tc>
        <w:tc>
          <w:tcPr>
            <w:tcW w:w="2340" w:type="dxa"/>
            <w:vAlign w:val="bottom"/>
            <w:gridSpan w:val="2"/>
          </w:tcPr>
          <w:p>
            <w:pPr>
              <w:jc w:val="right"/>
              <w:ind w:right="859"/>
              <w:spacing w:after="0"/>
              <w:rPr>
                <w:sz w:val="20"/>
                <w:szCs w:val="20"/>
                <w:color w:val="auto"/>
              </w:rPr>
            </w:pPr>
            <w:r>
              <w:rPr>
                <w:rFonts w:ascii="Arial" w:cs="Arial" w:eastAsia="Arial" w:hAnsi="Arial"/>
                <w:sz w:val="16"/>
                <w:szCs w:val="16"/>
                <w:b w:val="1"/>
                <w:bCs w:val="1"/>
                <w:color w:val="auto"/>
              </w:rPr>
              <w:t>(874)</w:t>
            </w:r>
          </w:p>
        </w:tc>
        <w:tc>
          <w:tcPr>
            <w:tcW w:w="500" w:type="dxa"/>
            <w:vAlign w:val="bottom"/>
          </w:tcPr>
          <w:p>
            <w:pPr>
              <w:jc w:val="right"/>
              <w:spacing w:after="0"/>
              <w:rPr>
                <w:sz w:val="20"/>
                <w:szCs w:val="20"/>
                <w:color w:val="auto"/>
              </w:rPr>
            </w:pPr>
            <w:r>
              <w:rPr>
                <w:rFonts w:ascii="Arial" w:cs="Arial" w:eastAsia="Arial" w:hAnsi="Arial"/>
                <w:sz w:val="16"/>
                <w:szCs w:val="16"/>
                <w:color w:val="auto"/>
              </w:rPr>
              <w:t>(836)</w:t>
            </w:r>
          </w:p>
        </w:tc>
        <w:tc>
          <w:tcPr>
            <w:tcW w:w="120" w:type="dxa"/>
            <w:vAlign w:val="bottom"/>
          </w:tcPr>
          <w:p>
            <w:pPr>
              <w:spacing w:after="0"/>
              <w:rPr>
                <w:sz w:val="19"/>
                <w:szCs w:val="19"/>
                <w:color w:val="auto"/>
              </w:rPr>
            </w:pPr>
          </w:p>
        </w:tc>
        <w:tc>
          <w:tcPr>
            <w:tcW w:w="2020" w:type="dxa"/>
            <w:vAlign w:val="bottom"/>
          </w:tcPr>
          <w:p>
            <w:pPr>
              <w:jc w:val="right"/>
              <w:ind w:right="659"/>
              <w:spacing w:after="0"/>
              <w:rPr>
                <w:sz w:val="20"/>
                <w:szCs w:val="20"/>
                <w:color w:val="auto"/>
              </w:rPr>
            </w:pPr>
            <w:r>
              <w:rPr>
                <w:rFonts w:ascii="Arial" w:cs="Arial" w:eastAsia="Arial" w:hAnsi="Arial"/>
                <w:sz w:val="16"/>
                <w:szCs w:val="16"/>
                <w:b w:val="1"/>
                <w:bCs w:val="1"/>
                <w:color w:val="auto"/>
              </w:rPr>
              <w:t>(3,409)</w:t>
            </w:r>
          </w:p>
        </w:tc>
        <w:tc>
          <w:tcPr>
            <w:tcW w:w="700" w:type="dxa"/>
            <w:vAlign w:val="bottom"/>
          </w:tcPr>
          <w:p>
            <w:pPr>
              <w:jc w:val="right"/>
              <w:spacing w:after="0"/>
              <w:rPr>
                <w:sz w:val="20"/>
                <w:szCs w:val="20"/>
                <w:color w:val="auto"/>
              </w:rPr>
            </w:pPr>
            <w:r>
              <w:rPr>
                <w:rFonts w:ascii="Arial" w:cs="Arial" w:eastAsia="Arial" w:hAnsi="Arial"/>
                <w:sz w:val="16"/>
                <w:szCs w:val="16"/>
                <w:color w:val="auto"/>
              </w:rPr>
              <w:t>(3,176)</w:t>
            </w:r>
          </w:p>
        </w:tc>
      </w:tr>
      <w:tr>
        <w:trPr>
          <w:trHeight w:val="221"/>
        </w:trPr>
        <w:tc>
          <w:tcPr>
            <w:tcW w:w="5560" w:type="dxa"/>
            <w:vAlign w:val="bottom"/>
          </w:tcPr>
          <w:p>
            <w:pPr>
              <w:ind w:left="20"/>
              <w:spacing w:after="0"/>
              <w:rPr>
                <w:sz w:val="20"/>
                <w:szCs w:val="20"/>
                <w:color w:val="auto"/>
              </w:rPr>
            </w:pPr>
            <w:r>
              <w:rPr>
                <w:rFonts w:ascii="Arial" w:cs="Arial" w:eastAsia="Arial" w:hAnsi="Arial"/>
                <w:sz w:val="16"/>
                <w:szCs w:val="16"/>
                <w:color w:val="auto"/>
              </w:rPr>
              <w:t>Specific item:</w:t>
            </w:r>
          </w:p>
        </w:tc>
        <w:tc>
          <w:tcPr>
            <w:tcW w:w="12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38"/>
        </w:trPr>
        <w:tc>
          <w:tcPr>
            <w:tcW w:w="5560" w:type="dxa"/>
            <w:vAlign w:val="bottom"/>
          </w:tcPr>
          <w:p>
            <w:pPr>
              <w:ind w:left="100"/>
              <w:spacing w:after="0"/>
              <w:rPr>
                <w:sz w:val="20"/>
                <w:szCs w:val="20"/>
                <w:color w:val="auto"/>
              </w:rPr>
            </w:pPr>
            <w:r>
              <w:rPr>
                <w:rFonts w:ascii="Arial" w:cs="Arial" w:eastAsia="Arial" w:hAnsi="Arial"/>
                <w:sz w:val="16"/>
                <w:szCs w:val="16"/>
                <w:color w:val="auto"/>
              </w:rPr>
              <w:t>Net gain on debt extinguishment</w:t>
            </w:r>
          </w:p>
        </w:tc>
        <w:tc>
          <w:tcPr>
            <w:tcW w:w="120" w:type="dxa"/>
            <w:vAlign w:val="bottom"/>
          </w:tcPr>
          <w:p>
            <w:pPr>
              <w:spacing w:after="0"/>
              <w:rPr>
                <w:sz w:val="20"/>
                <w:szCs w:val="20"/>
                <w:color w:val="auto"/>
              </w:rPr>
            </w:pPr>
          </w:p>
        </w:tc>
        <w:tc>
          <w:tcPr>
            <w:tcW w:w="2220" w:type="dxa"/>
            <w:vAlign w:val="bottom"/>
          </w:tcPr>
          <w:p>
            <w:pPr>
              <w:jc w:val="right"/>
              <w:ind w:right="899"/>
              <w:spacing w:after="0"/>
              <w:rPr>
                <w:sz w:val="20"/>
                <w:szCs w:val="20"/>
                <w:color w:val="auto"/>
              </w:rPr>
            </w:pPr>
            <w:r>
              <w:rPr>
                <w:rFonts w:ascii="Arial" w:cs="Arial" w:eastAsia="Arial" w:hAnsi="Arial"/>
                <w:sz w:val="16"/>
                <w:szCs w:val="16"/>
                <w:b w:val="1"/>
                <w:bCs w:val="1"/>
                <w:color w:val="auto"/>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228</w:t>
            </w:r>
          </w:p>
        </w:tc>
        <w:tc>
          <w:tcPr>
            <w:tcW w:w="120" w:type="dxa"/>
            <w:vAlign w:val="bottom"/>
          </w:tcPr>
          <w:p>
            <w:pPr>
              <w:spacing w:after="0"/>
              <w:rPr>
                <w:sz w:val="20"/>
                <w:szCs w:val="20"/>
                <w:color w:val="auto"/>
              </w:rPr>
            </w:pPr>
          </w:p>
        </w:tc>
        <w:tc>
          <w:tcPr>
            <w:tcW w:w="2020" w:type="dxa"/>
            <w:vAlign w:val="bottom"/>
          </w:tcPr>
          <w:p>
            <w:pPr>
              <w:jc w:val="right"/>
              <w:ind w:right="699"/>
              <w:spacing w:after="0"/>
              <w:rPr>
                <w:sz w:val="20"/>
                <w:szCs w:val="20"/>
                <w:color w:val="auto"/>
              </w:rPr>
            </w:pPr>
            <w:r>
              <w:rPr>
                <w:rFonts w:ascii="Arial" w:cs="Arial" w:eastAsia="Arial" w:hAnsi="Arial"/>
                <w:sz w:val="16"/>
                <w:szCs w:val="16"/>
                <w:b w:val="1"/>
                <w:bCs w:val="1"/>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228</w:t>
            </w:r>
          </w:p>
        </w:tc>
      </w:tr>
      <w:tr>
        <w:trPr>
          <w:trHeight w:val="233"/>
        </w:trPr>
        <w:tc>
          <w:tcPr>
            <w:tcW w:w="556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Risk management activities</w:t>
            </w:r>
          </w:p>
        </w:tc>
        <w:tc>
          <w:tcPr>
            <w:tcW w:w="2340" w:type="dxa"/>
            <w:vAlign w:val="bottom"/>
            <w:tcBorders>
              <w:bottom w:val="single" w:sz="8" w:color="auto"/>
            </w:tcBorders>
            <w:gridSpan w:val="2"/>
          </w:tcPr>
          <w:p>
            <w:pPr>
              <w:jc w:val="right"/>
              <w:ind w:right="899"/>
              <w:spacing w:after="0"/>
              <w:rPr>
                <w:sz w:val="20"/>
                <w:szCs w:val="20"/>
                <w:color w:val="auto"/>
              </w:rPr>
            </w:pPr>
            <w:r>
              <w:rPr>
                <w:rFonts w:ascii="Arial" w:cs="Arial" w:eastAsia="Arial" w:hAnsi="Arial"/>
                <w:sz w:val="16"/>
                <w:szCs w:val="16"/>
                <w:b w:val="1"/>
                <w:bCs w:val="1"/>
                <w:color w:val="auto"/>
              </w:rPr>
              <w:t>1</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w:t>
            </w:r>
          </w:p>
        </w:tc>
        <w:tc>
          <w:tcPr>
            <w:tcW w:w="12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tcPr>
          <w:p>
            <w:pPr>
              <w:jc w:val="right"/>
              <w:ind w:right="699"/>
              <w:spacing w:after="0"/>
              <w:rPr>
                <w:sz w:val="20"/>
                <w:szCs w:val="20"/>
                <w:color w:val="auto"/>
              </w:rPr>
            </w:pPr>
            <w:r>
              <w:rPr>
                <w:rFonts w:ascii="Arial" w:cs="Arial" w:eastAsia="Arial" w:hAnsi="Arial"/>
                <w:sz w:val="16"/>
                <w:szCs w:val="16"/>
                <w:b w:val="1"/>
                <w:bCs w:val="1"/>
                <w:color w:val="auto"/>
              </w:rPr>
              <w:t>2</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w:t>
            </w:r>
          </w:p>
        </w:tc>
      </w:tr>
      <w:tr>
        <w:trPr>
          <w:trHeight w:val="223"/>
        </w:trPr>
        <w:tc>
          <w:tcPr>
            <w:tcW w:w="55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0D64EF"/>
              </w:rPr>
              <w:t>Interest expense</w:t>
            </w:r>
          </w:p>
        </w:tc>
        <w:tc>
          <w:tcPr>
            <w:tcW w:w="2340" w:type="dxa"/>
            <w:vAlign w:val="bottom"/>
            <w:tcBorders>
              <w:bottom w:val="single" w:sz="8" w:color="auto"/>
            </w:tcBorders>
            <w:gridSpan w:val="2"/>
          </w:tcPr>
          <w:p>
            <w:pPr>
              <w:jc w:val="right"/>
              <w:ind w:right="859"/>
              <w:spacing w:after="0"/>
              <w:rPr>
                <w:sz w:val="20"/>
                <w:szCs w:val="20"/>
                <w:color w:val="auto"/>
              </w:rPr>
            </w:pPr>
            <w:r>
              <w:rPr>
                <w:rFonts w:ascii="Arial" w:cs="Arial" w:eastAsia="Arial" w:hAnsi="Arial"/>
                <w:sz w:val="16"/>
                <w:szCs w:val="16"/>
                <w:b w:val="1"/>
                <w:bCs w:val="1"/>
                <w:color w:val="auto"/>
              </w:rPr>
              <w:t>(873)</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(679)</w:t>
            </w:r>
          </w:p>
        </w:tc>
        <w:tc>
          <w:tcPr>
            <w:tcW w:w="12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b w:val="1"/>
                <w:bCs w:val="1"/>
                <w:color w:val="auto"/>
              </w:rPr>
              <w:t>(3,407)</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(3,019)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TC Energy </w:t>
      </w:r>
      <w:r>
        <w:rPr>
          <w:rFonts w:ascii="Arial" w:cs="Arial" w:eastAsia="Arial" w:hAnsi="Arial"/>
          <w:sz w:val="18"/>
          <w:szCs w:val="18"/>
          <w:b w:val="1"/>
          <w:bCs w:val="1"/>
          <w:color w:val="0D64EF"/>
        </w:rPr>
        <w:t>Fourth Quarter</w:t>
      </w:r>
      <w:r>
        <w:rPr>
          <w:rFonts w:ascii="Arial" w:cs="Arial" w:eastAsia="Arial" w:hAnsi="Arial"/>
          <w:sz w:val="18"/>
          <w:szCs w:val="18"/>
          <w:color w:val="auto"/>
        </w:rPr>
        <w:t xml:space="preserve"> News Release 2025 | 23</w:t>
      </w:r>
    </w:p>
    <w:p>
      <w:pPr>
        <w:sectPr>
          <w:pgSz w:w="11900" w:h="16838" w:orient="portrait"/>
          <w:cols w:equalWidth="0" w:num="1">
            <w:col w:w="11240"/>
          </w:cols>
          <w:pgMar w:left="320" w:top="1359" w:right="339" w:bottom="1440" w:gutter="0" w:footer="0" w:header="0"/>
        </w:sectPr>
      </w:pPr>
    </w:p>
    <w:bookmarkStart w:id="36" w:name="page37"/>
    <w:bookmarkEnd w:id="36"/>
    <w:p>
      <w:pPr>
        <w:ind w:right="540"/>
        <w:spacing w:after="0" w:line="297" w:lineRule="auto"/>
        <w:rPr>
          <w:sz w:val="20"/>
          <w:szCs w:val="20"/>
          <w:color w:val="auto"/>
        </w:rPr>
      </w:pPr>
      <w:r>
        <w:rPr>
          <w:rFonts w:ascii="Arial" w:cs="Arial" w:eastAsia="Arial" w:hAnsi="Arial"/>
          <w:sz w:val="18"/>
          <w:szCs w:val="18"/>
          <w:color w:val="auto"/>
        </w:rPr>
        <w:t>Interest expense increased by $194 million for the three months ended December 31, 2025 compared to the same period in 2024. The following specific items have been removed from our calculation of interest expense included in comparable earnings:</w:t>
      </w:r>
    </w:p>
    <w:p>
      <w:pPr>
        <w:spacing w:after="0" w:line="1" w:lineRule="exact"/>
        <w:rPr>
          <w:sz w:val="20"/>
          <w:szCs w:val="20"/>
          <w:color w:val="auto"/>
        </w:rPr>
      </w:pPr>
    </w:p>
    <w:p>
      <w:pPr>
        <w:ind w:left="180" w:right="140" w:hanging="172"/>
        <w:spacing w:after="0" w:line="305" w:lineRule="auto"/>
        <w:tabs>
          <w:tab w:leader="none" w:pos="148" w:val="left"/>
        </w:tabs>
        <w:numPr>
          <w:ilvl w:val="0"/>
          <w:numId w:val="51"/>
        </w:numPr>
        <w:rPr>
          <w:rFonts w:ascii="Arial" w:cs="Arial" w:eastAsia="Arial" w:hAnsi="Arial"/>
          <w:sz w:val="18"/>
          <w:szCs w:val="18"/>
          <w:color w:val="auto"/>
        </w:rPr>
      </w:pPr>
      <w:r>
        <w:rPr>
          <w:rFonts w:ascii="Arial" w:cs="Arial" w:eastAsia="Arial" w:hAnsi="Arial"/>
          <w:sz w:val="18"/>
          <w:szCs w:val="18"/>
          <w:color w:val="auto"/>
        </w:rPr>
        <w:t>pre-tax net gain on debt extinguishment of $228 million was recorded related to the purchase and cancellation of certain senior unsecured notes and medium term notes and the retirement of outstanding callable notes in October 2024</w:t>
      </w:r>
    </w:p>
    <w:p>
      <w:pPr>
        <w:ind w:left="140" w:hanging="132"/>
        <w:spacing w:after="0"/>
        <w:tabs>
          <w:tab w:leader="none" w:pos="1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unrealized gains and losses on derivatives used to manage our interest rate risk.</w:t>
      </w:r>
    </w:p>
    <w:p>
      <w:pPr>
        <w:spacing w:after="0" w:line="144" w:lineRule="exact"/>
        <w:rPr>
          <w:sz w:val="20"/>
          <w:szCs w:val="20"/>
          <w:color w:val="auto"/>
        </w:rPr>
      </w:pPr>
    </w:p>
    <w:p>
      <w:pPr>
        <w:ind w:right="80"/>
        <w:spacing w:after="0" w:line="305" w:lineRule="auto"/>
        <w:rPr>
          <w:sz w:val="20"/>
          <w:szCs w:val="20"/>
          <w:color w:val="auto"/>
        </w:rPr>
      </w:pPr>
      <w:r>
        <w:rPr>
          <w:rFonts w:ascii="Arial" w:cs="Arial" w:eastAsia="Arial" w:hAnsi="Arial"/>
          <w:sz w:val="18"/>
          <w:szCs w:val="18"/>
          <w:color w:val="auto"/>
        </w:rPr>
        <w:t>Interest expense included in comparable earnings increased by $38 million for the three months ended December 31, 2025 compared to the same period in 2024 primarily due to the net effect of:</w:t>
      </w:r>
    </w:p>
    <w:p>
      <w:pPr>
        <w:ind w:left="140" w:hanging="132"/>
        <w:spacing w:after="0"/>
        <w:tabs>
          <w:tab w:leader="none" w:pos="1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lower realized gains on derivatives used to manage our interest rate risk</w:t>
      </w:r>
    </w:p>
    <w:p>
      <w:pPr>
        <w:spacing w:after="0" w:line="49" w:lineRule="exact"/>
        <w:rPr>
          <w:rFonts w:ascii="Arial" w:cs="Arial" w:eastAsia="Arial" w:hAnsi="Arial"/>
          <w:sz w:val="18"/>
          <w:szCs w:val="18"/>
          <w:color w:val="auto"/>
        </w:rPr>
      </w:pPr>
    </w:p>
    <w:p>
      <w:pPr>
        <w:ind w:left="140" w:hanging="132"/>
        <w:spacing w:after="0"/>
        <w:tabs>
          <w:tab w:leader="none" w:pos="1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increased levels of short-term borrowing</w:t>
      </w:r>
    </w:p>
    <w:p>
      <w:pPr>
        <w:spacing w:after="0" w:line="49" w:lineRule="exact"/>
        <w:rPr>
          <w:rFonts w:ascii="Arial" w:cs="Arial" w:eastAsia="Arial" w:hAnsi="Arial"/>
          <w:sz w:val="18"/>
          <w:szCs w:val="18"/>
          <w:color w:val="auto"/>
        </w:rPr>
      </w:pPr>
    </w:p>
    <w:p>
      <w:pPr>
        <w:ind w:left="180" w:right="580" w:hanging="172"/>
        <w:spacing w:after="0" w:line="350" w:lineRule="auto"/>
        <w:tabs>
          <w:tab w:leader="none" w:pos="148" w:val="left"/>
        </w:tabs>
        <w:numPr>
          <w:ilvl w:val="0"/>
          <w:numId w:val="52"/>
        </w:numPr>
        <w:rPr>
          <w:rFonts w:ascii="Arial" w:cs="Arial" w:eastAsia="Arial" w:hAnsi="Arial"/>
          <w:sz w:val="18"/>
          <w:szCs w:val="18"/>
          <w:color w:val="auto"/>
        </w:rPr>
      </w:pPr>
      <w:r>
        <w:rPr>
          <w:rFonts w:ascii="Arial" w:cs="Arial" w:eastAsia="Arial" w:hAnsi="Arial"/>
          <w:sz w:val="18"/>
          <w:szCs w:val="18"/>
          <w:color w:val="auto"/>
        </w:rPr>
        <w:t>long-term debt issuances and maturities. Refer to Corporate - Financial condition section in the MD&amp;A of our 2025 Annual Report for additional information.</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b w:val="1"/>
          <w:bCs w:val="1"/>
          <w:color w:val="0D64EF"/>
        </w:rPr>
        <w:t>ALLOWANCE FOR FUNDS USED DURING CONSTRUCTION</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740" w:type="dxa"/>
            <w:vAlign w:val="bottom"/>
            <w:tcBorders>
              <w:top w:val="single" w:sz="8" w:color="0D64EF"/>
            </w:tcBorders>
            <w:shd w:val="clear" w:color="auto" w:fill="D1D0CF"/>
          </w:tcPr>
          <w:p>
            <w:pPr>
              <w:spacing w:after="0"/>
              <w:rPr>
                <w:sz w:val="16"/>
                <w:szCs w:val="16"/>
                <w:color w:val="auto"/>
              </w:rPr>
            </w:pPr>
          </w:p>
        </w:tc>
        <w:tc>
          <w:tcPr>
            <w:tcW w:w="120" w:type="dxa"/>
            <w:vAlign w:val="bottom"/>
            <w:tcBorders>
              <w:top w:val="single" w:sz="8" w:color="0D64EF"/>
            </w:tcBorders>
            <w:shd w:val="clear" w:color="auto" w:fill="D1D0CF"/>
          </w:tcPr>
          <w:p>
            <w:pPr>
              <w:spacing w:after="0"/>
              <w:rPr>
                <w:sz w:val="16"/>
                <w:szCs w:val="16"/>
                <w:color w:val="auto"/>
              </w:rPr>
            </w:pPr>
          </w:p>
        </w:tc>
        <w:tc>
          <w:tcPr>
            <w:tcW w:w="2160" w:type="dxa"/>
            <w:vAlign w:val="bottom"/>
            <w:tcBorders>
              <w:top w:val="single" w:sz="8" w:color="0D64EF"/>
            </w:tcBorders>
            <w:shd w:val="clear" w:color="auto" w:fill="D1D0CF"/>
          </w:tcPr>
          <w:p>
            <w:pPr>
              <w:jc w:val="right"/>
              <w:spacing w:after="0"/>
              <w:rPr>
                <w:sz w:val="20"/>
                <w:szCs w:val="20"/>
                <w:color w:val="auto"/>
              </w:rPr>
            </w:pPr>
            <w:r>
              <w:rPr>
                <w:rFonts w:ascii="Arial" w:cs="Arial" w:eastAsia="Arial" w:hAnsi="Arial"/>
                <w:sz w:val="16"/>
                <w:szCs w:val="16"/>
                <w:b w:val="1"/>
                <w:bCs w:val="1"/>
                <w:color w:val="auto"/>
              </w:rPr>
              <w:t>three months ended</w:t>
            </w:r>
          </w:p>
        </w:tc>
        <w:tc>
          <w:tcPr>
            <w:tcW w:w="460" w:type="dxa"/>
            <w:vAlign w:val="bottom"/>
            <w:tcBorders>
              <w:top w:val="single" w:sz="8" w:color="0D64EF"/>
            </w:tcBorders>
            <w:shd w:val="clear" w:color="auto" w:fill="D1D0CF"/>
          </w:tcPr>
          <w:p>
            <w:pPr>
              <w:spacing w:after="0"/>
              <w:rPr>
                <w:sz w:val="16"/>
                <w:szCs w:val="16"/>
                <w:color w:val="auto"/>
              </w:rPr>
            </w:pPr>
          </w:p>
        </w:tc>
        <w:tc>
          <w:tcPr>
            <w:tcW w:w="120" w:type="dxa"/>
            <w:vAlign w:val="bottom"/>
            <w:tcBorders>
              <w:top w:val="single" w:sz="8" w:color="0D64EF"/>
            </w:tcBorders>
            <w:shd w:val="clear" w:color="auto" w:fill="D1D0CF"/>
          </w:tcPr>
          <w:p>
            <w:pPr>
              <w:spacing w:after="0"/>
              <w:rPr>
                <w:sz w:val="16"/>
                <w:szCs w:val="16"/>
                <w:color w:val="auto"/>
              </w:rPr>
            </w:pPr>
          </w:p>
        </w:tc>
        <w:tc>
          <w:tcPr>
            <w:tcW w:w="2040" w:type="dxa"/>
            <w:vAlign w:val="bottom"/>
            <w:tcBorders>
              <w:top w:val="single" w:sz="8" w:color="0D64EF"/>
            </w:tcBorders>
            <w:shd w:val="clear" w:color="auto" w:fill="D1D0CF"/>
          </w:tcPr>
          <w:p>
            <w:pPr>
              <w:jc w:val="right"/>
              <w:ind w:right="239"/>
              <w:spacing w:after="0"/>
              <w:rPr>
                <w:sz w:val="20"/>
                <w:szCs w:val="20"/>
                <w:color w:val="auto"/>
              </w:rPr>
            </w:pPr>
            <w:r>
              <w:rPr>
                <w:rFonts w:ascii="Arial" w:cs="Arial" w:eastAsia="Arial" w:hAnsi="Arial"/>
                <w:sz w:val="16"/>
                <w:szCs w:val="16"/>
                <w:b w:val="1"/>
                <w:bCs w:val="1"/>
                <w:color w:val="auto"/>
              </w:rPr>
              <w:t>year ended</w:t>
            </w:r>
          </w:p>
        </w:tc>
        <w:tc>
          <w:tcPr>
            <w:tcW w:w="600" w:type="dxa"/>
            <w:vAlign w:val="bottom"/>
            <w:tcBorders>
              <w:top w:val="single" w:sz="8" w:color="0D64EF"/>
            </w:tcBorders>
            <w:shd w:val="clear" w:color="auto" w:fill="D1D0CF"/>
          </w:tcPr>
          <w:p>
            <w:pPr>
              <w:spacing w:after="0"/>
              <w:rPr>
                <w:sz w:val="16"/>
                <w:szCs w:val="16"/>
                <w:color w:val="auto"/>
              </w:rPr>
            </w:pPr>
          </w:p>
        </w:tc>
      </w:tr>
      <w:tr>
        <w:trPr>
          <w:trHeight w:val="224"/>
        </w:trPr>
        <w:tc>
          <w:tcPr>
            <w:tcW w:w="5740" w:type="dxa"/>
            <w:vAlign w:val="bottom"/>
            <w:tcBorders>
              <w:bottom w:val="single" w:sz="8" w:color="D1D0CF"/>
            </w:tcBorders>
            <w:shd w:val="clear" w:color="auto" w:fill="D1D0CF"/>
          </w:tcPr>
          <w:p>
            <w:pPr>
              <w:spacing w:after="0"/>
              <w:rPr>
                <w:sz w:val="19"/>
                <w:szCs w:val="19"/>
                <w:color w:val="auto"/>
              </w:rPr>
            </w:pPr>
          </w:p>
        </w:tc>
        <w:tc>
          <w:tcPr>
            <w:tcW w:w="120" w:type="dxa"/>
            <w:vAlign w:val="bottom"/>
            <w:tcBorders>
              <w:bottom w:val="single" w:sz="8" w:color="D1D0CF"/>
            </w:tcBorders>
            <w:shd w:val="clear" w:color="auto" w:fill="D1D0CF"/>
          </w:tcPr>
          <w:p>
            <w:pPr>
              <w:spacing w:after="0"/>
              <w:rPr>
                <w:sz w:val="19"/>
                <w:szCs w:val="19"/>
                <w:color w:val="auto"/>
              </w:rPr>
            </w:pPr>
          </w:p>
        </w:tc>
        <w:tc>
          <w:tcPr>
            <w:tcW w:w="2160" w:type="dxa"/>
            <w:vAlign w:val="bottom"/>
            <w:tcBorders>
              <w:bottom w:val="single" w:sz="8" w:color="0D64EF"/>
            </w:tcBorders>
            <w:shd w:val="clear" w:color="auto" w:fill="D1D0CF"/>
          </w:tcPr>
          <w:p>
            <w:pPr>
              <w:jc w:val="right"/>
              <w:ind w:right="259"/>
              <w:spacing w:after="0"/>
              <w:rPr>
                <w:sz w:val="20"/>
                <w:szCs w:val="20"/>
                <w:color w:val="auto"/>
              </w:rPr>
            </w:pPr>
            <w:r>
              <w:rPr>
                <w:rFonts w:ascii="Arial" w:cs="Arial" w:eastAsia="Arial" w:hAnsi="Arial"/>
                <w:sz w:val="16"/>
                <w:szCs w:val="16"/>
                <w:b w:val="1"/>
                <w:bCs w:val="1"/>
                <w:color w:val="auto"/>
              </w:rPr>
              <w:t>December 31</w:t>
            </w:r>
          </w:p>
        </w:tc>
        <w:tc>
          <w:tcPr>
            <w:tcW w:w="460" w:type="dxa"/>
            <w:vAlign w:val="bottom"/>
            <w:tcBorders>
              <w:bottom w:val="single" w:sz="8" w:color="0D64EF"/>
            </w:tcBorders>
            <w:shd w:val="clear" w:color="auto" w:fill="D1D0CF"/>
          </w:tcPr>
          <w:p>
            <w:pPr>
              <w:spacing w:after="0"/>
              <w:rPr>
                <w:sz w:val="19"/>
                <w:szCs w:val="19"/>
                <w:color w:val="auto"/>
              </w:rPr>
            </w:pPr>
          </w:p>
        </w:tc>
        <w:tc>
          <w:tcPr>
            <w:tcW w:w="120" w:type="dxa"/>
            <w:vAlign w:val="bottom"/>
            <w:tcBorders>
              <w:bottom w:val="single" w:sz="8" w:color="D1D0CF"/>
            </w:tcBorders>
            <w:shd w:val="clear" w:color="auto" w:fill="D1D0CF"/>
          </w:tcPr>
          <w:p>
            <w:pPr>
              <w:spacing w:after="0"/>
              <w:rPr>
                <w:sz w:val="19"/>
                <w:szCs w:val="19"/>
                <w:color w:val="auto"/>
              </w:rPr>
            </w:pPr>
          </w:p>
        </w:tc>
        <w:tc>
          <w:tcPr>
            <w:tcW w:w="2040" w:type="dxa"/>
            <w:vAlign w:val="bottom"/>
            <w:tcBorders>
              <w:bottom w:val="single" w:sz="8" w:color="0D64EF"/>
            </w:tcBorders>
            <w:shd w:val="clear" w:color="auto" w:fill="D1D0CF"/>
          </w:tcPr>
          <w:p>
            <w:pPr>
              <w:jc w:val="right"/>
              <w:ind w:right="139"/>
              <w:spacing w:after="0"/>
              <w:rPr>
                <w:sz w:val="20"/>
                <w:szCs w:val="20"/>
                <w:color w:val="auto"/>
              </w:rPr>
            </w:pPr>
            <w:r>
              <w:rPr>
                <w:rFonts w:ascii="Arial" w:cs="Arial" w:eastAsia="Arial" w:hAnsi="Arial"/>
                <w:sz w:val="16"/>
                <w:szCs w:val="16"/>
                <w:b w:val="1"/>
                <w:bCs w:val="1"/>
                <w:color w:val="auto"/>
              </w:rPr>
              <w:t>December 31</w:t>
            </w:r>
          </w:p>
        </w:tc>
        <w:tc>
          <w:tcPr>
            <w:tcW w:w="600" w:type="dxa"/>
            <w:vAlign w:val="bottom"/>
            <w:tcBorders>
              <w:bottom w:val="single" w:sz="8" w:color="0D64EF"/>
            </w:tcBorders>
            <w:shd w:val="clear" w:color="auto" w:fill="D1D0CF"/>
          </w:tcPr>
          <w:p>
            <w:pPr>
              <w:spacing w:after="0"/>
              <w:rPr>
                <w:sz w:val="19"/>
                <w:szCs w:val="19"/>
                <w:color w:val="auto"/>
              </w:rPr>
            </w:pPr>
          </w:p>
        </w:tc>
      </w:tr>
      <w:tr>
        <w:trPr>
          <w:trHeight w:val="226"/>
        </w:trPr>
        <w:tc>
          <w:tcPr>
            <w:tcW w:w="5740" w:type="dxa"/>
            <w:vAlign w:val="bottom"/>
            <w:tcBorders>
              <w:bottom w:val="single" w:sz="8" w:color="0D64EF"/>
            </w:tcBorders>
            <w:shd w:val="clear" w:color="auto" w:fill="D1D0CF"/>
          </w:tcPr>
          <w:p>
            <w:pPr>
              <w:ind w:left="20"/>
              <w:spacing w:after="0"/>
              <w:rPr>
                <w:sz w:val="20"/>
                <w:szCs w:val="20"/>
                <w:color w:val="auto"/>
              </w:rPr>
            </w:pPr>
            <w:r>
              <w:rPr>
                <w:rFonts w:ascii="Arial" w:cs="Arial" w:eastAsia="Arial" w:hAnsi="Arial"/>
                <w:sz w:val="16"/>
                <w:szCs w:val="16"/>
                <w:color w:val="auto"/>
              </w:rPr>
              <w:t>(millions of $)</w:t>
            </w:r>
          </w:p>
        </w:tc>
        <w:tc>
          <w:tcPr>
            <w:tcW w:w="120" w:type="dxa"/>
            <w:vAlign w:val="bottom"/>
            <w:tcBorders>
              <w:bottom w:val="single" w:sz="8" w:color="0D64EF"/>
            </w:tcBorders>
            <w:shd w:val="clear" w:color="auto" w:fill="D1D0CF"/>
          </w:tcPr>
          <w:p>
            <w:pPr>
              <w:spacing w:after="0"/>
              <w:rPr>
                <w:sz w:val="19"/>
                <w:szCs w:val="19"/>
                <w:color w:val="auto"/>
              </w:rPr>
            </w:pPr>
          </w:p>
        </w:tc>
        <w:tc>
          <w:tcPr>
            <w:tcW w:w="2160" w:type="dxa"/>
            <w:vAlign w:val="bottom"/>
            <w:tcBorders>
              <w:bottom w:val="single" w:sz="8" w:color="0D64EF"/>
            </w:tcBorders>
            <w:shd w:val="clear" w:color="auto" w:fill="D1D0CF"/>
          </w:tcPr>
          <w:p>
            <w:pPr>
              <w:jc w:val="right"/>
              <w:ind w:right="839"/>
              <w:spacing w:after="0"/>
              <w:rPr>
                <w:sz w:val="20"/>
                <w:szCs w:val="20"/>
                <w:color w:val="auto"/>
              </w:rPr>
            </w:pPr>
            <w:r>
              <w:rPr>
                <w:rFonts w:ascii="Arial" w:cs="Arial" w:eastAsia="Arial" w:hAnsi="Arial"/>
                <w:sz w:val="16"/>
                <w:szCs w:val="16"/>
                <w:b w:val="1"/>
                <w:bCs w:val="1"/>
                <w:color w:val="auto"/>
              </w:rPr>
              <w:t>2025</w:t>
            </w:r>
          </w:p>
        </w:tc>
        <w:tc>
          <w:tcPr>
            <w:tcW w:w="460" w:type="dxa"/>
            <w:vAlign w:val="bottom"/>
            <w:tcBorders>
              <w:bottom w:val="single" w:sz="8" w:color="0D64EF"/>
            </w:tcBorders>
            <w:shd w:val="clear" w:color="auto" w:fill="D1D0CF"/>
          </w:tcPr>
          <w:p>
            <w:pPr>
              <w:jc w:val="right"/>
              <w:spacing w:after="0"/>
              <w:rPr>
                <w:sz w:val="20"/>
                <w:szCs w:val="20"/>
                <w:color w:val="auto"/>
              </w:rPr>
            </w:pPr>
            <w:r>
              <w:rPr>
                <w:rFonts w:ascii="Arial" w:cs="Arial" w:eastAsia="Arial" w:hAnsi="Arial"/>
                <w:sz w:val="16"/>
                <w:szCs w:val="16"/>
                <w:b w:val="1"/>
                <w:bCs w:val="1"/>
                <w:color w:val="auto"/>
              </w:rPr>
              <w:t>2024</w:t>
            </w:r>
          </w:p>
        </w:tc>
        <w:tc>
          <w:tcPr>
            <w:tcW w:w="120" w:type="dxa"/>
            <w:vAlign w:val="bottom"/>
            <w:tcBorders>
              <w:bottom w:val="single" w:sz="8" w:color="0D64EF"/>
            </w:tcBorders>
            <w:shd w:val="clear" w:color="auto" w:fill="D1D0CF"/>
          </w:tcPr>
          <w:p>
            <w:pPr>
              <w:spacing w:after="0"/>
              <w:rPr>
                <w:sz w:val="19"/>
                <w:szCs w:val="19"/>
                <w:color w:val="auto"/>
              </w:rPr>
            </w:pPr>
          </w:p>
        </w:tc>
        <w:tc>
          <w:tcPr>
            <w:tcW w:w="2040" w:type="dxa"/>
            <w:vAlign w:val="bottom"/>
            <w:tcBorders>
              <w:bottom w:val="single" w:sz="8" w:color="0D64EF"/>
            </w:tcBorders>
            <w:shd w:val="clear" w:color="auto" w:fill="D1D0CF"/>
          </w:tcPr>
          <w:p>
            <w:pPr>
              <w:jc w:val="right"/>
              <w:ind w:right="719"/>
              <w:spacing w:after="0"/>
              <w:rPr>
                <w:sz w:val="20"/>
                <w:szCs w:val="20"/>
                <w:color w:val="auto"/>
              </w:rPr>
            </w:pPr>
            <w:r>
              <w:rPr>
                <w:rFonts w:ascii="Arial" w:cs="Arial" w:eastAsia="Arial" w:hAnsi="Arial"/>
                <w:sz w:val="16"/>
                <w:szCs w:val="16"/>
                <w:b w:val="1"/>
                <w:bCs w:val="1"/>
                <w:color w:val="auto"/>
              </w:rPr>
              <w:t>2025</w:t>
            </w:r>
          </w:p>
        </w:tc>
        <w:tc>
          <w:tcPr>
            <w:tcW w:w="600" w:type="dxa"/>
            <w:vAlign w:val="bottom"/>
            <w:tcBorders>
              <w:bottom w:val="single" w:sz="8" w:color="0D64EF"/>
            </w:tcBorders>
            <w:shd w:val="clear" w:color="auto" w:fill="D1D0CF"/>
          </w:tcPr>
          <w:p>
            <w:pPr>
              <w:jc w:val="right"/>
              <w:spacing w:after="0"/>
              <w:rPr>
                <w:sz w:val="20"/>
                <w:szCs w:val="20"/>
                <w:color w:val="auto"/>
              </w:rPr>
            </w:pPr>
            <w:r>
              <w:rPr>
                <w:rFonts w:ascii="Arial" w:cs="Arial" w:eastAsia="Arial" w:hAnsi="Arial"/>
                <w:sz w:val="16"/>
                <w:szCs w:val="16"/>
                <w:b w:val="1"/>
                <w:bCs w:val="1"/>
                <w:color w:val="auto"/>
              </w:rPr>
              <w:t>2024</w:t>
            </w:r>
          </w:p>
        </w:tc>
      </w:tr>
      <w:tr>
        <w:trPr>
          <w:trHeight w:val="259"/>
        </w:trPr>
        <w:tc>
          <w:tcPr>
            <w:tcW w:w="5740" w:type="dxa"/>
            <w:vAlign w:val="bottom"/>
          </w:tcPr>
          <w:p>
            <w:pPr>
              <w:ind w:left="20"/>
              <w:spacing w:after="0"/>
              <w:rPr>
                <w:sz w:val="20"/>
                <w:szCs w:val="20"/>
                <w:color w:val="auto"/>
              </w:rPr>
            </w:pPr>
            <w:r>
              <w:rPr>
                <w:rFonts w:ascii="Arial" w:cs="Arial" w:eastAsia="Arial" w:hAnsi="Arial"/>
                <w:sz w:val="16"/>
                <w:szCs w:val="16"/>
                <w:color w:val="auto"/>
              </w:rPr>
              <w:t>Canadian dollar-denominated</w:t>
            </w:r>
          </w:p>
        </w:tc>
        <w:tc>
          <w:tcPr>
            <w:tcW w:w="2280" w:type="dxa"/>
            <w:vAlign w:val="bottom"/>
            <w:gridSpan w:val="2"/>
          </w:tcPr>
          <w:p>
            <w:pPr>
              <w:jc w:val="right"/>
              <w:ind w:right="899"/>
              <w:spacing w:after="0"/>
              <w:rPr>
                <w:sz w:val="20"/>
                <w:szCs w:val="20"/>
                <w:color w:val="auto"/>
              </w:rPr>
            </w:pPr>
            <w:r>
              <w:rPr>
                <w:rFonts w:ascii="Arial" w:cs="Arial" w:eastAsia="Arial" w:hAnsi="Arial"/>
                <w:sz w:val="16"/>
                <w:szCs w:val="16"/>
                <w:b w:val="1"/>
                <w:bCs w:val="1"/>
                <w:color w:val="auto"/>
              </w:rPr>
              <w:t>14</w:t>
            </w:r>
          </w:p>
        </w:tc>
        <w:tc>
          <w:tcPr>
            <w:tcW w:w="460" w:type="dxa"/>
            <w:vAlign w:val="bottom"/>
          </w:tcPr>
          <w:p>
            <w:pPr>
              <w:jc w:val="right"/>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22"/>
                <w:szCs w:val="22"/>
                <w:color w:val="auto"/>
              </w:rPr>
            </w:pPr>
          </w:p>
        </w:tc>
        <w:tc>
          <w:tcPr>
            <w:tcW w:w="2040" w:type="dxa"/>
            <w:vAlign w:val="bottom"/>
          </w:tcPr>
          <w:p>
            <w:pPr>
              <w:jc w:val="right"/>
              <w:ind w:right="759"/>
              <w:spacing w:after="0"/>
              <w:rPr>
                <w:sz w:val="20"/>
                <w:szCs w:val="20"/>
                <w:color w:val="auto"/>
              </w:rPr>
            </w:pPr>
            <w:r>
              <w:rPr>
                <w:rFonts w:ascii="Arial" w:cs="Arial" w:eastAsia="Arial" w:hAnsi="Arial"/>
                <w:sz w:val="16"/>
                <w:szCs w:val="16"/>
                <w:b w:val="1"/>
                <w:bCs w:val="1"/>
                <w:color w:val="auto"/>
              </w:rPr>
              <w:t>51</w:t>
            </w:r>
          </w:p>
        </w:tc>
        <w:tc>
          <w:tcPr>
            <w:tcW w:w="600" w:type="dxa"/>
            <w:vAlign w:val="bottom"/>
          </w:tcPr>
          <w:p>
            <w:pPr>
              <w:jc w:val="right"/>
              <w:spacing w:after="0"/>
              <w:rPr>
                <w:sz w:val="20"/>
                <w:szCs w:val="20"/>
                <w:color w:val="auto"/>
              </w:rPr>
            </w:pPr>
            <w:r>
              <w:rPr>
                <w:rFonts w:ascii="Arial" w:cs="Arial" w:eastAsia="Arial" w:hAnsi="Arial"/>
                <w:sz w:val="16"/>
                <w:szCs w:val="16"/>
                <w:color w:val="auto"/>
              </w:rPr>
              <w:t>34</w:t>
            </w:r>
          </w:p>
        </w:tc>
      </w:tr>
      <w:tr>
        <w:trPr>
          <w:trHeight w:val="230"/>
        </w:trPr>
        <w:tc>
          <w:tcPr>
            <w:tcW w:w="5740" w:type="dxa"/>
            <w:vAlign w:val="bottom"/>
          </w:tcPr>
          <w:p>
            <w:pPr>
              <w:ind w:left="20"/>
              <w:spacing w:after="0"/>
              <w:rPr>
                <w:sz w:val="20"/>
                <w:szCs w:val="20"/>
                <w:color w:val="auto"/>
              </w:rPr>
            </w:pPr>
            <w:r>
              <w:rPr>
                <w:rFonts w:ascii="Arial" w:cs="Arial" w:eastAsia="Arial" w:hAnsi="Arial"/>
                <w:sz w:val="16"/>
                <w:szCs w:val="16"/>
                <w:color w:val="auto"/>
              </w:rPr>
              <w:t>U.S. dollar-denominated</w:t>
            </w:r>
          </w:p>
        </w:tc>
        <w:tc>
          <w:tcPr>
            <w:tcW w:w="2280" w:type="dxa"/>
            <w:vAlign w:val="bottom"/>
            <w:gridSpan w:val="2"/>
          </w:tcPr>
          <w:p>
            <w:pPr>
              <w:jc w:val="right"/>
              <w:ind w:right="899"/>
              <w:spacing w:after="0"/>
              <w:rPr>
                <w:sz w:val="20"/>
                <w:szCs w:val="20"/>
                <w:color w:val="auto"/>
              </w:rPr>
            </w:pPr>
            <w:r>
              <w:rPr>
                <w:rFonts w:ascii="Arial" w:cs="Arial" w:eastAsia="Arial" w:hAnsi="Arial"/>
                <w:sz w:val="16"/>
                <w:szCs w:val="16"/>
                <w:b w:val="1"/>
                <w:bCs w:val="1"/>
                <w:color w:val="auto"/>
              </w:rPr>
              <w:t>16</w:t>
            </w:r>
          </w:p>
        </w:tc>
        <w:tc>
          <w:tcPr>
            <w:tcW w:w="460" w:type="dxa"/>
            <w:vAlign w:val="bottom"/>
          </w:tcPr>
          <w:p>
            <w:pPr>
              <w:jc w:val="right"/>
              <w:spacing w:after="0"/>
              <w:rPr>
                <w:sz w:val="20"/>
                <w:szCs w:val="20"/>
                <w:color w:val="auto"/>
              </w:rPr>
            </w:pPr>
            <w:r>
              <w:rPr>
                <w:rFonts w:ascii="Arial" w:cs="Arial" w:eastAsia="Arial" w:hAnsi="Arial"/>
                <w:sz w:val="16"/>
                <w:szCs w:val="16"/>
                <w:color w:val="auto"/>
              </w:rPr>
              <w:t>159</w:t>
            </w:r>
          </w:p>
        </w:tc>
        <w:tc>
          <w:tcPr>
            <w:tcW w:w="120" w:type="dxa"/>
            <w:vAlign w:val="bottom"/>
          </w:tcPr>
          <w:p>
            <w:pPr>
              <w:spacing w:after="0"/>
              <w:rPr>
                <w:sz w:val="19"/>
                <w:szCs w:val="19"/>
                <w:color w:val="auto"/>
              </w:rPr>
            </w:pPr>
          </w:p>
        </w:tc>
        <w:tc>
          <w:tcPr>
            <w:tcW w:w="2040" w:type="dxa"/>
            <w:vAlign w:val="bottom"/>
          </w:tcPr>
          <w:p>
            <w:pPr>
              <w:jc w:val="right"/>
              <w:ind w:right="759"/>
              <w:spacing w:after="0"/>
              <w:rPr>
                <w:sz w:val="20"/>
                <w:szCs w:val="20"/>
                <w:color w:val="auto"/>
              </w:rPr>
            </w:pPr>
            <w:r>
              <w:rPr>
                <w:rFonts w:ascii="Arial" w:cs="Arial" w:eastAsia="Arial" w:hAnsi="Arial"/>
                <w:sz w:val="16"/>
                <w:szCs w:val="16"/>
                <w:b w:val="1"/>
                <w:bCs w:val="1"/>
                <w:color w:val="auto"/>
              </w:rPr>
              <w:t>284</w:t>
            </w:r>
          </w:p>
        </w:tc>
        <w:tc>
          <w:tcPr>
            <w:tcW w:w="600" w:type="dxa"/>
            <w:vAlign w:val="bottom"/>
          </w:tcPr>
          <w:p>
            <w:pPr>
              <w:jc w:val="right"/>
              <w:spacing w:after="0"/>
              <w:rPr>
                <w:sz w:val="20"/>
                <w:szCs w:val="20"/>
                <w:color w:val="auto"/>
              </w:rPr>
            </w:pPr>
            <w:r>
              <w:rPr>
                <w:rFonts w:ascii="Arial" w:cs="Arial" w:eastAsia="Arial" w:hAnsi="Arial"/>
                <w:sz w:val="16"/>
                <w:szCs w:val="16"/>
                <w:color w:val="auto"/>
              </w:rPr>
              <w:t>546</w:t>
            </w:r>
          </w:p>
        </w:tc>
      </w:tr>
      <w:tr>
        <w:trPr>
          <w:trHeight w:val="233"/>
        </w:trPr>
        <w:tc>
          <w:tcPr>
            <w:tcW w:w="57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Foreign exchange impact</w:t>
            </w:r>
          </w:p>
        </w:tc>
        <w:tc>
          <w:tcPr>
            <w:tcW w:w="2280" w:type="dxa"/>
            <w:vAlign w:val="bottom"/>
            <w:tcBorders>
              <w:bottom w:val="single" w:sz="8" w:color="auto"/>
            </w:tcBorders>
            <w:gridSpan w:val="2"/>
          </w:tcPr>
          <w:p>
            <w:pPr>
              <w:jc w:val="right"/>
              <w:ind w:right="899"/>
              <w:spacing w:after="0"/>
              <w:rPr>
                <w:sz w:val="20"/>
                <w:szCs w:val="20"/>
                <w:color w:val="auto"/>
              </w:rPr>
            </w:pPr>
            <w:r>
              <w:rPr>
                <w:rFonts w:ascii="Arial" w:cs="Arial" w:eastAsia="Arial" w:hAnsi="Arial"/>
                <w:sz w:val="16"/>
                <w:szCs w:val="16"/>
                <w:b w:val="1"/>
                <w:bCs w:val="1"/>
                <w:color w:val="auto"/>
              </w:rPr>
              <w:t>6</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w:t>
            </w:r>
          </w:p>
        </w:tc>
        <w:tc>
          <w:tcPr>
            <w:tcW w:w="12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tcPr>
          <w:p>
            <w:pPr>
              <w:jc w:val="right"/>
              <w:ind w:right="759"/>
              <w:spacing w:after="0"/>
              <w:rPr>
                <w:sz w:val="20"/>
                <w:szCs w:val="20"/>
                <w:color w:val="auto"/>
              </w:rPr>
            </w:pPr>
            <w:r>
              <w:rPr>
                <w:rFonts w:ascii="Arial" w:cs="Arial" w:eastAsia="Arial" w:hAnsi="Arial"/>
                <w:sz w:val="16"/>
                <w:szCs w:val="16"/>
                <w:b w:val="1"/>
                <w:bCs w:val="1"/>
                <w:color w:val="auto"/>
              </w:rPr>
              <w:t>118</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204</w:t>
            </w:r>
          </w:p>
        </w:tc>
      </w:tr>
      <w:tr>
        <w:trPr>
          <w:trHeight w:val="223"/>
        </w:trPr>
        <w:tc>
          <w:tcPr>
            <w:tcW w:w="57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0D64EF"/>
              </w:rPr>
              <w:t>Allowance for funds used during construction</w:t>
            </w:r>
          </w:p>
        </w:tc>
        <w:tc>
          <w:tcPr>
            <w:tcW w:w="2280" w:type="dxa"/>
            <w:vAlign w:val="bottom"/>
            <w:tcBorders>
              <w:bottom w:val="single" w:sz="8" w:color="auto"/>
            </w:tcBorders>
            <w:gridSpan w:val="2"/>
          </w:tcPr>
          <w:p>
            <w:pPr>
              <w:jc w:val="right"/>
              <w:ind w:right="899"/>
              <w:spacing w:after="0"/>
              <w:rPr>
                <w:sz w:val="20"/>
                <w:szCs w:val="20"/>
                <w:color w:val="auto"/>
              </w:rPr>
            </w:pPr>
            <w:r>
              <w:rPr>
                <w:rFonts w:ascii="Arial" w:cs="Arial" w:eastAsia="Arial" w:hAnsi="Arial"/>
                <w:sz w:val="16"/>
                <w:szCs w:val="16"/>
                <w:b w:val="1"/>
                <w:bCs w:val="1"/>
                <w:color w:val="auto"/>
              </w:rPr>
              <w:t>36</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233</w:t>
            </w:r>
          </w:p>
        </w:tc>
        <w:tc>
          <w:tcPr>
            <w:tcW w:w="12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jc w:val="right"/>
              <w:ind w:right="759"/>
              <w:spacing w:after="0"/>
              <w:rPr>
                <w:sz w:val="20"/>
                <w:szCs w:val="20"/>
                <w:color w:val="auto"/>
              </w:rPr>
            </w:pPr>
            <w:r>
              <w:rPr>
                <w:rFonts w:ascii="Arial" w:cs="Arial" w:eastAsia="Arial" w:hAnsi="Arial"/>
                <w:sz w:val="16"/>
                <w:szCs w:val="16"/>
                <w:b w:val="1"/>
                <w:bCs w:val="1"/>
                <w:color w:val="auto"/>
              </w:rPr>
              <w:t>453</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784</w:t>
            </w:r>
          </w:p>
        </w:tc>
      </w:tr>
    </w:tbl>
    <w:p>
      <w:pPr>
        <w:spacing w:after="0" w:line="184" w:lineRule="exact"/>
        <w:rPr>
          <w:sz w:val="20"/>
          <w:szCs w:val="20"/>
          <w:color w:val="auto"/>
        </w:rPr>
      </w:pPr>
    </w:p>
    <w:p>
      <w:pPr>
        <w:ind w:right="80"/>
        <w:spacing w:after="0" w:line="310" w:lineRule="auto"/>
        <w:rPr>
          <w:sz w:val="20"/>
          <w:szCs w:val="20"/>
          <w:color w:val="auto"/>
        </w:rPr>
      </w:pPr>
      <w:r>
        <w:rPr>
          <w:rFonts w:ascii="Arial" w:cs="Arial" w:eastAsia="Arial" w:hAnsi="Arial"/>
          <w:sz w:val="18"/>
          <w:szCs w:val="18"/>
          <w:color w:val="auto"/>
        </w:rPr>
        <w:t>AFUDC decreased by $197 million for the three months ended December 31, 2025 compared to the same period in 2024. The decrease in U.S. dollar-denominated AFUDC is mainly the result of the completion of the Southeast Gateway pipeline in second quarter 2025 and the suspension of AFUDC on the south section of the Villa de Reyes pipeline in first quarter 2025 due to ongoing construction delays on the project pending the resolution of outstanding stakeholder issues and U.S natural gas pipeline projects placed in service in 2025 compared to 2024.</w:t>
      </w:r>
    </w:p>
    <w:p>
      <w:pPr>
        <w:spacing w:after="0" w:line="103" w:lineRule="exact"/>
        <w:rPr>
          <w:sz w:val="20"/>
          <w:szCs w:val="20"/>
          <w:color w:val="auto"/>
        </w:rPr>
      </w:pPr>
    </w:p>
    <w:p>
      <w:pPr>
        <w:spacing w:after="0"/>
        <w:rPr>
          <w:sz w:val="20"/>
          <w:szCs w:val="20"/>
          <w:color w:val="auto"/>
        </w:rPr>
      </w:pPr>
      <w:r>
        <w:rPr>
          <w:rFonts w:ascii="Arial" w:cs="Arial" w:eastAsia="Arial" w:hAnsi="Arial"/>
          <w:sz w:val="20"/>
          <w:szCs w:val="20"/>
          <w:b w:val="1"/>
          <w:bCs w:val="1"/>
          <w:color w:val="0D64EF"/>
        </w:rPr>
        <w:t>FOREIGN EXCHANGE GAINS (LOSSES), NET</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0" w:type="dxa"/>
            <w:vAlign w:val="bottom"/>
            <w:tcBorders>
              <w:top w:val="single" w:sz="8" w:color="0D64EF"/>
            </w:tcBorders>
            <w:shd w:val="clear" w:color="auto" w:fill="D1D0CF"/>
          </w:tcPr>
          <w:p>
            <w:pPr>
              <w:spacing w:after="0"/>
              <w:rPr>
                <w:sz w:val="16"/>
                <w:szCs w:val="16"/>
                <w:color w:val="auto"/>
              </w:rPr>
            </w:pPr>
          </w:p>
        </w:tc>
        <w:tc>
          <w:tcPr>
            <w:tcW w:w="5760" w:type="dxa"/>
            <w:vAlign w:val="bottom"/>
            <w:tcBorders>
              <w:top w:val="single" w:sz="8" w:color="0D64EF"/>
            </w:tcBorders>
            <w:shd w:val="clear" w:color="auto" w:fill="D1D0CF"/>
          </w:tcPr>
          <w:p>
            <w:pPr>
              <w:spacing w:after="0"/>
              <w:rPr>
                <w:sz w:val="16"/>
                <w:szCs w:val="16"/>
                <w:color w:val="auto"/>
              </w:rPr>
            </w:pPr>
          </w:p>
        </w:tc>
        <w:tc>
          <w:tcPr>
            <w:tcW w:w="100" w:type="dxa"/>
            <w:vAlign w:val="bottom"/>
            <w:tcBorders>
              <w:top w:val="single" w:sz="8" w:color="0D64EF"/>
            </w:tcBorders>
            <w:shd w:val="clear" w:color="auto" w:fill="D1D0CF"/>
          </w:tcPr>
          <w:p>
            <w:pPr>
              <w:spacing w:after="0"/>
              <w:rPr>
                <w:sz w:val="16"/>
                <w:szCs w:val="16"/>
                <w:color w:val="auto"/>
              </w:rPr>
            </w:pPr>
          </w:p>
        </w:tc>
        <w:tc>
          <w:tcPr>
            <w:tcW w:w="2140" w:type="dxa"/>
            <w:vAlign w:val="bottom"/>
            <w:tcBorders>
              <w:top w:val="single" w:sz="8" w:color="0D64EF"/>
            </w:tcBorders>
            <w:shd w:val="clear" w:color="auto" w:fill="D1D0CF"/>
          </w:tcPr>
          <w:p>
            <w:pPr>
              <w:jc w:val="center"/>
              <w:ind w:left="399"/>
              <w:spacing w:after="0"/>
              <w:rPr>
                <w:sz w:val="20"/>
                <w:szCs w:val="20"/>
                <w:color w:val="auto"/>
              </w:rPr>
            </w:pPr>
            <w:r>
              <w:rPr>
                <w:rFonts w:ascii="Arial" w:cs="Arial" w:eastAsia="Arial" w:hAnsi="Arial"/>
                <w:sz w:val="16"/>
                <w:szCs w:val="16"/>
                <w:b w:val="1"/>
                <w:bCs w:val="1"/>
                <w:color w:val="auto"/>
              </w:rPr>
              <w:t>three months ended</w:t>
            </w:r>
          </w:p>
        </w:tc>
        <w:tc>
          <w:tcPr>
            <w:tcW w:w="480" w:type="dxa"/>
            <w:vAlign w:val="bottom"/>
            <w:tcBorders>
              <w:top w:val="single" w:sz="8" w:color="0D64EF"/>
            </w:tcBorders>
            <w:shd w:val="clear" w:color="auto" w:fill="D1D0CF"/>
          </w:tcPr>
          <w:p>
            <w:pPr>
              <w:spacing w:after="0"/>
              <w:rPr>
                <w:sz w:val="16"/>
                <w:szCs w:val="16"/>
                <w:color w:val="auto"/>
              </w:rPr>
            </w:pPr>
          </w:p>
        </w:tc>
        <w:tc>
          <w:tcPr>
            <w:tcW w:w="100" w:type="dxa"/>
            <w:vAlign w:val="bottom"/>
            <w:tcBorders>
              <w:top w:val="single" w:sz="8" w:color="0D64EF"/>
            </w:tcBorders>
            <w:shd w:val="clear" w:color="auto" w:fill="D1D0CF"/>
          </w:tcPr>
          <w:p>
            <w:pPr>
              <w:spacing w:after="0"/>
              <w:rPr>
                <w:sz w:val="16"/>
                <w:szCs w:val="16"/>
                <w:color w:val="auto"/>
              </w:rPr>
            </w:pPr>
          </w:p>
        </w:tc>
        <w:tc>
          <w:tcPr>
            <w:tcW w:w="2040" w:type="dxa"/>
            <w:vAlign w:val="bottom"/>
            <w:tcBorders>
              <w:top w:val="single" w:sz="8" w:color="0D64EF"/>
            </w:tcBorders>
            <w:shd w:val="clear" w:color="auto" w:fill="D1D0CF"/>
          </w:tcPr>
          <w:p>
            <w:pPr>
              <w:ind w:left="880"/>
              <w:spacing w:after="0"/>
              <w:rPr>
                <w:sz w:val="20"/>
                <w:szCs w:val="20"/>
                <w:color w:val="auto"/>
              </w:rPr>
            </w:pPr>
            <w:r>
              <w:rPr>
                <w:rFonts w:ascii="Arial" w:cs="Arial" w:eastAsia="Arial" w:hAnsi="Arial"/>
                <w:sz w:val="16"/>
                <w:szCs w:val="16"/>
                <w:b w:val="1"/>
                <w:bCs w:val="1"/>
                <w:color w:val="auto"/>
              </w:rPr>
              <w:t>year ended</w:t>
            </w:r>
          </w:p>
        </w:tc>
        <w:tc>
          <w:tcPr>
            <w:tcW w:w="600" w:type="dxa"/>
            <w:vAlign w:val="bottom"/>
            <w:tcBorders>
              <w:top w:val="single" w:sz="8" w:color="0D64EF"/>
            </w:tcBorders>
            <w:shd w:val="clear" w:color="auto" w:fill="D1D0CF"/>
          </w:tcPr>
          <w:p>
            <w:pPr>
              <w:spacing w:after="0"/>
              <w:rPr>
                <w:sz w:val="16"/>
                <w:szCs w:val="16"/>
                <w:color w:val="auto"/>
              </w:rPr>
            </w:pPr>
          </w:p>
        </w:tc>
      </w:tr>
      <w:tr>
        <w:trPr>
          <w:trHeight w:val="224"/>
        </w:trPr>
        <w:tc>
          <w:tcPr>
            <w:tcW w:w="20" w:type="dxa"/>
            <w:vAlign w:val="bottom"/>
            <w:tcBorders>
              <w:bottom w:val="single" w:sz="8" w:color="D1D0CF"/>
            </w:tcBorders>
            <w:shd w:val="clear" w:color="auto" w:fill="D1D0CF"/>
          </w:tcPr>
          <w:p>
            <w:pPr>
              <w:spacing w:after="0"/>
              <w:rPr>
                <w:sz w:val="19"/>
                <w:szCs w:val="19"/>
                <w:color w:val="auto"/>
              </w:rPr>
            </w:pPr>
          </w:p>
        </w:tc>
        <w:tc>
          <w:tcPr>
            <w:tcW w:w="5760" w:type="dxa"/>
            <w:vAlign w:val="bottom"/>
            <w:tcBorders>
              <w:bottom w:val="single" w:sz="8" w:color="D1D0CF"/>
            </w:tcBorders>
            <w:shd w:val="clear" w:color="auto" w:fill="D1D0CF"/>
          </w:tcPr>
          <w:p>
            <w:pPr>
              <w:spacing w:after="0"/>
              <w:rPr>
                <w:sz w:val="19"/>
                <w:szCs w:val="19"/>
                <w:color w:val="auto"/>
              </w:rPr>
            </w:pPr>
          </w:p>
        </w:tc>
        <w:tc>
          <w:tcPr>
            <w:tcW w:w="100" w:type="dxa"/>
            <w:vAlign w:val="bottom"/>
            <w:tcBorders>
              <w:bottom w:val="single" w:sz="8" w:color="D1D0CF"/>
            </w:tcBorders>
            <w:shd w:val="clear" w:color="auto" w:fill="D1D0CF"/>
          </w:tcPr>
          <w:p>
            <w:pPr>
              <w:spacing w:after="0"/>
              <w:rPr>
                <w:sz w:val="19"/>
                <w:szCs w:val="19"/>
                <w:color w:val="auto"/>
              </w:rPr>
            </w:pPr>
          </w:p>
        </w:tc>
        <w:tc>
          <w:tcPr>
            <w:tcW w:w="2140" w:type="dxa"/>
            <w:vAlign w:val="bottom"/>
            <w:tcBorders>
              <w:bottom w:val="single" w:sz="8" w:color="0D64EF"/>
            </w:tcBorders>
            <w:shd w:val="clear" w:color="auto" w:fill="D1D0CF"/>
          </w:tcPr>
          <w:p>
            <w:pPr>
              <w:jc w:val="center"/>
              <w:ind w:left="399"/>
              <w:spacing w:after="0"/>
              <w:rPr>
                <w:sz w:val="20"/>
                <w:szCs w:val="20"/>
                <w:color w:val="auto"/>
              </w:rPr>
            </w:pPr>
            <w:r>
              <w:rPr>
                <w:rFonts w:ascii="Arial" w:cs="Arial" w:eastAsia="Arial" w:hAnsi="Arial"/>
                <w:sz w:val="16"/>
                <w:szCs w:val="16"/>
                <w:b w:val="1"/>
                <w:bCs w:val="1"/>
                <w:color w:val="auto"/>
              </w:rPr>
              <w:t>December 31</w:t>
            </w:r>
          </w:p>
        </w:tc>
        <w:tc>
          <w:tcPr>
            <w:tcW w:w="480" w:type="dxa"/>
            <w:vAlign w:val="bottom"/>
            <w:tcBorders>
              <w:bottom w:val="single" w:sz="8" w:color="0D64EF"/>
            </w:tcBorders>
            <w:shd w:val="clear" w:color="auto" w:fill="D1D0CF"/>
          </w:tcPr>
          <w:p>
            <w:pPr>
              <w:spacing w:after="0"/>
              <w:rPr>
                <w:sz w:val="19"/>
                <w:szCs w:val="19"/>
                <w:color w:val="auto"/>
              </w:rPr>
            </w:pPr>
          </w:p>
        </w:tc>
        <w:tc>
          <w:tcPr>
            <w:tcW w:w="100" w:type="dxa"/>
            <w:vAlign w:val="bottom"/>
            <w:tcBorders>
              <w:bottom w:val="single" w:sz="8" w:color="D1D0CF"/>
            </w:tcBorders>
            <w:shd w:val="clear" w:color="auto" w:fill="D1D0CF"/>
          </w:tcPr>
          <w:p>
            <w:pPr>
              <w:spacing w:after="0"/>
              <w:rPr>
                <w:sz w:val="19"/>
                <w:szCs w:val="19"/>
                <w:color w:val="auto"/>
              </w:rPr>
            </w:pPr>
          </w:p>
        </w:tc>
        <w:tc>
          <w:tcPr>
            <w:tcW w:w="2040" w:type="dxa"/>
            <w:vAlign w:val="bottom"/>
            <w:tcBorders>
              <w:bottom w:val="single" w:sz="8" w:color="0D64EF"/>
            </w:tcBorders>
            <w:shd w:val="clear" w:color="auto" w:fill="D1D0CF"/>
          </w:tcPr>
          <w:p>
            <w:pPr>
              <w:jc w:val="right"/>
              <w:ind w:right="139"/>
              <w:spacing w:after="0"/>
              <w:rPr>
                <w:sz w:val="20"/>
                <w:szCs w:val="20"/>
                <w:color w:val="auto"/>
              </w:rPr>
            </w:pPr>
            <w:r>
              <w:rPr>
                <w:rFonts w:ascii="Arial" w:cs="Arial" w:eastAsia="Arial" w:hAnsi="Arial"/>
                <w:sz w:val="16"/>
                <w:szCs w:val="16"/>
                <w:b w:val="1"/>
                <w:bCs w:val="1"/>
                <w:color w:val="auto"/>
              </w:rPr>
              <w:t>December 31</w:t>
            </w:r>
          </w:p>
        </w:tc>
        <w:tc>
          <w:tcPr>
            <w:tcW w:w="600" w:type="dxa"/>
            <w:vAlign w:val="bottom"/>
            <w:tcBorders>
              <w:bottom w:val="single" w:sz="8" w:color="0D64EF"/>
            </w:tcBorders>
            <w:shd w:val="clear" w:color="auto" w:fill="D1D0CF"/>
          </w:tcPr>
          <w:p>
            <w:pPr>
              <w:spacing w:after="0"/>
              <w:rPr>
                <w:sz w:val="19"/>
                <w:szCs w:val="19"/>
                <w:color w:val="auto"/>
              </w:rPr>
            </w:pPr>
          </w:p>
        </w:tc>
      </w:tr>
      <w:tr>
        <w:trPr>
          <w:trHeight w:val="226"/>
        </w:trPr>
        <w:tc>
          <w:tcPr>
            <w:tcW w:w="20" w:type="dxa"/>
            <w:vAlign w:val="bottom"/>
            <w:tcBorders>
              <w:bottom w:val="single" w:sz="8" w:color="D1D0CF"/>
            </w:tcBorders>
            <w:shd w:val="clear" w:color="auto" w:fill="D1D0CF"/>
          </w:tcPr>
          <w:p>
            <w:pPr>
              <w:spacing w:after="0"/>
              <w:rPr>
                <w:sz w:val="19"/>
                <w:szCs w:val="19"/>
                <w:color w:val="auto"/>
              </w:rPr>
            </w:pPr>
          </w:p>
        </w:tc>
        <w:tc>
          <w:tcPr>
            <w:tcW w:w="5760" w:type="dxa"/>
            <w:vAlign w:val="bottom"/>
            <w:tcBorders>
              <w:bottom w:val="single" w:sz="8" w:color="0D64EF"/>
            </w:tcBorders>
            <w:shd w:val="clear" w:color="auto" w:fill="D1D0CF"/>
          </w:tcPr>
          <w:p>
            <w:pPr>
              <w:ind w:left="20"/>
              <w:spacing w:after="0"/>
              <w:rPr>
                <w:sz w:val="20"/>
                <w:szCs w:val="20"/>
                <w:color w:val="auto"/>
              </w:rPr>
            </w:pPr>
            <w:r>
              <w:rPr>
                <w:rFonts w:ascii="Arial" w:cs="Arial" w:eastAsia="Arial" w:hAnsi="Arial"/>
                <w:sz w:val="16"/>
                <w:szCs w:val="16"/>
                <w:color w:val="auto"/>
              </w:rPr>
              <w:t>(millions of $)</w:t>
            </w:r>
          </w:p>
        </w:tc>
        <w:tc>
          <w:tcPr>
            <w:tcW w:w="100" w:type="dxa"/>
            <w:vAlign w:val="bottom"/>
            <w:tcBorders>
              <w:bottom w:val="single" w:sz="8" w:color="0D64EF"/>
            </w:tcBorders>
            <w:shd w:val="clear" w:color="auto" w:fill="D1D0CF"/>
          </w:tcPr>
          <w:p>
            <w:pPr>
              <w:spacing w:after="0"/>
              <w:rPr>
                <w:sz w:val="19"/>
                <w:szCs w:val="19"/>
                <w:color w:val="auto"/>
              </w:rPr>
            </w:pPr>
          </w:p>
        </w:tc>
        <w:tc>
          <w:tcPr>
            <w:tcW w:w="2140" w:type="dxa"/>
            <w:vAlign w:val="bottom"/>
            <w:tcBorders>
              <w:bottom w:val="single" w:sz="8" w:color="0D64EF"/>
            </w:tcBorders>
            <w:shd w:val="clear" w:color="auto" w:fill="D1D0CF"/>
          </w:tcPr>
          <w:p>
            <w:pPr>
              <w:jc w:val="right"/>
              <w:ind w:right="819"/>
              <w:spacing w:after="0"/>
              <w:rPr>
                <w:sz w:val="20"/>
                <w:szCs w:val="20"/>
                <w:color w:val="auto"/>
              </w:rPr>
            </w:pPr>
            <w:r>
              <w:rPr>
                <w:rFonts w:ascii="Arial" w:cs="Arial" w:eastAsia="Arial" w:hAnsi="Arial"/>
                <w:sz w:val="16"/>
                <w:szCs w:val="16"/>
                <w:b w:val="1"/>
                <w:bCs w:val="1"/>
                <w:color w:val="auto"/>
              </w:rPr>
              <w:t>2025</w:t>
            </w:r>
          </w:p>
        </w:tc>
        <w:tc>
          <w:tcPr>
            <w:tcW w:w="480" w:type="dxa"/>
            <w:vAlign w:val="bottom"/>
            <w:tcBorders>
              <w:bottom w:val="single" w:sz="8" w:color="0D64EF"/>
            </w:tcBorders>
            <w:shd w:val="clear" w:color="auto" w:fill="D1D0CF"/>
          </w:tcPr>
          <w:p>
            <w:pPr>
              <w:jc w:val="right"/>
              <w:spacing w:after="0"/>
              <w:rPr>
                <w:sz w:val="20"/>
                <w:szCs w:val="20"/>
                <w:color w:val="auto"/>
              </w:rPr>
            </w:pPr>
            <w:r>
              <w:rPr>
                <w:rFonts w:ascii="Arial" w:cs="Arial" w:eastAsia="Arial" w:hAnsi="Arial"/>
                <w:sz w:val="16"/>
                <w:szCs w:val="16"/>
                <w:b w:val="1"/>
                <w:bCs w:val="1"/>
                <w:color w:val="auto"/>
              </w:rPr>
              <w:t>2024</w:t>
            </w:r>
          </w:p>
        </w:tc>
        <w:tc>
          <w:tcPr>
            <w:tcW w:w="2140" w:type="dxa"/>
            <w:vAlign w:val="bottom"/>
            <w:tcBorders>
              <w:bottom w:val="single" w:sz="8" w:color="0D64EF"/>
            </w:tcBorders>
            <w:gridSpan w:val="2"/>
            <w:shd w:val="clear" w:color="auto" w:fill="D1D0CF"/>
          </w:tcPr>
          <w:p>
            <w:pPr>
              <w:ind w:left="980"/>
              <w:spacing w:after="0"/>
              <w:rPr>
                <w:sz w:val="20"/>
                <w:szCs w:val="20"/>
                <w:color w:val="auto"/>
              </w:rPr>
            </w:pPr>
            <w:r>
              <w:rPr>
                <w:rFonts w:ascii="Arial" w:cs="Arial" w:eastAsia="Arial" w:hAnsi="Arial"/>
                <w:sz w:val="16"/>
                <w:szCs w:val="16"/>
                <w:b w:val="1"/>
                <w:bCs w:val="1"/>
                <w:color w:val="auto"/>
              </w:rPr>
              <w:t>2025</w:t>
            </w:r>
          </w:p>
        </w:tc>
        <w:tc>
          <w:tcPr>
            <w:tcW w:w="600" w:type="dxa"/>
            <w:vAlign w:val="bottom"/>
            <w:tcBorders>
              <w:bottom w:val="single" w:sz="8" w:color="0D64EF"/>
            </w:tcBorders>
            <w:shd w:val="clear" w:color="auto" w:fill="D1D0CF"/>
          </w:tcPr>
          <w:p>
            <w:pPr>
              <w:jc w:val="right"/>
              <w:spacing w:after="0"/>
              <w:rPr>
                <w:sz w:val="20"/>
                <w:szCs w:val="20"/>
                <w:color w:val="auto"/>
              </w:rPr>
            </w:pPr>
            <w:r>
              <w:rPr>
                <w:rFonts w:ascii="Arial" w:cs="Arial" w:eastAsia="Arial" w:hAnsi="Arial"/>
                <w:sz w:val="16"/>
                <w:szCs w:val="16"/>
                <w:b w:val="1"/>
                <w:bCs w:val="1"/>
                <w:color w:val="auto"/>
              </w:rPr>
              <w:t>2024</w:t>
            </w:r>
          </w:p>
        </w:tc>
      </w:tr>
      <w:tr>
        <w:trPr>
          <w:trHeight w:val="259"/>
        </w:trPr>
        <w:tc>
          <w:tcPr>
            <w:tcW w:w="20" w:type="dxa"/>
            <w:vAlign w:val="bottom"/>
          </w:tcPr>
          <w:p>
            <w:pPr>
              <w:spacing w:after="0"/>
              <w:rPr>
                <w:sz w:val="22"/>
                <w:szCs w:val="22"/>
                <w:color w:val="auto"/>
              </w:rPr>
            </w:pPr>
          </w:p>
        </w:tc>
        <w:tc>
          <w:tcPr>
            <w:tcW w:w="5760" w:type="dxa"/>
            <w:vAlign w:val="bottom"/>
          </w:tcPr>
          <w:p>
            <w:pPr>
              <w:spacing w:after="0"/>
              <w:rPr>
                <w:sz w:val="20"/>
                <w:szCs w:val="20"/>
                <w:color w:val="auto"/>
              </w:rPr>
            </w:pPr>
            <w:r>
              <w:rPr>
                <w:rFonts w:ascii="Arial" w:cs="Arial" w:eastAsia="Arial" w:hAnsi="Arial"/>
                <w:sz w:val="16"/>
                <w:szCs w:val="16"/>
                <w:b w:val="1"/>
                <w:bCs w:val="1"/>
                <w:color w:val="0D64EF"/>
              </w:rPr>
              <w:t>Foreign exchange gains (losses), net included in comparable earnings</w:t>
            </w:r>
          </w:p>
        </w:tc>
        <w:tc>
          <w:tcPr>
            <w:tcW w:w="2240" w:type="dxa"/>
            <w:vAlign w:val="bottom"/>
            <w:gridSpan w:val="2"/>
          </w:tcPr>
          <w:p>
            <w:pPr>
              <w:jc w:val="center"/>
              <w:ind w:left="59"/>
              <w:spacing w:after="0"/>
              <w:rPr>
                <w:sz w:val="20"/>
                <w:szCs w:val="20"/>
                <w:color w:val="auto"/>
              </w:rPr>
            </w:pPr>
            <w:r>
              <w:rPr>
                <w:rFonts w:ascii="Arial" w:cs="Arial" w:eastAsia="Arial" w:hAnsi="Arial"/>
                <w:sz w:val="16"/>
                <w:szCs w:val="16"/>
                <w:b w:val="1"/>
                <w:bCs w:val="1"/>
                <w:color w:val="auto"/>
              </w:rPr>
              <w:t>29</w:t>
            </w:r>
          </w:p>
        </w:tc>
        <w:tc>
          <w:tcPr>
            <w:tcW w:w="480" w:type="dxa"/>
            <w:vAlign w:val="bottom"/>
          </w:tcPr>
          <w:p>
            <w:pPr>
              <w:jc w:val="right"/>
              <w:spacing w:after="0"/>
              <w:rPr>
                <w:sz w:val="20"/>
                <w:szCs w:val="20"/>
                <w:color w:val="auto"/>
              </w:rPr>
            </w:pPr>
            <w:r>
              <w:rPr>
                <w:rFonts w:ascii="Arial" w:cs="Arial" w:eastAsia="Arial" w:hAnsi="Arial"/>
                <w:sz w:val="16"/>
                <w:szCs w:val="16"/>
                <w:color w:val="auto"/>
              </w:rPr>
              <w:t>(44)</w:t>
            </w:r>
          </w:p>
        </w:tc>
        <w:tc>
          <w:tcPr>
            <w:tcW w:w="2140" w:type="dxa"/>
            <w:vAlign w:val="bottom"/>
            <w:gridSpan w:val="2"/>
          </w:tcPr>
          <w:p>
            <w:pPr>
              <w:jc w:val="right"/>
              <w:ind w:right="759"/>
              <w:spacing w:after="0"/>
              <w:rPr>
                <w:sz w:val="20"/>
                <w:szCs w:val="20"/>
                <w:color w:val="auto"/>
              </w:rPr>
            </w:pPr>
            <w:r>
              <w:rPr>
                <w:rFonts w:ascii="Arial" w:cs="Arial" w:eastAsia="Arial" w:hAnsi="Arial"/>
                <w:sz w:val="16"/>
                <w:szCs w:val="16"/>
                <w:b w:val="1"/>
                <w:bCs w:val="1"/>
                <w:color w:val="auto"/>
              </w:rPr>
              <w:t>96</w:t>
            </w:r>
          </w:p>
        </w:tc>
        <w:tc>
          <w:tcPr>
            <w:tcW w:w="600" w:type="dxa"/>
            <w:vAlign w:val="bottom"/>
          </w:tcPr>
          <w:p>
            <w:pPr>
              <w:jc w:val="right"/>
              <w:spacing w:after="0"/>
              <w:rPr>
                <w:sz w:val="20"/>
                <w:szCs w:val="20"/>
                <w:color w:val="auto"/>
              </w:rPr>
            </w:pPr>
            <w:r>
              <w:rPr>
                <w:rFonts w:ascii="Arial" w:cs="Arial" w:eastAsia="Arial" w:hAnsi="Arial"/>
                <w:sz w:val="16"/>
                <w:szCs w:val="16"/>
                <w:color w:val="auto"/>
              </w:rPr>
              <w:t>(85)</w:t>
            </w:r>
          </w:p>
        </w:tc>
      </w:tr>
      <w:tr>
        <w:trPr>
          <w:trHeight w:val="222"/>
        </w:trPr>
        <w:tc>
          <w:tcPr>
            <w:tcW w:w="20" w:type="dxa"/>
            <w:vAlign w:val="bottom"/>
          </w:tcPr>
          <w:p>
            <w:pPr>
              <w:spacing w:after="0"/>
              <w:rPr>
                <w:sz w:val="19"/>
                <w:szCs w:val="19"/>
                <w:color w:val="auto"/>
              </w:rPr>
            </w:pPr>
          </w:p>
        </w:tc>
        <w:tc>
          <w:tcPr>
            <w:tcW w:w="5760" w:type="dxa"/>
            <w:vAlign w:val="bottom"/>
          </w:tcPr>
          <w:p>
            <w:pPr>
              <w:spacing w:after="0"/>
              <w:rPr>
                <w:sz w:val="20"/>
                <w:szCs w:val="20"/>
                <w:color w:val="auto"/>
              </w:rPr>
            </w:pPr>
            <w:r>
              <w:rPr>
                <w:rFonts w:ascii="Arial" w:cs="Arial" w:eastAsia="Arial" w:hAnsi="Arial"/>
                <w:sz w:val="16"/>
                <w:szCs w:val="16"/>
                <w:color w:val="auto"/>
              </w:rPr>
              <w:t>Specific items:</w:t>
            </w:r>
          </w:p>
        </w:tc>
        <w:tc>
          <w:tcPr>
            <w:tcW w:w="10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600" w:type="dxa"/>
            <w:vAlign w:val="bottom"/>
          </w:tcPr>
          <w:p>
            <w:pPr>
              <w:spacing w:after="0"/>
              <w:rPr>
                <w:sz w:val="19"/>
                <w:szCs w:val="19"/>
                <w:color w:val="auto"/>
              </w:rPr>
            </w:pPr>
          </w:p>
        </w:tc>
      </w:tr>
      <w:tr>
        <w:trPr>
          <w:trHeight w:val="244"/>
        </w:trPr>
        <w:tc>
          <w:tcPr>
            <w:tcW w:w="20" w:type="dxa"/>
            <w:vAlign w:val="bottom"/>
          </w:tcPr>
          <w:p>
            <w:pPr>
              <w:spacing w:after="0"/>
              <w:rPr>
                <w:sz w:val="21"/>
                <w:szCs w:val="21"/>
                <w:color w:val="auto"/>
              </w:rPr>
            </w:pPr>
          </w:p>
        </w:tc>
        <w:tc>
          <w:tcPr>
            <w:tcW w:w="5760" w:type="dxa"/>
            <w:vAlign w:val="bottom"/>
          </w:tcPr>
          <w:p>
            <w:pPr>
              <w:ind w:left="80"/>
              <w:spacing w:after="0"/>
              <w:rPr>
                <w:sz w:val="20"/>
                <w:szCs w:val="20"/>
                <w:color w:val="auto"/>
              </w:rPr>
            </w:pPr>
            <w:r>
              <w:rPr>
                <w:rFonts w:ascii="Arial" w:cs="Arial" w:eastAsia="Arial" w:hAnsi="Arial"/>
                <w:sz w:val="16"/>
                <w:szCs w:val="16"/>
                <w:color w:val="auto"/>
              </w:rPr>
              <w:t>Foreign exchange gains (losses), net – intercompany loan</w:t>
            </w:r>
            <w:r>
              <w:rPr>
                <w:rFonts w:ascii="Arial" w:cs="Arial" w:eastAsia="Arial" w:hAnsi="Arial"/>
                <w:sz w:val="21"/>
                <w:szCs w:val="21"/>
                <w:color w:val="auto"/>
                <w:vertAlign w:val="superscript"/>
              </w:rPr>
              <w:t>1</w:t>
            </w:r>
          </w:p>
        </w:tc>
        <w:tc>
          <w:tcPr>
            <w:tcW w:w="2240" w:type="dxa"/>
            <w:vAlign w:val="bottom"/>
            <w:gridSpan w:val="2"/>
          </w:tcPr>
          <w:p>
            <w:pPr>
              <w:jc w:val="center"/>
              <w:ind w:left="39"/>
              <w:spacing w:after="0"/>
              <w:rPr>
                <w:sz w:val="20"/>
                <w:szCs w:val="20"/>
                <w:color w:val="auto"/>
              </w:rPr>
            </w:pPr>
            <w:r>
              <w:rPr>
                <w:rFonts w:ascii="Arial" w:cs="Arial" w:eastAsia="Arial" w:hAnsi="Arial"/>
                <w:sz w:val="16"/>
                <w:szCs w:val="16"/>
                <w:b w:val="1"/>
                <w:bCs w:val="1"/>
                <w:color w:val="auto"/>
                <w:w w:val="98"/>
              </w:rPr>
              <w:t>(55)</w:t>
            </w:r>
          </w:p>
        </w:tc>
        <w:tc>
          <w:tcPr>
            <w:tcW w:w="480" w:type="dxa"/>
            <w:vAlign w:val="bottom"/>
          </w:tcPr>
          <w:p>
            <w:pPr>
              <w:jc w:val="right"/>
              <w:spacing w:after="0"/>
              <w:rPr>
                <w:sz w:val="20"/>
                <w:szCs w:val="20"/>
                <w:color w:val="auto"/>
              </w:rPr>
            </w:pPr>
            <w:r>
              <w:rPr>
                <w:rFonts w:ascii="Arial" w:cs="Arial" w:eastAsia="Arial" w:hAnsi="Arial"/>
                <w:sz w:val="16"/>
                <w:szCs w:val="16"/>
                <w:color w:val="auto"/>
              </w:rPr>
              <w:t>163</w:t>
            </w:r>
          </w:p>
        </w:tc>
        <w:tc>
          <w:tcPr>
            <w:tcW w:w="2140" w:type="dxa"/>
            <w:vAlign w:val="bottom"/>
            <w:gridSpan w:val="2"/>
          </w:tcPr>
          <w:p>
            <w:pPr>
              <w:ind w:left="960"/>
              <w:spacing w:after="0"/>
              <w:rPr>
                <w:sz w:val="20"/>
                <w:szCs w:val="20"/>
                <w:color w:val="auto"/>
              </w:rPr>
            </w:pPr>
            <w:r>
              <w:rPr>
                <w:rFonts w:ascii="Arial" w:cs="Arial" w:eastAsia="Arial" w:hAnsi="Arial"/>
                <w:sz w:val="16"/>
                <w:szCs w:val="16"/>
                <w:b w:val="1"/>
                <w:bCs w:val="1"/>
                <w:color w:val="auto"/>
              </w:rPr>
              <w:t>(149)</w:t>
            </w:r>
          </w:p>
        </w:tc>
        <w:tc>
          <w:tcPr>
            <w:tcW w:w="600" w:type="dxa"/>
            <w:vAlign w:val="bottom"/>
          </w:tcPr>
          <w:p>
            <w:pPr>
              <w:jc w:val="right"/>
              <w:spacing w:after="0"/>
              <w:rPr>
                <w:sz w:val="20"/>
                <w:szCs w:val="20"/>
                <w:color w:val="auto"/>
              </w:rPr>
            </w:pPr>
            <w:r>
              <w:rPr>
                <w:rFonts w:ascii="Arial" w:cs="Arial" w:eastAsia="Arial" w:hAnsi="Arial"/>
                <w:sz w:val="16"/>
                <w:szCs w:val="16"/>
                <w:color w:val="auto"/>
              </w:rPr>
              <w:t>204</w:t>
            </w:r>
          </w:p>
        </w:tc>
      </w:tr>
      <w:tr>
        <w:trPr>
          <w:trHeight w:val="226"/>
        </w:trPr>
        <w:tc>
          <w:tcPr>
            <w:tcW w:w="20" w:type="dxa"/>
            <w:vAlign w:val="bottom"/>
            <w:tcBorders>
              <w:bottom w:val="single" w:sz="8" w:color="auto"/>
            </w:tcBorders>
          </w:tcPr>
          <w:p>
            <w:pPr>
              <w:spacing w:after="0"/>
              <w:rPr>
                <w:sz w:val="19"/>
                <w:szCs w:val="19"/>
                <w:color w:val="auto"/>
              </w:rPr>
            </w:pPr>
          </w:p>
        </w:tc>
        <w:tc>
          <w:tcPr>
            <w:tcW w:w="576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Risk management activities</w:t>
            </w:r>
          </w:p>
        </w:tc>
        <w:tc>
          <w:tcPr>
            <w:tcW w:w="2240" w:type="dxa"/>
            <w:vAlign w:val="bottom"/>
            <w:tcBorders>
              <w:bottom w:val="single" w:sz="8" w:color="auto"/>
            </w:tcBorders>
            <w:gridSpan w:val="2"/>
          </w:tcPr>
          <w:p>
            <w:pPr>
              <w:jc w:val="center"/>
              <w:ind w:left="59"/>
              <w:spacing w:after="0"/>
              <w:rPr>
                <w:sz w:val="20"/>
                <w:szCs w:val="20"/>
                <w:color w:val="auto"/>
              </w:rPr>
            </w:pPr>
            <w:r>
              <w:rPr>
                <w:rFonts w:ascii="Arial" w:cs="Arial" w:eastAsia="Arial" w:hAnsi="Arial"/>
                <w:sz w:val="16"/>
                <w:szCs w:val="16"/>
                <w:b w:val="1"/>
                <w:bCs w:val="1"/>
                <w:color w:val="auto"/>
              </w:rPr>
              <w:t>41</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(188)</w:t>
            </w:r>
          </w:p>
        </w:tc>
        <w:tc>
          <w:tcPr>
            <w:tcW w:w="2140" w:type="dxa"/>
            <w:vAlign w:val="bottom"/>
            <w:tcBorders>
              <w:bottom w:val="single" w:sz="8" w:color="auto"/>
            </w:tcBorders>
            <w:gridSpan w:val="2"/>
          </w:tcPr>
          <w:p>
            <w:pPr>
              <w:jc w:val="right"/>
              <w:ind w:right="759"/>
              <w:spacing w:after="0"/>
              <w:rPr>
                <w:sz w:val="20"/>
                <w:szCs w:val="20"/>
                <w:color w:val="auto"/>
              </w:rPr>
            </w:pPr>
            <w:r>
              <w:rPr>
                <w:rFonts w:ascii="Arial" w:cs="Arial" w:eastAsia="Arial" w:hAnsi="Arial"/>
                <w:sz w:val="16"/>
                <w:szCs w:val="16"/>
                <w:b w:val="1"/>
                <w:bCs w:val="1"/>
                <w:color w:val="auto"/>
              </w:rPr>
              <w:t>210</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(266)</w:t>
            </w:r>
          </w:p>
        </w:tc>
      </w:tr>
      <w:tr>
        <w:trPr>
          <w:trHeight w:val="223"/>
        </w:trPr>
        <w:tc>
          <w:tcPr>
            <w:tcW w:w="20" w:type="dxa"/>
            <w:vAlign w:val="bottom"/>
            <w:tcBorders>
              <w:bottom w:val="single" w:sz="8" w:color="auto"/>
            </w:tcBorders>
          </w:tcPr>
          <w:p>
            <w:pPr>
              <w:spacing w:after="0"/>
              <w:rPr>
                <w:sz w:val="19"/>
                <w:szCs w:val="19"/>
                <w:color w:val="auto"/>
              </w:rPr>
            </w:pPr>
          </w:p>
        </w:tc>
        <w:tc>
          <w:tcPr>
            <w:tcW w:w="57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0D64EF"/>
              </w:rPr>
              <w:t>Foreign exchange gains (losses), net</w:t>
            </w:r>
          </w:p>
        </w:tc>
        <w:tc>
          <w:tcPr>
            <w:tcW w:w="2240" w:type="dxa"/>
            <w:vAlign w:val="bottom"/>
            <w:tcBorders>
              <w:bottom w:val="single" w:sz="8" w:color="auto"/>
            </w:tcBorders>
            <w:gridSpan w:val="2"/>
          </w:tcPr>
          <w:p>
            <w:pPr>
              <w:jc w:val="center"/>
              <w:ind w:left="59"/>
              <w:spacing w:after="0"/>
              <w:rPr>
                <w:sz w:val="20"/>
                <w:szCs w:val="20"/>
                <w:color w:val="auto"/>
              </w:rPr>
            </w:pPr>
            <w:r>
              <w:rPr>
                <w:rFonts w:ascii="Arial" w:cs="Arial" w:eastAsia="Arial" w:hAnsi="Arial"/>
                <w:sz w:val="16"/>
                <w:szCs w:val="16"/>
                <w:b w:val="1"/>
                <w:bCs w:val="1"/>
                <w:color w:val="auto"/>
              </w:rPr>
              <w:t>15</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w:t>
            </w:r>
          </w:p>
        </w:tc>
        <w:tc>
          <w:tcPr>
            <w:tcW w:w="2140" w:type="dxa"/>
            <w:vAlign w:val="bottom"/>
            <w:tcBorders>
              <w:bottom w:val="single" w:sz="8" w:color="auto"/>
            </w:tcBorders>
            <w:gridSpan w:val="2"/>
          </w:tcPr>
          <w:p>
            <w:pPr>
              <w:jc w:val="right"/>
              <w:ind w:right="759"/>
              <w:spacing w:after="0"/>
              <w:rPr>
                <w:sz w:val="20"/>
                <w:szCs w:val="20"/>
                <w:color w:val="auto"/>
              </w:rPr>
            </w:pPr>
            <w:r>
              <w:rPr>
                <w:rFonts w:ascii="Arial" w:cs="Arial" w:eastAsia="Arial" w:hAnsi="Arial"/>
                <w:sz w:val="16"/>
                <w:szCs w:val="16"/>
                <w:b w:val="1"/>
                <w:bCs w:val="1"/>
                <w:color w:val="auto"/>
              </w:rPr>
              <w:t>157</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(147)</w:t>
            </w:r>
          </w:p>
        </w:tc>
      </w:tr>
    </w:tbl>
    <w:p>
      <w:pPr>
        <w:spacing w:after="0" w:line="180" w:lineRule="exact"/>
        <w:rPr>
          <w:sz w:val="20"/>
          <w:szCs w:val="20"/>
          <w:color w:val="auto"/>
        </w:rPr>
      </w:pPr>
    </w:p>
    <w:p>
      <w:pPr>
        <w:ind w:left="280" w:hanging="272"/>
        <w:spacing w:after="0"/>
        <w:tabs>
          <w:tab w:leader="none" w:pos="280" w:val="left"/>
        </w:tabs>
        <w:numPr>
          <w:ilvl w:val="0"/>
          <w:numId w:val="53"/>
        </w:numPr>
        <w:rPr>
          <w:rFonts w:ascii="Arial" w:cs="Arial" w:eastAsia="Arial" w:hAnsi="Arial"/>
          <w:sz w:val="14"/>
          <w:szCs w:val="14"/>
          <w:color w:val="auto"/>
        </w:rPr>
      </w:pPr>
      <w:r>
        <w:rPr>
          <w:rFonts w:ascii="Arial" w:cs="Arial" w:eastAsia="Arial" w:hAnsi="Arial"/>
          <w:sz w:val="14"/>
          <w:szCs w:val="14"/>
          <w:color w:val="auto"/>
        </w:rPr>
        <w:t>Includes non-controlling interest. Refer to Net (income) loss attributable to non-controlling interests for additional information.</w:t>
      </w:r>
    </w:p>
    <w:p>
      <w:pPr>
        <w:spacing w:after="0" w:line="140" w:lineRule="exact"/>
        <w:rPr>
          <w:sz w:val="20"/>
          <w:szCs w:val="20"/>
          <w:color w:val="auto"/>
        </w:rPr>
      </w:pPr>
    </w:p>
    <w:p>
      <w:pPr>
        <w:ind w:right="100"/>
        <w:spacing w:after="0" w:line="302" w:lineRule="auto"/>
        <w:rPr>
          <w:sz w:val="20"/>
          <w:szCs w:val="20"/>
          <w:color w:val="auto"/>
        </w:rPr>
      </w:pPr>
      <w:r>
        <w:rPr>
          <w:rFonts w:ascii="Arial" w:cs="Arial" w:eastAsia="Arial" w:hAnsi="Arial"/>
          <w:sz w:val="18"/>
          <w:szCs w:val="18"/>
          <w:color w:val="auto"/>
        </w:rPr>
        <w:t>Foreign exchange gains (losses), net, changed by $84 million for the three months ended December 31, 2025 compared to the same period in 2024. The following specific items have been removed from our calculation of Foreign exchange gains (losses), net included in comparable earnings:</w:t>
      </w:r>
    </w:p>
    <w:p>
      <w:pPr>
        <w:spacing w:after="0" w:line="2" w:lineRule="exact"/>
        <w:rPr>
          <w:sz w:val="20"/>
          <w:szCs w:val="20"/>
          <w:color w:val="auto"/>
        </w:rPr>
      </w:pPr>
    </w:p>
    <w:p>
      <w:pPr>
        <w:ind w:left="140" w:hanging="132"/>
        <w:spacing w:after="0"/>
        <w:tabs>
          <w:tab w:leader="none" w:pos="1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unrealized foreign exchange gains and losses on the peso-denominated intercompany loan between TCPL and TGNH</w:t>
      </w:r>
    </w:p>
    <w:p>
      <w:pPr>
        <w:spacing w:after="0" w:line="49" w:lineRule="exact"/>
        <w:rPr>
          <w:rFonts w:ascii="Arial" w:cs="Arial" w:eastAsia="Arial" w:hAnsi="Arial"/>
          <w:sz w:val="18"/>
          <w:szCs w:val="18"/>
          <w:color w:val="auto"/>
        </w:rPr>
      </w:pPr>
    </w:p>
    <w:p>
      <w:pPr>
        <w:ind w:left="140" w:hanging="132"/>
        <w:spacing w:after="0"/>
        <w:tabs>
          <w:tab w:leader="none" w:pos="1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unrealized gains and losses from changes in the fair value of derivatives used to manage our foreign exchange risk.</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24 | TC Energy </w:t>
      </w:r>
      <w:r>
        <w:rPr>
          <w:rFonts w:ascii="Arial" w:cs="Arial" w:eastAsia="Arial" w:hAnsi="Arial"/>
          <w:sz w:val="18"/>
          <w:szCs w:val="18"/>
          <w:b w:val="1"/>
          <w:bCs w:val="1"/>
          <w:color w:val="0D64EF"/>
        </w:rPr>
        <w:t>Fourth Quarter</w:t>
      </w:r>
      <w:r>
        <w:rPr>
          <w:rFonts w:ascii="Arial" w:cs="Arial" w:eastAsia="Arial" w:hAnsi="Arial"/>
          <w:sz w:val="18"/>
          <w:szCs w:val="18"/>
          <w:color w:val="auto"/>
        </w:rPr>
        <w:t xml:space="preserve"> News Release 2025</w:t>
      </w:r>
    </w:p>
    <w:p>
      <w:pPr>
        <w:sectPr>
          <w:pgSz w:w="11900" w:h="16838" w:orient="portrait"/>
          <w:cols w:equalWidth="0" w:num="1">
            <w:col w:w="11240"/>
          </w:cols>
          <w:pgMar w:left="320" w:top="1295"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color w:val="auto"/>
        </w:rPr>
        <w:t>Foreign exchange gains (losses), net included in comparable earnings changed by $73 million for the three months ended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2025 compared to the same period in 2024. The changes were primarily due to the net effect of:</w:t>
      </w:r>
    </w:p>
    <w:p>
      <w:pPr>
        <w:spacing w:after="0" w:line="32" w:lineRule="exact"/>
        <w:rPr>
          <w:sz w:val="20"/>
          <w:szCs w:val="20"/>
          <w:color w:val="auto"/>
        </w:rPr>
      </w:pPr>
    </w:p>
    <w:p>
      <w:pPr>
        <w:ind w:left="180" w:right="520" w:hanging="172"/>
        <w:spacing w:after="0" w:line="264" w:lineRule="exact"/>
        <w:tabs>
          <w:tab w:leader="none" w:pos="148" w:val="left"/>
        </w:tabs>
        <w:numPr>
          <w:ilvl w:val="0"/>
          <w:numId w:val="55"/>
        </w:numPr>
        <w:rPr>
          <w:rFonts w:ascii="Arial" w:cs="Arial" w:eastAsia="Arial" w:hAnsi="Arial"/>
          <w:sz w:val="18"/>
          <w:szCs w:val="18"/>
          <w:color w:val="auto"/>
        </w:rPr>
      </w:pPr>
      <w:r>
        <w:rPr>
          <w:rFonts w:ascii="Arial" w:cs="Arial" w:eastAsia="Arial" w:hAnsi="Arial"/>
          <w:sz w:val="18"/>
          <w:szCs w:val="18"/>
          <w:color w:val="auto"/>
        </w:rPr>
        <w:t>risk management activities used to manage our foreign exchange exposure to net liabilities in Mexico and to U.S. dollar</w:t>
      </w:r>
      <w:r>
        <w:rPr>
          <w:rFonts w:ascii="MS PGothic" w:cs="MS PGothic" w:eastAsia="MS PGothic" w:hAnsi="MS PGothic"/>
          <w:sz w:val="18"/>
          <w:szCs w:val="18"/>
          <w:color w:val="auto"/>
        </w:rPr>
        <w:t>‑</w:t>
      </w:r>
      <w:r>
        <w:rPr>
          <w:rFonts w:ascii="Arial" w:cs="Arial" w:eastAsia="Arial" w:hAnsi="Arial"/>
          <w:sz w:val="18"/>
          <w:szCs w:val="18"/>
          <w:color w:val="auto"/>
        </w:rPr>
        <w:t>denominated income</w:t>
      </w:r>
    </w:p>
    <w:p>
      <w:pPr>
        <w:spacing w:after="0" w:line="18" w:lineRule="exact"/>
        <w:rPr>
          <w:rFonts w:ascii="Arial" w:cs="Arial" w:eastAsia="Arial" w:hAnsi="Arial"/>
          <w:sz w:val="18"/>
          <w:szCs w:val="18"/>
          <w:color w:val="auto"/>
        </w:rPr>
      </w:pPr>
    </w:p>
    <w:p>
      <w:pPr>
        <w:ind w:left="180" w:right="280" w:hanging="172"/>
        <w:spacing w:after="0" w:line="334" w:lineRule="auto"/>
        <w:tabs>
          <w:tab w:leader="none" w:pos="148" w:val="left"/>
        </w:tabs>
        <w:numPr>
          <w:ilvl w:val="0"/>
          <w:numId w:val="55"/>
        </w:numPr>
        <w:rPr>
          <w:rFonts w:ascii="Arial" w:cs="Arial" w:eastAsia="Arial" w:hAnsi="Arial"/>
          <w:sz w:val="18"/>
          <w:szCs w:val="18"/>
          <w:color w:val="auto"/>
        </w:rPr>
      </w:pPr>
      <w:r>
        <w:rPr>
          <w:rFonts w:ascii="Arial" w:cs="Arial" w:eastAsia="Arial" w:hAnsi="Arial"/>
          <w:sz w:val="18"/>
          <w:szCs w:val="18"/>
          <w:color w:val="auto"/>
        </w:rPr>
        <w:t>foreign exchange losses in 2025 compared to foreign exchange gains in 2024 on the revaluation of our peso-denominated net monetary liabilities to U.S. dollars.</w:t>
      </w:r>
    </w:p>
    <w:p>
      <w:pPr>
        <w:spacing w:after="0" w:line="81" w:lineRule="exact"/>
        <w:rPr>
          <w:sz w:val="20"/>
          <w:szCs w:val="20"/>
          <w:color w:val="auto"/>
        </w:rPr>
      </w:pPr>
    </w:p>
    <w:p>
      <w:pPr>
        <w:spacing w:after="0"/>
        <w:rPr>
          <w:sz w:val="20"/>
          <w:szCs w:val="20"/>
          <w:color w:val="auto"/>
        </w:rPr>
      </w:pPr>
      <w:r>
        <w:rPr>
          <w:rFonts w:ascii="Arial" w:cs="Arial" w:eastAsia="Arial" w:hAnsi="Arial"/>
          <w:sz w:val="20"/>
          <w:szCs w:val="20"/>
          <w:b w:val="1"/>
          <w:bCs w:val="1"/>
          <w:color w:val="0D64EF"/>
        </w:rPr>
        <w:t>INTEREST INCOME AND OTHER</w:t>
      </w:r>
    </w:p>
    <w:p>
      <w:pPr>
        <w:spacing w:after="0" w:line="71" w:lineRule="exact"/>
        <w:rPr>
          <w:sz w:val="20"/>
          <w:szCs w:val="20"/>
          <w:color w:val="auto"/>
        </w:rPr>
      </w:pPr>
    </w:p>
    <w:tbl>
      <w:tblPr>
        <w:tblLayout w:type="fixed"/>
        <w:tblInd w:w="20" w:type="dxa"/>
        <w:tblCellMar>
          <w:top w:w="0" w:type="dxa"/>
          <w:left w:w="0" w:type="dxa"/>
          <w:bottom w:w="0" w:type="dxa"/>
          <w:right w:w="0" w:type="dxa"/>
        </w:tblCellMar>
      </w:tblPr>
      <w:tr>
        <w:trPr>
          <w:trHeight w:val="188"/>
        </w:trPr>
        <w:tc>
          <w:tcPr>
            <w:tcW w:w="20" w:type="dxa"/>
            <w:vAlign w:val="bottom"/>
            <w:tcBorders>
              <w:top w:val="single" w:sz="8" w:color="0D64EF"/>
            </w:tcBorders>
            <w:shd w:val="clear" w:color="auto" w:fill="D1D0CF"/>
          </w:tcPr>
          <w:p>
            <w:pPr>
              <w:spacing w:after="0"/>
              <w:rPr>
                <w:sz w:val="16"/>
                <w:szCs w:val="16"/>
                <w:color w:val="auto"/>
              </w:rPr>
            </w:pPr>
          </w:p>
        </w:tc>
        <w:tc>
          <w:tcPr>
            <w:tcW w:w="5520" w:type="dxa"/>
            <w:vAlign w:val="bottom"/>
            <w:tcBorders>
              <w:top w:val="single" w:sz="8" w:color="0D64EF"/>
            </w:tcBorders>
            <w:shd w:val="clear" w:color="auto" w:fill="D1D0CF"/>
          </w:tcPr>
          <w:p>
            <w:pPr>
              <w:spacing w:after="0"/>
              <w:rPr>
                <w:sz w:val="16"/>
                <w:szCs w:val="16"/>
                <w:color w:val="auto"/>
              </w:rPr>
            </w:pPr>
          </w:p>
        </w:tc>
        <w:tc>
          <w:tcPr>
            <w:tcW w:w="100" w:type="dxa"/>
            <w:vAlign w:val="bottom"/>
            <w:tcBorders>
              <w:top w:val="single" w:sz="8" w:color="0D64EF"/>
            </w:tcBorders>
            <w:shd w:val="clear" w:color="auto" w:fill="D1D0CF"/>
          </w:tcPr>
          <w:p>
            <w:pPr>
              <w:spacing w:after="0"/>
              <w:rPr>
                <w:sz w:val="16"/>
                <w:szCs w:val="16"/>
                <w:color w:val="auto"/>
              </w:rPr>
            </w:pPr>
          </w:p>
        </w:tc>
        <w:tc>
          <w:tcPr>
            <w:tcW w:w="2240" w:type="dxa"/>
            <w:vAlign w:val="bottom"/>
            <w:tcBorders>
              <w:top w:val="single" w:sz="8" w:color="0D64EF"/>
            </w:tcBorders>
            <w:shd w:val="clear" w:color="auto" w:fill="D1D0CF"/>
          </w:tcPr>
          <w:p>
            <w:pPr>
              <w:jc w:val="right"/>
              <w:ind w:right="19"/>
              <w:spacing w:after="0"/>
              <w:rPr>
                <w:sz w:val="20"/>
                <w:szCs w:val="20"/>
                <w:color w:val="auto"/>
              </w:rPr>
            </w:pPr>
            <w:r>
              <w:rPr>
                <w:rFonts w:ascii="Arial" w:cs="Arial" w:eastAsia="Arial" w:hAnsi="Arial"/>
                <w:sz w:val="16"/>
                <w:szCs w:val="16"/>
                <w:b w:val="1"/>
                <w:bCs w:val="1"/>
                <w:color w:val="auto"/>
              </w:rPr>
              <w:t>three months ended</w:t>
            </w:r>
          </w:p>
        </w:tc>
        <w:tc>
          <w:tcPr>
            <w:tcW w:w="500" w:type="dxa"/>
            <w:vAlign w:val="bottom"/>
            <w:tcBorders>
              <w:top w:val="single" w:sz="8" w:color="0D64EF"/>
            </w:tcBorders>
            <w:shd w:val="clear" w:color="auto" w:fill="D1D0CF"/>
          </w:tcPr>
          <w:p>
            <w:pPr>
              <w:spacing w:after="0"/>
              <w:rPr>
                <w:sz w:val="16"/>
                <w:szCs w:val="16"/>
                <w:color w:val="auto"/>
              </w:rPr>
            </w:pPr>
          </w:p>
        </w:tc>
        <w:tc>
          <w:tcPr>
            <w:tcW w:w="100" w:type="dxa"/>
            <w:vAlign w:val="bottom"/>
            <w:tcBorders>
              <w:top w:val="single" w:sz="8" w:color="0D64EF"/>
            </w:tcBorders>
            <w:shd w:val="clear" w:color="auto" w:fill="D1D0CF"/>
          </w:tcPr>
          <w:p>
            <w:pPr>
              <w:spacing w:after="0"/>
              <w:rPr>
                <w:sz w:val="16"/>
                <w:szCs w:val="16"/>
                <w:color w:val="auto"/>
              </w:rPr>
            </w:pPr>
          </w:p>
        </w:tc>
        <w:tc>
          <w:tcPr>
            <w:tcW w:w="2100" w:type="dxa"/>
            <w:vAlign w:val="bottom"/>
            <w:tcBorders>
              <w:top w:val="single" w:sz="8" w:color="0D64EF"/>
            </w:tcBorders>
            <w:shd w:val="clear" w:color="auto" w:fill="D1D0CF"/>
          </w:tcPr>
          <w:p>
            <w:pPr>
              <w:jc w:val="right"/>
              <w:ind w:right="259"/>
              <w:spacing w:after="0"/>
              <w:rPr>
                <w:sz w:val="20"/>
                <w:szCs w:val="20"/>
                <w:color w:val="auto"/>
              </w:rPr>
            </w:pPr>
            <w:r>
              <w:rPr>
                <w:rFonts w:ascii="Arial" w:cs="Arial" w:eastAsia="Arial" w:hAnsi="Arial"/>
                <w:sz w:val="16"/>
                <w:szCs w:val="16"/>
                <w:b w:val="1"/>
                <w:bCs w:val="1"/>
                <w:color w:val="auto"/>
              </w:rPr>
              <w:t>year ended</w:t>
            </w:r>
          </w:p>
        </w:tc>
        <w:tc>
          <w:tcPr>
            <w:tcW w:w="620" w:type="dxa"/>
            <w:vAlign w:val="bottom"/>
            <w:tcBorders>
              <w:top w:val="single" w:sz="8" w:color="0D64EF"/>
            </w:tcBorders>
            <w:shd w:val="clear" w:color="auto" w:fill="D1D0CF"/>
          </w:tcPr>
          <w:p>
            <w:pPr>
              <w:spacing w:after="0"/>
              <w:rPr>
                <w:sz w:val="16"/>
                <w:szCs w:val="16"/>
                <w:color w:val="auto"/>
              </w:rPr>
            </w:pPr>
          </w:p>
        </w:tc>
      </w:tr>
      <w:tr>
        <w:trPr>
          <w:trHeight w:val="224"/>
        </w:trPr>
        <w:tc>
          <w:tcPr>
            <w:tcW w:w="20" w:type="dxa"/>
            <w:vAlign w:val="bottom"/>
            <w:tcBorders>
              <w:bottom w:val="single" w:sz="8" w:color="D1D0CF"/>
            </w:tcBorders>
            <w:shd w:val="clear" w:color="auto" w:fill="D1D0CF"/>
          </w:tcPr>
          <w:p>
            <w:pPr>
              <w:spacing w:after="0"/>
              <w:rPr>
                <w:sz w:val="19"/>
                <w:szCs w:val="19"/>
                <w:color w:val="auto"/>
              </w:rPr>
            </w:pPr>
          </w:p>
        </w:tc>
        <w:tc>
          <w:tcPr>
            <w:tcW w:w="5520" w:type="dxa"/>
            <w:vAlign w:val="bottom"/>
            <w:tcBorders>
              <w:bottom w:val="single" w:sz="8" w:color="D1D0CF"/>
            </w:tcBorders>
            <w:shd w:val="clear" w:color="auto" w:fill="D1D0CF"/>
          </w:tcPr>
          <w:p>
            <w:pPr>
              <w:spacing w:after="0"/>
              <w:rPr>
                <w:sz w:val="19"/>
                <w:szCs w:val="19"/>
                <w:color w:val="auto"/>
              </w:rPr>
            </w:pPr>
          </w:p>
        </w:tc>
        <w:tc>
          <w:tcPr>
            <w:tcW w:w="100" w:type="dxa"/>
            <w:vAlign w:val="bottom"/>
            <w:tcBorders>
              <w:bottom w:val="single" w:sz="8" w:color="D1D0CF"/>
            </w:tcBorders>
            <w:shd w:val="clear" w:color="auto" w:fill="D1D0CF"/>
          </w:tcPr>
          <w:p>
            <w:pPr>
              <w:spacing w:after="0"/>
              <w:rPr>
                <w:sz w:val="19"/>
                <w:szCs w:val="19"/>
                <w:color w:val="auto"/>
              </w:rPr>
            </w:pPr>
          </w:p>
        </w:tc>
        <w:tc>
          <w:tcPr>
            <w:tcW w:w="2240" w:type="dxa"/>
            <w:vAlign w:val="bottom"/>
            <w:tcBorders>
              <w:bottom w:val="single" w:sz="8" w:color="0D64EF"/>
            </w:tcBorders>
            <w:shd w:val="clear" w:color="auto" w:fill="D1D0CF"/>
          </w:tcPr>
          <w:p>
            <w:pPr>
              <w:jc w:val="right"/>
              <w:ind w:right="279"/>
              <w:spacing w:after="0"/>
              <w:rPr>
                <w:sz w:val="20"/>
                <w:szCs w:val="20"/>
                <w:color w:val="auto"/>
              </w:rPr>
            </w:pPr>
            <w:r>
              <w:rPr>
                <w:rFonts w:ascii="Arial" w:cs="Arial" w:eastAsia="Arial" w:hAnsi="Arial"/>
                <w:sz w:val="16"/>
                <w:szCs w:val="16"/>
                <w:b w:val="1"/>
                <w:bCs w:val="1"/>
                <w:color w:val="auto"/>
              </w:rPr>
              <w:t>December 31</w:t>
            </w:r>
          </w:p>
        </w:tc>
        <w:tc>
          <w:tcPr>
            <w:tcW w:w="500" w:type="dxa"/>
            <w:vAlign w:val="bottom"/>
            <w:tcBorders>
              <w:bottom w:val="single" w:sz="8" w:color="0D64EF"/>
            </w:tcBorders>
            <w:shd w:val="clear" w:color="auto" w:fill="D1D0CF"/>
          </w:tcPr>
          <w:p>
            <w:pPr>
              <w:spacing w:after="0"/>
              <w:rPr>
                <w:sz w:val="19"/>
                <w:szCs w:val="19"/>
                <w:color w:val="auto"/>
              </w:rPr>
            </w:pPr>
          </w:p>
        </w:tc>
        <w:tc>
          <w:tcPr>
            <w:tcW w:w="100" w:type="dxa"/>
            <w:vAlign w:val="bottom"/>
            <w:tcBorders>
              <w:bottom w:val="single" w:sz="8" w:color="D1D0CF"/>
            </w:tcBorders>
            <w:shd w:val="clear" w:color="auto" w:fill="D1D0CF"/>
          </w:tcPr>
          <w:p>
            <w:pPr>
              <w:spacing w:after="0"/>
              <w:rPr>
                <w:sz w:val="19"/>
                <w:szCs w:val="19"/>
                <w:color w:val="auto"/>
              </w:rPr>
            </w:pPr>
          </w:p>
        </w:tc>
        <w:tc>
          <w:tcPr>
            <w:tcW w:w="2100" w:type="dxa"/>
            <w:vAlign w:val="bottom"/>
            <w:tcBorders>
              <w:bottom w:val="single" w:sz="8" w:color="0D64EF"/>
            </w:tcBorders>
            <w:shd w:val="clear" w:color="auto" w:fill="D1D0CF"/>
          </w:tcPr>
          <w:p>
            <w:pPr>
              <w:jc w:val="right"/>
              <w:ind w:right="159"/>
              <w:spacing w:after="0"/>
              <w:rPr>
                <w:sz w:val="20"/>
                <w:szCs w:val="20"/>
                <w:color w:val="auto"/>
              </w:rPr>
            </w:pPr>
            <w:r>
              <w:rPr>
                <w:rFonts w:ascii="Arial" w:cs="Arial" w:eastAsia="Arial" w:hAnsi="Arial"/>
                <w:sz w:val="16"/>
                <w:szCs w:val="16"/>
                <w:b w:val="1"/>
                <w:bCs w:val="1"/>
                <w:color w:val="auto"/>
              </w:rPr>
              <w:t>December 31</w:t>
            </w:r>
          </w:p>
        </w:tc>
        <w:tc>
          <w:tcPr>
            <w:tcW w:w="620" w:type="dxa"/>
            <w:vAlign w:val="bottom"/>
            <w:tcBorders>
              <w:bottom w:val="single" w:sz="8" w:color="0D64EF"/>
            </w:tcBorders>
            <w:shd w:val="clear" w:color="auto" w:fill="D1D0CF"/>
          </w:tcPr>
          <w:p>
            <w:pPr>
              <w:spacing w:after="0"/>
              <w:rPr>
                <w:sz w:val="19"/>
                <w:szCs w:val="19"/>
                <w:color w:val="auto"/>
              </w:rPr>
            </w:pPr>
          </w:p>
        </w:tc>
      </w:tr>
      <w:tr>
        <w:trPr>
          <w:trHeight w:val="226"/>
        </w:trPr>
        <w:tc>
          <w:tcPr>
            <w:tcW w:w="20" w:type="dxa"/>
            <w:vAlign w:val="bottom"/>
            <w:tcBorders>
              <w:bottom w:val="single" w:sz="8" w:color="D1D0CF"/>
            </w:tcBorders>
            <w:shd w:val="clear" w:color="auto" w:fill="D1D0CF"/>
          </w:tcPr>
          <w:p>
            <w:pPr>
              <w:spacing w:after="0"/>
              <w:rPr>
                <w:sz w:val="19"/>
                <w:szCs w:val="19"/>
                <w:color w:val="auto"/>
              </w:rPr>
            </w:pPr>
          </w:p>
        </w:tc>
        <w:tc>
          <w:tcPr>
            <w:tcW w:w="5520" w:type="dxa"/>
            <w:vAlign w:val="bottom"/>
            <w:tcBorders>
              <w:bottom w:val="single" w:sz="8" w:color="0D64EF"/>
            </w:tcBorders>
            <w:shd w:val="clear" w:color="auto" w:fill="D1D0CF"/>
          </w:tcPr>
          <w:p>
            <w:pPr>
              <w:ind w:left="20"/>
              <w:spacing w:after="0"/>
              <w:rPr>
                <w:sz w:val="20"/>
                <w:szCs w:val="20"/>
                <w:color w:val="auto"/>
              </w:rPr>
            </w:pPr>
            <w:r>
              <w:rPr>
                <w:rFonts w:ascii="Arial" w:cs="Arial" w:eastAsia="Arial" w:hAnsi="Arial"/>
                <w:sz w:val="16"/>
                <w:szCs w:val="16"/>
                <w:color w:val="auto"/>
              </w:rPr>
              <w:t>(millions of $)</w:t>
            </w:r>
          </w:p>
        </w:tc>
        <w:tc>
          <w:tcPr>
            <w:tcW w:w="100" w:type="dxa"/>
            <w:vAlign w:val="bottom"/>
            <w:tcBorders>
              <w:bottom w:val="single" w:sz="8" w:color="0D64EF"/>
            </w:tcBorders>
            <w:shd w:val="clear" w:color="auto" w:fill="D1D0CF"/>
          </w:tcPr>
          <w:p>
            <w:pPr>
              <w:spacing w:after="0"/>
              <w:rPr>
                <w:sz w:val="19"/>
                <w:szCs w:val="19"/>
                <w:color w:val="auto"/>
              </w:rPr>
            </w:pPr>
          </w:p>
        </w:tc>
        <w:tc>
          <w:tcPr>
            <w:tcW w:w="2240" w:type="dxa"/>
            <w:vAlign w:val="bottom"/>
            <w:tcBorders>
              <w:bottom w:val="single" w:sz="8" w:color="0D64EF"/>
            </w:tcBorders>
            <w:shd w:val="clear" w:color="auto" w:fill="D1D0CF"/>
          </w:tcPr>
          <w:p>
            <w:pPr>
              <w:jc w:val="right"/>
              <w:ind w:right="859"/>
              <w:spacing w:after="0"/>
              <w:rPr>
                <w:sz w:val="20"/>
                <w:szCs w:val="20"/>
                <w:color w:val="auto"/>
              </w:rPr>
            </w:pPr>
            <w:r>
              <w:rPr>
                <w:rFonts w:ascii="Arial" w:cs="Arial" w:eastAsia="Arial" w:hAnsi="Arial"/>
                <w:sz w:val="16"/>
                <w:szCs w:val="16"/>
                <w:b w:val="1"/>
                <w:bCs w:val="1"/>
                <w:color w:val="auto"/>
              </w:rPr>
              <w:t>2025</w:t>
            </w:r>
          </w:p>
        </w:tc>
        <w:tc>
          <w:tcPr>
            <w:tcW w:w="500" w:type="dxa"/>
            <w:vAlign w:val="bottom"/>
            <w:tcBorders>
              <w:bottom w:val="single" w:sz="8" w:color="0D64EF"/>
            </w:tcBorders>
            <w:shd w:val="clear" w:color="auto" w:fill="D1D0CF"/>
          </w:tcPr>
          <w:p>
            <w:pPr>
              <w:jc w:val="right"/>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bottom w:val="single" w:sz="8" w:color="0D64EF"/>
            </w:tcBorders>
            <w:shd w:val="clear" w:color="auto" w:fill="D1D0CF"/>
          </w:tcPr>
          <w:p>
            <w:pPr>
              <w:spacing w:after="0"/>
              <w:rPr>
                <w:sz w:val="19"/>
                <w:szCs w:val="19"/>
                <w:color w:val="auto"/>
              </w:rPr>
            </w:pPr>
          </w:p>
        </w:tc>
        <w:tc>
          <w:tcPr>
            <w:tcW w:w="2100" w:type="dxa"/>
            <w:vAlign w:val="bottom"/>
            <w:tcBorders>
              <w:bottom w:val="single" w:sz="8" w:color="0D64EF"/>
            </w:tcBorders>
            <w:shd w:val="clear" w:color="auto" w:fill="D1D0CF"/>
          </w:tcPr>
          <w:p>
            <w:pPr>
              <w:jc w:val="right"/>
              <w:ind w:right="719"/>
              <w:spacing w:after="0"/>
              <w:rPr>
                <w:sz w:val="20"/>
                <w:szCs w:val="20"/>
                <w:color w:val="auto"/>
              </w:rPr>
            </w:pPr>
            <w:r>
              <w:rPr>
                <w:rFonts w:ascii="Arial" w:cs="Arial" w:eastAsia="Arial" w:hAnsi="Arial"/>
                <w:sz w:val="16"/>
                <w:szCs w:val="16"/>
                <w:b w:val="1"/>
                <w:bCs w:val="1"/>
                <w:color w:val="auto"/>
              </w:rPr>
              <w:t>2025</w:t>
            </w:r>
          </w:p>
        </w:tc>
        <w:tc>
          <w:tcPr>
            <w:tcW w:w="620" w:type="dxa"/>
            <w:vAlign w:val="bottom"/>
            <w:tcBorders>
              <w:bottom w:val="single" w:sz="8" w:color="0D64EF"/>
            </w:tcBorders>
            <w:shd w:val="clear" w:color="auto" w:fill="D1D0CF"/>
          </w:tcPr>
          <w:p>
            <w:pPr>
              <w:jc w:val="right"/>
              <w:spacing w:after="0"/>
              <w:rPr>
                <w:sz w:val="20"/>
                <w:szCs w:val="20"/>
                <w:color w:val="auto"/>
              </w:rPr>
            </w:pPr>
            <w:r>
              <w:rPr>
                <w:rFonts w:ascii="Arial" w:cs="Arial" w:eastAsia="Arial" w:hAnsi="Arial"/>
                <w:sz w:val="16"/>
                <w:szCs w:val="16"/>
                <w:b w:val="1"/>
                <w:bCs w:val="1"/>
                <w:color w:val="auto"/>
              </w:rPr>
              <w:t>2024</w:t>
            </w:r>
          </w:p>
        </w:tc>
      </w:tr>
      <w:tr>
        <w:trPr>
          <w:trHeight w:val="259"/>
        </w:trPr>
        <w:tc>
          <w:tcPr>
            <w:tcW w:w="20" w:type="dxa"/>
            <w:vAlign w:val="bottom"/>
          </w:tcPr>
          <w:p>
            <w:pPr>
              <w:spacing w:after="0"/>
              <w:rPr>
                <w:sz w:val="22"/>
                <w:szCs w:val="22"/>
                <w:color w:val="auto"/>
              </w:rPr>
            </w:pPr>
          </w:p>
        </w:tc>
        <w:tc>
          <w:tcPr>
            <w:tcW w:w="5520" w:type="dxa"/>
            <w:vAlign w:val="bottom"/>
          </w:tcPr>
          <w:p>
            <w:pPr>
              <w:spacing w:after="0"/>
              <w:rPr>
                <w:sz w:val="20"/>
                <w:szCs w:val="20"/>
                <w:color w:val="auto"/>
              </w:rPr>
            </w:pPr>
            <w:r>
              <w:rPr>
                <w:rFonts w:ascii="Arial" w:cs="Arial" w:eastAsia="Arial" w:hAnsi="Arial"/>
                <w:sz w:val="16"/>
                <w:szCs w:val="16"/>
                <w:color w:val="auto"/>
              </w:rPr>
              <w:t>Canadian dollar-denominated</w:t>
            </w:r>
          </w:p>
        </w:tc>
        <w:tc>
          <w:tcPr>
            <w:tcW w:w="2340" w:type="dxa"/>
            <w:vAlign w:val="bottom"/>
            <w:gridSpan w:val="2"/>
          </w:tcPr>
          <w:p>
            <w:pPr>
              <w:jc w:val="right"/>
              <w:ind w:right="919"/>
              <w:spacing w:after="0"/>
              <w:rPr>
                <w:sz w:val="20"/>
                <w:szCs w:val="20"/>
                <w:color w:val="auto"/>
              </w:rPr>
            </w:pPr>
            <w:r>
              <w:rPr>
                <w:rFonts w:ascii="Arial" w:cs="Arial" w:eastAsia="Arial" w:hAnsi="Arial"/>
                <w:sz w:val="16"/>
                <w:szCs w:val="16"/>
                <w:b w:val="1"/>
                <w:bCs w:val="1"/>
                <w:color w:val="auto"/>
              </w:rPr>
              <w:t>28</w:t>
            </w:r>
          </w:p>
        </w:tc>
        <w:tc>
          <w:tcPr>
            <w:tcW w:w="500" w:type="dxa"/>
            <w:vAlign w:val="bottom"/>
          </w:tcPr>
          <w:p>
            <w:pPr>
              <w:jc w:val="right"/>
              <w:spacing w:after="0"/>
              <w:rPr>
                <w:sz w:val="20"/>
                <w:szCs w:val="20"/>
                <w:color w:val="auto"/>
              </w:rPr>
            </w:pPr>
            <w:r>
              <w:rPr>
                <w:rFonts w:ascii="Arial" w:cs="Arial" w:eastAsia="Arial" w:hAnsi="Arial"/>
                <w:sz w:val="16"/>
                <w:szCs w:val="16"/>
                <w:color w:val="auto"/>
              </w:rPr>
              <w:t>47</w:t>
            </w:r>
          </w:p>
        </w:tc>
        <w:tc>
          <w:tcPr>
            <w:tcW w:w="100" w:type="dxa"/>
            <w:vAlign w:val="bottom"/>
          </w:tcPr>
          <w:p>
            <w:pPr>
              <w:spacing w:after="0"/>
              <w:rPr>
                <w:sz w:val="22"/>
                <w:szCs w:val="22"/>
                <w:color w:val="auto"/>
              </w:rPr>
            </w:pPr>
          </w:p>
        </w:tc>
        <w:tc>
          <w:tcPr>
            <w:tcW w:w="2100" w:type="dxa"/>
            <w:vAlign w:val="bottom"/>
          </w:tcPr>
          <w:p>
            <w:pPr>
              <w:jc w:val="right"/>
              <w:ind w:right="779"/>
              <w:spacing w:after="0"/>
              <w:rPr>
                <w:sz w:val="20"/>
                <w:szCs w:val="20"/>
                <w:color w:val="auto"/>
              </w:rPr>
            </w:pPr>
            <w:r>
              <w:rPr>
                <w:rFonts w:ascii="Arial" w:cs="Arial" w:eastAsia="Arial" w:hAnsi="Arial"/>
                <w:sz w:val="16"/>
                <w:szCs w:val="16"/>
                <w:b w:val="1"/>
                <w:bCs w:val="1"/>
                <w:color w:val="auto"/>
              </w:rPr>
              <w:t>49</w:t>
            </w:r>
          </w:p>
        </w:tc>
        <w:tc>
          <w:tcPr>
            <w:tcW w:w="620" w:type="dxa"/>
            <w:vAlign w:val="bottom"/>
          </w:tcPr>
          <w:p>
            <w:pPr>
              <w:jc w:val="right"/>
              <w:spacing w:after="0"/>
              <w:rPr>
                <w:sz w:val="20"/>
                <w:szCs w:val="20"/>
                <w:color w:val="auto"/>
              </w:rPr>
            </w:pPr>
            <w:r>
              <w:rPr>
                <w:rFonts w:ascii="Arial" w:cs="Arial" w:eastAsia="Arial" w:hAnsi="Arial"/>
                <w:sz w:val="16"/>
                <w:szCs w:val="16"/>
                <w:color w:val="auto"/>
              </w:rPr>
              <w:t>87</w:t>
            </w:r>
          </w:p>
        </w:tc>
      </w:tr>
      <w:tr>
        <w:trPr>
          <w:trHeight w:val="229"/>
        </w:trPr>
        <w:tc>
          <w:tcPr>
            <w:tcW w:w="20" w:type="dxa"/>
            <w:vAlign w:val="bottom"/>
          </w:tcPr>
          <w:p>
            <w:pPr>
              <w:spacing w:after="0"/>
              <w:rPr>
                <w:sz w:val="19"/>
                <w:szCs w:val="19"/>
                <w:color w:val="auto"/>
              </w:rPr>
            </w:pPr>
          </w:p>
        </w:tc>
        <w:tc>
          <w:tcPr>
            <w:tcW w:w="5520" w:type="dxa"/>
            <w:vAlign w:val="bottom"/>
          </w:tcPr>
          <w:p>
            <w:pPr>
              <w:spacing w:after="0"/>
              <w:rPr>
                <w:sz w:val="20"/>
                <w:szCs w:val="20"/>
                <w:color w:val="auto"/>
              </w:rPr>
            </w:pPr>
            <w:r>
              <w:rPr>
                <w:rFonts w:ascii="Arial" w:cs="Arial" w:eastAsia="Arial" w:hAnsi="Arial"/>
                <w:sz w:val="16"/>
                <w:szCs w:val="16"/>
                <w:color w:val="auto"/>
              </w:rPr>
              <w:t>U.S. dollar-denominated</w:t>
            </w:r>
          </w:p>
        </w:tc>
        <w:tc>
          <w:tcPr>
            <w:tcW w:w="2340" w:type="dxa"/>
            <w:vAlign w:val="bottom"/>
            <w:gridSpan w:val="2"/>
          </w:tcPr>
          <w:p>
            <w:pPr>
              <w:jc w:val="right"/>
              <w:ind w:right="919"/>
              <w:spacing w:after="0"/>
              <w:rPr>
                <w:sz w:val="20"/>
                <w:szCs w:val="20"/>
                <w:color w:val="auto"/>
              </w:rPr>
            </w:pPr>
            <w:r>
              <w:rPr>
                <w:rFonts w:ascii="Arial" w:cs="Arial" w:eastAsia="Arial" w:hAnsi="Arial"/>
                <w:sz w:val="16"/>
                <w:szCs w:val="16"/>
                <w:b w:val="1"/>
                <w:bCs w:val="1"/>
                <w:color w:val="auto"/>
              </w:rPr>
              <w:t>22</w:t>
            </w:r>
          </w:p>
        </w:tc>
        <w:tc>
          <w:tcPr>
            <w:tcW w:w="500" w:type="dxa"/>
            <w:vAlign w:val="bottom"/>
          </w:tcPr>
          <w:p>
            <w:pPr>
              <w:jc w:val="right"/>
              <w:spacing w:after="0"/>
              <w:rPr>
                <w:sz w:val="20"/>
                <w:szCs w:val="20"/>
                <w:color w:val="auto"/>
              </w:rPr>
            </w:pPr>
            <w:r>
              <w:rPr>
                <w:rFonts w:ascii="Arial" w:cs="Arial" w:eastAsia="Arial" w:hAnsi="Arial"/>
                <w:sz w:val="16"/>
                <w:szCs w:val="16"/>
                <w:color w:val="auto"/>
              </w:rPr>
              <w:t>51</w:t>
            </w:r>
          </w:p>
        </w:tc>
        <w:tc>
          <w:tcPr>
            <w:tcW w:w="100" w:type="dxa"/>
            <w:vAlign w:val="bottom"/>
          </w:tcPr>
          <w:p>
            <w:pPr>
              <w:spacing w:after="0"/>
              <w:rPr>
                <w:sz w:val="19"/>
                <w:szCs w:val="19"/>
                <w:color w:val="auto"/>
              </w:rPr>
            </w:pPr>
          </w:p>
        </w:tc>
        <w:tc>
          <w:tcPr>
            <w:tcW w:w="2100" w:type="dxa"/>
            <w:vAlign w:val="bottom"/>
          </w:tcPr>
          <w:p>
            <w:pPr>
              <w:jc w:val="right"/>
              <w:ind w:right="779"/>
              <w:spacing w:after="0"/>
              <w:rPr>
                <w:sz w:val="20"/>
                <w:szCs w:val="20"/>
                <w:color w:val="auto"/>
              </w:rPr>
            </w:pPr>
            <w:r>
              <w:rPr>
                <w:rFonts w:ascii="Arial" w:cs="Arial" w:eastAsia="Arial" w:hAnsi="Arial"/>
                <w:sz w:val="16"/>
                <w:szCs w:val="16"/>
                <w:b w:val="1"/>
                <w:bCs w:val="1"/>
                <w:color w:val="auto"/>
              </w:rPr>
              <w:t>112</w:t>
            </w:r>
          </w:p>
        </w:tc>
        <w:tc>
          <w:tcPr>
            <w:tcW w:w="620" w:type="dxa"/>
            <w:vAlign w:val="bottom"/>
          </w:tcPr>
          <w:p>
            <w:pPr>
              <w:jc w:val="right"/>
              <w:spacing w:after="0"/>
              <w:rPr>
                <w:sz w:val="20"/>
                <w:szCs w:val="20"/>
                <w:color w:val="auto"/>
              </w:rPr>
            </w:pPr>
            <w:r>
              <w:rPr>
                <w:rFonts w:ascii="Arial" w:cs="Arial" w:eastAsia="Arial" w:hAnsi="Arial"/>
                <w:sz w:val="16"/>
                <w:szCs w:val="16"/>
                <w:color w:val="auto"/>
              </w:rPr>
              <w:t>172</w:t>
            </w:r>
          </w:p>
        </w:tc>
      </w:tr>
      <w:tr>
        <w:trPr>
          <w:trHeight w:val="233"/>
        </w:trPr>
        <w:tc>
          <w:tcPr>
            <w:tcW w:w="20" w:type="dxa"/>
            <w:vAlign w:val="bottom"/>
            <w:tcBorders>
              <w:bottom w:val="single" w:sz="8" w:color="auto"/>
            </w:tcBorders>
          </w:tcPr>
          <w:p>
            <w:pPr>
              <w:spacing w:after="0"/>
              <w:rPr>
                <w:sz w:val="20"/>
                <w:szCs w:val="20"/>
                <w:color w:val="auto"/>
              </w:rPr>
            </w:pPr>
          </w:p>
        </w:tc>
        <w:tc>
          <w:tcPr>
            <w:tcW w:w="55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Foreign exchange impact</w:t>
            </w:r>
          </w:p>
        </w:tc>
        <w:tc>
          <w:tcPr>
            <w:tcW w:w="2340" w:type="dxa"/>
            <w:vAlign w:val="bottom"/>
            <w:tcBorders>
              <w:bottom w:val="single" w:sz="8" w:color="auto"/>
            </w:tcBorders>
            <w:gridSpan w:val="2"/>
          </w:tcPr>
          <w:p>
            <w:pPr>
              <w:jc w:val="right"/>
              <w:ind w:right="919"/>
              <w:spacing w:after="0"/>
              <w:rPr>
                <w:sz w:val="20"/>
                <w:szCs w:val="20"/>
                <w:color w:val="auto"/>
              </w:rPr>
            </w:pPr>
            <w:r>
              <w:rPr>
                <w:rFonts w:ascii="Arial" w:cs="Arial" w:eastAsia="Arial" w:hAnsi="Arial"/>
                <w:sz w:val="16"/>
                <w:szCs w:val="16"/>
                <w:b w:val="1"/>
                <w:bCs w:val="1"/>
                <w:color w:val="auto"/>
              </w:rPr>
              <w:t>8</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w:t>
            </w:r>
          </w:p>
        </w:tc>
        <w:tc>
          <w:tcPr>
            <w:tcW w:w="10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tcPr>
          <w:p>
            <w:pPr>
              <w:jc w:val="right"/>
              <w:ind w:right="779"/>
              <w:spacing w:after="0"/>
              <w:rPr>
                <w:sz w:val="20"/>
                <w:szCs w:val="20"/>
                <w:color w:val="auto"/>
              </w:rPr>
            </w:pPr>
            <w:r>
              <w:rPr>
                <w:rFonts w:ascii="Arial" w:cs="Arial" w:eastAsia="Arial" w:hAnsi="Arial"/>
                <w:sz w:val="16"/>
                <w:szCs w:val="16"/>
                <w:b w:val="1"/>
                <w:bCs w:val="1"/>
                <w:color w:val="auto"/>
              </w:rPr>
              <w:t>44</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w:t>
            </w:r>
          </w:p>
        </w:tc>
      </w:tr>
      <w:tr>
        <w:trPr>
          <w:trHeight w:val="223"/>
        </w:trPr>
        <w:tc>
          <w:tcPr>
            <w:tcW w:w="20" w:type="dxa"/>
            <w:vAlign w:val="bottom"/>
            <w:tcBorders>
              <w:bottom w:val="single" w:sz="8" w:color="auto"/>
            </w:tcBorders>
          </w:tcPr>
          <w:p>
            <w:pPr>
              <w:spacing w:after="0"/>
              <w:rPr>
                <w:sz w:val="19"/>
                <w:szCs w:val="19"/>
                <w:color w:val="auto"/>
              </w:rPr>
            </w:pPr>
          </w:p>
        </w:tc>
        <w:tc>
          <w:tcPr>
            <w:tcW w:w="552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0D64EF"/>
              </w:rPr>
              <w:t>Interest income and other</w:t>
            </w:r>
          </w:p>
        </w:tc>
        <w:tc>
          <w:tcPr>
            <w:tcW w:w="2340" w:type="dxa"/>
            <w:vAlign w:val="bottom"/>
            <w:tcBorders>
              <w:bottom w:val="single" w:sz="8" w:color="auto"/>
            </w:tcBorders>
            <w:gridSpan w:val="2"/>
          </w:tcPr>
          <w:p>
            <w:pPr>
              <w:jc w:val="right"/>
              <w:ind w:right="919"/>
              <w:spacing w:after="0"/>
              <w:rPr>
                <w:sz w:val="20"/>
                <w:szCs w:val="20"/>
                <w:color w:val="auto"/>
              </w:rPr>
            </w:pPr>
            <w:r>
              <w:rPr>
                <w:rFonts w:ascii="Arial" w:cs="Arial" w:eastAsia="Arial" w:hAnsi="Arial"/>
                <w:sz w:val="16"/>
                <w:szCs w:val="16"/>
                <w:b w:val="1"/>
                <w:bCs w:val="1"/>
                <w:color w:val="auto"/>
              </w:rPr>
              <w:t>58</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w:t>
            </w:r>
          </w:p>
        </w:tc>
        <w:tc>
          <w:tcPr>
            <w:tcW w:w="10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tcPr>
          <w:p>
            <w:pPr>
              <w:jc w:val="right"/>
              <w:ind w:right="779"/>
              <w:spacing w:after="0"/>
              <w:rPr>
                <w:sz w:val="20"/>
                <w:szCs w:val="20"/>
                <w:color w:val="auto"/>
              </w:rPr>
            </w:pPr>
            <w:r>
              <w:rPr>
                <w:rFonts w:ascii="Arial" w:cs="Arial" w:eastAsia="Arial" w:hAnsi="Arial"/>
                <w:sz w:val="16"/>
                <w:szCs w:val="16"/>
                <w:b w:val="1"/>
                <w:bCs w:val="1"/>
                <w:color w:val="auto"/>
              </w:rPr>
              <w:t>205</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324</w:t>
            </w:r>
          </w:p>
        </w:tc>
      </w:tr>
    </w:tbl>
    <w:p>
      <w:pPr>
        <w:spacing w:after="0" w:line="184" w:lineRule="exact"/>
        <w:rPr>
          <w:sz w:val="20"/>
          <w:szCs w:val="20"/>
          <w:color w:val="auto"/>
        </w:rPr>
      </w:pPr>
    </w:p>
    <w:p>
      <w:pPr>
        <w:ind w:right="280"/>
        <w:spacing w:after="0" w:line="305" w:lineRule="auto"/>
        <w:rPr>
          <w:sz w:val="20"/>
          <w:szCs w:val="20"/>
          <w:color w:val="auto"/>
        </w:rPr>
      </w:pPr>
      <w:r>
        <w:rPr>
          <w:rFonts w:ascii="Arial" w:cs="Arial" w:eastAsia="Arial" w:hAnsi="Arial"/>
          <w:sz w:val="18"/>
          <w:szCs w:val="18"/>
          <w:color w:val="auto"/>
        </w:rPr>
        <w:t>Interest income and other decreased by $62 million for the three months ended December 31, 2025 compared to the same period in 2024 primarily due to the net effect of:</w:t>
      </w:r>
    </w:p>
    <w:p>
      <w:pPr>
        <w:ind w:left="140" w:hanging="132"/>
        <w:spacing w:after="0"/>
        <w:tabs>
          <w:tab w:leader="none" w:pos="1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increased insurance-related provisions</w:t>
      </w:r>
    </w:p>
    <w:p>
      <w:pPr>
        <w:spacing w:after="0" w:line="49" w:lineRule="exact"/>
        <w:rPr>
          <w:rFonts w:ascii="Arial" w:cs="Arial" w:eastAsia="Arial" w:hAnsi="Arial"/>
          <w:sz w:val="18"/>
          <w:szCs w:val="18"/>
          <w:color w:val="auto"/>
        </w:rPr>
      </w:pPr>
    </w:p>
    <w:p>
      <w:pPr>
        <w:ind w:left="140" w:hanging="132"/>
        <w:spacing w:after="0"/>
        <w:tabs>
          <w:tab w:leader="none" w:pos="1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lower interest earned on Canadian and U.S. dollar-denominated short-term investments</w:t>
      </w:r>
    </w:p>
    <w:p>
      <w:pPr>
        <w:spacing w:after="0" w:line="49" w:lineRule="exact"/>
        <w:rPr>
          <w:rFonts w:ascii="Arial" w:cs="Arial" w:eastAsia="Arial" w:hAnsi="Arial"/>
          <w:sz w:val="18"/>
          <w:szCs w:val="18"/>
          <w:color w:val="auto"/>
        </w:rPr>
      </w:pPr>
    </w:p>
    <w:p>
      <w:pPr>
        <w:ind w:left="140" w:hanging="132"/>
        <w:spacing w:after="0"/>
        <w:tabs>
          <w:tab w:leader="none" w:pos="1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change in fair value of other restricted investments.</w:t>
      </w:r>
    </w:p>
    <w:p>
      <w:pPr>
        <w:spacing w:after="0" w:line="193" w:lineRule="exact"/>
        <w:rPr>
          <w:sz w:val="20"/>
          <w:szCs w:val="20"/>
          <w:color w:val="auto"/>
        </w:rPr>
      </w:pPr>
    </w:p>
    <w:p>
      <w:pPr>
        <w:spacing w:after="0"/>
        <w:rPr>
          <w:sz w:val="20"/>
          <w:szCs w:val="20"/>
          <w:color w:val="auto"/>
        </w:rPr>
      </w:pPr>
      <w:r>
        <w:rPr>
          <w:rFonts w:ascii="Arial" w:cs="Arial" w:eastAsia="Arial" w:hAnsi="Arial"/>
          <w:sz w:val="20"/>
          <w:szCs w:val="20"/>
          <w:b w:val="1"/>
          <w:bCs w:val="1"/>
          <w:color w:val="0D64EF"/>
        </w:rPr>
        <w:t>INCOME TAX (EXPENSE) RECOVERY</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5560" w:type="dxa"/>
            <w:vAlign w:val="bottom"/>
            <w:tcBorders>
              <w:top w:val="single" w:sz="8" w:color="0D64EF"/>
            </w:tcBorders>
            <w:shd w:val="clear" w:color="auto" w:fill="D1D0CF"/>
          </w:tcPr>
          <w:p>
            <w:pPr>
              <w:spacing w:after="0"/>
              <w:rPr>
                <w:sz w:val="17"/>
                <w:szCs w:val="17"/>
                <w:color w:val="auto"/>
              </w:rPr>
            </w:pPr>
          </w:p>
        </w:tc>
        <w:tc>
          <w:tcPr>
            <w:tcW w:w="120" w:type="dxa"/>
            <w:vAlign w:val="bottom"/>
            <w:tcBorders>
              <w:top w:val="single" w:sz="8" w:color="0D64EF"/>
            </w:tcBorders>
            <w:shd w:val="clear" w:color="auto" w:fill="D1D0CF"/>
          </w:tcPr>
          <w:p>
            <w:pPr>
              <w:spacing w:after="0"/>
              <w:rPr>
                <w:sz w:val="17"/>
                <w:szCs w:val="17"/>
                <w:color w:val="auto"/>
              </w:rPr>
            </w:pPr>
          </w:p>
        </w:tc>
        <w:tc>
          <w:tcPr>
            <w:tcW w:w="2220" w:type="dxa"/>
            <w:vAlign w:val="bottom"/>
            <w:tcBorders>
              <w:top w:val="single" w:sz="8" w:color="0D64EF"/>
            </w:tcBorders>
            <w:shd w:val="clear" w:color="auto" w:fill="D1D0CF"/>
          </w:tcPr>
          <w:p>
            <w:pPr>
              <w:jc w:val="right"/>
              <w:spacing w:after="0"/>
              <w:rPr>
                <w:sz w:val="20"/>
                <w:szCs w:val="20"/>
                <w:color w:val="auto"/>
              </w:rPr>
            </w:pPr>
            <w:r>
              <w:rPr>
                <w:rFonts w:ascii="Arial" w:cs="Arial" w:eastAsia="Arial" w:hAnsi="Arial"/>
                <w:sz w:val="16"/>
                <w:szCs w:val="16"/>
                <w:b w:val="1"/>
                <w:bCs w:val="1"/>
                <w:color w:val="auto"/>
              </w:rPr>
              <w:t>three months ended</w:t>
            </w:r>
          </w:p>
        </w:tc>
        <w:tc>
          <w:tcPr>
            <w:tcW w:w="500" w:type="dxa"/>
            <w:vAlign w:val="bottom"/>
            <w:tcBorders>
              <w:top w:val="single" w:sz="8" w:color="0D64EF"/>
            </w:tcBorders>
            <w:shd w:val="clear" w:color="auto" w:fill="D1D0CF"/>
          </w:tcPr>
          <w:p>
            <w:pPr>
              <w:spacing w:after="0"/>
              <w:rPr>
                <w:sz w:val="17"/>
                <w:szCs w:val="17"/>
                <w:color w:val="auto"/>
              </w:rPr>
            </w:pPr>
          </w:p>
        </w:tc>
        <w:tc>
          <w:tcPr>
            <w:tcW w:w="120" w:type="dxa"/>
            <w:vAlign w:val="bottom"/>
            <w:tcBorders>
              <w:top w:val="single" w:sz="8" w:color="0D64EF"/>
            </w:tcBorders>
            <w:shd w:val="clear" w:color="auto" w:fill="D1D0CF"/>
          </w:tcPr>
          <w:p>
            <w:pPr>
              <w:spacing w:after="0"/>
              <w:rPr>
                <w:sz w:val="17"/>
                <w:szCs w:val="17"/>
                <w:color w:val="auto"/>
              </w:rPr>
            </w:pPr>
          </w:p>
        </w:tc>
        <w:tc>
          <w:tcPr>
            <w:tcW w:w="2080" w:type="dxa"/>
            <w:vAlign w:val="bottom"/>
            <w:tcBorders>
              <w:top w:val="single" w:sz="8" w:color="0D64EF"/>
            </w:tcBorders>
            <w:shd w:val="clear" w:color="auto" w:fill="D1D0CF"/>
          </w:tcPr>
          <w:p>
            <w:pPr>
              <w:jc w:val="right"/>
              <w:ind w:right="239"/>
              <w:spacing w:after="0"/>
              <w:rPr>
                <w:sz w:val="20"/>
                <w:szCs w:val="20"/>
                <w:color w:val="auto"/>
              </w:rPr>
            </w:pPr>
            <w:r>
              <w:rPr>
                <w:rFonts w:ascii="Arial" w:cs="Arial" w:eastAsia="Arial" w:hAnsi="Arial"/>
                <w:sz w:val="16"/>
                <w:szCs w:val="16"/>
                <w:b w:val="1"/>
                <w:bCs w:val="1"/>
                <w:color w:val="auto"/>
              </w:rPr>
              <w:t>year ended</w:t>
            </w:r>
          </w:p>
        </w:tc>
        <w:tc>
          <w:tcPr>
            <w:tcW w:w="640" w:type="dxa"/>
            <w:vAlign w:val="bottom"/>
            <w:tcBorders>
              <w:top w:val="single" w:sz="8" w:color="0D64EF"/>
            </w:tcBorders>
            <w:shd w:val="clear" w:color="auto" w:fill="D1D0C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5560" w:type="dxa"/>
            <w:vAlign w:val="bottom"/>
            <w:tcBorders>
              <w:bottom w:val="single" w:sz="8" w:color="D1D0CF"/>
            </w:tcBorders>
            <w:shd w:val="clear" w:color="auto" w:fill="D1D0CF"/>
          </w:tcPr>
          <w:p>
            <w:pPr>
              <w:spacing w:after="0"/>
              <w:rPr>
                <w:sz w:val="18"/>
                <w:szCs w:val="18"/>
                <w:color w:val="auto"/>
              </w:rPr>
            </w:pPr>
          </w:p>
        </w:tc>
        <w:tc>
          <w:tcPr>
            <w:tcW w:w="120" w:type="dxa"/>
            <w:vAlign w:val="bottom"/>
            <w:tcBorders>
              <w:bottom w:val="single" w:sz="8" w:color="D1D0CF"/>
            </w:tcBorders>
            <w:shd w:val="clear" w:color="auto" w:fill="D1D0CF"/>
          </w:tcPr>
          <w:p>
            <w:pPr>
              <w:spacing w:after="0"/>
              <w:rPr>
                <w:sz w:val="18"/>
                <w:szCs w:val="18"/>
                <w:color w:val="auto"/>
              </w:rPr>
            </w:pPr>
          </w:p>
        </w:tc>
        <w:tc>
          <w:tcPr>
            <w:tcW w:w="2220" w:type="dxa"/>
            <w:vAlign w:val="bottom"/>
            <w:tcBorders>
              <w:bottom w:val="single" w:sz="8" w:color="0D64EF"/>
            </w:tcBorders>
            <w:shd w:val="clear" w:color="auto" w:fill="D1D0CF"/>
          </w:tcPr>
          <w:p>
            <w:pPr>
              <w:jc w:val="right"/>
              <w:ind w:right="279"/>
              <w:spacing w:after="0"/>
              <w:rPr>
                <w:sz w:val="20"/>
                <w:szCs w:val="20"/>
                <w:color w:val="auto"/>
              </w:rPr>
            </w:pPr>
            <w:r>
              <w:rPr>
                <w:rFonts w:ascii="Arial" w:cs="Arial" w:eastAsia="Arial" w:hAnsi="Arial"/>
                <w:sz w:val="16"/>
                <w:szCs w:val="16"/>
                <w:b w:val="1"/>
                <w:bCs w:val="1"/>
                <w:color w:val="auto"/>
              </w:rPr>
              <w:t>December 31</w:t>
            </w:r>
          </w:p>
        </w:tc>
        <w:tc>
          <w:tcPr>
            <w:tcW w:w="500" w:type="dxa"/>
            <w:vAlign w:val="bottom"/>
            <w:tcBorders>
              <w:bottom w:val="single" w:sz="8" w:color="0D64EF"/>
            </w:tcBorders>
            <w:shd w:val="clear" w:color="auto" w:fill="D1D0CF"/>
          </w:tcPr>
          <w:p>
            <w:pPr>
              <w:spacing w:after="0"/>
              <w:rPr>
                <w:sz w:val="18"/>
                <w:szCs w:val="18"/>
                <w:color w:val="auto"/>
              </w:rPr>
            </w:pPr>
          </w:p>
        </w:tc>
        <w:tc>
          <w:tcPr>
            <w:tcW w:w="120" w:type="dxa"/>
            <w:vAlign w:val="bottom"/>
            <w:tcBorders>
              <w:bottom w:val="single" w:sz="8" w:color="D1D0CF"/>
            </w:tcBorders>
            <w:shd w:val="clear" w:color="auto" w:fill="D1D0CF"/>
          </w:tcPr>
          <w:p>
            <w:pPr>
              <w:spacing w:after="0"/>
              <w:rPr>
                <w:sz w:val="18"/>
                <w:szCs w:val="18"/>
                <w:color w:val="auto"/>
              </w:rPr>
            </w:pPr>
          </w:p>
        </w:tc>
        <w:tc>
          <w:tcPr>
            <w:tcW w:w="2080" w:type="dxa"/>
            <w:vAlign w:val="bottom"/>
            <w:tcBorders>
              <w:bottom w:val="single" w:sz="8" w:color="0D64EF"/>
            </w:tcBorders>
            <w:shd w:val="clear" w:color="auto" w:fill="D1D0CF"/>
          </w:tcPr>
          <w:p>
            <w:pPr>
              <w:jc w:val="right"/>
              <w:ind w:right="139"/>
              <w:spacing w:after="0"/>
              <w:rPr>
                <w:sz w:val="20"/>
                <w:szCs w:val="20"/>
                <w:color w:val="auto"/>
              </w:rPr>
            </w:pPr>
            <w:r>
              <w:rPr>
                <w:rFonts w:ascii="Arial" w:cs="Arial" w:eastAsia="Arial" w:hAnsi="Arial"/>
                <w:sz w:val="16"/>
                <w:szCs w:val="16"/>
                <w:b w:val="1"/>
                <w:bCs w:val="1"/>
                <w:color w:val="auto"/>
              </w:rPr>
              <w:t>December 31</w:t>
            </w:r>
          </w:p>
        </w:tc>
        <w:tc>
          <w:tcPr>
            <w:tcW w:w="640" w:type="dxa"/>
            <w:vAlign w:val="bottom"/>
            <w:tcBorders>
              <w:bottom w:val="single" w:sz="8" w:color="0D64EF"/>
            </w:tcBorders>
            <w:shd w:val="clear" w:color="auto" w:fill="D1D0C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5560" w:type="dxa"/>
            <w:vAlign w:val="bottom"/>
            <w:tcBorders>
              <w:bottom w:val="single" w:sz="8" w:color="0D64EF"/>
            </w:tcBorders>
            <w:shd w:val="clear" w:color="auto" w:fill="D1D0CF"/>
          </w:tcPr>
          <w:p>
            <w:pPr>
              <w:ind w:left="20"/>
              <w:spacing w:after="0"/>
              <w:rPr>
                <w:sz w:val="20"/>
                <w:szCs w:val="20"/>
                <w:color w:val="auto"/>
              </w:rPr>
            </w:pPr>
            <w:r>
              <w:rPr>
                <w:rFonts w:ascii="Arial" w:cs="Arial" w:eastAsia="Arial" w:hAnsi="Arial"/>
                <w:sz w:val="16"/>
                <w:szCs w:val="16"/>
                <w:color w:val="auto"/>
              </w:rPr>
              <w:t>(millions of $)</w:t>
            </w:r>
          </w:p>
        </w:tc>
        <w:tc>
          <w:tcPr>
            <w:tcW w:w="120" w:type="dxa"/>
            <w:vAlign w:val="bottom"/>
            <w:tcBorders>
              <w:bottom w:val="single" w:sz="8" w:color="0D64EF"/>
            </w:tcBorders>
            <w:shd w:val="clear" w:color="auto" w:fill="D1D0CF"/>
          </w:tcPr>
          <w:p>
            <w:pPr>
              <w:spacing w:after="0"/>
              <w:rPr>
                <w:sz w:val="19"/>
                <w:szCs w:val="19"/>
                <w:color w:val="auto"/>
              </w:rPr>
            </w:pPr>
          </w:p>
        </w:tc>
        <w:tc>
          <w:tcPr>
            <w:tcW w:w="2220" w:type="dxa"/>
            <w:vAlign w:val="bottom"/>
            <w:tcBorders>
              <w:bottom w:val="single" w:sz="8" w:color="0D64EF"/>
            </w:tcBorders>
            <w:shd w:val="clear" w:color="auto" w:fill="D1D0CF"/>
          </w:tcPr>
          <w:p>
            <w:pPr>
              <w:jc w:val="right"/>
              <w:ind w:right="859"/>
              <w:spacing w:after="0"/>
              <w:rPr>
                <w:sz w:val="20"/>
                <w:szCs w:val="20"/>
                <w:color w:val="auto"/>
              </w:rPr>
            </w:pPr>
            <w:r>
              <w:rPr>
                <w:rFonts w:ascii="Arial" w:cs="Arial" w:eastAsia="Arial" w:hAnsi="Arial"/>
                <w:sz w:val="16"/>
                <w:szCs w:val="16"/>
                <w:b w:val="1"/>
                <w:bCs w:val="1"/>
                <w:color w:val="auto"/>
              </w:rPr>
              <w:t>2025</w:t>
            </w:r>
          </w:p>
        </w:tc>
        <w:tc>
          <w:tcPr>
            <w:tcW w:w="500" w:type="dxa"/>
            <w:vAlign w:val="bottom"/>
            <w:tcBorders>
              <w:bottom w:val="single" w:sz="8" w:color="0D64EF"/>
            </w:tcBorders>
            <w:shd w:val="clear" w:color="auto" w:fill="D1D0CF"/>
          </w:tcPr>
          <w:p>
            <w:pPr>
              <w:jc w:val="right"/>
              <w:spacing w:after="0"/>
              <w:rPr>
                <w:sz w:val="20"/>
                <w:szCs w:val="20"/>
                <w:color w:val="auto"/>
              </w:rPr>
            </w:pPr>
            <w:r>
              <w:rPr>
                <w:rFonts w:ascii="Arial" w:cs="Arial" w:eastAsia="Arial" w:hAnsi="Arial"/>
                <w:sz w:val="16"/>
                <w:szCs w:val="16"/>
                <w:b w:val="1"/>
                <w:bCs w:val="1"/>
                <w:color w:val="auto"/>
              </w:rPr>
              <w:t>2024</w:t>
            </w:r>
          </w:p>
        </w:tc>
        <w:tc>
          <w:tcPr>
            <w:tcW w:w="120" w:type="dxa"/>
            <w:vAlign w:val="bottom"/>
            <w:tcBorders>
              <w:bottom w:val="single" w:sz="8" w:color="0D64EF"/>
            </w:tcBorders>
            <w:shd w:val="clear" w:color="auto" w:fill="D1D0CF"/>
          </w:tcPr>
          <w:p>
            <w:pPr>
              <w:spacing w:after="0"/>
              <w:rPr>
                <w:sz w:val="19"/>
                <w:szCs w:val="19"/>
                <w:color w:val="auto"/>
              </w:rPr>
            </w:pPr>
          </w:p>
        </w:tc>
        <w:tc>
          <w:tcPr>
            <w:tcW w:w="2080" w:type="dxa"/>
            <w:vAlign w:val="bottom"/>
            <w:tcBorders>
              <w:bottom w:val="single" w:sz="8" w:color="0D64EF"/>
            </w:tcBorders>
            <w:shd w:val="clear" w:color="auto" w:fill="D1D0CF"/>
          </w:tcPr>
          <w:p>
            <w:pPr>
              <w:jc w:val="right"/>
              <w:ind w:right="719"/>
              <w:spacing w:after="0"/>
              <w:rPr>
                <w:sz w:val="20"/>
                <w:szCs w:val="20"/>
                <w:color w:val="auto"/>
              </w:rPr>
            </w:pPr>
            <w:r>
              <w:rPr>
                <w:rFonts w:ascii="Arial" w:cs="Arial" w:eastAsia="Arial" w:hAnsi="Arial"/>
                <w:sz w:val="16"/>
                <w:szCs w:val="16"/>
                <w:b w:val="1"/>
                <w:bCs w:val="1"/>
                <w:color w:val="auto"/>
              </w:rPr>
              <w:t>2025</w:t>
            </w:r>
          </w:p>
        </w:tc>
        <w:tc>
          <w:tcPr>
            <w:tcW w:w="640" w:type="dxa"/>
            <w:vAlign w:val="bottom"/>
            <w:tcBorders>
              <w:bottom w:val="single" w:sz="8" w:color="0D64EF"/>
            </w:tcBorders>
            <w:shd w:val="clear" w:color="auto" w:fill="D1D0CF"/>
          </w:tcPr>
          <w:p>
            <w:pPr>
              <w:jc w:val="right"/>
              <w:spacing w:after="0"/>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259"/>
        </w:trPr>
        <w:tc>
          <w:tcPr>
            <w:tcW w:w="5560" w:type="dxa"/>
            <w:vAlign w:val="bottom"/>
          </w:tcPr>
          <w:p>
            <w:pPr>
              <w:ind w:left="20"/>
              <w:spacing w:after="0"/>
              <w:rPr>
                <w:sz w:val="20"/>
                <w:szCs w:val="20"/>
                <w:color w:val="auto"/>
              </w:rPr>
            </w:pPr>
            <w:r>
              <w:rPr>
                <w:rFonts w:ascii="Arial" w:cs="Arial" w:eastAsia="Arial" w:hAnsi="Arial"/>
                <w:sz w:val="16"/>
                <w:szCs w:val="16"/>
                <w:b w:val="1"/>
                <w:bCs w:val="1"/>
                <w:color w:val="0D64EF"/>
              </w:rPr>
              <w:t>Income tax (expense) recovery included in comparable earnings</w:t>
            </w:r>
          </w:p>
        </w:tc>
        <w:tc>
          <w:tcPr>
            <w:tcW w:w="2340" w:type="dxa"/>
            <w:vAlign w:val="bottom"/>
            <w:gridSpan w:val="2"/>
          </w:tcPr>
          <w:p>
            <w:pPr>
              <w:jc w:val="right"/>
              <w:ind w:right="859"/>
              <w:spacing w:after="0"/>
              <w:rPr>
                <w:sz w:val="20"/>
                <w:szCs w:val="20"/>
                <w:color w:val="auto"/>
              </w:rPr>
            </w:pPr>
            <w:r>
              <w:rPr>
                <w:rFonts w:ascii="Arial" w:cs="Arial" w:eastAsia="Arial" w:hAnsi="Arial"/>
                <w:sz w:val="16"/>
                <w:szCs w:val="16"/>
                <w:b w:val="1"/>
                <w:bCs w:val="1"/>
                <w:color w:val="auto"/>
              </w:rPr>
              <w:t>(266)</w:t>
            </w:r>
          </w:p>
        </w:tc>
        <w:tc>
          <w:tcPr>
            <w:tcW w:w="500" w:type="dxa"/>
            <w:vAlign w:val="bottom"/>
          </w:tcPr>
          <w:p>
            <w:pPr>
              <w:jc w:val="right"/>
              <w:spacing w:after="0"/>
              <w:rPr>
                <w:sz w:val="20"/>
                <w:szCs w:val="20"/>
                <w:color w:val="auto"/>
              </w:rPr>
            </w:pPr>
            <w:r>
              <w:rPr>
                <w:rFonts w:ascii="Arial" w:cs="Arial" w:eastAsia="Arial" w:hAnsi="Arial"/>
                <w:sz w:val="16"/>
                <w:szCs w:val="16"/>
                <w:color w:val="auto"/>
              </w:rPr>
              <w:t>(168)</w:t>
            </w:r>
          </w:p>
        </w:tc>
        <w:tc>
          <w:tcPr>
            <w:tcW w:w="120" w:type="dxa"/>
            <w:vAlign w:val="bottom"/>
          </w:tcPr>
          <w:p>
            <w:pPr>
              <w:spacing w:after="0"/>
              <w:rPr>
                <w:sz w:val="22"/>
                <w:szCs w:val="22"/>
                <w:color w:val="auto"/>
              </w:rPr>
            </w:pPr>
          </w:p>
        </w:tc>
        <w:tc>
          <w:tcPr>
            <w:tcW w:w="2080" w:type="dxa"/>
            <w:vAlign w:val="bottom"/>
          </w:tcPr>
          <w:p>
            <w:pPr>
              <w:jc w:val="right"/>
              <w:ind w:right="719"/>
              <w:spacing w:after="0"/>
              <w:rPr>
                <w:sz w:val="20"/>
                <w:szCs w:val="20"/>
                <w:color w:val="auto"/>
              </w:rPr>
            </w:pPr>
            <w:r>
              <w:rPr>
                <w:rFonts w:ascii="Arial" w:cs="Arial" w:eastAsia="Arial" w:hAnsi="Arial"/>
                <w:sz w:val="16"/>
                <w:szCs w:val="16"/>
                <w:b w:val="1"/>
                <w:bCs w:val="1"/>
                <w:color w:val="auto"/>
              </w:rPr>
              <w:t>(1,112)</w:t>
            </w:r>
          </w:p>
        </w:tc>
        <w:tc>
          <w:tcPr>
            <w:tcW w:w="640" w:type="dxa"/>
            <w:vAlign w:val="bottom"/>
          </w:tcPr>
          <w:p>
            <w:pPr>
              <w:jc w:val="right"/>
              <w:spacing w:after="0"/>
              <w:rPr>
                <w:sz w:val="20"/>
                <w:szCs w:val="20"/>
                <w:color w:val="auto"/>
              </w:rPr>
            </w:pPr>
            <w:r>
              <w:rPr>
                <w:rFonts w:ascii="Arial" w:cs="Arial" w:eastAsia="Arial" w:hAnsi="Arial"/>
                <w:sz w:val="16"/>
                <w:szCs w:val="16"/>
                <w:color w:val="auto"/>
              </w:rPr>
              <w:t>(772)</w:t>
            </w:r>
          </w:p>
        </w:tc>
        <w:tc>
          <w:tcPr>
            <w:tcW w:w="0" w:type="dxa"/>
            <w:vAlign w:val="bottom"/>
          </w:tcPr>
          <w:p>
            <w:pPr>
              <w:spacing w:after="0"/>
              <w:rPr>
                <w:sz w:val="1"/>
                <w:szCs w:val="1"/>
                <w:color w:val="auto"/>
              </w:rPr>
            </w:pPr>
          </w:p>
        </w:tc>
      </w:tr>
      <w:tr>
        <w:trPr>
          <w:trHeight w:val="221"/>
        </w:trPr>
        <w:tc>
          <w:tcPr>
            <w:tcW w:w="5560" w:type="dxa"/>
            <w:vAlign w:val="bottom"/>
          </w:tcPr>
          <w:p>
            <w:pPr>
              <w:ind w:left="20"/>
              <w:spacing w:after="0"/>
              <w:rPr>
                <w:sz w:val="20"/>
                <w:szCs w:val="20"/>
                <w:color w:val="auto"/>
              </w:rPr>
            </w:pPr>
            <w:r>
              <w:rPr>
                <w:rFonts w:ascii="Arial" w:cs="Arial" w:eastAsia="Arial" w:hAnsi="Arial"/>
                <w:sz w:val="16"/>
                <w:szCs w:val="16"/>
                <w:color w:val="auto"/>
              </w:rPr>
              <w:t>Specific items:</w:t>
            </w:r>
          </w:p>
        </w:tc>
        <w:tc>
          <w:tcPr>
            <w:tcW w:w="12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5560" w:type="dxa"/>
            <w:vAlign w:val="bottom"/>
          </w:tcPr>
          <w:p>
            <w:pPr>
              <w:ind w:left="140"/>
              <w:spacing w:after="0"/>
              <w:rPr>
                <w:sz w:val="20"/>
                <w:szCs w:val="20"/>
                <w:color w:val="auto"/>
              </w:rPr>
            </w:pPr>
            <w:r>
              <w:rPr>
                <w:rFonts w:ascii="Arial" w:cs="Arial" w:eastAsia="Arial" w:hAnsi="Arial"/>
                <w:sz w:val="16"/>
                <w:szCs w:val="16"/>
                <w:color w:val="auto"/>
              </w:rPr>
              <w:t>Power and Energy Solutions impairment charges</w:t>
            </w:r>
          </w:p>
        </w:tc>
        <w:tc>
          <w:tcPr>
            <w:tcW w:w="2340" w:type="dxa"/>
            <w:vAlign w:val="bottom"/>
            <w:gridSpan w:val="2"/>
          </w:tcPr>
          <w:p>
            <w:pPr>
              <w:jc w:val="right"/>
              <w:ind w:right="899"/>
              <w:spacing w:after="0"/>
              <w:rPr>
                <w:sz w:val="20"/>
                <w:szCs w:val="20"/>
                <w:color w:val="auto"/>
              </w:rPr>
            </w:pPr>
            <w:r>
              <w:rPr>
                <w:rFonts w:ascii="Arial" w:cs="Arial" w:eastAsia="Arial" w:hAnsi="Arial"/>
                <w:sz w:val="16"/>
                <w:szCs w:val="16"/>
                <w:b w:val="1"/>
                <w:bCs w:val="1"/>
                <w:color w:val="auto"/>
              </w:rPr>
              <w:t>25</w:t>
            </w:r>
          </w:p>
        </w:tc>
        <w:tc>
          <w:tcPr>
            <w:tcW w:w="500" w:type="dxa"/>
            <w:vAlign w:val="bottom"/>
          </w:tcPr>
          <w:p>
            <w:pPr>
              <w:jc w:val="right"/>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20"/>
                <w:szCs w:val="20"/>
                <w:color w:val="auto"/>
              </w:rPr>
            </w:pPr>
          </w:p>
        </w:tc>
        <w:tc>
          <w:tcPr>
            <w:tcW w:w="2080" w:type="dxa"/>
            <w:vAlign w:val="bottom"/>
          </w:tcPr>
          <w:p>
            <w:pPr>
              <w:jc w:val="right"/>
              <w:ind w:right="759"/>
              <w:spacing w:after="0"/>
              <w:rPr>
                <w:sz w:val="20"/>
                <w:szCs w:val="20"/>
                <w:color w:val="auto"/>
              </w:rPr>
            </w:pPr>
            <w:r>
              <w:rPr>
                <w:rFonts w:ascii="Arial" w:cs="Arial" w:eastAsia="Arial" w:hAnsi="Arial"/>
                <w:sz w:val="16"/>
                <w:szCs w:val="16"/>
                <w:b w:val="1"/>
                <w:bCs w:val="1"/>
                <w:color w:val="auto"/>
              </w:rPr>
              <w:t>25</w:t>
            </w:r>
          </w:p>
        </w:tc>
        <w:tc>
          <w:tcPr>
            <w:tcW w:w="640" w:type="dxa"/>
            <w:vAlign w:val="bottom"/>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30"/>
        </w:trPr>
        <w:tc>
          <w:tcPr>
            <w:tcW w:w="5560" w:type="dxa"/>
            <w:vAlign w:val="bottom"/>
          </w:tcPr>
          <w:p>
            <w:pPr>
              <w:ind w:left="140"/>
              <w:spacing w:after="0"/>
              <w:rPr>
                <w:sz w:val="20"/>
                <w:szCs w:val="20"/>
                <w:color w:val="auto"/>
              </w:rPr>
            </w:pPr>
            <w:r>
              <w:rPr>
                <w:rFonts w:ascii="Arial" w:cs="Arial" w:eastAsia="Arial" w:hAnsi="Arial"/>
                <w:sz w:val="16"/>
                <w:szCs w:val="16"/>
                <w:color w:val="auto"/>
              </w:rPr>
              <w:t>Foreign exchange gains (losses), net – intercompany loan</w:t>
            </w:r>
          </w:p>
        </w:tc>
        <w:tc>
          <w:tcPr>
            <w:tcW w:w="120" w:type="dxa"/>
            <w:vAlign w:val="bottom"/>
          </w:tcPr>
          <w:p>
            <w:pPr>
              <w:spacing w:after="0"/>
              <w:rPr>
                <w:sz w:val="19"/>
                <w:szCs w:val="19"/>
                <w:color w:val="auto"/>
              </w:rPr>
            </w:pPr>
          </w:p>
        </w:tc>
        <w:tc>
          <w:tcPr>
            <w:tcW w:w="2220" w:type="dxa"/>
            <w:vAlign w:val="bottom"/>
          </w:tcPr>
          <w:p>
            <w:pPr>
              <w:jc w:val="right"/>
              <w:ind w:right="899"/>
              <w:spacing w:after="0"/>
              <w:rPr>
                <w:sz w:val="20"/>
                <w:szCs w:val="20"/>
                <w:color w:val="auto"/>
              </w:rPr>
            </w:pPr>
            <w:r>
              <w:rPr>
                <w:rFonts w:ascii="Arial" w:cs="Arial" w:eastAsia="Arial" w:hAnsi="Arial"/>
                <w:sz w:val="16"/>
                <w:szCs w:val="16"/>
                <w:b w:val="1"/>
                <w:bCs w:val="1"/>
                <w:color w:val="auto"/>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19"/>
                <w:szCs w:val="19"/>
                <w:color w:val="auto"/>
              </w:rPr>
            </w:pPr>
          </w:p>
        </w:tc>
        <w:tc>
          <w:tcPr>
            <w:tcW w:w="2080" w:type="dxa"/>
            <w:vAlign w:val="bottom"/>
          </w:tcPr>
          <w:p>
            <w:pPr>
              <w:jc w:val="right"/>
              <w:ind w:right="719"/>
              <w:spacing w:after="0"/>
              <w:rPr>
                <w:sz w:val="20"/>
                <w:szCs w:val="20"/>
                <w:color w:val="auto"/>
              </w:rPr>
            </w:pPr>
            <w:r>
              <w:rPr>
                <w:rFonts w:ascii="Arial" w:cs="Arial" w:eastAsia="Arial" w:hAnsi="Arial"/>
                <w:sz w:val="16"/>
                <w:szCs w:val="16"/>
                <w:b w:val="1"/>
                <w:bCs w:val="1"/>
                <w:color w:val="auto"/>
              </w:rPr>
              <w:t>(13)</w:t>
            </w:r>
          </w:p>
        </w:tc>
        <w:tc>
          <w:tcPr>
            <w:tcW w:w="640" w:type="dxa"/>
            <w:vAlign w:val="bottom"/>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196"/>
        </w:trPr>
        <w:tc>
          <w:tcPr>
            <w:tcW w:w="5560" w:type="dxa"/>
            <w:vAlign w:val="bottom"/>
          </w:tcPr>
          <w:p>
            <w:pPr>
              <w:ind w:left="140"/>
              <w:spacing w:after="0"/>
              <w:rPr>
                <w:sz w:val="20"/>
                <w:szCs w:val="20"/>
                <w:color w:val="auto"/>
              </w:rPr>
            </w:pPr>
            <w:r>
              <w:rPr>
                <w:rFonts w:ascii="Arial" w:cs="Arial" w:eastAsia="Arial" w:hAnsi="Arial"/>
                <w:sz w:val="16"/>
                <w:szCs w:val="16"/>
                <w:color w:val="auto"/>
              </w:rPr>
              <w:t>Expected credit loss provision on net investment in leases and certain</w:t>
            </w:r>
          </w:p>
        </w:tc>
        <w:tc>
          <w:tcPr>
            <w:tcW w:w="2340" w:type="dxa"/>
            <w:vAlign w:val="bottom"/>
            <w:gridSpan w:val="2"/>
            <w:vMerge w:val="restart"/>
          </w:tcPr>
          <w:p>
            <w:pPr>
              <w:jc w:val="right"/>
              <w:ind w:right="859"/>
              <w:spacing w:after="0"/>
              <w:rPr>
                <w:sz w:val="20"/>
                <w:szCs w:val="20"/>
                <w:color w:val="auto"/>
              </w:rPr>
            </w:pPr>
            <w:r>
              <w:rPr>
                <w:rFonts w:ascii="Arial" w:cs="Arial" w:eastAsia="Arial" w:hAnsi="Arial"/>
                <w:sz w:val="16"/>
                <w:szCs w:val="16"/>
                <w:b w:val="1"/>
                <w:bCs w:val="1"/>
                <w:color w:val="auto"/>
              </w:rPr>
              <w:t>(2)</w:t>
            </w:r>
          </w:p>
        </w:tc>
        <w:tc>
          <w:tcPr>
            <w:tcW w:w="500" w:type="dxa"/>
            <w:vAlign w:val="bottom"/>
            <w:vMerge w:val="restart"/>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7"/>
                <w:szCs w:val="17"/>
                <w:color w:val="auto"/>
              </w:rPr>
            </w:pPr>
          </w:p>
        </w:tc>
        <w:tc>
          <w:tcPr>
            <w:tcW w:w="2080" w:type="dxa"/>
            <w:vAlign w:val="bottom"/>
            <w:vMerge w:val="restart"/>
          </w:tcPr>
          <w:p>
            <w:pPr>
              <w:jc w:val="right"/>
              <w:ind w:right="759"/>
              <w:spacing w:after="0"/>
              <w:rPr>
                <w:sz w:val="20"/>
                <w:szCs w:val="20"/>
                <w:color w:val="auto"/>
              </w:rPr>
            </w:pPr>
            <w:r>
              <w:rPr>
                <w:rFonts w:ascii="Arial" w:cs="Arial" w:eastAsia="Arial" w:hAnsi="Arial"/>
                <w:sz w:val="16"/>
                <w:szCs w:val="16"/>
                <w:b w:val="1"/>
                <w:bCs w:val="1"/>
                <w:color w:val="auto"/>
              </w:rPr>
              <w:t>24</w:t>
            </w:r>
          </w:p>
        </w:tc>
        <w:tc>
          <w:tcPr>
            <w:tcW w:w="640" w:type="dxa"/>
            <w:vAlign w:val="bottom"/>
            <w:vMerge w:val="restart"/>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15"/>
        </w:trPr>
        <w:tc>
          <w:tcPr>
            <w:tcW w:w="5560" w:type="dxa"/>
            <w:vAlign w:val="bottom"/>
          </w:tcPr>
          <w:p>
            <w:pPr>
              <w:ind w:left="220"/>
              <w:spacing w:after="0"/>
              <w:rPr>
                <w:sz w:val="20"/>
                <w:szCs w:val="20"/>
                <w:color w:val="auto"/>
              </w:rPr>
            </w:pPr>
            <w:r>
              <w:rPr>
                <w:rFonts w:ascii="Arial" w:cs="Arial" w:eastAsia="Arial" w:hAnsi="Arial"/>
                <w:sz w:val="16"/>
                <w:szCs w:val="16"/>
                <w:color w:val="auto"/>
              </w:rPr>
              <w:t>contract assets in Mexico</w:t>
            </w:r>
          </w:p>
        </w:tc>
        <w:tc>
          <w:tcPr>
            <w:tcW w:w="2340" w:type="dxa"/>
            <w:vAlign w:val="bottom"/>
            <w:gridSpan w:val="2"/>
            <w:vMerge w:val="continue"/>
          </w:tcPr>
          <w:p>
            <w:pPr>
              <w:spacing w:after="0"/>
              <w:rPr>
                <w:sz w:val="18"/>
                <w:szCs w:val="18"/>
                <w:color w:val="auto"/>
              </w:rPr>
            </w:pPr>
          </w:p>
        </w:tc>
        <w:tc>
          <w:tcPr>
            <w:tcW w:w="5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080" w:type="dxa"/>
            <w:vAlign w:val="bottom"/>
            <w:vMerge w:val="continue"/>
          </w:tcPr>
          <w:p>
            <w:pPr>
              <w:spacing w:after="0"/>
              <w:rPr>
                <w:sz w:val="18"/>
                <w:szCs w:val="18"/>
                <w:color w:val="auto"/>
              </w:rPr>
            </w:pPr>
          </w:p>
        </w:tc>
        <w:tc>
          <w:tcPr>
            <w:tcW w:w="6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560" w:type="dxa"/>
            <w:vAlign w:val="bottom"/>
          </w:tcPr>
          <w:p>
            <w:pPr>
              <w:ind w:left="140"/>
              <w:spacing w:after="0"/>
              <w:rPr>
                <w:sz w:val="20"/>
                <w:szCs w:val="20"/>
                <w:color w:val="auto"/>
              </w:rPr>
            </w:pPr>
            <w:r>
              <w:rPr>
                <w:rFonts w:ascii="Arial" w:cs="Arial" w:eastAsia="Arial" w:hAnsi="Arial"/>
                <w:sz w:val="16"/>
                <w:szCs w:val="16"/>
                <w:color w:val="auto"/>
              </w:rPr>
              <w:t>Revaluation of deferred tax balances</w:t>
            </w:r>
          </w:p>
        </w:tc>
        <w:tc>
          <w:tcPr>
            <w:tcW w:w="120" w:type="dxa"/>
            <w:vAlign w:val="bottom"/>
          </w:tcPr>
          <w:p>
            <w:pPr>
              <w:spacing w:after="0"/>
              <w:rPr>
                <w:sz w:val="19"/>
                <w:szCs w:val="19"/>
                <w:color w:val="auto"/>
              </w:rPr>
            </w:pPr>
          </w:p>
        </w:tc>
        <w:tc>
          <w:tcPr>
            <w:tcW w:w="2220" w:type="dxa"/>
            <w:vAlign w:val="bottom"/>
          </w:tcPr>
          <w:p>
            <w:pPr>
              <w:jc w:val="right"/>
              <w:ind w:right="899"/>
              <w:spacing w:after="0"/>
              <w:rPr>
                <w:sz w:val="20"/>
                <w:szCs w:val="20"/>
                <w:color w:val="auto"/>
              </w:rPr>
            </w:pPr>
            <w:r>
              <w:rPr>
                <w:rFonts w:ascii="Arial" w:cs="Arial" w:eastAsia="Arial" w:hAnsi="Arial"/>
                <w:sz w:val="16"/>
                <w:szCs w:val="16"/>
                <w:b w:val="1"/>
                <w:bCs w:val="1"/>
                <w:color w:val="auto"/>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(96)</w:t>
            </w:r>
          </w:p>
        </w:tc>
        <w:tc>
          <w:tcPr>
            <w:tcW w:w="120" w:type="dxa"/>
            <w:vAlign w:val="bottom"/>
          </w:tcPr>
          <w:p>
            <w:pPr>
              <w:spacing w:after="0"/>
              <w:rPr>
                <w:sz w:val="19"/>
                <w:szCs w:val="19"/>
                <w:color w:val="auto"/>
              </w:rPr>
            </w:pPr>
          </w:p>
        </w:tc>
        <w:tc>
          <w:tcPr>
            <w:tcW w:w="2080" w:type="dxa"/>
            <w:vAlign w:val="bottom"/>
          </w:tcPr>
          <w:p>
            <w:pPr>
              <w:jc w:val="right"/>
              <w:ind w:right="759"/>
              <w:spacing w:after="0"/>
              <w:rPr>
                <w:sz w:val="20"/>
                <w:szCs w:val="20"/>
                <w:color w:val="auto"/>
              </w:rPr>
            </w:pPr>
            <w:r>
              <w:rPr>
                <w:rFonts w:ascii="Arial" w:cs="Arial" w:eastAsia="Arial" w:hAnsi="Arial"/>
                <w:sz w:val="16"/>
                <w:szCs w:val="16"/>
                <w:b w:val="1"/>
                <w:bCs w:val="1"/>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(96)</w:t>
            </w:r>
          </w:p>
        </w:tc>
        <w:tc>
          <w:tcPr>
            <w:tcW w:w="0" w:type="dxa"/>
            <w:vAlign w:val="bottom"/>
          </w:tcPr>
          <w:p>
            <w:pPr>
              <w:spacing w:after="0"/>
              <w:rPr>
                <w:sz w:val="1"/>
                <w:szCs w:val="1"/>
                <w:color w:val="auto"/>
              </w:rPr>
            </w:pPr>
          </w:p>
        </w:tc>
      </w:tr>
      <w:tr>
        <w:trPr>
          <w:trHeight w:val="229"/>
        </w:trPr>
        <w:tc>
          <w:tcPr>
            <w:tcW w:w="5560" w:type="dxa"/>
            <w:vAlign w:val="bottom"/>
          </w:tcPr>
          <w:p>
            <w:pPr>
              <w:ind w:left="160"/>
              <w:spacing w:after="0"/>
              <w:rPr>
                <w:sz w:val="20"/>
                <w:szCs w:val="20"/>
                <w:color w:val="auto"/>
              </w:rPr>
            </w:pPr>
            <w:r>
              <w:rPr>
                <w:rFonts w:ascii="Arial" w:cs="Arial" w:eastAsia="Arial" w:hAnsi="Arial"/>
                <w:sz w:val="16"/>
                <w:szCs w:val="16"/>
                <w:color w:val="auto"/>
              </w:rPr>
              <w:t>Net gain on debt extinguishment</w:t>
            </w:r>
          </w:p>
        </w:tc>
        <w:tc>
          <w:tcPr>
            <w:tcW w:w="120" w:type="dxa"/>
            <w:vAlign w:val="bottom"/>
          </w:tcPr>
          <w:p>
            <w:pPr>
              <w:spacing w:after="0"/>
              <w:rPr>
                <w:sz w:val="19"/>
                <w:szCs w:val="19"/>
                <w:color w:val="auto"/>
              </w:rPr>
            </w:pPr>
          </w:p>
        </w:tc>
        <w:tc>
          <w:tcPr>
            <w:tcW w:w="2220" w:type="dxa"/>
            <w:vAlign w:val="bottom"/>
          </w:tcPr>
          <w:p>
            <w:pPr>
              <w:jc w:val="right"/>
              <w:ind w:right="899"/>
              <w:spacing w:after="0"/>
              <w:rPr>
                <w:sz w:val="20"/>
                <w:szCs w:val="20"/>
                <w:color w:val="auto"/>
              </w:rPr>
            </w:pPr>
            <w:r>
              <w:rPr>
                <w:rFonts w:ascii="Arial" w:cs="Arial" w:eastAsia="Arial" w:hAnsi="Arial"/>
                <w:sz w:val="16"/>
                <w:szCs w:val="16"/>
                <w:b w:val="1"/>
                <w:bCs w:val="1"/>
                <w:color w:val="auto"/>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(50)</w:t>
            </w:r>
          </w:p>
        </w:tc>
        <w:tc>
          <w:tcPr>
            <w:tcW w:w="120" w:type="dxa"/>
            <w:vAlign w:val="bottom"/>
          </w:tcPr>
          <w:p>
            <w:pPr>
              <w:spacing w:after="0"/>
              <w:rPr>
                <w:sz w:val="19"/>
                <w:szCs w:val="19"/>
                <w:color w:val="auto"/>
              </w:rPr>
            </w:pPr>
          </w:p>
        </w:tc>
        <w:tc>
          <w:tcPr>
            <w:tcW w:w="2080" w:type="dxa"/>
            <w:vAlign w:val="bottom"/>
          </w:tcPr>
          <w:p>
            <w:pPr>
              <w:jc w:val="right"/>
              <w:ind w:right="759"/>
              <w:spacing w:after="0"/>
              <w:rPr>
                <w:sz w:val="20"/>
                <w:szCs w:val="20"/>
                <w:color w:val="auto"/>
              </w:rPr>
            </w:pPr>
            <w:r>
              <w:rPr>
                <w:rFonts w:ascii="Arial" w:cs="Arial" w:eastAsia="Arial" w:hAnsi="Arial"/>
                <w:sz w:val="16"/>
                <w:szCs w:val="16"/>
                <w:b w:val="1"/>
                <w:bCs w:val="1"/>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230"/>
        </w:trPr>
        <w:tc>
          <w:tcPr>
            <w:tcW w:w="5560" w:type="dxa"/>
            <w:vAlign w:val="bottom"/>
          </w:tcPr>
          <w:p>
            <w:pPr>
              <w:ind w:left="140"/>
              <w:spacing w:after="0"/>
              <w:rPr>
                <w:sz w:val="20"/>
                <w:szCs w:val="20"/>
                <w:color w:val="auto"/>
              </w:rPr>
            </w:pPr>
            <w:r>
              <w:rPr>
                <w:rFonts w:ascii="Arial" w:cs="Arial" w:eastAsia="Arial" w:hAnsi="Arial"/>
                <w:sz w:val="16"/>
                <w:szCs w:val="16"/>
                <w:color w:val="auto"/>
              </w:rPr>
              <w:t>Gain on sale of PNGTS</w:t>
            </w:r>
          </w:p>
        </w:tc>
        <w:tc>
          <w:tcPr>
            <w:tcW w:w="120" w:type="dxa"/>
            <w:vAlign w:val="bottom"/>
          </w:tcPr>
          <w:p>
            <w:pPr>
              <w:spacing w:after="0"/>
              <w:rPr>
                <w:sz w:val="19"/>
                <w:szCs w:val="19"/>
                <w:color w:val="auto"/>
              </w:rPr>
            </w:pPr>
          </w:p>
        </w:tc>
        <w:tc>
          <w:tcPr>
            <w:tcW w:w="2220" w:type="dxa"/>
            <w:vAlign w:val="bottom"/>
          </w:tcPr>
          <w:p>
            <w:pPr>
              <w:jc w:val="right"/>
              <w:ind w:right="899"/>
              <w:spacing w:after="0"/>
              <w:rPr>
                <w:sz w:val="20"/>
                <w:szCs w:val="20"/>
                <w:color w:val="auto"/>
              </w:rPr>
            </w:pPr>
            <w:r>
              <w:rPr>
                <w:rFonts w:ascii="Arial" w:cs="Arial" w:eastAsia="Arial" w:hAnsi="Arial"/>
                <w:sz w:val="16"/>
                <w:szCs w:val="16"/>
                <w:b w:val="1"/>
                <w:bCs w:val="1"/>
                <w:color w:val="auto"/>
              </w:rPr>
              <w:t>—</w:t>
            </w:r>
          </w:p>
        </w:tc>
        <w:tc>
          <w:tcPr>
            <w:tcW w:w="6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80" w:type="dxa"/>
            <w:vAlign w:val="bottom"/>
          </w:tcPr>
          <w:p>
            <w:pPr>
              <w:jc w:val="right"/>
              <w:ind w:right="759"/>
              <w:spacing w:after="0"/>
              <w:rPr>
                <w:sz w:val="20"/>
                <w:szCs w:val="20"/>
                <w:color w:val="auto"/>
              </w:rPr>
            </w:pPr>
            <w:r>
              <w:rPr>
                <w:rFonts w:ascii="Arial" w:cs="Arial" w:eastAsia="Arial" w:hAnsi="Arial"/>
                <w:sz w:val="16"/>
                <w:szCs w:val="16"/>
                <w:b w:val="1"/>
                <w:bCs w:val="1"/>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(116)</w:t>
            </w:r>
          </w:p>
        </w:tc>
        <w:tc>
          <w:tcPr>
            <w:tcW w:w="0" w:type="dxa"/>
            <w:vAlign w:val="bottom"/>
          </w:tcPr>
          <w:p>
            <w:pPr>
              <w:spacing w:after="0"/>
              <w:rPr>
                <w:sz w:val="1"/>
                <w:szCs w:val="1"/>
                <w:color w:val="auto"/>
              </w:rPr>
            </w:pPr>
          </w:p>
        </w:tc>
      </w:tr>
      <w:tr>
        <w:trPr>
          <w:trHeight w:val="230"/>
        </w:trPr>
        <w:tc>
          <w:tcPr>
            <w:tcW w:w="5560" w:type="dxa"/>
            <w:vAlign w:val="bottom"/>
          </w:tcPr>
          <w:p>
            <w:pPr>
              <w:ind w:left="140"/>
              <w:spacing w:after="0"/>
              <w:rPr>
                <w:sz w:val="20"/>
                <w:szCs w:val="20"/>
                <w:color w:val="auto"/>
              </w:rPr>
            </w:pPr>
            <w:r>
              <w:rPr>
                <w:rFonts w:ascii="Arial" w:cs="Arial" w:eastAsia="Arial" w:hAnsi="Arial"/>
                <w:sz w:val="16"/>
                <w:szCs w:val="16"/>
                <w:color w:val="auto"/>
              </w:rPr>
              <w:t>Gain on sale of non-core assets</w:t>
            </w:r>
          </w:p>
        </w:tc>
        <w:tc>
          <w:tcPr>
            <w:tcW w:w="120" w:type="dxa"/>
            <w:vAlign w:val="bottom"/>
          </w:tcPr>
          <w:p>
            <w:pPr>
              <w:spacing w:after="0"/>
              <w:rPr>
                <w:sz w:val="19"/>
                <w:szCs w:val="19"/>
                <w:color w:val="auto"/>
              </w:rPr>
            </w:pPr>
          </w:p>
        </w:tc>
        <w:tc>
          <w:tcPr>
            <w:tcW w:w="2220" w:type="dxa"/>
            <w:vAlign w:val="bottom"/>
          </w:tcPr>
          <w:p>
            <w:pPr>
              <w:jc w:val="right"/>
              <w:ind w:right="899"/>
              <w:spacing w:after="0"/>
              <w:rPr>
                <w:sz w:val="20"/>
                <w:szCs w:val="20"/>
                <w:color w:val="auto"/>
              </w:rPr>
            </w:pPr>
            <w:r>
              <w:rPr>
                <w:rFonts w:ascii="Arial" w:cs="Arial" w:eastAsia="Arial" w:hAnsi="Arial"/>
                <w:sz w:val="16"/>
                <w:szCs w:val="16"/>
                <w:b w:val="1"/>
                <w:bCs w:val="1"/>
                <w:color w:val="auto"/>
              </w:rPr>
              <w:t>—</w:t>
            </w:r>
          </w:p>
        </w:tc>
        <w:tc>
          <w:tcPr>
            <w:tcW w:w="6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80" w:type="dxa"/>
            <w:vAlign w:val="bottom"/>
          </w:tcPr>
          <w:p>
            <w:pPr>
              <w:jc w:val="right"/>
              <w:ind w:right="759"/>
              <w:spacing w:after="0"/>
              <w:rPr>
                <w:sz w:val="20"/>
                <w:szCs w:val="20"/>
                <w:color w:val="auto"/>
              </w:rPr>
            </w:pPr>
            <w:r>
              <w:rPr>
                <w:rFonts w:ascii="Arial" w:cs="Arial" w:eastAsia="Arial" w:hAnsi="Arial"/>
                <w:sz w:val="16"/>
                <w:szCs w:val="16"/>
                <w:b w:val="1"/>
                <w:bCs w:val="1"/>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30"/>
        </w:trPr>
        <w:tc>
          <w:tcPr>
            <w:tcW w:w="5560" w:type="dxa"/>
            <w:vAlign w:val="bottom"/>
          </w:tcPr>
          <w:p>
            <w:pPr>
              <w:ind w:left="140"/>
              <w:spacing w:after="0"/>
              <w:rPr>
                <w:sz w:val="20"/>
                <w:szCs w:val="20"/>
                <w:color w:val="auto"/>
              </w:rPr>
            </w:pPr>
            <w:r>
              <w:rPr>
                <w:rFonts w:ascii="Arial" w:cs="Arial" w:eastAsia="Arial" w:hAnsi="Arial"/>
                <w:sz w:val="16"/>
                <w:szCs w:val="16"/>
                <w:color w:val="auto"/>
              </w:rPr>
              <w:t>Third-party settlement</w:t>
            </w:r>
          </w:p>
        </w:tc>
        <w:tc>
          <w:tcPr>
            <w:tcW w:w="120" w:type="dxa"/>
            <w:vAlign w:val="bottom"/>
          </w:tcPr>
          <w:p>
            <w:pPr>
              <w:spacing w:after="0"/>
              <w:rPr>
                <w:sz w:val="19"/>
                <w:szCs w:val="19"/>
                <w:color w:val="auto"/>
              </w:rPr>
            </w:pPr>
          </w:p>
        </w:tc>
        <w:tc>
          <w:tcPr>
            <w:tcW w:w="2220" w:type="dxa"/>
            <w:vAlign w:val="bottom"/>
          </w:tcPr>
          <w:p>
            <w:pPr>
              <w:jc w:val="right"/>
              <w:ind w:right="899"/>
              <w:spacing w:after="0"/>
              <w:rPr>
                <w:sz w:val="20"/>
                <w:szCs w:val="20"/>
                <w:color w:val="auto"/>
              </w:rPr>
            </w:pPr>
            <w:r>
              <w:rPr>
                <w:rFonts w:ascii="Arial" w:cs="Arial" w:eastAsia="Arial" w:hAnsi="Arial"/>
                <w:sz w:val="16"/>
                <w:szCs w:val="16"/>
                <w:b w:val="1"/>
                <w:bCs w:val="1"/>
                <w:color w:val="auto"/>
              </w:rPr>
              <w:t>—</w:t>
            </w:r>
          </w:p>
        </w:tc>
        <w:tc>
          <w:tcPr>
            <w:tcW w:w="6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80" w:type="dxa"/>
            <w:vAlign w:val="bottom"/>
          </w:tcPr>
          <w:p>
            <w:pPr>
              <w:jc w:val="right"/>
              <w:ind w:right="759"/>
              <w:spacing w:after="0"/>
              <w:rPr>
                <w:sz w:val="20"/>
                <w:szCs w:val="20"/>
                <w:color w:val="auto"/>
              </w:rPr>
            </w:pPr>
            <w:r>
              <w:rPr>
                <w:rFonts w:ascii="Arial" w:cs="Arial" w:eastAsia="Arial" w:hAnsi="Arial"/>
                <w:sz w:val="16"/>
                <w:szCs w:val="16"/>
                <w:b w:val="1"/>
                <w:bCs w:val="1"/>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29"/>
        </w:trPr>
        <w:tc>
          <w:tcPr>
            <w:tcW w:w="5560" w:type="dxa"/>
            <w:vAlign w:val="bottom"/>
          </w:tcPr>
          <w:p>
            <w:pPr>
              <w:ind w:left="140"/>
              <w:spacing w:after="0"/>
              <w:rPr>
                <w:sz w:val="20"/>
                <w:szCs w:val="20"/>
                <w:color w:val="auto"/>
              </w:rPr>
            </w:pPr>
            <w:r>
              <w:rPr>
                <w:rFonts w:ascii="Arial" w:cs="Arial" w:eastAsia="Arial" w:hAnsi="Arial"/>
                <w:sz w:val="16"/>
                <w:szCs w:val="16"/>
                <w:color w:val="auto"/>
              </w:rPr>
              <w:t>Focus Project costs</w:t>
            </w:r>
          </w:p>
        </w:tc>
        <w:tc>
          <w:tcPr>
            <w:tcW w:w="120" w:type="dxa"/>
            <w:vAlign w:val="bottom"/>
          </w:tcPr>
          <w:p>
            <w:pPr>
              <w:spacing w:after="0"/>
              <w:rPr>
                <w:sz w:val="19"/>
                <w:szCs w:val="19"/>
                <w:color w:val="auto"/>
              </w:rPr>
            </w:pPr>
          </w:p>
        </w:tc>
        <w:tc>
          <w:tcPr>
            <w:tcW w:w="2220" w:type="dxa"/>
            <w:vAlign w:val="bottom"/>
          </w:tcPr>
          <w:p>
            <w:pPr>
              <w:jc w:val="right"/>
              <w:ind w:right="899"/>
              <w:spacing w:after="0"/>
              <w:rPr>
                <w:sz w:val="20"/>
                <w:szCs w:val="20"/>
                <w:color w:val="auto"/>
              </w:rPr>
            </w:pPr>
            <w:r>
              <w:rPr>
                <w:rFonts w:ascii="Arial" w:cs="Arial" w:eastAsia="Arial" w:hAnsi="Arial"/>
                <w:sz w:val="16"/>
                <w:szCs w:val="16"/>
                <w:b w:val="1"/>
                <w:bCs w:val="1"/>
                <w:color w:val="auto"/>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9"/>
                <w:szCs w:val="19"/>
                <w:color w:val="auto"/>
              </w:rPr>
            </w:pPr>
          </w:p>
        </w:tc>
        <w:tc>
          <w:tcPr>
            <w:tcW w:w="2080" w:type="dxa"/>
            <w:vAlign w:val="bottom"/>
          </w:tcPr>
          <w:p>
            <w:pPr>
              <w:jc w:val="right"/>
              <w:ind w:right="759"/>
              <w:spacing w:after="0"/>
              <w:rPr>
                <w:sz w:val="20"/>
                <w:szCs w:val="20"/>
                <w:color w:val="auto"/>
              </w:rPr>
            </w:pPr>
            <w:r>
              <w:rPr>
                <w:rFonts w:ascii="Arial" w:cs="Arial" w:eastAsia="Arial" w:hAnsi="Arial"/>
                <w:sz w:val="16"/>
                <w:szCs w:val="16"/>
                <w:b w:val="1"/>
                <w:bCs w:val="1"/>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30"/>
        </w:trPr>
        <w:tc>
          <w:tcPr>
            <w:tcW w:w="5560" w:type="dxa"/>
            <w:vAlign w:val="bottom"/>
          </w:tcPr>
          <w:p>
            <w:pPr>
              <w:ind w:left="140"/>
              <w:spacing w:after="0"/>
              <w:rPr>
                <w:sz w:val="20"/>
                <w:szCs w:val="20"/>
                <w:color w:val="auto"/>
              </w:rPr>
            </w:pPr>
            <w:r>
              <w:rPr>
                <w:rFonts w:ascii="Arial" w:cs="Arial" w:eastAsia="Arial" w:hAnsi="Arial"/>
                <w:sz w:val="16"/>
                <w:szCs w:val="16"/>
                <w:color w:val="auto"/>
              </w:rPr>
              <w:t>NGTL System ownership transfer costs</w:t>
            </w:r>
          </w:p>
        </w:tc>
        <w:tc>
          <w:tcPr>
            <w:tcW w:w="120" w:type="dxa"/>
            <w:vAlign w:val="bottom"/>
          </w:tcPr>
          <w:p>
            <w:pPr>
              <w:spacing w:after="0"/>
              <w:rPr>
                <w:sz w:val="19"/>
                <w:szCs w:val="19"/>
                <w:color w:val="auto"/>
              </w:rPr>
            </w:pPr>
          </w:p>
        </w:tc>
        <w:tc>
          <w:tcPr>
            <w:tcW w:w="2220" w:type="dxa"/>
            <w:vAlign w:val="bottom"/>
          </w:tcPr>
          <w:p>
            <w:pPr>
              <w:jc w:val="right"/>
              <w:ind w:right="899"/>
              <w:spacing w:after="0"/>
              <w:rPr>
                <w:sz w:val="20"/>
                <w:szCs w:val="20"/>
                <w:color w:val="auto"/>
              </w:rPr>
            </w:pPr>
            <w:r>
              <w:rPr>
                <w:rFonts w:ascii="Arial" w:cs="Arial" w:eastAsia="Arial" w:hAnsi="Arial"/>
                <w:sz w:val="16"/>
                <w:szCs w:val="16"/>
                <w:b w:val="1"/>
                <w:bCs w:val="1"/>
                <w:color w:val="auto"/>
              </w:rPr>
              <w:t>—</w:t>
            </w:r>
          </w:p>
        </w:tc>
        <w:tc>
          <w:tcPr>
            <w:tcW w:w="6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80" w:type="dxa"/>
            <w:vAlign w:val="bottom"/>
          </w:tcPr>
          <w:p>
            <w:pPr>
              <w:jc w:val="right"/>
              <w:ind w:right="759"/>
              <w:spacing w:after="0"/>
              <w:rPr>
                <w:sz w:val="20"/>
                <w:szCs w:val="20"/>
                <w:color w:val="auto"/>
              </w:rPr>
            </w:pPr>
            <w:r>
              <w:rPr>
                <w:rFonts w:ascii="Arial" w:cs="Arial" w:eastAsia="Arial" w:hAnsi="Arial"/>
                <w:sz w:val="16"/>
                <w:szCs w:val="16"/>
                <w:b w:val="1"/>
                <w:bCs w:val="1"/>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230"/>
        </w:trPr>
        <w:tc>
          <w:tcPr>
            <w:tcW w:w="5560" w:type="dxa"/>
            <w:vAlign w:val="bottom"/>
          </w:tcPr>
          <w:p>
            <w:pPr>
              <w:ind w:left="140"/>
              <w:spacing w:after="0"/>
              <w:rPr>
                <w:sz w:val="20"/>
                <w:szCs w:val="20"/>
                <w:color w:val="auto"/>
              </w:rPr>
            </w:pPr>
            <w:r>
              <w:rPr>
                <w:rFonts w:ascii="Arial" w:cs="Arial" w:eastAsia="Arial" w:hAnsi="Arial"/>
                <w:sz w:val="16"/>
                <w:szCs w:val="16"/>
                <w:color w:val="auto"/>
              </w:rPr>
              <w:t>Bruce Power unrealized fair value adjustments</w:t>
            </w:r>
          </w:p>
        </w:tc>
        <w:tc>
          <w:tcPr>
            <w:tcW w:w="120" w:type="dxa"/>
            <w:vAlign w:val="bottom"/>
          </w:tcPr>
          <w:p>
            <w:pPr>
              <w:spacing w:after="0"/>
              <w:rPr>
                <w:sz w:val="19"/>
                <w:szCs w:val="19"/>
                <w:color w:val="auto"/>
              </w:rPr>
            </w:pPr>
          </w:p>
        </w:tc>
        <w:tc>
          <w:tcPr>
            <w:tcW w:w="2220" w:type="dxa"/>
            <w:vAlign w:val="bottom"/>
          </w:tcPr>
          <w:p>
            <w:pPr>
              <w:jc w:val="right"/>
              <w:ind w:right="899"/>
              <w:spacing w:after="0"/>
              <w:rPr>
                <w:sz w:val="20"/>
                <w:szCs w:val="20"/>
                <w:color w:val="auto"/>
              </w:rPr>
            </w:pPr>
            <w:r>
              <w:rPr>
                <w:rFonts w:ascii="Arial" w:cs="Arial" w:eastAsia="Arial" w:hAnsi="Arial"/>
                <w:sz w:val="16"/>
                <w:szCs w:val="16"/>
                <w:b w:val="1"/>
                <w:bCs w:val="1"/>
                <w:color w:val="auto"/>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9"/>
                <w:szCs w:val="19"/>
                <w:color w:val="auto"/>
              </w:rPr>
            </w:pPr>
          </w:p>
        </w:tc>
        <w:tc>
          <w:tcPr>
            <w:tcW w:w="2080" w:type="dxa"/>
            <w:vAlign w:val="bottom"/>
          </w:tcPr>
          <w:p>
            <w:pPr>
              <w:jc w:val="right"/>
              <w:ind w:right="719"/>
              <w:spacing w:after="0"/>
              <w:rPr>
                <w:sz w:val="20"/>
                <w:szCs w:val="20"/>
                <w:color w:val="auto"/>
              </w:rPr>
            </w:pPr>
            <w:r>
              <w:rPr>
                <w:rFonts w:ascii="Arial" w:cs="Arial" w:eastAsia="Arial" w:hAnsi="Arial"/>
                <w:sz w:val="16"/>
                <w:szCs w:val="16"/>
                <w:b w:val="1"/>
                <w:bCs w:val="1"/>
                <w:color w:val="auto"/>
              </w:rPr>
              <w:t>(7)</w:t>
            </w:r>
          </w:p>
        </w:tc>
        <w:tc>
          <w:tcPr>
            <w:tcW w:w="64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33"/>
        </w:trPr>
        <w:tc>
          <w:tcPr>
            <w:tcW w:w="556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Risk management activities</w:t>
            </w:r>
          </w:p>
        </w:tc>
        <w:tc>
          <w:tcPr>
            <w:tcW w:w="2340" w:type="dxa"/>
            <w:vAlign w:val="bottom"/>
            <w:tcBorders>
              <w:bottom w:val="single" w:sz="8" w:color="auto"/>
            </w:tcBorders>
            <w:gridSpan w:val="2"/>
          </w:tcPr>
          <w:p>
            <w:pPr>
              <w:jc w:val="right"/>
              <w:ind w:right="859"/>
              <w:spacing w:after="0"/>
              <w:rPr>
                <w:sz w:val="20"/>
                <w:szCs w:val="20"/>
                <w:color w:val="auto"/>
              </w:rPr>
            </w:pPr>
            <w:r>
              <w:rPr>
                <w:rFonts w:ascii="Arial" w:cs="Arial" w:eastAsia="Arial" w:hAnsi="Arial"/>
                <w:sz w:val="16"/>
                <w:szCs w:val="16"/>
                <w:b w:val="1"/>
                <w:bCs w:val="1"/>
                <w:color w:val="auto"/>
              </w:rPr>
              <w:t>(20)</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w:t>
            </w:r>
          </w:p>
        </w:tc>
        <w:tc>
          <w:tcPr>
            <w:tcW w:w="12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tcPr>
          <w:p>
            <w:pPr>
              <w:jc w:val="right"/>
              <w:ind w:right="719"/>
              <w:spacing w:after="0"/>
              <w:rPr>
                <w:sz w:val="20"/>
                <w:szCs w:val="20"/>
                <w:color w:val="auto"/>
              </w:rPr>
            </w:pPr>
            <w:r>
              <w:rPr>
                <w:rFonts w:ascii="Arial" w:cs="Arial" w:eastAsia="Arial" w:hAnsi="Arial"/>
                <w:sz w:val="16"/>
                <w:szCs w:val="16"/>
                <w:b w:val="1"/>
                <w:bCs w:val="1"/>
                <w:color w:val="auto"/>
              </w:rPr>
              <w:t>(55)</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w:t>
            </w:r>
          </w:p>
        </w:tc>
        <w:tc>
          <w:tcPr>
            <w:tcW w:w="0" w:type="dxa"/>
            <w:vAlign w:val="bottom"/>
          </w:tcPr>
          <w:p>
            <w:pPr>
              <w:spacing w:after="0"/>
              <w:rPr>
                <w:sz w:val="1"/>
                <w:szCs w:val="1"/>
                <w:color w:val="auto"/>
              </w:rPr>
            </w:pPr>
          </w:p>
        </w:tc>
      </w:tr>
      <w:tr>
        <w:trPr>
          <w:trHeight w:val="223"/>
        </w:trPr>
        <w:tc>
          <w:tcPr>
            <w:tcW w:w="55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0D64EF"/>
              </w:rPr>
              <w:t>Income tax (expense) recovery</w:t>
            </w:r>
          </w:p>
        </w:tc>
        <w:tc>
          <w:tcPr>
            <w:tcW w:w="2340" w:type="dxa"/>
            <w:vAlign w:val="bottom"/>
            <w:tcBorders>
              <w:bottom w:val="single" w:sz="8" w:color="auto"/>
            </w:tcBorders>
            <w:gridSpan w:val="2"/>
          </w:tcPr>
          <w:p>
            <w:pPr>
              <w:jc w:val="right"/>
              <w:ind w:right="859"/>
              <w:spacing w:after="0"/>
              <w:rPr>
                <w:sz w:val="20"/>
                <w:szCs w:val="20"/>
                <w:color w:val="auto"/>
              </w:rPr>
            </w:pPr>
            <w:r>
              <w:rPr>
                <w:rFonts w:ascii="Arial" w:cs="Arial" w:eastAsia="Arial" w:hAnsi="Arial"/>
                <w:sz w:val="16"/>
                <w:szCs w:val="16"/>
                <w:b w:val="1"/>
                <w:bCs w:val="1"/>
                <w:color w:val="auto"/>
              </w:rPr>
              <w:t>(263)</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(223)</w:t>
            </w:r>
          </w:p>
        </w:tc>
        <w:tc>
          <w:tcPr>
            <w:tcW w:w="12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tcPr>
          <w:p>
            <w:pPr>
              <w:jc w:val="right"/>
              <w:ind w:right="719"/>
              <w:spacing w:after="0"/>
              <w:rPr>
                <w:sz w:val="20"/>
                <w:szCs w:val="20"/>
                <w:color w:val="auto"/>
              </w:rPr>
            </w:pPr>
            <w:r>
              <w:rPr>
                <w:rFonts w:ascii="Arial" w:cs="Arial" w:eastAsia="Arial" w:hAnsi="Arial"/>
                <w:sz w:val="16"/>
                <w:szCs w:val="16"/>
                <w:b w:val="1"/>
                <w:bCs w:val="1"/>
                <w:color w:val="auto"/>
              </w:rPr>
              <w:t>(1,138)</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(922)</w:t>
            </w:r>
          </w:p>
        </w:tc>
        <w:tc>
          <w:tcPr>
            <w:tcW w:w="0" w:type="dxa"/>
            <w:vAlign w:val="bottom"/>
          </w:tcPr>
          <w:p>
            <w:pPr>
              <w:spacing w:after="0"/>
              <w:rPr>
                <w:sz w:val="1"/>
                <w:szCs w:val="1"/>
                <w:color w:val="auto"/>
              </w:rPr>
            </w:pPr>
          </w:p>
        </w:tc>
      </w:tr>
    </w:tbl>
    <w:p>
      <w:pPr>
        <w:spacing w:after="0" w:line="197" w:lineRule="exact"/>
        <w:rPr>
          <w:sz w:val="20"/>
          <w:szCs w:val="20"/>
          <w:color w:val="auto"/>
        </w:rPr>
      </w:pPr>
    </w:p>
    <w:p>
      <w:pPr>
        <w:ind w:right="360"/>
        <w:spacing w:after="0" w:line="315" w:lineRule="auto"/>
        <w:rPr>
          <w:sz w:val="20"/>
          <w:szCs w:val="20"/>
          <w:color w:val="auto"/>
        </w:rPr>
      </w:pPr>
      <w:r>
        <w:rPr>
          <w:rFonts w:ascii="Arial" w:cs="Arial" w:eastAsia="Arial" w:hAnsi="Arial"/>
          <w:sz w:val="18"/>
          <w:szCs w:val="18"/>
          <w:color w:val="auto"/>
        </w:rPr>
        <w:t>Income tax expense increased by $40 million for the three months ended December 31, 2025 compared to the same period in 2024. The income tax impacts on specified items referenced throughout the news release have been removed from our calculation of Income tax expense included in comparable earnings.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TC Energy </w:t>
      </w:r>
      <w:r>
        <w:rPr>
          <w:rFonts w:ascii="Arial" w:cs="Arial" w:eastAsia="Arial" w:hAnsi="Arial"/>
          <w:sz w:val="18"/>
          <w:szCs w:val="18"/>
          <w:b w:val="1"/>
          <w:bCs w:val="1"/>
          <w:color w:val="0D64EF"/>
        </w:rPr>
        <w:t>Fourth Quarter</w:t>
      </w:r>
      <w:r>
        <w:rPr>
          <w:rFonts w:ascii="Arial" w:cs="Arial" w:eastAsia="Arial" w:hAnsi="Arial"/>
          <w:sz w:val="18"/>
          <w:szCs w:val="18"/>
          <w:color w:val="auto"/>
        </w:rPr>
        <w:t xml:space="preserve"> News Release 2025 | 25</w:t>
      </w:r>
    </w:p>
    <w:p>
      <w:pPr>
        <w:sectPr>
          <w:pgSz w:w="11900" w:h="16838" w:orient="portrait"/>
          <w:cols w:equalWidth="0" w:num="1">
            <w:col w:w="11240"/>
          </w:cols>
          <w:pgMar w:left="320" w:top="1295" w:right="339" w:bottom="1440" w:gutter="0" w:footer="0" w:header="0"/>
        </w:sectPr>
      </w:pPr>
    </w:p>
    <w:bookmarkStart w:id="38" w:name="page39"/>
    <w:bookmarkEnd w:id="38"/>
    <w:p>
      <w:pPr>
        <w:jc w:val="both"/>
        <w:ind w:right="120"/>
        <w:spacing w:after="0" w:line="315" w:lineRule="auto"/>
        <w:rPr>
          <w:sz w:val="20"/>
          <w:szCs w:val="20"/>
          <w:color w:val="auto"/>
        </w:rPr>
      </w:pPr>
      <w:r>
        <w:rPr>
          <w:rFonts w:ascii="Arial" w:cs="Arial" w:eastAsia="Arial" w:hAnsi="Arial"/>
          <w:sz w:val="18"/>
          <w:szCs w:val="18"/>
          <w:color w:val="auto"/>
        </w:rPr>
        <w:t>Income tax expense included in comparable earnings increased by $98 million for the three months ended December 31, 2025 compared to the same period in 2024 primarily due to the impact of Mexico foreign exchange exposure and higher flow-through income taxes, partially offset by a change in geographic and business mix of earnings.</w:t>
      </w:r>
    </w:p>
    <w:p>
      <w:pPr>
        <w:spacing w:after="0" w:line="98" w:lineRule="exact"/>
        <w:rPr>
          <w:sz w:val="20"/>
          <w:szCs w:val="20"/>
          <w:color w:val="auto"/>
        </w:rPr>
      </w:pPr>
    </w:p>
    <w:p>
      <w:pPr>
        <w:spacing w:after="0"/>
        <w:rPr>
          <w:sz w:val="20"/>
          <w:szCs w:val="20"/>
          <w:color w:val="auto"/>
        </w:rPr>
      </w:pPr>
      <w:r>
        <w:rPr>
          <w:rFonts w:ascii="Arial" w:cs="Arial" w:eastAsia="Arial" w:hAnsi="Arial"/>
          <w:sz w:val="20"/>
          <w:szCs w:val="20"/>
          <w:b w:val="1"/>
          <w:bCs w:val="1"/>
          <w:color w:val="0D64EF"/>
        </w:rPr>
        <w:t>NET (INCOME) LOSS ATTRIBUTABLE TO NON-CONTROLLING INTERESTS</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720" w:type="dxa"/>
            <w:vAlign w:val="bottom"/>
            <w:tcBorders>
              <w:top w:val="single" w:sz="8" w:color="0D64EF"/>
            </w:tcBorders>
            <w:shd w:val="clear" w:color="auto" w:fill="D1D0CF"/>
          </w:tcPr>
          <w:p>
            <w:pPr>
              <w:spacing w:after="0"/>
              <w:rPr>
                <w:sz w:val="16"/>
                <w:szCs w:val="16"/>
                <w:color w:val="auto"/>
              </w:rPr>
            </w:pPr>
          </w:p>
        </w:tc>
        <w:tc>
          <w:tcPr>
            <w:tcW w:w="1990" w:type="dxa"/>
            <w:vAlign w:val="bottom"/>
            <w:tcBorders>
              <w:top w:val="single" w:sz="8" w:color="0D64EF"/>
            </w:tcBorders>
            <w:shd w:val="clear" w:color="auto" w:fill="D1D0CF"/>
          </w:tcPr>
          <w:p>
            <w:pPr>
              <w:jc w:val="right"/>
              <w:spacing w:after="0"/>
              <w:rPr>
                <w:sz w:val="20"/>
                <w:szCs w:val="20"/>
                <w:color w:val="auto"/>
              </w:rPr>
            </w:pPr>
            <w:r>
              <w:rPr>
                <w:rFonts w:ascii="Arial" w:cs="Arial" w:eastAsia="Arial" w:hAnsi="Arial"/>
                <w:sz w:val="16"/>
                <w:szCs w:val="16"/>
                <w:b w:val="1"/>
                <w:bCs w:val="1"/>
                <w:color w:val="auto"/>
              </w:rPr>
              <w:t>Non-Controlling</w:t>
            </w:r>
          </w:p>
        </w:tc>
        <w:tc>
          <w:tcPr>
            <w:tcW w:w="90" w:type="dxa"/>
            <w:vAlign w:val="bottom"/>
            <w:tcBorders>
              <w:top w:val="single" w:sz="8" w:color="0D64EF"/>
            </w:tcBorders>
            <w:shd w:val="clear" w:color="auto" w:fill="D1D0CF"/>
          </w:tcPr>
          <w:p>
            <w:pPr>
              <w:spacing w:after="0"/>
              <w:rPr>
                <w:sz w:val="16"/>
                <w:szCs w:val="16"/>
                <w:color w:val="auto"/>
              </w:rPr>
            </w:pPr>
          </w:p>
        </w:tc>
        <w:tc>
          <w:tcPr>
            <w:tcW w:w="2260" w:type="dxa"/>
            <w:vAlign w:val="bottom"/>
            <w:tcBorders>
              <w:top w:val="single" w:sz="8" w:color="0D64EF"/>
            </w:tcBorders>
            <w:gridSpan w:val="4"/>
            <w:vMerge w:val="restart"/>
            <w:shd w:val="clear" w:color="auto" w:fill="D1D0CF"/>
          </w:tcPr>
          <w:p>
            <w:pPr>
              <w:jc w:val="center"/>
              <w:ind w:right="80"/>
              <w:spacing w:after="0"/>
              <w:rPr>
                <w:sz w:val="20"/>
                <w:szCs w:val="20"/>
                <w:color w:val="auto"/>
              </w:rPr>
            </w:pPr>
            <w:r>
              <w:rPr>
                <w:rFonts w:ascii="Arial" w:cs="Arial" w:eastAsia="Arial" w:hAnsi="Arial"/>
                <w:sz w:val="16"/>
                <w:szCs w:val="16"/>
                <w:b w:val="1"/>
                <w:bCs w:val="1"/>
                <w:color w:val="auto"/>
              </w:rPr>
              <w:t>three months ended</w:t>
            </w:r>
          </w:p>
        </w:tc>
        <w:tc>
          <w:tcPr>
            <w:tcW w:w="1680" w:type="dxa"/>
            <w:vAlign w:val="bottom"/>
            <w:tcBorders>
              <w:top w:val="single" w:sz="8" w:color="0D64EF"/>
            </w:tcBorders>
            <w:gridSpan w:val="2"/>
            <w:vMerge w:val="restart"/>
            <w:shd w:val="clear" w:color="auto" w:fill="D1D0CF"/>
          </w:tcPr>
          <w:p>
            <w:pPr>
              <w:jc w:val="center"/>
              <w:ind w:left="379"/>
              <w:spacing w:after="0"/>
              <w:rPr>
                <w:sz w:val="20"/>
                <w:szCs w:val="20"/>
                <w:color w:val="auto"/>
              </w:rPr>
            </w:pPr>
            <w:r>
              <w:rPr>
                <w:rFonts w:ascii="Arial" w:cs="Arial" w:eastAsia="Arial" w:hAnsi="Arial"/>
                <w:sz w:val="16"/>
                <w:szCs w:val="16"/>
                <w:b w:val="1"/>
                <w:bCs w:val="1"/>
                <w:color w:val="auto"/>
              </w:rPr>
              <w:t>year ended</w:t>
            </w:r>
          </w:p>
        </w:tc>
        <w:tc>
          <w:tcPr>
            <w:tcW w:w="500" w:type="dxa"/>
            <w:vAlign w:val="bottom"/>
            <w:tcBorders>
              <w:top w:val="single" w:sz="8" w:color="0D64EF"/>
            </w:tcBorders>
            <w:shd w:val="clear" w:color="auto" w:fill="D1D0C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4720" w:type="dxa"/>
            <w:vAlign w:val="bottom"/>
            <w:shd w:val="clear" w:color="auto" w:fill="D1D0CF"/>
          </w:tcPr>
          <w:p>
            <w:pPr>
              <w:spacing w:after="0"/>
              <w:rPr>
                <w:sz w:val="7"/>
                <w:szCs w:val="7"/>
                <w:color w:val="auto"/>
              </w:rPr>
            </w:pPr>
          </w:p>
        </w:tc>
        <w:tc>
          <w:tcPr>
            <w:tcW w:w="1990" w:type="dxa"/>
            <w:vAlign w:val="bottom"/>
            <w:vMerge w:val="restart"/>
            <w:shd w:val="clear" w:color="auto" w:fill="D1D0CF"/>
          </w:tcPr>
          <w:p>
            <w:pPr>
              <w:jc w:val="right"/>
              <w:spacing w:after="0" w:line="175" w:lineRule="exact"/>
              <w:rPr>
                <w:sz w:val="20"/>
                <w:szCs w:val="20"/>
                <w:color w:val="auto"/>
              </w:rPr>
            </w:pPr>
            <w:r>
              <w:rPr>
                <w:rFonts w:ascii="Arial" w:cs="Arial" w:eastAsia="Arial" w:hAnsi="Arial"/>
                <w:sz w:val="16"/>
                <w:szCs w:val="16"/>
                <w:b w:val="1"/>
                <w:bCs w:val="1"/>
                <w:color w:val="auto"/>
              </w:rPr>
              <w:t>Interests</w:t>
            </w:r>
          </w:p>
        </w:tc>
        <w:tc>
          <w:tcPr>
            <w:tcW w:w="90" w:type="dxa"/>
            <w:vAlign w:val="bottom"/>
            <w:shd w:val="clear" w:color="auto" w:fill="D1D0CF"/>
          </w:tcPr>
          <w:p>
            <w:pPr>
              <w:spacing w:after="0"/>
              <w:rPr>
                <w:sz w:val="7"/>
                <w:szCs w:val="7"/>
                <w:color w:val="auto"/>
              </w:rPr>
            </w:pPr>
          </w:p>
        </w:tc>
        <w:tc>
          <w:tcPr>
            <w:tcW w:w="2260" w:type="dxa"/>
            <w:vAlign w:val="bottom"/>
            <w:gridSpan w:val="4"/>
            <w:vMerge w:val="continue"/>
            <w:shd w:val="clear" w:color="auto" w:fill="D1D0CF"/>
          </w:tcPr>
          <w:p>
            <w:pPr>
              <w:spacing w:after="0"/>
              <w:rPr>
                <w:sz w:val="7"/>
                <w:szCs w:val="7"/>
                <w:color w:val="auto"/>
              </w:rPr>
            </w:pPr>
          </w:p>
        </w:tc>
        <w:tc>
          <w:tcPr>
            <w:tcW w:w="1680" w:type="dxa"/>
            <w:vAlign w:val="bottom"/>
            <w:gridSpan w:val="2"/>
            <w:vMerge w:val="continue"/>
            <w:shd w:val="clear" w:color="auto" w:fill="D1D0CF"/>
          </w:tcPr>
          <w:p>
            <w:pPr>
              <w:spacing w:after="0"/>
              <w:rPr>
                <w:sz w:val="7"/>
                <w:szCs w:val="7"/>
                <w:color w:val="auto"/>
              </w:rPr>
            </w:pPr>
          </w:p>
        </w:tc>
        <w:tc>
          <w:tcPr>
            <w:tcW w:w="500" w:type="dxa"/>
            <w:vAlign w:val="bottom"/>
            <w:shd w:val="clear" w:color="auto" w:fill="D1D0CF"/>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4"/>
        </w:trPr>
        <w:tc>
          <w:tcPr>
            <w:tcW w:w="4720" w:type="dxa"/>
            <w:vAlign w:val="bottom"/>
            <w:shd w:val="clear" w:color="auto" w:fill="D1D0CF"/>
          </w:tcPr>
          <w:p>
            <w:pPr>
              <w:spacing w:after="0"/>
              <w:rPr>
                <w:sz w:val="8"/>
                <w:szCs w:val="8"/>
                <w:color w:val="auto"/>
              </w:rPr>
            </w:pPr>
          </w:p>
        </w:tc>
        <w:tc>
          <w:tcPr>
            <w:tcW w:w="1990" w:type="dxa"/>
            <w:vAlign w:val="bottom"/>
            <w:vMerge w:val="continue"/>
            <w:shd w:val="clear" w:color="auto" w:fill="D1D0CF"/>
          </w:tcPr>
          <w:p>
            <w:pPr>
              <w:spacing w:after="0"/>
              <w:rPr>
                <w:sz w:val="8"/>
                <w:szCs w:val="8"/>
                <w:color w:val="auto"/>
              </w:rPr>
            </w:pPr>
          </w:p>
        </w:tc>
        <w:tc>
          <w:tcPr>
            <w:tcW w:w="90" w:type="dxa"/>
            <w:vAlign w:val="bottom"/>
            <w:shd w:val="clear" w:color="auto" w:fill="D1D0CF"/>
          </w:tcPr>
          <w:p>
            <w:pPr>
              <w:spacing w:after="0"/>
              <w:rPr>
                <w:sz w:val="8"/>
                <w:szCs w:val="8"/>
                <w:color w:val="auto"/>
              </w:rPr>
            </w:pPr>
          </w:p>
        </w:tc>
        <w:tc>
          <w:tcPr>
            <w:tcW w:w="1680" w:type="dxa"/>
            <w:vAlign w:val="bottom"/>
            <w:gridSpan w:val="2"/>
            <w:vMerge w:val="restart"/>
            <w:shd w:val="clear" w:color="auto" w:fill="D1D0CF"/>
          </w:tcPr>
          <w:p>
            <w:pPr>
              <w:jc w:val="center"/>
              <w:ind w:left="399"/>
              <w:spacing w:after="0"/>
              <w:rPr>
                <w:sz w:val="20"/>
                <w:szCs w:val="20"/>
                <w:color w:val="auto"/>
              </w:rPr>
            </w:pPr>
            <w:r>
              <w:rPr>
                <w:rFonts w:ascii="Arial" w:cs="Arial" w:eastAsia="Arial" w:hAnsi="Arial"/>
                <w:sz w:val="16"/>
                <w:szCs w:val="16"/>
                <w:b w:val="1"/>
                <w:bCs w:val="1"/>
                <w:color w:val="auto"/>
              </w:rPr>
              <w:t>December 31</w:t>
            </w:r>
          </w:p>
        </w:tc>
        <w:tc>
          <w:tcPr>
            <w:tcW w:w="500" w:type="dxa"/>
            <w:vAlign w:val="bottom"/>
            <w:shd w:val="clear" w:color="auto" w:fill="D1D0CF"/>
          </w:tcPr>
          <w:p>
            <w:pPr>
              <w:spacing w:after="0"/>
              <w:rPr>
                <w:sz w:val="8"/>
                <w:szCs w:val="8"/>
                <w:color w:val="auto"/>
              </w:rPr>
            </w:pPr>
          </w:p>
        </w:tc>
        <w:tc>
          <w:tcPr>
            <w:tcW w:w="80" w:type="dxa"/>
            <w:vAlign w:val="bottom"/>
            <w:shd w:val="clear" w:color="auto" w:fill="D1D0CF"/>
          </w:tcPr>
          <w:p>
            <w:pPr>
              <w:spacing w:after="0"/>
              <w:rPr>
                <w:sz w:val="8"/>
                <w:szCs w:val="8"/>
                <w:color w:val="auto"/>
              </w:rPr>
            </w:pPr>
          </w:p>
        </w:tc>
        <w:tc>
          <w:tcPr>
            <w:tcW w:w="1680" w:type="dxa"/>
            <w:vAlign w:val="bottom"/>
            <w:gridSpan w:val="2"/>
            <w:vMerge w:val="restart"/>
            <w:shd w:val="clear" w:color="auto" w:fill="D1D0CF"/>
          </w:tcPr>
          <w:p>
            <w:pPr>
              <w:jc w:val="center"/>
              <w:ind w:left="419"/>
              <w:spacing w:after="0"/>
              <w:rPr>
                <w:sz w:val="20"/>
                <w:szCs w:val="20"/>
                <w:color w:val="auto"/>
              </w:rPr>
            </w:pPr>
            <w:r>
              <w:rPr>
                <w:rFonts w:ascii="Arial" w:cs="Arial" w:eastAsia="Arial" w:hAnsi="Arial"/>
                <w:sz w:val="16"/>
                <w:szCs w:val="16"/>
                <w:b w:val="1"/>
                <w:bCs w:val="1"/>
                <w:color w:val="auto"/>
              </w:rPr>
              <w:t>December 31</w:t>
            </w:r>
          </w:p>
        </w:tc>
        <w:tc>
          <w:tcPr>
            <w:tcW w:w="500" w:type="dxa"/>
            <w:vAlign w:val="bottom"/>
            <w:shd w:val="clear" w:color="auto" w:fill="D1D0CF"/>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6"/>
        </w:trPr>
        <w:tc>
          <w:tcPr>
            <w:tcW w:w="4720" w:type="dxa"/>
            <w:vAlign w:val="bottom"/>
            <w:tcBorders>
              <w:bottom w:val="single" w:sz="8" w:color="D1D0CF"/>
            </w:tcBorders>
            <w:shd w:val="clear" w:color="auto" w:fill="D1D0CF"/>
          </w:tcPr>
          <w:p>
            <w:pPr>
              <w:spacing w:after="0"/>
              <w:rPr>
                <w:sz w:val="13"/>
                <w:szCs w:val="13"/>
                <w:color w:val="auto"/>
              </w:rPr>
            </w:pPr>
          </w:p>
        </w:tc>
        <w:tc>
          <w:tcPr>
            <w:tcW w:w="1990" w:type="dxa"/>
            <w:vAlign w:val="bottom"/>
            <w:tcBorders>
              <w:bottom w:val="single" w:sz="8" w:color="D1D0CF"/>
            </w:tcBorders>
            <w:shd w:val="clear" w:color="auto" w:fill="D1D0CF"/>
          </w:tcPr>
          <w:p>
            <w:pPr>
              <w:jc w:val="right"/>
              <w:spacing w:after="0" w:line="155" w:lineRule="exact"/>
              <w:rPr>
                <w:sz w:val="20"/>
                <w:szCs w:val="20"/>
                <w:color w:val="auto"/>
              </w:rPr>
            </w:pPr>
            <w:r>
              <w:rPr>
                <w:rFonts w:ascii="Arial" w:cs="Arial" w:eastAsia="Arial" w:hAnsi="Arial"/>
                <w:sz w:val="16"/>
                <w:szCs w:val="16"/>
                <w:b w:val="1"/>
                <w:bCs w:val="1"/>
                <w:color w:val="auto"/>
              </w:rPr>
              <w:t>Ownership at</w:t>
            </w:r>
          </w:p>
        </w:tc>
        <w:tc>
          <w:tcPr>
            <w:tcW w:w="90" w:type="dxa"/>
            <w:vAlign w:val="bottom"/>
            <w:tcBorders>
              <w:bottom w:val="single" w:sz="8" w:color="D1D0CF"/>
            </w:tcBorders>
            <w:shd w:val="clear" w:color="auto" w:fill="D1D0CF"/>
          </w:tcPr>
          <w:p>
            <w:pPr>
              <w:spacing w:after="0"/>
              <w:rPr>
                <w:sz w:val="13"/>
                <w:szCs w:val="13"/>
                <w:color w:val="auto"/>
              </w:rPr>
            </w:pPr>
          </w:p>
        </w:tc>
        <w:tc>
          <w:tcPr>
            <w:tcW w:w="1680" w:type="dxa"/>
            <w:vAlign w:val="bottom"/>
            <w:tcBorders>
              <w:bottom w:val="single" w:sz="8" w:color="0D64EF"/>
            </w:tcBorders>
            <w:gridSpan w:val="2"/>
            <w:vMerge w:val="continue"/>
            <w:shd w:val="clear" w:color="auto" w:fill="D1D0CF"/>
          </w:tcPr>
          <w:p>
            <w:pPr>
              <w:spacing w:after="0"/>
              <w:rPr>
                <w:sz w:val="13"/>
                <w:szCs w:val="13"/>
                <w:color w:val="auto"/>
              </w:rPr>
            </w:pPr>
          </w:p>
        </w:tc>
        <w:tc>
          <w:tcPr>
            <w:tcW w:w="500" w:type="dxa"/>
            <w:vAlign w:val="bottom"/>
            <w:tcBorders>
              <w:bottom w:val="single" w:sz="8" w:color="0D64EF"/>
            </w:tcBorders>
            <w:shd w:val="clear" w:color="auto" w:fill="D1D0CF"/>
          </w:tcPr>
          <w:p>
            <w:pPr>
              <w:spacing w:after="0"/>
              <w:rPr>
                <w:sz w:val="13"/>
                <w:szCs w:val="13"/>
                <w:color w:val="auto"/>
              </w:rPr>
            </w:pPr>
          </w:p>
        </w:tc>
        <w:tc>
          <w:tcPr>
            <w:tcW w:w="80" w:type="dxa"/>
            <w:vAlign w:val="bottom"/>
            <w:tcBorders>
              <w:bottom w:val="single" w:sz="8" w:color="D1D0CF"/>
            </w:tcBorders>
            <w:shd w:val="clear" w:color="auto" w:fill="D1D0CF"/>
          </w:tcPr>
          <w:p>
            <w:pPr>
              <w:spacing w:after="0"/>
              <w:rPr>
                <w:sz w:val="13"/>
                <w:szCs w:val="13"/>
                <w:color w:val="auto"/>
              </w:rPr>
            </w:pPr>
          </w:p>
        </w:tc>
        <w:tc>
          <w:tcPr>
            <w:tcW w:w="1680" w:type="dxa"/>
            <w:vAlign w:val="bottom"/>
            <w:tcBorders>
              <w:bottom w:val="single" w:sz="8" w:color="0D64EF"/>
            </w:tcBorders>
            <w:gridSpan w:val="2"/>
            <w:vMerge w:val="continue"/>
            <w:shd w:val="clear" w:color="auto" w:fill="D1D0CF"/>
          </w:tcPr>
          <w:p>
            <w:pPr>
              <w:spacing w:after="0"/>
              <w:rPr>
                <w:sz w:val="13"/>
                <w:szCs w:val="13"/>
                <w:color w:val="auto"/>
              </w:rPr>
            </w:pPr>
          </w:p>
        </w:tc>
        <w:tc>
          <w:tcPr>
            <w:tcW w:w="500" w:type="dxa"/>
            <w:vAlign w:val="bottom"/>
            <w:tcBorders>
              <w:bottom w:val="single" w:sz="8" w:color="0D64EF"/>
            </w:tcBorders>
            <w:shd w:val="clear" w:color="auto" w:fill="D1D0CF"/>
          </w:tcPr>
          <w:p>
            <w:pPr>
              <w:spacing w:after="0"/>
              <w:rPr>
                <w:sz w:val="13"/>
                <w:szCs w:val="13"/>
                <w:color w:val="auto"/>
              </w:rPr>
            </w:pPr>
          </w:p>
        </w:tc>
        <w:tc>
          <w:tcPr>
            <w:tcW w:w="20" w:type="dxa"/>
            <w:vAlign w:val="bottom"/>
            <w:tcBorders>
              <w:bottom w:val="single" w:sz="8" w:color="0D64EF"/>
            </w:tcBorders>
          </w:tcPr>
          <w:p>
            <w:pPr>
              <w:spacing w:after="0"/>
              <w:rPr>
                <w:sz w:val="13"/>
                <w:szCs w:val="13"/>
                <w:color w:val="auto"/>
              </w:rPr>
            </w:pPr>
          </w:p>
        </w:tc>
        <w:tc>
          <w:tcPr>
            <w:tcW w:w="0" w:type="dxa"/>
            <w:vAlign w:val="bottom"/>
          </w:tcPr>
          <w:p>
            <w:pPr>
              <w:spacing w:after="0"/>
              <w:rPr>
                <w:sz w:val="1"/>
                <w:szCs w:val="1"/>
                <w:color w:val="auto"/>
              </w:rPr>
            </w:pPr>
          </w:p>
        </w:tc>
      </w:tr>
      <w:tr>
        <w:trPr>
          <w:trHeight w:val="240"/>
        </w:trPr>
        <w:tc>
          <w:tcPr>
            <w:tcW w:w="4720" w:type="dxa"/>
            <w:vAlign w:val="bottom"/>
            <w:tcBorders>
              <w:top w:val="single" w:sz="8" w:color="D1D0CF"/>
              <w:bottom w:val="single" w:sz="8" w:color="0D64EF"/>
            </w:tcBorders>
            <w:shd w:val="clear" w:color="auto" w:fill="D1D0CF"/>
          </w:tcPr>
          <w:p>
            <w:pPr>
              <w:ind w:left="40"/>
              <w:spacing w:after="0"/>
              <w:rPr>
                <w:sz w:val="20"/>
                <w:szCs w:val="20"/>
                <w:color w:val="auto"/>
              </w:rPr>
            </w:pPr>
            <w:r>
              <w:rPr>
                <w:rFonts w:ascii="Arial" w:cs="Arial" w:eastAsia="Arial" w:hAnsi="Arial"/>
                <w:sz w:val="16"/>
                <w:szCs w:val="16"/>
                <w:color w:val="auto"/>
              </w:rPr>
              <w:t>(millions of $)</w:t>
            </w:r>
          </w:p>
        </w:tc>
        <w:tc>
          <w:tcPr>
            <w:tcW w:w="1990" w:type="dxa"/>
            <w:vAlign w:val="bottom"/>
            <w:tcBorders>
              <w:top w:val="single" w:sz="8" w:color="D1D0CF"/>
              <w:bottom w:val="single" w:sz="8" w:color="0D64EF"/>
            </w:tcBorders>
            <w:shd w:val="clear" w:color="auto" w:fill="D1D0CF"/>
          </w:tcPr>
          <w:p>
            <w:pPr>
              <w:jc w:val="right"/>
              <w:spacing w:after="0"/>
              <w:rPr>
                <w:sz w:val="20"/>
                <w:szCs w:val="20"/>
                <w:color w:val="auto"/>
              </w:rPr>
            </w:pPr>
            <w:r>
              <w:rPr>
                <w:rFonts w:ascii="Arial" w:cs="Arial" w:eastAsia="Arial" w:hAnsi="Arial"/>
                <w:sz w:val="16"/>
                <w:szCs w:val="16"/>
                <w:b w:val="1"/>
                <w:bCs w:val="1"/>
                <w:color w:val="auto"/>
              </w:rPr>
              <w:t>December 31, 2025</w:t>
            </w:r>
          </w:p>
        </w:tc>
        <w:tc>
          <w:tcPr>
            <w:tcW w:w="90" w:type="dxa"/>
            <w:vAlign w:val="bottom"/>
            <w:tcBorders>
              <w:top w:val="single" w:sz="8" w:color="D1D0CF"/>
              <w:bottom w:val="single" w:sz="8" w:color="0D64EF"/>
            </w:tcBorders>
            <w:shd w:val="clear" w:color="auto" w:fill="D1D0CF"/>
          </w:tcPr>
          <w:p>
            <w:pPr>
              <w:spacing w:after="0"/>
              <w:rPr>
                <w:sz w:val="20"/>
                <w:szCs w:val="20"/>
                <w:color w:val="auto"/>
              </w:rPr>
            </w:pPr>
          </w:p>
        </w:tc>
        <w:tc>
          <w:tcPr>
            <w:tcW w:w="1050" w:type="dxa"/>
            <w:vAlign w:val="bottom"/>
            <w:tcBorders>
              <w:top w:val="single" w:sz="8" w:color="D1D0CF"/>
              <w:bottom w:val="single" w:sz="8" w:color="0D64EF"/>
            </w:tcBorders>
            <w:shd w:val="clear" w:color="auto" w:fill="D1D0CF"/>
          </w:tcPr>
          <w:p>
            <w:pPr>
              <w:jc w:val="right"/>
              <w:spacing w:after="0"/>
              <w:rPr>
                <w:sz w:val="20"/>
                <w:szCs w:val="20"/>
                <w:color w:val="auto"/>
              </w:rPr>
            </w:pPr>
            <w:r>
              <w:rPr>
                <w:rFonts w:ascii="Arial" w:cs="Arial" w:eastAsia="Arial" w:hAnsi="Arial"/>
                <w:sz w:val="16"/>
                <w:szCs w:val="16"/>
                <w:b w:val="1"/>
                <w:bCs w:val="1"/>
                <w:color w:val="auto"/>
              </w:rPr>
              <w:t>2025</w:t>
            </w:r>
          </w:p>
        </w:tc>
        <w:tc>
          <w:tcPr>
            <w:tcW w:w="630" w:type="dxa"/>
            <w:vAlign w:val="bottom"/>
            <w:tcBorders>
              <w:top w:val="single" w:sz="8" w:color="D1D0CF"/>
              <w:bottom w:val="single" w:sz="8" w:color="0D64EF"/>
            </w:tcBorders>
            <w:shd w:val="clear" w:color="auto" w:fill="D1D0CF"/>
          </w:tcPr>
          <w:p>
            <w:pPr>
              <w:spacing w:after="0"/>
              <w:rPr>
                <w:sz w:val="20"/>
                <w:szCs w:val="20"/>
                <w:color w:val="auto"/>
              </w:rPr>
            </w:pPr>
          </w:p>
        </w:tc>
        <w:tc>
          <w:tcPr>
            <w:tcW w:w="500" w:type="dxa"/>
            <w:vAlign w:val="bottom"/>
            <w:tcBorders>
              <w:top w:val="single" w:sz="8" w:color="D1D0CF"/>
              <w:bottom w:val="single" w:sz="8" w:color="0D64EF"/>
            </w:tcBorders>
            <w:shd w:val="clear" w:color="auto" w:fill="D1D0CF"/>
          </w:tcPr>
          <w:p>
            <w:pPr>
              <w:jc w:val="right"/>
              <w:spacing w:after="0"/>
              <w:rPr>
                <w:sz w:val="20"/>
                <w:szCs w:val="20"/>
                <w:color w:val="auto"/>
              </w:rPr>
            </w:pPr>
            <w:r>
              <w:rPr>
                <w:rFonts w:ascii="Arial" w:cs="Arial" w:eastAsia="Arial" w:hAnsi="Arial"/>
                <w:sz w:val="16"/>
                <w:szCs w:val="16"/>
                <w:b w:val="1"/>
                <w:bCs w:val="1"/>
                <w:color w:val="auto"/>
              </w:rPr>
              <w:t>2024</w:t>
            </w:r>
          </w:p>
        </w:tc>
        <w:tc>
          <w:tcPr>
            <w:tcW w:w="80" w:type="dxa"/>
            <w:vAlign w:val="bottom"/>
            <w:tcBorders>
              <w:top w:val="single" w:sz="8" w:color="D1D0CF"/>
              <w:bottom w:val="single" w:sz="8" w:color="0D64EF"/>
            </w:tcBorders>
            <w:shd w:val="clear" w:color="auto" w:fill="D1D0CF"/>
          </w:tcPr>
          <w:p>
            <w:pPr>
              <w:spacing w:after="0"/>
              <w:rPr>
                <w:sz w:val="20"/>
                <w:szCs w:val="20"/>
                <w:color w:val="auto"/>
              </w:rPr>
            </w:pPr>
          </w:p>
        </w:tc>
        <w:tc>
          <w:tcPr>
            <w:tcW w:w="1050" w:type="dxa"/>
            <w:vAlign w:val="bottom"/>
            <w:tcBorders>
              <w:top w:val="single" w:sz="8" w:color="D1D0CF"/>
              <w:bottom w:val="single" w:sz="8" w:color="0D64EF"/>
            </w:tcBorders>
            <w:shd w:val="clear" w:color="auto" w:fill="D1D0CF"/>
          </w:tcPr>
          <w:p>
            <w:pPr>
              <w:jc w:val="right"/>
              <w:spacing w:after="0"/>
              <w:rPr>
                <w:sz w:val="20"/>
                <w:szCs w:val="20"/>
                <w:color w:val="auto"/>
              </w:rPr>
            </w:pPr>
            <w:r>
              <w:rPr>
                <w:rFonts w:ascii="Arial" w:cs="Arial" w:eastAsia="Arial" w:hAnsi="Arial"/>
                <w:sz w:val="16"/>
                <w:szCs w:val="16"/>
                <w:b w:val="1"/>
                <w:bCs w:val="1"/>
                <w:color w:val="auto"/>
              </w:rPr>
              <w:t>2025</w:t>
            </w:r>
          </w:p>
        </w:tc>
        <w:tc>
          <w:tcPr>
            <w:tcW w:w="630" w:type="dxa"/>
            <w:vAlign w:val="bottom"/>
            <w:tcBorders>
              <w:top w:val="single" w:sz="8" w:color="D1D0CF"/>
              <w:bottom w:val="single" w:sz="8" w:color="0D64EF"/>
            </w:tcBorders>
            <w:shd w:val="clear" w:color="auto" w:fill="D1D0CF"/>
          </w:tcPr>
          <w:p>
            <w:pPr>
              <w:spacing w:after="0"/>
              <w:rPr>
                <w:sz w:val="20"/>
                <w:szCs w:val="20"/>
                <w:color w:val="auto"/>
              </w:rPr>
            </w:pPr>
          </w:p>
        </w:tc>
        <w:tc>
          <w:tcPr>
            <w:tcW w:w="500" w:type="dxa"/>
            <w:vAlign w:val="bottom"/>
            <w:tcBorders>
              <w:top w:val="single" w:sz="8" w:color="D1D0CF"/>
              <w:bottom w:val="single" w:sz="8" w:color="0D64EF"/>
            </w:tcBorders>
            <w:shd w:val="clear" w:color="auto" w:fill="D1D0CF"/>
          </w:tcPr>
          <w:p>
            <w:pPr>
              <w:jc w:val="right"/>
              <w:spacing w:after="0"/>
              <w:rPr>
                <w:sz w:val="20"/>
                <w:szCs w:val="20"/>
                <w:color w:val="auto"/>
              </w:rPr>
            </w:pPr>
            <w:r>
              <w:rPr>
                <w:rFonts w:ascii="Arial" w:cs="Arial" w:eastAsia="Arial" w:hAnsi="Arial"/>
                <w:sz w:val="16"/>
                <w:szCs w:val="16"/>
                <w:b w:val="1"/>
                <w:bCs w:val="1"/>
                <w:color w:val="auto"/>
              </w:rPr>
              <w:t>2024</w:t>
            </w:r>
          </w:p>
        </w:tc>
        <w:tc>
          <w:tcPr>
            <w:tcW w:w="20" w:type="dxa"/>
            <w:vAlign w:val="bottom"/>
            <w:tcBorders>
              <w:top w:val="single" w:sz="8" w:color="D1D0CF"/>
              <w:bottom w:val="single" w:sz="8" w:color="0D64EF"/>
            </w:tcBorders>
            <w:shd w:val="clear" w:color="auto" w:fill="D1D0CF"/>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4720" w:type="dxa"/>
            <w:vAlign w:val="bottom"/>
          </w:tcPr>
          <w:p>
            <w:pPr>
              <w:ind w:left="20"/>
              <w:spacing w:after="0"/>
              <w:rPr>
                <w:sz w:val="20"/>
                <w:szCs w:val="20"/>
                <w:color w:val="auto"/>
              </w:rPr>
            </w:pPr>
            <w:r>
              <w:rPr>
                <w:rFonts w:ascii="Arial" w:cs="Arial" w:eastAsia="Arial" w:hAnsi="Arial"/>
                <w:sz w:val="16"/>
                <w:szCs w:val="16"/>
                <w:color w:val="auto"/>
              </w:rPr>
              <w:t>Columbia Gas and Columbia Gulf</w:t>
            </w:r>
          </w:p>
        </w:tc>
        <w:tc>
          <w:tcPr>
            <w:tcW w:w="1990" w:type="dxa"/>
            <w:vAlign w:val="bottom"/>
          </w:tcPr>
          <w:p>
            <w:pPr>
              <w:jc w:val="right"/>
              <w:spacing w:after="0"/>
              <w:rPr>
                <w:sz w:val="20"/>
                <w:szCs w:val="20"/>
                <w:color w:val="auto"/>
              </w:rPr>
            </w:pPr>
            <w:r>
              <w:rPr>
                <w:rFonts w:ascii="Arial" w:cs="Arial" w:eastAsia="Arial" w:hAnsi="Arial"/>
                <w:sz w:val="16"/>
                <w:szCs w:val="16"/>
                <w:color w:val="auto"/>
              </w:rPr>
              <w:t>40%</w:t>
            </w:r>
          </w:p>
        </w:tc>
        <w:tc>
          <w:tcPr>
            <w:tcW w:w="90" w:type="dxa"/>
            <w:vAlign w:val="bottom"/>
          </w:tcPr>
          <w:p>
            <w:pPr>
              <w:spacing w:after="0"/>
              <w:rPr>
                <w:sz w:val="22"/>
                <w:szCs w:val="22"/>
                <w:color w:val="auto"/>
              </w:rPr>
            </w:pPr>
          </w:p>
        </w:tc>
        <w:tc>
          <w:tcPr>
            <w:tcW w:w="1050" w:type="dxa"/>
            <w:vAlign w:val="bottom"/>
          </w:tcPr>
          <w:p>
            <w:pPr>
              <w:jc w:val="right"/>
              <w:spacing w:after="0"/>
              <w:rPr>
                <w:sz w:val="20"/>
                <w:szCs w:val="20"/>
                <w:color w:val="auto"/>
              </w:rPr>
            </w:pPr>
            <w:r>
              <w:rPr>
                <w:rFonts w:ascii="Arial" w:cs="Arial" w:eastAsia="Arial" w:hAnsi="Arial"/>
                <w:sz w:val="16"/>
                <w:szCs w:val="16"/>
                <w:b w:val="1"/>
                <w:bCs w:val="1"/>
                <w:color w:val="auto"/>
              </w:rPr>
              <w:t>(178)</w:t>
            </w:r>
          </w:p>
        </w:tc>
        <w:tc>
          <w:tcPr>
            <w:tcW w:w="63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(155)</w:t>
            </w:r>
          </w:p>
        </w:tc>
        <w:tc>
          <w:tcPr>
            <w:tcW w:w="80" w:type="dxa"/>
            <w:vAlign w:val="bottom"/>
          </w:tcPr>
          <w:p>
            <w:pPr>
              <w:spacing w:after="0"/>
              <w:rPr>
                <w:sz w:val="22"/>
                <w:szCs w:val="22"/>
                <w:color w:val="auto"/>
              </w:rPr>
            </w:pPr>
          </w:p>
        </w:tc>
        <w:tc>
          <w:tcPr>
            <w:tcW w:w="1050" w:type="dxa"/>
            <w:vAlign w:val="bottom"/>
          </w:tcPr>
          <w:p>
            <w:pPr>
              <w:jc w:val="right"/>
              <w:spacing w:after="0"/>
              <w:rPr>
                <w:sz w:val="20"/>
                <w:szCs w:val="20"/>
                <w:color w:val="auto"/>
              </w:rPr>
            </w:pPr>
            <w:r>
              <w:rPr>
                <w:rFonts w:ascii="Arial" w:cs="Arial" w:eastAsia="Arial" w:hAnsi="Arial"/>
                <w:sz w:val="16"/>
                <w:szCs w:val="16"/>
                <w:b w:val="1"/>
                <w:bCs w:val="1"/>
                <w:color w:val="auto"/>
              </w:rPr>
              <w:t>(631)</w:t>
            </w:r>
          </w:p>
        </w:tc>
        <w:tc>
          <w:tcPr>
            <w:tcW w:w="63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(571)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4720" w:type="dxa"/>
            <w:vAlign w:val="bottom"/>
          </w:tcPr>
          <w:p>
            <w:pPr>
              <w:ind w:left="20"/>
              <w:spacing w:after="0" w:line="230" w:lineRule="exact"/>
              <w:rPr>
                <w:sz w:val="20"/>
                <w:szCs w:val="20"/>
                <w:color w:val="auto"/>
              </w:rPr>
            </w:pPr>
            <w:r>
              <w:rPr>
                <w:rFonts w:ascii="Arial" w:cs="Arial" w:eastAsia="Arial" w:hAnsi="Arial"/>
                <w:sz w:val="16"/>
                <w:szCs w:val="16"/>
                <w:color w:val="auto"/>
              </w:rPr>
              <w:t>TGNH</w:t>
            </w:r>
            <w:r>
              <w:rPr>
                <w:rFonts w:ascii="Arial" w:cs="Arial" w:eastAsia="Arial" w:hAnsi="Arial"/>
                <w:sz w:val="21"/>
                <w:szCs w:val="21"/>
                <w:color w:val="auto"/>
                <w:vertAlign w:val="superscript"/>
              </w:rPr>
              <w:t>1</w:t>
            </w:r>
          </w:p>
        </w:tc>
        <w:tc>
          <w:tcPr>
            <w:tcW w:w="1990" w:type="dxa"/>
            <w:vAlign w:val="bottom"/>
          </w:tcPr>
          <w:p>
            <w:pPr>
              <w:jc w:val="right"/>
              <w:spacing w:after="0"/>
              <w:rPr>
                <w:sz w:val="20"/>
                <w:szCs w:val="20"/>
                <w:color w:val="auto"/>
              </w:rPr>
            </w:pPr>
            <w:r>
              <w:rPr>
                <w:rFonts w:ascii="Arial" w:cs="Arial" w:eastAsia="Arial" w:hAnsi="Arial"/>
                <w:sz w:val="16"/>
                <w:szCs w:val="16"/>
                <w:color w:val="auto"/>
              </w:rPr>
              <w:t>13.01%</w:t>
            </w:r>
          </w:p>
        </w:tc>
        <w:tc>
          <w:tcPr>
            <w:tcW w:w="90" w:type="dxa"/>
            <w:vAlign w:val="bottom"/>
          </w:tcPr>
          <w:p>
            <w:pPr>
              <w:spacing w:after="0"/>
              <w:rPr>
                <w:sz w:val="19"/>
                <w:szCs w:val="19"/>
                <w:color w:val="auto"/>
              </w:rPr>
            </w:pPr>
          </w:p>
        </w:tc>
        <w:tc>
          <w:tcPr>
            <w:tcW w:w="1050" w:type="dxa"/>
            <w:vAlign w:val="bottom"/>
          </w:tcPr>
          <w:p>
            <w:pPr>
              <w:jc w:val="right"/>
              <w:spacing w:after="0"/>
              <w:rPr>
                <w:sz w:val="20"/>
                <w:szCs w:val="20"/>
                <w:color w:val="auto"/>
              </w:rPr>
            </w:pPr>
            <w:r>
              <w:rPr>
                <w:rFonts w:ascii="Arial" w:cs="Arial" w:eastAsia="Arial" w:hAnsi="Arial"/>
                <w:sz w:val="16"/>
                <w:szCs w:val="16"/>
                <w:b w:val="1"/>
                <w:bCs w:val="1"/>
                <w:color w:val="auto"/>
              </w:rPr>
              <w:t>(8)</w:t>
            </w:r>
          </w:p>
        </w:tc>
        <w:tc>
          <w:tcPr>
            <w:tcW w:w="63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(17)</w:t>
            </w:r>
          </w:p>
        </w:tc>
        <w:tc>
          <w:tcPr>
            <w:tcW w:w="80" w:type="dxa"/>
            <w:vAlign w:val="bottom"/>
          </w:tcPr>
          <w:p>
            <w:pPr>
              <w:spacing w:after="0"/>
              <w:rPr>
                <w:sz w:val="19"/>
                <w:szCs w:val="19"/>
                <w:color w:val="auto"/>
              </w:rPr>
            </w:pPr>
          </w:p>
        </w:tc>
        <w:tc>
          <w:tcPr>
            <w:tcW w:w="1050" w:type="dxa"/>
            <w:vAlign w:val="bottom"/>
          </w:tcPr>
          <w:p>
            <w:pPr>
              <w:jc w:val="right"/>
              <w:spacing w:after="0"/>
              <w:rPr>
                <w:sz w:val="20"/>
                <w:szCs w:val="20"/>
                <w:color w:val="auto"/>
              </w:rPr>
            </w:pPr>
            <w:r>
              <w:rPr>
                <w:rFonts w:ascii="Arial" w:cs="Arial" w:eastAsia="Arial" w:hAnsi="Arial"/>
                <w:sz w:val="16"/>
                <w:szCs w:val="16"/>
                <w:b w:val="1"/>
                <w:bCs w:val="1"/>
                <w:color w:val="auto"/>
              </w:rPr>
              <w:t>(50)</w:t>
            </w:r>
          </w:p>
        </w:tc>
        <w:tc>
          <w:tcPr>
            <w:tcW w:w="63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(48)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20" w:type="dxa"/>
            <w:vAlign w:val="bottom"/>
          </w:tcPr>
          <w:p>
            <w:pPr>
              <w:ind w:left="20"/>
              <w:spacing w:after="0" w:line="230" w:lineRule="exact"/>
              <w:rPr>
                <w:sz w:val="20"/>
                <w:szCs w:val="20"/>
                <w:color w:val="auto"/>
              </w:rPr>
            </w:pPr>
            <w:r>
              <w:rPr>
                <w:rFonts w:ascii="Arial" w:cs="Arial" w:eastAsia="Arial" w:hAnsi="Arial"/>
                <w:sz w:val="16"/>
                <w:szCs w:val="16"/>
                <w:color w:val="auto"/>
              </w:rPr>
              <w:t>Texas Wind Farms</w:t>
            </w:r>
            <w:r>
              <w:rPr>
                <w:rFonts w:ascii="Arial" w:cs="Arial" w:eastAsia="Arial" w:hAnsi="Arial"/>
                <w:sz w:val="21"/>
                <w:szCs w:val="21"/>
                <w:color w:val="auto"/>
                <w:vertAlign w:val="superscript"/>
              </w:rPr>
              <w:t>2</w:t>
            </w:r>
          </w:p>
        </w:tc>
        <w:tc>
          <w:tcPr>
            <w:tcW w:w="1990" w:type="dxa"/>
            <w:vAlign w:val="bottom"/>
          </w:tcPr>
          <w:p>
            <w:pPr>
              <w:jc w:val="right"/>
              <w:spacing w:after="0"/>
              <w:rPr>
                <w:sz w:val="20"/>
                <w:szCs w:val="20"/>
                <w:color w:val="auto"/>
              </w:rPr>
            </w:pPr>
            <w:r>
              <w:rPr>
                <w:rFonts w:ascii="Arial" w:cs="Arial" w:eastAsia="Arial" w:hAnsi="Arial"/>
                <w:sz w:val="16"/>
                <w:szCs w:val="16"/>
                <w:color w:val="auto"/>
              </w:rPr>
              <w:t>100%</w:t>
            </w:r>
          </w:p>
        </w:tc>
        <w:tc>
          <w:tcPr>
            <w:tcW w:w="90" w:type="dxa"/>
            <w:vAlign w:val="bottom"/>
          </w:tcPr>
          <w:p>
            <w:pPr>
              <w:spacing w:after="0"/>
              <w:rPr>
                <w:sz w:val="19"/>
                <w:szCs w:val="19"/>
                <w:color w:val="auto"/>
              </w:rPr>
            </w:pPr>
          </w:p>
        </w:tc>
        <w:tc>
          <w:tcPr>
            <w:tcW w:w="1050" w:type="dxa"/>
            <w:vAlign w:val="bottom"/>
          </w:tcPr>
          <w:p>
            <w:pPr>
              <w:jc w:val="right"/>
              <w:ind w:right="9"/>
              <w:spacing w:after="0"/>
              <w:rPr>
                <w:sz w:val="20"/>
                <w:szCs w:val="20"/>
                <w:color w:val="auto"/>
              </w:rPr>
            </w:pPr>
            <w:r>
              <w:rPr>
                <w:rFonts w:ascii="Arial" w:cs="Arial" w:eastAsia="Arial" w:hAnsi="Arial"/>
                <w:sz w:val="16"/>
                <w:szCs w:val="16"/>
                <w:b w:val="1"/>
                <w:bCs w:val="1"/>
                <w:color w:val="auto"/>
              </w:rPr>
              <w:t>11</w:t>
            </w:r>
          </w:p>
        </w:tc>
        <w:tc>
          <w:tcPr>
            <w:tcW w:w="63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9</w:t>
            </w:r>
          </w:p>
        </w:tc>
        <w:tc>
          <w:tcPr>
            <w:tcW w:w="80" w:type="dxa"/>
            <w:vAlign w:val="bottom"/>
          </w:tcPr>
          <w:p>
            <w:pPr>
              <w:spacing w:after="0"/>
              <w:rPr>
                <w:sz w:val="19"/>
                <w:szCs w:val="19"/>
                <w:color w:val="auto"/>
              </w:rPr>
            </w:pPr>
          </w:p>
        </w:tc>
        <w:tc>
          <w:tcPr>
            <w:tcW w:w="1050" w:type="dxa"/>
            <w:vAlign w:val="bottom"/>
          </w:tcPr>
          <w:p>
            <w:pPr>
              <w:jc w:val="right"/>
              <w:spacing w:after="0"/>
              <w:rPr>
                <w:sz w:val="20"/>
                <w:szCs w:val="20"/>
                <w:color w:val="auto"/>
              </w:rPr>
            </w:pPr>
            <w:r>
              <w:rPr>
                <w:rFonts w:ascii="Arial" w:cs="Arial" w:eastAsia="Arial" w:hAnsi="Arial"/>
                <w:sz w:val="16"/>
                <w:szCs w:val="16"/>
                <w:b w:val="1"/>
                <w:bCs w:val="1"/>
                <w:color w:val="auto"/>
              </w:rPr>
              <w:t>38</w:t>
            </w:r>
          </w:p>
        </w:tc>
        <w:tc>
          <w:tcPr>
            <w:tcW w:w="63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29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4720" w:type="dxa"/>
            <w:vAlign w:val="bottom"/>
            <w:tcBorders>
              <w:bottom w:val="single" w:sz="8" w:color="auto"/>
            </w:tcBorders>
          </w:tcPr>
          <w:p>
            <w:pPr>
              <w:ind w:left="20"/>
              <w:spacing w:after="0" w:line="240" w:lineRule="exact"/>
              <w:rPr>
                <w:sz w:val="20"/>
                <w:szCs w:val="20"/>
                <w:color w:val="auto"/>
              </w:rPr>
            </w:pPr>
            <w:r>
              <w:rPr>
                <w:rFonts w:ascii="Arial" w:cs="Arial" w:eastAsia="Arial" w:hAnsi="Arial"/>
                <w:sz w:val="16"/>
                <w:szCs w:val="16"/>
                <w:color w:val="auto"/>
              </w:rPr>
              <w:t>PNGTS</w:t>
            </w:r>
            <w:r>
              <w:rPr>
                <w:rFonts w:ascii="Arial" w:cs="Arial" w:eastAsia="Arial" w:hAnsi="Arial"/>
                <w:sz w:val="21"/>
                <w:szCs w:val="21"/>
                <w:color w:val="auto"/>
                <w:vertAlign w:val="superscript"/>
              </w:rPr>
              <w:t>3</w:t>
            </w:r>
          </w:p>
        </w:tc>
        <w:tc>
          <w:tcPr>
            <w:tcW w:w="2080" w:type="dxa"/>
            <w:vAlign w:val="bottom"/>
            <w:tcBorders>
              <w:bottom w:val="single" w:sz="8" w:color="auto"/>
            </w:tcBorders>
            <w:gridSpan w:val="2"/>
          </w:tcPr>
          <w:p>
            <w:pPr>
              <w:ind w:left="1700"/>
              <w:spacing w:after="0"/>
              <w:rPr>
                <w:sz w:val="20"/>
                <w:szCs w:val="20"/>
                <w:color w:val="auto"/>
              </w:rPr>
            </w:pPr>
            <w:r>
              <w:rPr>
                <w:rFonts w:ascii="Arial" w:cs="Arial" w:eastAsia="Arial" w:hAnsi="Arial"/>
                <w:sz w:val="16"/>
                <w:szCs w:val="16"/>
                <w:color w:val="auto"/>
              </w:rPr>
              <w:t>—</w:t>
            </w:r>
          </w:p>
        </w:tc>
        <w:tc>
          <w:tcPr>
            <w:tcW w:w="1680" w:type="dxa"/>
            <w:vAlign w:val="bottom"/>
            <w:tcBorders>
              <w:bottom w:val="single" w:sz="8" w:color="auto"/>
            </w:tcBorders>
            <w:gridSpan w:val="2"/>
          </w:tcPr>
          <w:p>
            <w:pPr>
              <w:jc w:val="right"/>
              <w:ind w:right="720"/>
              <w:spacing w:after="0"/>
              <w:rPr>
                <w:sz w:val="20"/>
                <w:szCs w:val="20"/>
                <w:color w:val="auto"/>
              </w:rPr>
            </w:pPr>
            <w:r>
              <w:rPr>
                <w:rFonts w:ascii="Arial" w:cs="Arial" w:eastAsia="Arial" w:hAnsi="Arial"/>
                <w:sz w:val="16"/>
                <w:szCs w:val="16"/>
                <w:b w:val="1"/>
                <w:bCs w:val="1"/>
                <w:color w:val="auto"/>
              </w:rPr>
              <w:t>—</w:t>
            </w:r>
          </w:p>
        </w:tc>
        <w:tc>
          <w:tcPr>
            <w:tcW w:w="58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1680" w:type="dxa"/>
            <w:vAlign w:val="bottom"/>
            <w:tcBorders>
              <w:bottom w:val="single" w:sz="8" w:color="auto"/>
            </w:tcBorders>
            <w:gridSpan w:val="2"/>
          </w:tcPr>
          <w:p>
            <w:pPr>
              <w:jc w:val="right"/>
              <w:ind w:right="700"/>
              <w:spacing w:after="0"/>
              <w:rPr>
                <w:sz w:val="20"/>
                <w:szCs w:val="20"/>
                <w:color w:val="auto"/>
              </w:rPr>
            </w:pPr>
            <w:r>
              <w:rPr>
                <w:rFonts w:ascii="Arial" w:cs="Arial" w:eastAsia="Arial" w:hAnsi="Arial"/>
                <w:sz w:val="16"/>
                <w:szCs w:val="16"/>
                <w:b w:val="1"/>
                <w:bCs w:val="1"/>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8"/>
        </w:trPr>
        <w:tc>
          <w:tcPr>
            <w:tcW w:w="4720" w:type="dxa"/>
            <w:vAlign w:val="bottom"/>
          </w:tcPr>
          <w:p>
            <w:pPr>
              <w:ind w:left="20"/>
              <w:spacing w:after="0" w:line="168" w:lineRule="exact"/>
              <w:rPr>
                <w:sz w:val="20"/>
                <w:szCs w:val="20"/>
                <w:color w:val="auto"/>
              </w:rPr>
            </w:pPr>
            <w:r>
              <w:rPr>
                <w:rFonts w:ascii="Arial" w:cs="Arial" w:eastAsia="Arial" w:hAnsi="Arial"/>
                <w:sz w:val="16"/>
                <w:szCs w:val="16"/>
                <w:b w:val="1"/>
                <w:bCs w:val="1"/>
                <w:color w:val="0D64EF"/>
              </w:rPr>
              <w:t>Net (income) loss attributable to non-controlling interests</w:t>
            </w:r>
          </w:p>
        </w:tc>
        <w:tc>
          <w:tcPr>
            <w:tcW w:w="1990" w:type="dxa"/>
            <w:vAlign w:val="bottom"/>
          </w:tcPr>
          <w:p>
            <w:pPr>
              <w:spacing w:after="0"/>
              <w:rPr>
                <w:sz w:val="14"/>
                <w:szCs w:val="14"/>
                <w:color w:val="auto"/>
              </w:rPr>
            </w:pPr>
          </w:p>
        </w:tc>
        <w:tc>
          <w:tcPr>
            <w:tcW w:w="90" w:type="dxa"/>
            <w:vAlign w:val="bottom"/>
          </w:tcPr>
          <w:p>
            <w:pPr>
              <w:spacing w:after="0"/>
              <w:rPr>
                <w:sz w:val="14"/>
                <w:szCs w:val="14"/>
                <w:color w:val="auto"/>
              </w:rPr>
            </w:pPr>
          </w:p>
        </w:tc>
        <w:tc>
          <w:tcPr>
            <w:tcW w:w="105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(175)</w:t>
            </w:r>
          </w:p>
        </w:tc>
        <w:tc>
          <w:tcPr>
            <w:tcW w:w="63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5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(643)</w:t>
            </w:r>
          </w:p>
        </w:tc>
        <w:tc>
          <w:tcPr>
            <w:tcW w:w="63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720" w:type="dxa"/>
            <w:vAlign w:val="bottom"/>
          </w:tcPr>
          <w:p>
            <w:pPr>
              <w:ind w:left="100"/>
              <w:spacing w:after="0"/>
              <w:rPr>
                <w:sz w:val="20"/>
                <w:szCs w:val="20"/>
                <w:color w:val="auto"/>
              </w:rPr>
            </w:pPr>
            <w:r>
              <w:rPr>
                <w:rFonts w:ascii="Arial" w:cs="Arial" w:eastAsia="Arial" w:hAnsi="Arial"/>
                <w:sz w:val="16"/>
                <w:szCs w:val="16"/>
                <w:b w:val="1"/>
                <w:bCs w:val="1"/>
                <w:color w:val="0D64EF"/>
              </w:rPr>
              <w:t>included in comparable earnings</w:t>
            </w:r>
          </w:p>
        </w:tc>
        <w:tc>
          <w:tcPr>
            <w:tcW w:w="1990" w:type="dxa"/>
            <w:vAlign w:val="bottom"/>
          </w:tcPr>
          <w:p>
            <w:pPr>
              <w:spacing w:after="0"/>
              <w:rPr>
                <w:sz w:val="19"/>
                <w:szCs w:val="19"/>
                <w:color w:val="auto"/>
              </w:rPr>
            </w:pPr>
          </w:p>
        </w:tc>
        <w:tc>
          <w:tcPr>
            <w:tcW w:w="90" w:type="dxa"/>
            <w:vAlign w:val="bottom"/>
          </w:tcPr>
          <w:p>
            <w:pPr>
              <w:spacing w:after="0"/>
              <w:rPr>
                <w:sz w:val="19"/>
                <w:szCs w:val="19"/>
                <w:color w:val="auto"/>
              </w:rPr>
            </w:pPr>
          </w:p>
        </w:tc>
        <w:tc>
          <w:tcPr>
            <w:tcW w:w="1050" w:type="dxa"/>
            <w:vAlign w:val="bottom"/>
            <w:vMerge w:val="continue"/>
          </w:tcPr>
          <w:p>
            <w:pPr>
              <w:spacing w:after="0"/>
              <w:rPr>
                <w:sz w:val="19"/>
                <w:szCs w:val="19"/>
                <w:color w:val="auto"/>
              </w:rPr>
            </w:pPr>
          </w:p>
        </w:tc>
        <w:tc>
          <w:tcPr>
            <w:tcW w:w="63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(163)</w:t>
            </w:r>
          </w:p>
        </w:tc>
        <w:tc>
          <w:tcPr>
            <w:tcW w:w="80" w:type="dxa"/>
            <w:vAlign w:val="bottom"/>
          </w:tcPr>
          <w:p>
            <w:pPr>
              <w:spacing w:after="0"/>
              <w:rPr>
                <w:sz w:val="19"/>
                <w:szCs w:val="19"/>
                <w:color w:val="auto"/>
              </w:rPr>
            </w:pPr>
          </w:p>
        </w:tc>
        <w:tc>
          <w:tcPr>
            <w:tcW w:w="1050" w:type="dxa"/>
            <w:vAlign w:val="bottom"/>
            <w:vMerge w:val="continue"/>
          </w:tcPr>
          <w:p>
            <w:pPr>
              <w:spacing w:after="0"/>
              <w:rPr>
                <w:sz w:val="19"/>
                <w:szCs w:val="19"/>
                <w:color w:val="auto"/>
              </w:rPr>
            </w:pPr>
          </w:p>
        </w:tc>
        <w:tc>
          <w:tcPr>
            <w:tcW w:w="63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(620)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720" w:type="dxa"/>
            <w:vAlign w:val="bottom"/>
          </w:tcPr>
          <w:p>
            <w:pPr>
              <w:ind w:left="20"/>
              <w:spacing w:after="0"/>
              <w:rPr>
                <w:sz w:val="20"/>
                <w:szCs w:val="20"/>
                <w:color w:val="auto"/>
              </w:rPr>
            </w:pPr>
            <w:r>
              <w:rPr>
                <w:rFonts w:ascii="Arial" w:cs="Arial" w:eastAsia="Arial" w:hAnsi="Arial"/>
                <w:sz w:val="16"/>
                <w:szCs w:val="16"/>
                <w:color w:val="auto"/>
              </w:rPr>
              <w:t>Specific items:</w:t>
            </w:r>
          </w:p>
        </w:tc>
        <w:tc>
          <w:tcPr>
            <w:tcW w:w="1990" w:type="dxa"/>
            <w:vAlign w:val="bottom"/>
          </w:tcPr>
          <w:p>
            <w:pPr>
              <w:spacing w:after="0"/>
              <w:rPr>
                <w:sz w:val="19"/>
                <w:szCs w:val="19"/>
                <w:color w:val="auto"/>
              </w:rPr>
            </w:pPr>
          </w:p>
        </w:tc>
        <w:tc>
          <w:tcPr>
            <w:tcW w:w="90" w:type="dxa"/>
            <w:vAlign w:val="bottom"/>
          </w:tcPr>
          <w:p>
            <w:pPr>
              <w:spacing w:after="0"/>
              <w:rPr>
                <w:sz w:val="19"/>
                <w:szCs w:val="19"/>
                <w:color w:val="auto"/>
              </w:rPr>
            </w:pPr>
          </w:p>
        </w:tc>
        <w:tc>
          <w:tcPr>
            <w:tcW w:w="1050" w:type="dxa"/>
            <w:vAlign w:val="bottom"/>
          </w:tcPr>
          <w:p>
            <w:pPr>
              <w:spacing w:after="0"/>
              <w:rPr>
                <w:sz w:val="19"/>
                <w:szCs w:val="19"/>
                <w:color w:val="auto"/>
              </w:rPr>
            </w:pPr>
          </w:p>
        </w:tc>
        <w:tc>
          <w:tcPr>
            <w:tcW w:w="63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50" w:type="dxa"/>
            <w:vAlign w:val="bottom"/>
          </w:tcPr>
          <w:p>
            <w:pPr>
              <w:spacing w:after="0"/>
              <w:rPr>
                <w:sz w:val="19"/>
                <w:szCs w:val="19"/>
                <w:color w:val="auto"/>
              </w:rPr>
            </w:pPr>
          </w:p>
        </w:tc>
        <w:tc>
          <w:tcPr>
            <w:tcW w:w="63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4720" w:type="dxa"/>
            <w:vAlign w:val="bottom"/>
          </w:tcPr>
          <w:p>
            <w:pPr>
              <w:ind w:left="100"/>
              <w:spacing w:after="0"/>
              <w:rPr>
                <w:sz w:val="20"/>
                <w:szCs w:val="20"/>
                <w:color w:val="auto"/>
              </w:rPr>
            </w:pPr>
            <w:r>
              <w:rPr>
                <w:rFonts w:ascii="Arial" w:cs="Arial" w:eastAsia="Arial" w:hAnsi="Arial"/>
                <w:sz w:val="16"/>
                <w:szCs w:val="16"/>
                <w:color w:val="auto"/>
              </w:rPr>
              <w:t>Foreign exchange (gains) losses, net – intercompany loan</w:t>
            </w:r>
          </w:p>
        </w:tc>
        <w:tc>
          <w:tcPr>
            <w:tcW w:w="1990" w:type="dxa"/>
            <w:vAlign w:val="bottom"/>
          </w:tcPr>
          <w:p>
            <w:pPr>
              <w:spacing w:after="0"/>
              <w:rPr>
                <w:sz w:val="20"/>
                <w:szCs w:val="20"/>
                <w:color w:val="auto"/>
              </w:rPr>
            </w:pPr>
          </w:p>
        </w:tc>
        <w:tc>
          <w:tcPr>
            <w:tcW w:w="90" w:type="dxa"/>
            <w:vAlign w:val="bottom"/>
          </w:tcPr>
          <w:p>
            <w:pPr>
              <w:spacing w:after="0"/>
              <w:rPr>
                <w:sz w:val="20"/>
                <w:szCs w:val="20"/>
                <w:color w:val="auto"/>
              </w:rPr>
            </w:pPr>
          </w:p>
        </w:tc>
        <w:tc>
          <w:tcPr>
            <w:tcW w:w="1050" w:type="dxa"/>
            <w:vAlign w:val="bottom"/>
          </w:tcPr>
          <w:p>
            <w:pPr>
              <w:jc w:val="right"/>
              <w:ind w:right="9"/>
              <w:spacing w:after="0"/>
              <w:rPr>
                <w:sz w:val="20"/>
                <w:szCs w:val="20"/>
                <w:color w:val="auto"/>
              </w:rPr>
            </w:pPr>
            <w:r>
              <w:rPr>
                <w:rFonts w:ascii="Arial" w:cs="Arial" w:eastAsia="Arial" w:hAnsi="Arial"/>
                <w:sz w:val="16"/>
                <w:szCs w:val="16"/>
                <w:b w:val="1"/>
                <w:bCs w:val="1"/>
                <w:color w:val="auto"/>
              </w:rPr>
              <w:t>8</w:t>
            </w:r>
          </w:p>
        </w:tc>
        <w:tc>
          <w:tcPr>
            <w:tcW w:w="63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(20)</w:t>
            </w:r>
          </w:p>
        </w:tc>
        <w:tc>
          <w:tcPr>
            <w:tcW w:w="80" w:type="dxa"/>
            <w:vAlign w:val="bottom"/>
          </w:tcPr>
          <w:p>
            <w:pPr>
              <w:spacing w:after="0"/>
              <w:rPr>
                <w:sz w:val="20"/>
                <w:szCs w:val="20"/>
                <w:color w:val="auto"/>
              </w:rPr>
            </w:pPr>
          </w:p>
        </w:tc>
        <w:tc>
          <w:tcPr>
            <w:tcW w:w="1050" w:type="dxa"/>
            <w:vAlign w:val="bottom"/>
          </w:tcPr>
          <w:p>
            <w:pPr>
              <w:jc w:val="right"/>
              <w:spacing w:after="0"/>
              <w:rPr>
                <w:sz w:val="20"/>
                <w:szCs w:val="20"/>
                <w:color w:val="auto"/>
              </w:rPr>
            </w:pPr>
            <w:r>
              <w:rPr>
                <w:rFonts w:ascii="Arial" w:cs="Arial" w:eastAsia="Arial" w:hAnsi="Arial"/>
                <w:sz w:val="16"/>
                <w:szCs w:val="16"/>
                <w:b w:val="1"/>
                <w:bCs w:val="1"/>
                <w:color w:val="auto"/>
              </w:rPr>
              <w:t>60</w:t>
            </w:r>
          </w:p>
        </w:tc>
        <w:tc>
          <w:tcPr>
            <w:tcW w:w="63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(61)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472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Expected credit loss provision on net investment in leases</w:t>
            </w:r>
          </w:p>
        </w:tc>
        <w:tc>
          <w:tcPr>
            <w:tcW w:w="1990" w:type="dxa"/>
            <w:vAlign w:val="bottom"/>
            <w:tcBorders>
              <w:bottom w:val="single" w:sz="8" w:color="auto"/>
            </w:tcBorders>
          </w:tcPr>
          <w:p>
            <w:pPr>
              <w:spacing w:after="0"/>
              <w:rPr>
                <w:sz w:val="20"/>
                <w:szCs w:val="20"/>
                <w:color w:val="auto"/>
              </w:rPr>
            </w:pPr>
          </w:p>
        </w:tc>
        <w:tc>
          <w:tcPr>
            <w:tcW w:w="9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2"/>
          </w:tcPr>
          <w:p>
            <w:pPr>
              <w:jc w:val="right"/>
              <w:ind w:right="720"/>
              <w:spacing w:after="0"/>
              <w:rPr>
                <w:sz w:val="20"/>
                <w:szCs w:val="20"/>
                <w:color w:val="auto"/>
              </w:rPr>
            </w:pPr>
            <w:r>
              <w:rPr>
                <w:rFonts w:ascii="Arial" w:cs="Arial" w:eastAsia="Arial" w:hAnsi="Arial"/>
                <w:sz w:val="16"/>
                <w:szCs w:val="16"/>
                <w:b w:val="1"/>
                <w:bCs w:val="1"/>
                <w:color w:val="auto"/>
              </w:rPr>
              <w:t>—</w:t>
            </w:r>
          </w:p>
        </w:tc>
        <w:tc>
          <w:tcPr>
            <w:tcW w:w="58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105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w:t>
            </w:r>
          </w:p>
        </w:tc>
        <w:tc>
          <w:tcPr>
            <w:tcW w:w="63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7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0D64EF"/>
              </w:rPr>
              <w:t>Net (income) loss attributable to non-controlling interests</w:t>
            </w:r>
          </w:p>
        </w:tc>
        <w:tc>
          <w:tcPr>
            <w:tcW w:w="1990" w:type="dxa"/>
            <w:vAlign w:val="bottom"/>
            <w:tcBorders>
              <w:bottom w:val="single" w:sz="8" w:color="auto"/>
            </w:tcBorders>
          </w:tcPr>
          <w:p>
            <w:pPr>
              <w:spacing w:after="0"/>
              <w:rPr>
                <w:sz w:val="19"/>
                <w:szCs w:val="19"/>
                <w:color w:val="auto"/>
              </w:rPr>
            </w:pPr>
          </w:p>
        </w:tc>
        <w:tc>
          <w:tcPr>
            <w:tcW w:w="90" w:type="dxa"/>
            <w:vAlign w:val="bottom"/>
            <w:tcBorders>
              <w:bottom w:val="single" w:sz="8" w:color="auto"/>
            </w:tcBorders>
          </w:tcPr>
          <w:p>
            <w:pPr>
              <w:spacing w:after="0"/>
              <w:rPr>
                <w:sz w:val="19"/>
                <w:szCs w:val="19"/>
                <w:color w:val="auto"/>
              </w:rPr>
            </w:pPr>
          </w:p>
        </w:tc>
        <w:tc>
          <w:tcPr>
            <w:tcW w:w="105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(167)</w:t>
            </w:r>
          </w:p>
        </w:tc>
        <w:tc>
          <w:tcPr>
            <w:tcW w:w="63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(183)</w:t>
            </w:r>
          </w:p>
        </w:tc>
        <w:tc>
          <w:tcPr>
            <w:tcW w:w="80" w:type="dxa"/>
            <w:vAlign w:val="bottom"/>
            <w:tcBorders>
              <w:bottom w:val="single" w:sz="8" w:color="auto"/>
            </w:tcBorders>
          </w:tcPr>
          <w:p>
            <w:pPr>
              <w:spacing w:after="0"/>
              <w:rPr>
                <w:sz w:val="19"/>
                <w:szCs w:val="19"/>
                <w:color w:val="auto"/>
              </w:rPr>
            </w:pPr>
          </w:p>
        </w:tc>
        <w:tc>
          <w:tcPr>
            <w:tcW w:w="105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(575)</w:t>
            </w:r>
          </w:p>
        </w:tc>
        <w:tc>
          <w:tcPr>
            <w:tcW w:w="63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240" w:hanging="232"/>
        <w:spacing w:after="0"/>
        <w:tabs>
          <w:tab w:leader="none" w:pos="240" w:val="left"/>
        </w:tabs>
        <w:numPr>
          <w:ilvl w:val="0"/>
          <w:numId w:val="57"/>
        </w:numPr>
        <w:rPr>
          <w:rFonts w:ascii="Arial" w:cs="Arial" w:eastAsia="Arial" w:hAnsi="Arial"/>
          <w:sz w:val="14"/>
          <w:szCs w:val="14"/>
          <w:color w:val="auto"/>
        </w:rPr>
      </w:pPr>
      <w:r>
        <w:rPr>
          <w:rFonts w:ascii="Arial" w:cs="Arial" w:eastAsia="Arial" w:hAnsi="Arial"/>
          <w:sz w:val="14"/>
          <w:szCs w:val="14"/>
          <w:color w:val="auto"/>
        </w:rPr>
        <w:t>In second quarter 2024, the CFE became a partner in TGNH with a 13.01 per cent equity interest in TGNH.</w:t>
      </w:r>
    </w:p>
    <w:p>
      <w:pPr>
        <w:spacing w:after="0" w:line="42" w:lineRule="exact"/>
        <w:rPr>
          <w:sz w:val="20"/>
          <w:szCs w:val="20"/>
          <w:color w:val="auto"/>
        </w:rPr>
      </w:pPr>
    </w:p>
    <w:p>
      <w:pPr>
        <w:ind w:left="240" w:hanging="232"/>
        <w:spacing w:after="0"/>
        <w:tabs>
          <w:tab w:leader="none" w:pos="240" w:val="left"/>
        </w:tabs>
        <w:numPr>
          <w:ilvl w:val="0"/>
          <w:numId w:val="58"/>
        </w:numPr>
        <w:rPr>
          <w:rFonts w:ascii="Arial" w:cs="Arial" w:eastAsia="Arial" w:hAnsi="Arial"/>
          <w:sz w:val="14"/>
          <w:szCs w:val="14"/>
          <w:color w:val="auto"/>
        </w:rPr>
      </w:pPr>
      <w:r>
        <w:rPr>
          <w:rFonts w:ascii="Arial" w:cs="Arial" w:eastAsia="Arial" w:hAnsi="Arial"/>
          <w:sz w:val="14"/>
          <w:szCs w:val="14"/>
          <w:color w:val="auto"/>
        </w:rPr>
        <w:t>Tax equity investors own 100 per cent of the Class A Membership Interests, to which a percentage of earnings, tax attributes and cash flows are allocated. We own 100 per</w:t>
      </w:r>
    </w:p>
    <w:p>
      <w:pPr>
        <w:spacing w:after="0" w:line="55" w:lineRule="exact"/>
        <w:rPr>
          <w:sz w:val="20"/>
          <w:szCs w:val="20"/>
          <w:color w:val="auto"/>
        </w:rPr>
      </w:pPr>
    </w:p>
    <w:p>
      <w:pPr>
        <w:ind w:left="340"/>
        <w:spacing w:after="0"/>
        <w:rPr>
          <w:sz w:val="20"/>
          <w:szCs w:val="20"/>
          <w:color w:val="auto"/>
        </w:rPr>
      </w:pPr>
      <w:r>
        <w:rPr>
          <w:rFonts w:ascii="Arial" w:cs="Arial" w:eastAsia="Arial" w:hAnsi="Arial"/>
          <w:sz w:val="14"/>
          <w:szCs w:val="14"/>
          <w:color w:val="auto"/>
        </w:rPr>
        <w:t>cent of the Class B Membership Interests.</w:t>
      </w:r>
    </w:p>
    <w:p>
      <w:pPr>
        <w:spacing w:after="0" w:line="42" w:lineRule="exact"/>
        <w:rPr>
          <w:sz w:val="20"/>
          <w:szCs w:val="20"/>
          <w:color w:val="auto"/>
        </w:rPr>
      </w:pPr>
    </w:p>
    <w:p>
      <w:pPr>
        <w:ind w:left="240" w:hanging="232"/>
        <w:spacing w:after="0"/>
        <w:tabs>
          <w:tab w:leader="none" w:pos="240" w:val="left"/>
        </w:tabs>
        <w:numPr>
          <w:ilvl w:val="0"/>
          <w:numId w:val="59"/>
        </w:numPr>
        <w:rPr>
          <w:rFonts w:ascii="Arial" w:cs="Arial" w:eastAsia="Arial" w:hAnsi="Arial"/>
          <w:sz w:val="14"/>
          <w:szCs w:val="14"/>
          <w:color w:val="auto"/>
        </w:rPr>
      </w:pPr>
      <w:r>
        <w:rPr>
          <w:rFonts w:ascii="Arial" w:cs="Arial" w:eastAsia="Arial" w:hAnsi="Arial"/>
          <w:sz w:val="14"/>
          <w:szCs w:val="14"/>
          <w:color w:val="auto"/>
        </w:rPr>
        <w:t>The sale of PNGTS was completed in August 2024.</w:t>
      </w:r>
    </w:p>
    <w:p>
      <w:pPr>
        <w:spacing w:after="0" w:line="140" w:lineRule="exact"/>
        <w:rPr>
          <w:sz w:val="20"/>
          <w:szCs w:val="20"/>
          <w:color w:val="auto"/>
        </w:rPr>
      </w:pPr>
    </w:p>
    <w:p>
      <w:pPr>
        <w:ind w:right="300"/>
        <w:spacing w:after="0" w:line="302" w:lineRule="auto"/>
        <w:rPr>
          <w:sz w:val="20"/>
          <w:szCs w:val="20"/>
          <w:color w:val="auto"/>
        </w:rPr>
      </w:pPr>
      <w:r>
        <w:rPr>
          <w:rFonts w:ascii="Arial" w:cs="Arial" w:eastAsia="Arial" w:hAnsi="Arial"/>
          <w:sz w:val="18"/>
          <w:szCs w:val="18"/>
          <w:color w:val="auto"/>
        </w:rPr>
        <w:t>Net income attributable to non-controlling interests decreased by $16 million for the three months ended December 31, 2025 compared to the same period in 2024 and included the following specific items which have been excluded from our calculation of Net (income) loss attributable to non-controlling interests included in comparable earnings:</w:t>
      </w:r>
    </w:p>
    <w:p>
      <w:pPr>
        <w:spacing w:after="0" w:line="2" w:lineRule="exact"/>
        <w:rPr>
          <w:sz w:val="20"/>
          <w:szCs w:val="20"/>
          <w:color w:val="auto"/>
        </w:rPr>
      </w:pPr>
    </w:p>
    <w:p>
      <w:pPr>
        <w:ind w:left="180" w:right="20" w:hanging="172"/>
        <w:spacing w:after="0" w:line="305" w:lineRule="auto"/>
        <w:tabs>
          <w:tab w:leader="none" w:pos="148"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non-controlling interest portion of the unrealized foreign exchange gains and losses on the TGNH peso-denominated intercompany loan payable to TCPL</w:t>
      </w:r>
    </w:p>
    <w:p>
      <w:pPr>
        <w:ind w:left="140" w:hanging="132"/>
        <w:spacing w:after="0"/>
        <w:tabs>
          <w:tab w:leader="none" w:pos="1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expected credit loss provision related to the TGNH net investment in leases.</w:t>
      </w:r>
    </w:p>
    <w:p>
      <w:pPr>
        <w:spacing w:after="0" w:line="144" w:lineRule="exact"/>
        <w:rPr>
          <w:sz w:val="20"/>
          <w:szCs w:val="20"/>
          <w:color w:val="auto"/>
        </w:rPr>
      </w:pPr>
    </w:p>
    <w:p>
      <w:pPr>
        <w:ind w:right="200"/>
        <w:spacing w:after="0" w:line="314" w:lineRule="auto"/>
        <w:rPr>
          <w:sz w:val="20"/>
          <w:szCs w:val="20"/>
          <w:color w:val="auto"/>
        </w:rPr>
      </w:pPr>
      <w:r>
        <w:rPr>
          <w:rFonts w:ascii="Arial" w:cs="Arial" w:eastAsia="Arial" w:hAnsi="Arial"/>
          <w:sz w:val="18"/>
          <w:szCs w:val="18"/>
          <w:color w:val="auto"/>
        </w:rPr>
        <w:t>Net income attributable to non-controlling interests included in comparable earnings increased by $12 million for the three months ended December 31, 2025 compared to the same period in 2024 resulting from the net impact of higher net income recognized from the Columbia Gas and Columbia Gulf assets, partially offset by the net effect of higher tax expense, higher EBITDA and lower AFUDC in TGNH following Southeast Gateway pipeline's completion in second quarter 2025 and the overall impact of foreign exchange.</w:t>
      </w:r>
    </w:p>
    <w:p>
      <w:pPr>
        <w:spacing w:after="0" w:line="100" w:lineRule="exact"/>
        <w:rPr>
          <w:sz w:val="20"/>
          <w:szCs w:val="20"/>
          <w:color w:val="auto"/>
        </w:rPr>
      </w:pPr>
    </w:p>
    <w:p>
      <w:pPr>
        <w:spacing w:after="0"/>
        <w:rPr>
          <w:sz w:val="20"/>
          <w:szCs w:val="20"/>
          <w:color w:val="auto"/>
        </w:rPr>
      </w:pPr>
      <w:r>
        <w:rPr>
          <w:rFonts w:ascii="Arial" w:cs="Arial" w:eastAsia="Arial" w:hAnsi="Arial"/>
          <w:sz w:val="20"/>
          <w:szCs w:val="20"/>
          <w:b w:val="1"/>
          <w:bCs w:val="1"/>
          <w:color w:val="0D64EF"/>
        </w:rPr>
        <w:t>PREFERRED SHARE DIVIDENDS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560" w:type="dxa"/>
            <w:vAlign w:val="bottom"/>
            <w:tcBorders>
              <w:top w:val="single" w:sz="8" w:color="0D64EF"/>
            </w:tcBorders>
            <w:shd w:val="clear" w:color="auto" w:fill="D1D0CF"/>
          </w:tcPr>
          <w:p>
            <w:pPr>
              <w:spacing w:after="0"/>
              <w:rPr>
                <w:sz w:val="16"/>
                <w:szCs w:val="16"/>
                <w:color w:val="auto"/>
              </w:rPr>
            </w:pPr>
          </w:p>
        </w:tc>
        <w:tc>
          <w:tcPr>
            <w:tcW w:w="100" w:type="dxa"/>
            <w:vAlign w:val="bottom"/>
            <w:tcBorders>
              <w:top w:val="single" w:sz="8" w:color="0D64EF"/>
            </w:tcBorders>
            <w:shd w:val="clear" w:color="auto" w:fill="D1D0CF"/>
          </w:tcPr>
          <w:p>
            <w:pPr>
              <w:spacing w:after="0"/>
              <w:rPr>
                <w:sz w:val="16"/>
                <w:szCs w:val="16"/>
                <w:color w:val="auto"/>
              </w:rPr>
            </w:pPr>
          </w:p>
        </w:tc>
        <w:tc>
          <w:tcPr>
            <w:tcW w:w="2240" w:type="dxa"/>
            <w:vAlign w:val="bottom"/>
            <w:tcBorders>
              <w:top w:val="single" w:sz="8" w:color="0D64EF"/>
            </w:tcBorders>
            <w:shd w:val="clear" w:color="auto" w:fill="D1D0CF"/>
          </w:tcPr>
          <w:p>
            <w:pPr>
              <w:jc w:val="right"/>
              <w:ind w:right="19"/>
              <w:spacing w:after="0"/>
              <w:rPr>
                <w:sz w:val="20"/>
                <w:szCs w:val="20"/>
                <w:color w:val="auto"/>
              </w:rPr>
            </w:pPr>
            <w:r>
              <w:rPr>
                <w:rFonts w:ascii="Arial" w:cs="Arial" w:eastAsia="Arial" w:hAnsi="Arial"/>
                <w:sz w:val="16"/>
                <w:szCs w:val="16"/>
                <w:b w:val="1"/>
                <w:bCs w:val="1"/>
                <w:color w:val="auto"/>
              </w:rPr>
              <w:t>three months ended</w:t>
            </w:r>
          </w:p>
        </w:tc>
        <w:tc>
          <w:tcPr>
            <w:tcW w:w="500" w:type="dxa"/>
            <w:vAlign w:val="bottom"/>
            <w:tcBorders>
              <w:top w:val="single" w:sz="8" w:color="0D64EF"/>
            </w:tcBorders>
            <w:shd w:val="clear" w:color="auto" w:fill="D1D0CF"/>
          </w:tcPr>
          <w:p>
            <w:pPr>
              <w:spacing w:after="0"/>
              <w:rPr>
                <w:sz w:val="16"/>
                <w:szCs w:val="16"/>
                <w:color w:val="auto"/>
              </w:rPr>
            </w:pPr>
          </w:p>
        </w:tc>
        <w:tc>
          <w:tcPr>
            <w:tcW w:w="100" w:type="dxa"/>
            <w:vAlign w:val="bottom"/>
            <w:tcBorders>
              <w:top w:val="single" w:sz="8" w:color="0D64EF"/>
            </w:tcBorders>
            <w:shd w:val="clear" w:color="auto" w:fill="D1D0CF"/>
          </w:tcPr>
          <w:p>
            <w:pPr>
              <w:spacing w:after="0"/>
              <w:rPr>
                <w:sz w:val="16"/>
                <w:szCs w:val="16"/>
                <w:color w:val="auto"/>
              </w:rPr>
            </w:pPr>
          </w:p>
        </w:tc>
        <w:tc>
          <w:tcPr>
            <w:tcW w:w="2100" w:type="dxa"/>
            <w:vAlign w:val="bottom"/>
            <w:tcBorders>
              <w:top w:val="single" w:sz="8" w:color="0D64EF"/>
            </w:tcBorders>
            <w:shd w:val="clear" w:color="auto" w:fill="D1D0CF"/>
          </w:tcPr>
          <w:p>
            <w:pPr>
              <w:ind w:left="920"/>
              <w:spacing w:after="0"/>
              <w:rPr>
                <w:sz w:val="20"/>
                <w:szCs w:val="20"/>
                <w:color w:val="auto"/>
              </w:rPr>
            </w:pPr>
            <w:r>
              <w:rPr>
                <w:rFonts w:ascii="Arial" w:cs="Arial" w:eastAsia="Arial" w:hAnsi="Arial"/>
                <w:sz w:val="16"/>
                <w:szCs w:val="16"/>
                <w:b w:val="1"/>
                <w:bCs w:val="1"/>
                <w:color w:val="auto"/>
              </w:rPr>
              <w:t>year ended</w:t>
            </w:r>
          </w:p>
        </w:tc>
        <w:tc>
          <w:tcPr>
            <w:tcW w:w="640" w:type="dxa"/>
            <w:vAlign w:val="bottom"/>
            <w:tcBorders>
              <w:top w:val="single" w:sz="8" w:color="0D64EF"/>
            </w:tcBorders>
            <w:shd w:val="clear" w:color="auto" w:fill="D1D0CF"/>
          </w:tcPr>
          <w:p>
            <w:pPr>
              <w:spacing w:after="0"/>
              <w:rPr>
                <w:sz w:val="16"/>
                <w:szCs w:val="16"/>
                <w:color w:val="auto"/>
              </w:rPr>
            </w:pPr>
          </w:p>
        </w:tc>
      </w:tr>
      <w:tr>
        <w:trPr>
          <w:trHeight w:val="224"/>
        </w:trPr>
        <w:tc>
          <w:tcPr>
            <w:tcW w:w="5560" w:type="dxa"/>
            <w:vAlign w:val="bottom"/>
            <w:tcBorders>
              <w:bottom w:val="single" w:sz="8" w:color="D1D0CF"/>
            </w:tcBorders>
            <w:shd w:val="clear" w:color="auto" w:fill="D1D0CF"/>
          </w:tcPr>
          <w:p>
            <w:pPr>
              <w:spacing w:after="0"/>
              <w:rPr>
                <w:sz w:val="19"/>
                <w:szCs w:val="19"/>
                <w:color w:val="auto"/>
              </w:rPr>
            </w:pPr>
          </w:p>
        </w:tc>
        <w:tc>
          <w:tcPr>
            <w:tcW w:w="100" w:type="dxa"/>
            <w:vAlign w:val="bottom"/>
            <w:tcBorders>
              <w:bottom w:val="single" w:sz="8" w:color="D1D0CF"/>
            </w:tcBorders>
            <w:shd w:val="clear" w:color="auto" w:fill="D1D0CF"/>
          </w:tcPr>
          <w:p>
            <w:pPr>
              <w:spacing w:after="0"/>
              <w:rPr>
                <w:sz w:val="19"/>
                <w:szCs w:val="19"/>
                <w:color w:val="auto"/>
              </w:rPr>
            </w:pPr>
          </w:p>
        </w:tc>
        <w:tc>
          <w:tcPr>
            <w:tcW w:w="2240" w:type="dxa"/>
            <w:vAlign w:val="bottom"/>
            <w:tcBorders>
              <w:bottom w:val="single" w:sz="8" w:color="0D64EF"/>
            </w:tcBorders>
            <w:shd w:val="clear" w:color="auto" w:fill="D1D0CF"/>
          </w:tcPr>
          <w:p>
            <w:pPr>
              <w:jc w:val="right"/>
              <w:ind w:right="279"/>
              <w:spacing w:after="0"/>
              <w:rPr>
                <w:sz w:val="20"/>
                <w:szCs w:val="20"/>
                <w:color w:val="auto"/>
              </w:rPr>
            </w:pPr>
            <w:r>
              <w:rPr>
                <w:rFonts w:ascii="Arial" w:cs="Arial" w:eastAsia="Arial" w:hAnsi="Arial"/>
                <w:sz w:val="16"/>
                <w:szCs w:val="16"/>
                <w:b w:val="1"/>
                <w:bCs w:val="1"/>
                <w:color w:val="auto"/>
              </w:rPr>
              <w:t>December 31</w:t>
            </w:r>
          </w:p>
        </w:tc>
        <w:tc>
          <w:tcPr>
            <w:tcW w:w="500" w:type="dxa"/>
            <w:vAlign w:val="bottom"/>
            <w:tcBorders>
              <w:bottom w:val="single" w:sz="8" w:color="0D64EF"/>
            </w:tcBorders>
            <w:shd w:val="clear" w:color="auto" w:fill="D1D0CF"/>
          </w:tcPr>
          <w:p>
            <w:pPr>
              <w:spacing w:after="0"/>
              <w:rPr>
                <w:sz w:val="19"/>
                <w:szCs w:val="19"/>
                <w:color w:val="auto"/>
              </w:rPr>
            </w:pPr>
          </w:p>
        </w:tc>
        <w:tc>
          <w:tcPr>
            <w:tcW w:w="100" w:type="dxa"/>
            <w:vAlign w:val="bottom"/>
            <w:tcBorders>
              <w:bottom w:val="single" w:sz="8" w:color="D1D0CF"/>
            </w:tcBorders>
            <w:shd w:val="clear" w:color="auto" w:fill="D1D0CF"/>
          </w:tcPr>
          <w:p>
            <w:pPr>
              <w:spacing w:after="0"/>
              <w:rPr>
                <w:sz w:val="19"/>
                <w:szCs w:val="19"/>
                <w:color w:val="auto"/>
              </w:rPr>
            </w:pPr>
          </w:p>
        </w:tc>
        <w:tc>
          <w:tcPr>
            <w:tcW w:w="2100" w:type="dxa"/>
            <w:vAlign w:val="bottom"/>
            <w:tcBorders>
              <w:bottom w:val="single" w:sz="8" w:color="0D64EF"/>
            </w:tcBorders>
            <w:shd w:val="clear" w:color="auto" w:fill="D1D0CF"/>
          </w:tcPr>
          <w:p>
            <w:pPr>
              <w:ind w:left="860"/>
              <w:spacing w:after="0"/>
              <w:rPr>
                <w:sz w:val="20"/>
                <w:szCs w:val="20"/>
                <w:color w:val="auto"/>
              </w:rPr>
            </w:pPr>
            <w:r>
              <w:rPr>
                <w:rFonts w:ascii="Arial" w:cs="Arial" w:eastAsia="Arial" w:hAnsi="Arial"/>
                <w:sz w:val="16"/>
                <w:szCs w:val="16"/>
                <w:b w:val="1"/>
                <w:bCs w:val="1"/>
                <w:color w:val="auto"/>
              </w:rPr>
              <w:t>December 31</w:t>
            </w:r>
          </w:p>
        </w:tc>
        <w:tc>
          <w:tcPr>
            <w:tcW w:w="640" w:type="dxa"/>
            <w:vAlign w:val="bottom"/>
            <w:tcBorders>
              <w:bottom w:val="single" w:sz="8" w:color="0D64EF"/>
            </w:tcBorders>
            <w:shd w:val="clear" w:color="auto" w:fill="D1D0CF"/>
          </w:tcPr>
          <w:p>
            <w:pPr>
              <w:spacing w:after="0"/>
              <w:rPr>
                <w:sz w:val="19"/>
                <w:szCs w:val="19"/>
                <w:color w:val="auto"/>
              </w:rPr>
            </w:pPr>
          </w:p>
        </w:tc>
      </w:tr>
      <w:tr>
        <w:trPr>
          <w:trHeight w:val="226"/>
        </w:trPr>
        <w:tc>
          <w:tcPr>
            <w:tcW w:w="5560" w:type="dxa"/>
            <w:vAlign w:val="bottom"/>
            <w:tcBorders>
              <w:bottom w:val="single" w:sz="8" w:color="0D64EF"/>
            </w:tcBorders>
            <w:shd w:val="clear" w:color="auto" w:fill="D1D0CF"/>
          </w:tcPr>
          <w:p>
            <w:pPr>
              <w:ind w:left="20"/>
              <w:spacing w:after="0"/>
              <w:rPr>
                <w:sz w:val="20"/>
                <w:szCs w:val="20"/>
                <w:color w:val="auto"/>
              </w:rPr>
            </w:pPr>
            <w:r>
              <w:rPr>
                <w:rFonts w:ascii="Arial" w:cs="Arial" w:eastAsia="Arial" w:hAnsi="Arial"/>
                <w:sz w:val="16"/>
                <w:szCs w:val="16"/>
                <w:color w:val="auto"/>
              </w:rPr>
              <w:t>(millions of $)</w:t>
            </w:r>
          </w:p>
        </w:tc>
        <w:tc>
          <w:tcPr>
            <w:tcW w:w="100" w:type="dxa"/>
            <w:vAlign w:val="bottom"/>
            <w:tcBorders>
              <w:bottom w:val="single" w:sz="8" w:color="0D64EF"/>
            </w:tcBorders>
            <w:shd w:val="clear" w:color="auto" w:fill="D1D0CF"/>
          </w:tcPr>
          <w:p>
            <w:pPr>
              <w:spacing w:after="0"/>
              <w:rPr>
                <w:sz w:val="19"/>
                <w:szCs w:val="19"/>
                <w:color w:val="auto"/>
              </w:rPr>
            </w:pPr>
          </w:p>
        </w:tc>
        <w:tc>
          <w:tcPr>
            <w:tcW w:w="2240" w:type="dxa"/>
            <w:vAlign w:val="bottom"/>
            <w:tcBorders>
              <w:bottom w:val="single" w:sz="8" w:color="0D64EF"/>
            </w:tcBorders>
            <w:shd w:val="clear" w:color="auto" w:fill="D1D0CF"/>
          </w:tcPr>
          <w:p>
            <w:pPr>
              <w:jc w:val="right"/>
              <w:ind w:right="859"/>
              <w:spacing w:after="0"/>
              <w:rPr>
                <w:sz w:val="20"/>
                <w:szCs w:val="20"/>
                <w:color w:val="auto"/>
              </w:rPr>
            </w:pPr>
            <w:r>
              <w:rPr>
                <w:rFonts w:ascii="Arial" w:cs="Arial" w:eastAsia="Arial" w:hAnsi="Arial"/>
                <w:sz w:val="16"/>
                <w:szCs w:val="16"/>
                <w:b w:val="1"/>
                <w:bCs w:val="1"/>
                <w:color w:val="auto"/>
              </w:rPr>
              <w:t>2025</w:t>
            </w:r>
          </w:p>
        </w:tc>
        <w:tc>
          <w:tcPr>
            <w:tcW w:w="500" w:type="dxa"/>
            <w:vAlign w:val="bottom"/>
            <w:tcBorders>
              <w:bottom w:val="single" w:sz="8" w:color="0D64EF"/>
            </w:tcBorders>
            <w:shd w:val="clear" w:color="auto" w:fill="D1D0CF"/>
          </w:tcPr>
          <w:p>
            <w:pPr>
              <w:jc w:val="right"/>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bottom w:val="single" w:sz="8" w:color="0D64EF"/>
            </w:tcBorders>
            <w:shd w:val="clear" w:color="auto" w:fill="D1D0CF"/>
          </w:tcPr>
          <w:p>
            <w:pPr>
              <w:spacing w:after="0"/>
              <w:rPr>
                <w:sz w:val="19"/>
                <w:szCs w:val="19"/>
                <w:color w:val="auto"/>
              </w:rPr>
            </w:pPr>
          </w:p>
        </w:tc>
        <w:tc>
          <w:tcPr>
            <w:tcW w:w="2100" w:type="dxa"/>
            <w:vAlign w:val="bottom"/>
            <w:tcBorders>
              <w:bottom w:val="single" w:sz="8" w:color="0D64EF"/>
            </w:tcBorders>
            <w:shd w:val="clear" w:color="auto" w:fill="D1D0CF"/>
          </w:tcPr>
          <w:p>
            <w:pPr>
              <w:ind w:left="940"/>
              <w:spacing w:after="0"/>
              <w:rPr>
                <w:sz w:val="20"/>
                <w:szCs w:val="20"/>
                <w:color w:val="auto"/>
              </w:rPr>
            </w:pPr>
            <w:r>
              <w:rPr>
                <w:rFonts w:ascii="Arial" w:cs="Arial" w:eastAsia="Arial" w:hAnsi="Arial"/>
                <w:sz w:val="16"/>
                <w:szCs w:val="16"/>
                <w:b w:val="1"/>
                <w:bCs w:val="1"/>
                <w:color w:val="auto"/>
              </w:rPr>
              <w:t>2025</w:t>
            </w:r>
          </w:p>
        </w:tc>
        <w:tc>
          <w:tcPr>
            <w:tcW w:w="640" w:type="dxa"/>
            <w:vAlign w:val="bottom"/>
            <w:tcBorders>
              <w:bottom w:val="single" w:sz="8" w:color="0D64EF"/>
            </w:tcBorders>
            <w:shd w:val="clear" w:color="auto" w:fill="D1D0CF"/>
          </w:tcPr>
          <w:p>
            <w:pPr>
              <w:jc w:val="right"/>
              <w:spacing w:after="0"/>
              <w:rPr>
                <w:sz w:val="20"/>
                <w:szCs w:val="20"/>
                <w:color w:val="auto"/>
              </w:rPr>
            </w:pPr>
            <w:r>
              <w:rPr>
                <w:rFonts w:ascii="Arial" w:cs="Arial" w:eastAsia="Arial" w:hAnsi="Arial"/>
                <w:sz w:val="16"/>
                <w:szCs w:val="16"/>
                <w:b w:val="1"/>
                <w:bCs w:val="1"/>
                <w:color w:val="auto"/>
              </w:rPr>
              <w:t>2024</w:t>
            </w:r>
          </w:p>
        </w:tc>
      </w:tr>
      <w:tr>
        <w:trPr>
          <w:trHeight w:val="263"/>
        </w:trPr>
        <w:tc>
          <w:tcPr>
            <w:tcW w:w="55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0D64EF"/>
              </w:rPr>
              <w:t>Preferred share dividends</w:t>
            </w:r>
          </w:p>
        </w:tc>
        <w:tc>
          <w:tcPr>
            <w:tcW w:w="2340" w:type="dxa"/>
            <w:vAlign w:val="bottom"/>
            <w:tcBorders>
              <w:bottom w:val="single" w:sz="8" w:color="auto"/>
            </w:tcBorders>
            <w:gridSpan w:val="2"/>
          </w:tcPr>
          <w:p>
            <w:pPr>
              <w:jc w:val="right"/>
              <w:ind w:right="879"/>
              <w:spacing w:after="0"/>
              <w:rPr>
                <w:sz w:val="20"/>
                <w:szCs w:val="20"/>
                <w:color w:val="auto"/>
              </w:rPr>
            </w:pPr>
            <w:r>
              <w:rPr>
                <w:rFonts w:ascii="Arial" w:cs="Arial" w:eastAsia="Arial" w:hAnsi="Arial"/>
                <w:sz w:val="16"/>
                <w:szCs w:val="16"/>
                <w:b w:val="1"/>
                <w:bCs w:val="1"/>
                <w:color w:val="auto"/>
              </w:rPr>
              <w:t>(35)</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w:t>
            </w:r>
          </w:p>
        </w:tc>
        <w:tc>
          <w:tcPr>
            <w:tcW w:w="100" w:type="dxa"/>
            <w:vAlign w:val="bottom"/>
            <w:tcBorders>
              <w:bottom w:val="single" w:sz="8" w:color="auto"/>
            </w:tcBorders>
          </w:tcPr>
          <w:p>
            <w:pPr>
              <w:spacing w:after="0"/>
              <w:rPr>
                <w:sz w:val="22"/>
                <w:szCs w:val="22"/>
                <w:color w:val="auto"/>
              </w:rPr>
            </w:pPr>
          </w:p>
        </w:tc>
        <w:tc>
          <w:tcPr>
            <w:tcW w:w="2100" w:type="dxa"/>
            <w:vAlign w:val="bottom"/>
            <w:tcBorders>
              <w:bottom w:val="single" w:sz="8" w:color="auto"/>
            </w:tcBorders>
          </w:tcPr>
          <w:p>
            <w:pPr>
              <w:ind w:left="920"/>
              <w:spacing w:after="0"/>
              <w:rPr>
                <w:sz w:val="20"/>
                <w:szCs w:val="20"/>
                <w:color w:val="auto"/>
              </w:rPr>
            </w:pPr>
            <w:r>
              <w:rPr>
                <w:rFonts w:ascii="Arial" w:cs="Arial" w:eastAsia="Arial" w:hAnsi="Arial"/>
                <w:sz w:val="16"/>
                <w:szCs w:val="16"/>
                <w:b w:val="1"/>
                <w:bCs w:val="1"/>
                <w:color w:val="auto"/>
              </w:rPr>
              <w:t>(119)</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w:t>
            </w:r>
          </w:p>
        </w:tc>
      </w:tr>
    </w:tbl>
    <w:p>
      <w:pPr>
        <w:spacing w:after="0" w:line="197" w:lineRule="exact"/>
        <w:rPr>
          <w:sz w:val="20"/>
          <w:szCs w:val="20"/>
          <w:color w:val="auto"/>
        </w:rPr>
      </w:pPr>
    </w:p>
    <w:p>
      <w:pPr>
        <w:ind w:right="200"/>
        <w:spacing w:after="0" w:line="314" w:lineRule="auto"/>
        <w:rPr>
          <w:sz w:val="20"/>
          <w:szCs w:val="20"/>
          <w:color w:val="auto"/>
        </w:rPr>
      </w:pPr>
      <w:r>
        <w:rPr>
          <w:rFonts w:ascii="Arial" w:cs="Arial" w:eastAsia="Arial" w:hAnsi="Arial"/>
          <w:sz w:val="18"/>
          <w:szCs w:val="18"/>
          <w:color w:val="auto"/>
        </w:rPr>
        <w:t>Preferred share dividends increased by $7 million for the three months ended December 31, 2025 compared to the same period in 2024 primarily due to the redemption of preferred shares in 2025, dividend rate resets on and conversions of certain series of preferred shares in 2025 and 2024. Refer to Note 24, Preferred Shares, in the Consolidated financial statements of our 2025 Annual Report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26 | TC Energy </w:t>
      </w:r>
      <w:r>
        <w:rPr>
          <w:rFonts w:ascii="Arial" w:cs="Arial" w:eastAsia="Arial" w:hAnsi="Arial"/>
          <w:sz w:val="18"/>
          <w:szCs w:val="18"/>
          <w:b w:val="1"/>
          <w:bCs w:val="1"/>
          <w:color w:val="0D64EF"/>
        </w:rPr>
        <w:t>Fourth Quarter</w:t>
      </w:r>
      <w:r>
        <w:rPr>
          <w:rFonts w:ascii="Arial" w:cs="Arial" w:eastAsia="Arial" w:hAnsi="Arial"/>
          <w:sz w:val="18"/>
          <w:szCs w:val="18"/>
          <w:color w:val="auto"/>
        </w:rPr>
        <w:t xml:space="preserve"> News Release 2025</w:t>
      </w:r>
    </w:p>
    <w:p>
      <w:pPr>
        <w:sectPr>
          <w:pgSz w:w="11900" w:h="16838" w:orient="portrait"/>
          <w:cols w:equalWidth="0" w:num="1">
            <w:col w:w="11260"/>
          </w:cols>
          <w:pgMar w:left="320" w:top="1295" w:right="319" w:bottom="1440" w:gutter="0" w:footer="0" w:header="0"/>
        </w:sectPr>
      </w:pPr>
    </w:p>
    <w:bookmarkStart w:id="39" w:name="page40"/>
    <w:bookmarkEnd w:id="39"/>
    <w:p>
      <w:pPr>
        <w:spacing w:after="0"/>
        <w:rPr>
          <w:sz w:val="20"/>
          <w:szCs w:val="20"/>
          <w:color w:val="auto"/>
        </w:rPr>
      </w:pPr>
      <w:r>
        <w:rPr>
          <w:rFonts w:ascii="Arial" w:cs="Arial" w:eastAsia="Arial" w:hAnsi="Arial"/>
          <w:sz w:val="25"/>
          <w:szCs w:val="25"/>
          <w:color w:val="0D64EF"/>
        </w:rPr>
        <w:t>Foreign exchange</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b w:val="1"/>
          <w:bCs w:val="1"/>
          <w:color w:val="0D64EF"/>
        </w:rPr>
        <w:t>FOREIGN EXCHANGE RELATED TO U.S. DOLLAR-DENOMINATED OPERATIONS</w:t>
      </w:r>
    </w:p>
    <w:p>
      <w:pPr>
        <w:spacing w:after="0" w:line="72" w:lineRule="exact"/>
        <w:rPr>
          <w:sz w:val="20"/>
          <w:szCs w:val="20"/>
          <w:color w:val="auto"/>
        </w:rPr>
      </w:pPr>
    </w:p>
    <w:p>
      <w:pPr>
        <w:ind w:right="160"/>
        <w:spacing w:after="0" w:line="307" w:lineRule="auto"/>
        <w:rPr>
          <w:sz w:val="20"/>
          <w:szCs w:val="20"/>
          <w:color w:val="auto"/>
        </w:rPr>
      </w:pPr>
      <w:r>
        <w:rPr>
          <w:rFonts w:ascii="Arial" w:cs="Arial" w:eastAsia="Arial" w:hAnsi="Arial"/>
          <w:sz w:val="18"/>
          <w:szCs w:val="18"/>
          <w:color w:val="auto"/>
        </w:rPr>
        <w:t>Certain of our businesses generate all or most of their earnings in U.S. dollars and since we report our financial results in Canadian dollars, changes in the value of the U.S. dollar against the Canadian dollar directly affect our comparable EBITDA and may also impact comparable earnings. As our U.S. dollar-denominated operations continue to grow, this exposure increases. A portion of the U.S. dollar-denominated comparable EBITDA exposure is naturally offset by U.S. dollar-denominated amounts below comparable EBITDA within Depreciation and amortization, Interest expense and other income statement line items. A portion of the remaining exposure is actively managed on a rolling forward basis up to three years using foreign exchange derivatives; however, the natural exposure beyond that period remains. The net impact of the U.S. dollar movements on comparable earnings during the three months ended December 31, 2025 after considering natural offsets and economic hedges was not significant.</w:t>
      </w:r>
    </w:p>
    <w:p>
      <w:pPr>
        <w:spacing w:after="0" w:line="55" w:lineRule="exact"/>
        <w:rPr>
          <w:sz w:val="20"/>
          <w:szCs w:val="20"/>
          <w:color w:val="auto"/>
        </w:rPr>
      </w:pPr>
    </w:p>
    <w:p>
      <w:pPr>
        <w:ind w:right="180"/>
        <w:spacing w:after="0" w:line="334" w:lineRule="auto"/>
        <w:rPr>
          <w:sz w:val="20"/>
          <w:szCs w:val="20"/>
          <w:color w:val="auto"/>
        </w:rPr>
      </w:pPr>
      <w:r>
        <w:rPr>
          <w:rFonts w:ascii="Arial" w:cs="Arial" w:eastAsia="Arial" w:hAnsi="Arial"/>
          <w:sz w:val="18"/>
          <w:szCs w:val="18"/>
          <w:color w:val="auto"/>
        </w:rPr>
        <w:t>The components of our financial results denominated in U.S. dollars are set out in the table below, including our U.S. Natural Gas Pipelines and Mexico Natural Gas Pipelines operations. Comparable EBITDA is a non-GAAP measure.</w:t>
      </w:r>
    </w:p>
    <w:p>
      <w:pPr>
        <w:spacing w:after="0" w:line="81" w:lineRule="exact"/>
        <w:rPr>
          <w:sz w:val="20"/>
          <w:szCs w:val="20"/>
          <w:color w:val="auto"/>
        </w:rPr>
      </w:pPr>
    </w:p>
    <w:p>
      <w:pPr>
        <w:spacing w:after="0"/>
        <w:rPr>
          <w:sz w:val="20"/>
          <w:szCs w:val="20"/>
          <w:color w:val="auto"/>
        </w:rPr>
      </w:pPr>
      <w:r>
        <w:rPr>
          <w:rFonts w:ascii="Arial" w:cs="Arial" w:eastAsia="Arial" w:hAnsi="Arial"/>
          <w:sz w:val="20"/>
          <w:szCs w:val="20"/>
          <w:b w:val="1"/>
          <w:bCs w:val="1"/>
          <w:color w:val="0D64EF"/>
        </w:rPr>
        <w:t>PRE-TAX U.S. DOLLAR-DENOMINATED INCOME AND EXPENSE ITEMS – FROM CONTINUING OPERATIONS</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560" w:type="dxa"/>
            <w:vAlign w:val="bottom"/>
            <w:tcBorders>
              <w:top w:val="single" w:sz="8" w:color="0D64EF"/>
            </w:tcBorders>
            <w:shd w:val="clear" w:color="auto" w:fill="D1D0CF"/>
          </w:tcPr>
          <w:p>
            <w:pPr>
              <w:spacing w:after="0"/>
              <w:rPr>
                <w:sz w:val="16"/>
                <w:szCs w:val="16"/>
                <w:color w:val="auto"/>
              </w:rPr>
            </w:pPr>
          </w:p>
        </w:tc>
        <w:tc>
          <w:tcPr>
            <w:tcW w:w="100" w:type="dxa"/>
            <w:vAlign w:val="bottom"/>
            <w:tcBorders>
              <w:top w:val="single" w:sz="8" w:color="0D64EF"/>
            </w:tcBorders>
            <w:shd w:val="clear" w:color="auto" w:fill="D1D0CF"/>
          </w:tcPr>
          <w:p>
            <w:pPr>
              <w:spacing w:after="0"/>
              <w:rPr>
                <w:sz w:val="16"/>
                <w:szCs w:val="16"/>
                <w:color w:val="auto"/>
              </w:rPr>
            </w:pPr>
          </w:p>
        </w:tc>
        <w:tc>
          <w:tcPr>
            <w:tcW w:w="2200" w:type="dxa"/>
            <w:vAlign w:val="bottom"/>
            <w:tcBorders>
              <w:top w:val="single" w:sz="8" w:color="0D64EF"/>
            </w:tcBorders>
            <w:shd w:val="clear" w:color="auto" w:fill="D1D0CF"/>
          </w:tcPr>
          <w:p>
            <w:pPr>
              <w:jc w:val="right"/>
              <w:spacing w:after="0"/>
              <w:rPr>
                <w:sz w:val="20"/>
                <w:szCs w:val="20"/>
                <w:color w:val="auto"/>
              </w:rPr>
            </w:pPr>
            <w:r>
              <w:rPr>
                <w:rFonts w:ascii="Arial" w:cs="Arial" w:eastAsia="Arial" w:hAnsi="Arial"/>
                <w:sz w:val="16"/>
                <w:szCs w:val="16"/>
                <w:b w:val="1"/>
                <w:bCs w:val="1"/>
                <w:color w:val="auto"/>
              </w:rPr>
              <w:t>three months ended</w:t>
            </w:r>
          </w:p>
        </w:tc>
        <w:tc>
          <w:tcPr>
            <w:tcW w:w="540" w:type="dxa"/>
            <w:vAlign w:val="bottom"/>
            <w:tcBorders>
              <w:top w:val="single" w:sz="8" w:color="0D64EF"/>
            </w:tcBorders>
            <w:shd w:val="clear" w:color="auto" w:fill="D1D0CF"/>
          </w:tcPr>
          <w:p>
            <w:pPr>
              <w:spacing w:after="0"/>
              <w:rPr>
                <w:sz w:val="16"/>
                <w:szCs w:val="16"/>
                <w:color w:val="auto"/>
              </w:rPr>
            </w:pPr>
          </w:p>
        </w:tc>
        <w:tc>
          <w:tcPr>
            <w:tcW w:w="100" w:type="dxa"/>
            <w:vAlign w:val="bottom"/>
            <w:tcBorders>
              <w:top w:val="single" w:sz="8" w:color="0D64EF"/>
            </w:tcBorders>
            <w:shd w:val="clear" w:color="auto" w:fill="D1D0CF"/>
          </w:tcPr>
          <w:p>
            <w:pPr>
              <w:spacing w:after="0"/>
              <w:rPr>
                <w:sz w:val="16"/>
                <w:szCs w:val="16"/>
                <w:color w:val="auto"/>
              </w:rPr>
            </w:pPr>
          </w:p>
        </w:tc>
        <w:tc>
          <w:tcPr>
            <w:tcW w:w="2040" w:type="dxa"/>
            <w:vAlign w:val="bottom"/>
            <w:tcBorders>
              <w:top w:val="single" w:sz="8" w:color="0D64EF"/>
            </w:tcBorders>
            <w:shd w:val="clear" w:color="auto" w:fill="D1D0CF"/>
          </w:tcPr>
          <w:p>
            <w:pPr>
              <w:jc w:val="right"/>
              <w:ind w:right="179"/>
              <w:spacing w:after="0"/>
              <w:rPr>
                <w:sz w:val="20"/>
                <w:szCs w:val="20"/>
                <w:color w:val="auto"/>
              </w:rPr>
            </w:pPr>
            <w:r>
              <w:rPr>
                <w:rFonts w:ascii="Arial" w:cs="Arial" w:eastAsia="Arial" w:hAnsi="Arial"/>
                <w:sz w:val="16"/>
                <w:szCs w:val="16"/>
                <w:b w:val="1"/>
                <w:bCs w:val="1"/>
                <w:color w:val="auto"/>
              </w:rPr>
              <w:t>year ended</w:t>
            </w:r>
          </w:p>
        </w:tc>
        <w:tc>
          <w:tcPr>
            <w:tcW w:w="700" w:type="dxa"/>
            <w:vAlign w:val="bottom"/>
            <w:tcBorders>
              <w:top w:val="single" w:sz="8" w:color="0D64EF"/>
            </w:tcBorders>
            <w:shd w:val="clear" w:color="auto" w:fill="D1D0CF"/>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5560" w:type="dxa"/>
            <w:vAlign w:val="bottom"/>
            <w:tcBorders>
              <w:bottom w:val="single" w:sz="8" w:color="D1D0CF"/>
            </w:tcBorders>
            <w:shd w:val="clear" w:color="auto" w:fill="D1D0CF"/>
          </w:tcPr>
          <w:p>
            <w:pPr>
              <w:spacing w:after="0"/>
              <w:rPr>
                <w:sz w:val="19"/>
                <w:szCs w:val="19"/>
                <w:color w:val="auto"/>
              </w:rPr>
            </w:pPr>
          </w:p>
        </w:tc>
        <w:tc>
          <w:tcPr>
            <w:tcW w:w="100" w:type="dxa"/>
            <w:vAlign w:val="bottom"/>
            <w:tcBorders>
              <w:bottom w:val="single" w:sz="8" w:color="D1D0CF"/>
            </w:tcBorders>
            <w:shd w:val="clear" w:color="auto" w:fill="D1D0CF"/>
          </w:tcPr>
          <w:p>
            <w:pPr>
              <w:spacing w:after="0"/>
              <w:rPr>
                <w:sz w:val="19"/>
                <w:szCs w:val="19"/>
                <w:color w:val="auto"/>
              </w:rPr>
            </w:pPr>
          </w:p>
        </w:tc>
        <w:tc>
          <w:tcPr>
            <w:tcW w:w="2200" w:type="dxa"/>
            <w:vAlign w:val="bottom"/>
            <w:tcBorders>
              <w:bottom w:val="single" w:sz="8" w:color="0D64EF"/>
            </w:tcBorders>
            <w:shd w:val="clear" w:color="auto" w:fill="D1D0CF"/>
          </w:tcPr>
          <w:p>
            <w:pPr>
              <w:jc w:val="right"/>
              <w:ind w:right="239"/>
              <w:spacing w:after="0"/>
              <w:rPr>
                <w:sz w:val="20"/>
                <w:szCs w:val="20"/>
                <w:color w:val="auto"/>
              </w:rPr>
            </w:pPr>
            <w:r>
              <w:rPr>
                <w:rFonts w:ascii="Arial" w:cs="Arial" w:eastAsia="Arial" w:hAnsi="Arial"/>
                <w:sz w:val="16"/>
                <w:szCs w:val="16"/>
                <w:b w:val="1"/>
                <w:bCs w:val="1"/>
                <w:color w:val="auto"/>
              </w:rPr>
              <w:t>December 31</w:t>
            </w:r>
          </w:p>
        </w:tc>
        <w:tc>
          <w:tcPr>
            <w:tcW w:w="540" w:type="dxa"/>
            <w:vAlign w:val="bottom"/>
            <w:tcBorders>
              <w:bottom w:val="single" w:sz="8" w:color="0D64EF"/>
            </w:tcBorders>
            <w:shd w:val="clear" w:color="auto" w:fill="D1D0CF"/>
          </w:tcPr>
          <w:p>
            <w:pPr>
              <w:spacing w:after="0"/>
              <w:rPr>
                <w:sz w:val="19"/>
                <w:szCs w:val="19"/>
                <w:color w:val="auto"/>
              </w:rPr>
            </w:pPr>
          </w:p>
        </w:tc>
        <w:tc>
          <w:tcPr>
            <w:tcW w:w="100" w:type="dxa"/>
            <w:vAlign w:val="bottom"/>
            <w:tcBorders>
              <w:bottom w:val="single" w:sz="8" w:color="D1D0CF"/>
            </w:tcBorders>
            <w:shd w:val="clear" w:color="auto" w:fill="D1D0CF"/>
          </w:tcPr>
          <w:p>
            <w:pPr>
              <w:spacing w:after="0"/>
              <w:rPr>
                <w:sz w:val="19"/>
                <w:szCs w:val="19"/>
                <w:color w:val="auto"/>
              </w:rPr>
            </w:pPr>
          </w:p>
        </w:tc>
        <w:tc>
          <w:tcPr>
            <w:tcW w:w="2040" w:type="dxa"/>
            <w:vAlign w:val="bottom"/>
            <w:tcBorders>
              <w:bottom w:val="single" w:sz="8" w:color="0D64EF"/>
            </w:tcBorders>
            <w:shd w:val="clear" w:color="auto" w:fill="D1D0CF"/>
          </w:tcPr>
          <w:p>
            <w:pPr>
              <w:jc w:val="right"/>
              <w:ind w:right="79"/>
              <w:spacing w:after="0"/>
              <w:rPr>
                <w:sz w:val="20"/>
                <w:szCs w:val="20"/>
                <w:color w:val="auto"/>
              </w:rPr>
            </w:pPr>
            <w:r>
              <w:rPr>
                <w:rFonts w:ascii="Arial" w:cs="Arial" w:eastAsia="Arial" w:hAnsi="Arial"/>
                <w:sz w:val="16"/>
                <w:szCs w:val="16"/>
                <w:b w:val="1"/>
                <w:bCs w:val="1"/>
                <w:color w:val="auto"/>
              </w:rPr>
              <w:t>December 31</w:t>
            </w:r>
          </w:p>
        </w:tc>
        <w:tc>
          <w:tcPr>
            <w:tcW w:w="700" w:type="dxa"/>
            <w:vAlign w:val="bottom"/>
            <w:tcBorders>
              <w:bottom w:val="single" w:sz="8" w:color="0D64EF"/>
            </w:tcBorders>
            <w:shd w:val="clear" w:color="auto" w:fill="D1D0C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560" w:type="dxa"/>
            <w:vAlign w:val="bottom"/>
            <w:tcBorders>
              <w:bottom w:val="single" w:sz="8" w:color="0D64EF"/>
            </w:tcBorders>
            <w:shd w:val="clear" w:color="auto" w:fill="D1D0CF"/>
          </w:tcPr>
          <w:p>
            <w:pPr>
              <w:ind w:left="20"/>
              <w:spacing w:after="0"/>
              <w:rPr>
                <w:sz w:val="20"/>
                <w:szCs w:val="20"/>
                <w:color w:val="auto"/>
              </w:rPr>
            </w:pPr>
            <w:r>
              <w:rPr>
                <w:rFonts w:ascii="Arial" w:cs="Arial" w:eastAsia="Arial" w:hAnsi="Arial"/>
                <w:sz w:val="16"/>
                <w:szCs w:val="16"/>
                <w:color w:val="auto"/>
              </w:rPr>
              <w:t>(millions of US$)</w:t>
            </w:r>
          </w:p>
        </w:tc>
        <w:tc>
          <w:tcPr>
            <w:tcW w:w="100" w:type="dxa"/>
            <w:vAlign w:val="bottom"/>
            <w:tcBorders>
              <w:bottom w:val="single" w:sz="8" w:color="0D64EF"/>
            </w:tcBorders>
            <w:shd w:val="clear" w:color="auto" w:fill="D1D0CF"/>
          </w:tcPr>
          <w:p>
            <w:pPr>
              <w:spacing w:after="0"/>
              <w:rPr>
                <w:sz w:val="19"/>
                <w:szCs w:val="19"/>
                <w:color w:val="auto"/>
              </w:rPr>
            </w:pPr>
          </w:p>
        </w:tc>
        <w:tc>
          <w:tcPr>
            <w:tcW w:w="2200" w:type="dxa"/>
            <w:vAlign w:val="bottom"/>
            <w:tcBorders>
              <w:bottom w:val="single" w:sz="8" w:color="0D64EF"/>
            </w:tcBorders>
            <w:shd w:val="clear" w:color="auto" w:fill="D1D0CF"/>
          </w:tcPr>
          <w:p>
            <w:pPr>
              <w:jc w:val="right"/>
              <w:ind w:right="819"/>
              <w:spacing w:after="0"/>
              <w:rPr>
                <w:sz w:val="20"/>
                <w:szCs w:val="20"/>
                <w:color w:val="auto"/>
              </w:rPr>
            </w:pPr>
            <w:r>
              <w:rPr>
                <w:rFonts w:ascii="Arial" w:cs="Arial" w:eastAsia="Arial" w:hAnsi="Arial"/>
                <w:sz w:val="16"/>
                <w:szCs w:val="16"/>
                <w:b w:val="1"/>
                <w:bCs w:val="1"/>
                <w:color w:val="auto"/>
              </w:rPr>
              <w:t>2025</w:t>
            </w:r>
          </w:p>
        </w:tc>
        <w:tc>
          <w:tcPr>
            <w:tcW w:w="540" w:type="dxa"/>
            <w:vAlign w:val="bottom"/>
            <w:tcBorders>
              <w:bottom w:val="single" w:sz="8" w:color="0D64EF"/>
            </w:tcBorders>
            <w:shd w:val="clear" w:color="auto" w:fill="D1D0CF"/>
          </w:tcPr>
          <w:p>
            <w:pPr>
              <w:jc w:val="right"/>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bottom w:val="single" w:sz="8" w:color="0D64EF"/>
            </w:tcBorders>
            <w:shd w:val="clear" w:color="auto" w:fill="D1D0CF"/>
          </w:tcPr>
          <w:p>
            <w:pPr>
              <w:spacing w:after="0"/>
              <w:rPr>
                <w:sz w:val="19"/>
                <w:szCs w:val="19"/>
                <w:color w:val="auto"/>
              </w:rPr>
            </w:pPr>
          </w:p>
        </w:tc>
        <w:tc>
          <w:tcPr>
            <w:tcW w:w="2040" w:type="dxa"/>
            <w:vAlign w:val="bottom"/>
            <w:tcBorders>
              <w:bottom w:val="single" w:sz="8" w:color="0D64EF"/>
            </w:tcBorders>
            <w:shd w:val="clear" w:color="auto" w:fill="D1D0CF"/>
          </w:tcPr>
          <w:p>
            <w:pPr>
              <w:jc w:val="right"/>
              <w:ind w:right="659"/>
              <w:spacing w:after="0"/>
              <w:rPr>
                <w:sz w:val="20"/>
                <w:szCs w:val="20"/>
                <w:color w:val="auto"/>
              </w:rPr>
            </w:pPr>
            <w:r>
              <w:rPr>
                <w:rFonts w:ascii="Arial" w:cs="Arial" w:eastAsia="Arial" w:hAnsi="Arial"/>
                <w:sz w:val="16"/>
                <w:szCs w:val="16"/>
                <w:b w:val="1"/>
                <w:bCs w:val="1"/>
                <w:color w:val="auto"/>
              </w:rPr>
              <w:t>2025</w:t>
            </w:r>
          </w:p>
        </w:tc>
        <w:tc>
          <w:tcPr>
            <w:tcW w:w="700" w:type="dxa"/>
            <w:vAlign w:val="bottom"/>
            <w:tcBorders>
              <w:bottom w:val="single" w:sz="8" w:color="0D64EF"/>
            </w:tcBorders>
            <w:shd w:val="clear" w:color="auto" w:fill="D1D0CF"/>
          </w:tcPr>
          <w:p>
            <w:pPr>
              <w:jc w:val="right"/>
              <w:spacing w:after="0"/>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259"/>
        </w:trPr>
        <w:tc>
          <w:tcPr>
            <w:tcW w:w="5560" w:type="dxa"/>
            <w:vAlign w:val="bottom"/>
          </w:tcPr>
          <w:p>
            <w:pPr>
              <w:ind w:left="20"/>
              <w:spacing w:after="0"/>
              <w:rPr>
                <w:sz w:val="20"/>
                <w:szCs w:val="20"/>
                <w:color w:val="auto"/>
              </w:rPr>
            </w:pPr>
            <w:r>
              <w:rPr>
                <w:rFonts w:ascii="Arial" w:cs="Arial" w:eastAsia="Arial" w:hAnsi="Arial"/>
                <w:sz w:val="16"/>
                <w:szCs w:val="16"/>
                <w:b w:val="1"/>
                <w:bCs w:val="1"/>
                <w:color w:val="0D64EF"/>
              </w:rPr>
              <w:t>Comparable EBITDA</w:t>
            </w:r>
          </w:p>
        </w:tc>
        <w:tc>
          <w:tcPr>
            <w:tcW w:w="100" w:type="dxa"/>
            <w:vAlign w:val="bottom"/>
          </w:tcPr>
          <w:p>
            <w:pPr>
              <w:spacing w:after="0"/>
              <w:rPr>
                <w:sz w:val="22"/>
                <w:szCs w:val="22"/>
                <w:color w:val="auto"/>
              </w:rPr>
            </w:pPr>
          </w:p>
        </w:tc>
        <w:tc>
          <w:tcPr>
            <w:tcW w:w="22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5560" w:type="dxa"/>
            <w:vAlign w:val="bottom"/>
          </w:tcPr>
          <w:p>
            <w:pPr>
              <w:ind w:left="140"/>
              <w:spacing w:after="0"/>
              <w:rPr>
                <w:sz w:val="20"/>
                <w:szCs w:val="20"/>
                <w:color w:val="auto"/>
              </w:rPr>
            </w:pPr>
            <w:r>
              <w:rPr>
                <w:rFonts w:ascii="Arial" w:cs="Arial" w:eastAsia="Arial" w:hAnsi="Arial"/>
                <w:sz w:val="16"/>
                <w:szCs w:val="16"/>
                <w:color w:val="auto"/>
              </w:rPr>
              <w:t>U.S. Natural Gas Pipelines</w:t>
            </w:r>
          </w:p>
        </w:tc>
        <w:tc>
          <w:tcPr>
            <w:tcW w:w="2300" w:type="dxa"/>
            <w:vAlign w:val="bottom"/>
            <w:gridSpan w:val="2"/>
          </w:tcPr>
          <w:p>
            <w:pPr>
              <w:jc w:val="right"/>
              <w:ind w:right="879"/>
              <w:spacing w:after="0"/>
              <w:rPr>
                <w:sz w:val="20"/>
                <w:szCs w:val="20"/>
                <w:color w:val="auto"/>
              </w:rPr>
            </w:pPr>
            <w:r>
              <w:rPr>
                <w:rFonts w:ascii="Arial" w:cs="Arial" w:eastAsia="Arial" w:hAnsi="Arial"/>
                <w:sz w:val="16"/>
                <w:szCs w:val="16"/>
                <w:b w:val="1"/>
                <w:bCs w:val="1"/>
                <w:color w:val="auto"/>
              </w:rPr>
              <w:t>996</w:t>
            </w:r>
          </w:p>
        </w:tc>
        <w:tc>
          <w:tcPr>
            <w:tcW w:w="540" w:type="dxa"/>
            <w:vAlign w:val="bottom"/>
          </w:tcPr>
          <w:p>
            <w:pPr>
              <w:jc w:val="right"/>
              <w:spacing w:after="0"/>
              <w:rPr>
                <w:sz w:val="20"/>
                <w:szCs w:val="20"/>
                <w:color w:val="auto"/>
              </w:rPr>
            </w:pPr>
            <w:r>
              <w:rPr>
                <w:rFonts w:ascii="Arial" w:cs="Arial" w:eastAsia="Arial" w:hAnsi="Arial"/>
                <w:sz w:val="16"/>
                <w:szCs w:val="16"/>
                <w:color w:val="auto"/>
              </w:rPr>
              <w:t>859</w:t>
            </w:r>
          </w:p>
        </w:tc>
        <w:tc>
          <w:tcPr>
            <w:tcW w:w="100" w:type="dxa"/>
            <w:vAlign w:val="bottom"/>
          </w:tcPr>
          <w:p>
            <w:pPr>
              <w:spacing w:after="0"/>
              <w:rPr>
                <w:sz w:val="19"/>
                <w:szCs w:val="19"/>
                <w:color w:val="auto"/>
              </w:rPr>
            </w:pPr>
          </w:p>
        </w:tc>
        <w:tc>
          <w:tcPr>
            <w:tcW w:w="2040" w:type="dxa"/>
            <w:vAlign w:val="bottom"/>
          </w:tcPr>
          <w:p>
            <w:pPr>
              <w:jc w:val="right"/>
              <w:ind w:right="719"/>
              <w:spacing w:after="0"/>
              <w:rPr>
                <w:sz w:val="20"/>
                <w:szCs w:val="20"/>
                <w:color w:val="auto"/>
              </w:rPr>
            </w:pPr>
            <w:r>
              <w:rPr>
                <w:rFonts w:ascii="Arial" w:cs="Arial" w:eastAsia="Arial" w:hAnsi="Arial"/>
                <w:sz w:val="16"/>
                <w:szCs w:val="16"/>
                <w:b w:val="1"/>
                <w:bCs w:val="1"/>
                <w:color w:val="auto"/>
              </w:rPr>
              <w:t>3,506</w:t>
            </w:r>
          </w:p>
        </w:tc>
        <w:tc>
          <w:tcPr>
            <w:tcW w:w="700" w:type="dxa"/>
            <w:vAlign w:val="bottom"/>
          </w:tcPr>
          <w:p>
            <w:pPr>
              <w:jc w:val="right"/>
              <w:spacing w:after="0"/>
              <w:rPr>
                <w:sz w:val="20"/>
                <w:szCs w:val="20"/>
                <w:color w:val="auto"/>
              </w:rPr>
            </w:pPr>
            <w:r>
              <w:rPr>
                <w:rFonts w:ascii="Arial" w:cs="Arial" w:eastAsia="Arial" w:hAnsi="Arial"/>
                <w:sz w:val="16"/>
                <w:szCs w:val="16"/>
                <w:color w:val="auto"/>
              </w:rPr>
              <w:t>3,294</w:t>
            </w:r>
          </w:p>
        </w:tc>
        <w:tc>
          <w:tcPr>
            <w:tcW w:w="0" w:type="dxa"/>
            <w:vAlign w:val="bottom"/>
          </w:tcPr>
          <w:p>
            <w:pPr>
              <w:spacing w:after="0"/>
              <w:rPr>
                <w:sz w:val="1"/>
                <w:szCs w:val="1"/>
                <w:color w:val="auto"/>
              </w:rPr>
            </w:pPr>
          </w:p>
        </w:tc>
      </w:tr>
      <w:tr>
        <w:trPr>
          <w:trHeight w:val="233"/>
        </w:trPr>
        <w:tc>
          <w:tcPr>
            <w:tcW w:w="556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Mexico Natural Gas Pipelines</w:t>
            </w:r>
          </w:p>
        </w:tc>
        <w:tc>
          <w:tcPr>
            <w:tcW w:w="2300" w:type="dxa"/>
            <w:vAlign w:val="bottom"/>
            <w:tcBorders>
              <w:bottom w:val="single" w:sz="8" w:color="auto"/>
            </w:tcBorders>
            <w:gridSpan w:val="2"/>
          </w:tcPr>
          <w:p>
            <w:pPr>
              <w:jc w:val="right"/>
              <w:ind w:right="879"/>
              <w:spacing w:after="0"/>
              <w:rPr>
                <w:sz w:val="20"/>
                <w:szCs w:val="20"/>
                <w:color w:val="auto"/>
              </w:rPr>
            </w:pPr>
            <w:r>
              <w:rPr>
                <w:rFonts w:ascii="Arial" w:cs="Arial" w:eastAsia="Arial" w:hAnsi="Arial"/>
                <w:sz w:val="16"/>
                <w:szCs w:val="16"/>
                <w:b w:val="1"/>
                <w:bCs w:val="1"/>
                <w:color w:val="auto"/>
              </w:rPr>
              <w:t>285</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167</w:t>
            </w:r>
          </w:p>
        </w:tc>
        <w:tc>
          <w:tcPr>
            <w:tcW w:w="10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tcPr>
          <w:p>
            <w:pPr>
              <w:jc w:val="right"/>
              <w:ind w:right="719"/>
              <w:spacing w:after="0"/>
              <w:rPr>
                <w:sz w:val="20"/>
                <w:szCs w:val="20"/>
                <w:color w:val="auto"/>
              </w:rPr>
            </w:pPr>
            <w:r>
              <w:rPr>
                <w:rFonts w:ascii="Arial" w:cs="Arial" w:eastAsia="Arial" w:hAnsi="Arial"/>
                <w:sz w:val="16"/>
                <w:szCs w:val="16"/>
                <w:b w:val="1"/>
                <w:bCs w:val="1"/>
                <w:color w:val="auto"/>
              </w:rPr>
              <w:t>981</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730</w:t>
            </w:r>
          </w:p>
        </w:tc>
        <w:tc>
          <w:tcPr>
            <w:tcW w:w="0" w:type="dxa"/>
            <w:vAlign w:val="bottom"/>
          </w:tcPr>
          <w:p>
            <w:pPr>
              <w:spacing w:after="0"/>
              <w:rPr>
                <w:sz w:val="1"/>
                <w:szCs w:val="1"/>
                <w:color w:val="auto"/>
              </w:rPr>
            </w:pPr>
          </w:p>
        </w:tc>
      </w:tr>
      <w:tr>
        <w:trPr>
          <w:trHeight w:val="220"/>
        </w:trPr>
        <w:tc>
          <w:tcPr>
            <w:tcW w:w="5560" w:type="dxa"/>
            <w:vAlign w:val="bottom"/>
          </w:tcPr>
          <w:p>
            <w:pPr>
              <w:spacing w:after="0"/>
              <w:rPr>
                <w:sz w:val="19"/>
                <w:szCs w:val="19"/>
                <w:color w:val="auto"/>
              </w:rPr>
            </w:pPr>
          </w:p>
        </w:tc>
        <w:tc>
          <w:tcPr>
            <w:tcW w:w="2300" w:type="dxa"/>
            <w:vAlign w:val="bottom"/>
            <w:gridSpan w:val="2"/>
          </w:tcPr>
          <w:p>
            <w:pPr>
              <w:jc w:val="right"/>
              <w:ind w:right="879"/>
              <w:spacing w:after="0"/>
              <w:rPr>
                <w:sz w:val="20"/>
                <w:szCs w:val="20"/>
                <w:color w:val="auto"/>
              </w:rPr>
            </w:pPr>
            <w:r>
              <w:rPr>
                <w:rFonts w:ascii="Arial" w:cs="Arial" w:eastAsia="Arial" w:hAnsi="Arial"/>
                <w:sz w:val="16"/>
                <w:szCs w:val="16"/>
                <w:b w:val="1"/>
                <w:bCs w:val="1"/>
                <w:color w:val="auto"/>
              </w:rPr>
              <w:t>1,281</w:t>
            </w:r>
          </w:p>
        </w:tc>
        <w:tc>
          <w:tcPr>
            <w:tcW w:w="540" w:type="dxa"/>
            <w:vAlign w:val="bottom"/>
          </w:tcPr>
          <w:p>
            <w:pPr>
              <w:jc w:val="right"/>
              <w:spacing w:after="0"/>
              <w:rPr>
                <w:sz w:val="20"/>
                <w:szCs w:val="20"/>
                <w:color w:val="auto"/>
              </w:rPr>
            </w:pPr>
            <w:r>
              <w:rPr>
                <w:rFonts w:ascii="Arial" w:cs="Arial" w:eastAsia="Arial" w:hAnsi="Arial"/>
                <w:sz w:val="16"/>
                <w:szCs w:val="16"/>
                <w:color w:val="auto"/>
              </w:rPr>
              <w:t>1,026</w:t>
            </w:r>
          </w:p>
        </w:tc>
        <w:tc>
          <w:tcPr>
            <w:tcW w:w="100" w:type="dxa"/>
            <w:vAlign w:val="bottom"/>
          </w:tcPr>
          <w:p>
            <w:pPr>
              <w:spacing w:after="0"/>
              <w:rPr>
                <w:sz w:val="19"/>
                <w:szCs w:val="19"/>
                <w:color w:val="auto"/>
              </w:rPr>
            </w:pPr>
          </w:p>
        </w:tc>
        <w:tc>
          <w:tcPr>
            <w:tcW w:w="2040" w:type="dxa"/>
            <w:vAlign w:val="bottom"/>
          </w:tcPr>
          <w:p>
            <w:pPr>
              <w:jc w:val="right"/>
              <w:ind w:right="719"/>
              <w:spacing w:after="0"/>
              <w:rPr>
                <w:sz w:val="20"/>
                <w:szCs w:val="20"/>
                <w:color w:val="auto"/>
              </w:rPr>
            </w:pPr>
            <w:r>
              <w:rPr>
                <w:rFonts w:ascii="Arial" w:cs="Arial" w:eastAsia="Arial" w:hAnsi="Arial"/>
                <w:sz w:val="16"/>
                <w:szCs w:val="16"/>
                <w:b w:val="1"/>
                <w:bCs w:val="1"/>
                <w:color w:val="auto"/>
              </w:rPr>
              <w:t>4,487</w:t>
            </w:r>
          </w:p>
        </w:tc>
        <w:tc>
          <w:tcPr>
            <w:tcW w:w="700" w:type="dxa"/>
            <w:vAlign w:val="bottom"/>
          </w:tcPr>
          <w:p>
            <w:pPr>
              <w:jc w:val="right"/>
              <w:spacing w:after="0"/>
              <w:rPr>
                <w:sz w:val="20"/>
                <w:szCs w:val="20"/>
                <w:color w:val="auto"/>
              </w:rPr>
            </w:pPr>
            <w:r>
              <w:rPr>
                <w:rFonts w:ascii="Arial" w:cs="Arial" w:eastAsia="Arial" w:hAnsi="Arial"/>
                <w:sz w:val="16"/>
                <w:szCs w:val="16"/>
                <w:color w:val="auto"/>
              </w:rPr>
              <w:t>4,024</w:t>
            </w:r>
          </w:p>
        </w:tc>
        <w:tc>
          <w:tcPr>
            <w:tcW w:w="0" w:type="dxa"/>
            <w:vAlign w:val="bottom"/>
          </w:tcPr>
          <w:p>
            <w:pPr>
              <w:spacing w:after="0"/>
              <w:rPr>
                <w:sz w:val="1"/>
                <w:szCs w:val="1"/>
                <w:color w:val="auto"/>
              </w:rPr>
            </w:pPr>
          </w:p>
        </w:tc>
      </w:tr>
      <w:tr>
        <w:trPr>
          <w:trHeight w:val="229"/>
        </w:trPr>
        <w:tc>
          <w:tcPr>
            <w:tcW w:w="5560" w:type="dxa"/>
            <w:vAlign w:val="bottom"/>
          </w:tcPr>
          <w:p>
            <w:pPr>
              <w:ind w:left="20"/>
              <w:spacing w:after="0"/>
              <w:rPr>
                <w:sz w:val="20"/>
                <w:szCs w:val="20"/>
                <w:color w:val="auto"/>
              </w:rPr>
            </w:pPr>
            <w:r>
              <w:rPr>
                <w:rFonts w:ascii="Arial" w:cs="Arial" w:eastAsia="Arial" w:hAnsi="Arial"/>
                <w:sz w:val="16"/>
                <w:szCs w:val="16"/>
                <w:color w:val="auto"/>
              </w:rPr>
              <w:t>Depreciation and amortization</w:t>
            </w:r>
          </w:p>
        </w:tc>
        <w:tc>
          <w:tcPr>
            <w:tcW w:w="2300" w:type="dxa"/>
            <w:vAlign w:val="bottom"/>
            <w:gridSpan w:val="2"/>
          </w:tcPr>
          <w:p>
            <w:pPr>
              <w:jc w:val="right"/>
              <w:ind w:right="839"/>
              <w:spacing w:after="0"/>
              <w:rPr>
                <w:sz w:val="20"/>
                <w:szCs w:val="20"/>
                <w:color w:val="auto"/>
              </w:rPr>
            </w:pPr>
            <w:r>
              <w:rPr>
                <w:rFonts w:ascii="Arial" w:cs="Arial" w:eastAsia="Arial" w:hAnsi="Arial"/>
                <w:sz w:val="16"/>
                <w:szCs w:val="16"/>
                <w:b w:val="1"/>
                <w:bCs w:val="1"/>
                <w:color w:val="auto"/>
              </w:rPr>
              <w:t>(211)</w:t>
            </w:r>
          </w:p>
        </w:tc>
        <w:tc>
          <w:tcPr>
            <w:tcW w:w="540" w:type="dxa"/>
            <w:vAlign w:val="bottom"/>
          </w:tcPr>
          <w:p>
            <w:pPr>
              <w:jc w:val="right"/>
              <w:spacing w:after="0"/>
              <w:rPr>
                <w:sz w:val="20"/>
                <w:szCs w:val="20"/>
                <w:color w:val="auto"/>
              </w:rPr>
            </w:pPr>
            <w:r>
              <w:rPr>
                <w:rFonts w:ascii="Arial" w:cs="Arial" w:eastAsia="Arial" w:hAnsi="Arial"/>
                <w:sz w:val="16"/>
                <w:szCs w:val="16"/>
                <w:color w:val="auto"/>
              </w:rPr>
              <w:t>(191)</w:t>
            </w:r>
          </w:p>
        </w:tc>
        <w:tc>
          <w:tcPr>
            <w:tcW w:w="100" w:type="dxa"/>
            <w:vAlign w:val="bottom"/>
          </w:tcPr>
          <w:p>
            <w:pPr>
              <w:spacing w:after="0"/>
              <w:rPr>
                <w:sz w:val="19"/>
                <w:szCs w:val="19"/>
                <w:color w:val="auto"/>
              </w:rPr>
            </w:pPr>
          </w:p>
        </w:tc>
        <w:tc>
          <w:tcPr>
            <w:tcW w:w="2040" w:type="dxa"/>
            <w:vAlign w:val="bottom"/>
          </w:tcPr>
          <w:p>
            <w:pPr>
              <w:jc w:val="right"/>
              <w:ind w:right="679"/>
              <w:spacing w:after="0"/>
              <w:rPr>
                <w:sz w:val="20"/>
                <w:szCs w:val="20"/>
                <w:color w:val="auto"/>
              </w:rPr>
            </w:pPr>
            <w:r>
              <w:rPr>
                <w:rFonts w:ascii="Arial" w:cs="Arial" w:eastAsia="Arial" w:hAnsi="Arial"/>
                <w:sz w:val="16"/>
                <w:szCs w:val="16"/>
                <w:b w:val="1"/>
                <w:bCs w:val="1"/>
                <w:color w:val="auto"/>
              </w:rPr>
              <w:t>(812)</w:t>
            </w:r>
          </w:p>
        </w:tc>
        <w:tc>
          <w:tcPr>
            <w:tcW w:w="700" w:type="dxa"/>
            <w:vAlign w:val="bottom"/>
          </w:tcPr>
          <w:p>
            <w:pPr>
              <w:jc w:val="right"/>
              <w:spacing w:after="0"/>
              <w:rPr>
                <w:sz w:val="20"/>
                <w:szCs w:val="20"/>
                <w:color w:val="auto"/>
              </w:rPr>
            </w:pPr>
            <w:r>
              <w:rPr>
                <w:rFonts w:ascii="Arial" w:cs="Arial" w:eastAsia="Arial" w:hAnsi="Arial"/>
                <w:sz w:val="16"/>
                <w:szCs w:val="16"/>
                <w:color w:val="auto"/>
              </w:rPr>
              <w:t>(764)</w:t>
            </w:r>
          </w:p>
        </w:tc>
        <w:tc>
          <w:tcPr>
            <w:tcW w:w="0" w:type="dxa"/>
            <w:vAlign w:val="bottom"/>
          </w:tcPr>
          <w:p>
            <w:pPr>
              <w:spacing w:after="0"/>
              <w:rPr>
                <w:sz w:val="1"/>
                <w:szCs w:val="1"/>
                <w:color w:val="auto"/>
              </w:rPr>
            </w:pPr>
          </w:p>
        </w:tc>
      </w:tr>
      <w:tr>
        <w:trPr>
          <w:trHeight w:val="230"/>
        </w:trPr>
        <w:tc>
          <w:tcPr>
            <w:tcW w:w="5560" w:type="dxa"/>
            <w:vAlign w:val="bottom"/>
          </w:tcPr>
          <w:p>
            <w:pPr>
              <w:ind w:left="20"/>
              <w:spacing w:after="0"/>
              <w:rPr>
                <w:sz w:val="20"/>
                <w:szCs w:val="20"/>
                <w:color w:val="auto"/>
              </w:rPr>
            </w:pPr>
            <w:r>
              <w:rPr>
                <w:rFonts w:ascii="Arial" w:cs="Arial" w:eastAsia="Arial" w:hAnsi="Arial"/>
                <w:sz w:val="16"/>
                <w:szCs w:val="16"/>
                <w:color w:val="auto"/>
              </w:rPr>
              <w:t>Interest expense on long-term debt and junior subordinated notes</w:t>
            </w:r>
          </w:p>
        </w:tc>
        <w:tc>
          <w:tcPr>
            <w:tcW w:w="2300" w:type="dxa"/>
            <w:vAlign w:val="bottom"/>
            <w:gridSpan w:val="2"/>
          </w:tcPr>
          <w:p>
            <w:pPr>
              <w:jc w:val="right"/>
              <w:ind w:right="839"/>
              <w:spacing w:after="0"/>
              <w:rPr>
                <w:sz w:val="20"/>
                <w:szCs w:val="20"/>
                <w:color w:val="auto"/>
              </w:rPr>
            </w:pPr>
            <w:r>
              <w:rPr>
                <w:rFonts w:ascii="Arial" w:cs="Arial" w:eastAsia="Arial" w:hAnsi="Arial"/>
                <w:sz w:val="16"/>
                <w:szCs w:val="16"/>
                <w:b w:val="1"/>
                <w:bCs w:val="1"/>
                <w:color w:val="auto"/>
              </w:rPr>
              <w:t>(434)</w:t>
            </w:r>
          </w:p>
        </w:tc>
        <w:tc>
          <w:tcPr>
            <w:tcW w:w="540" w:type="dxa"/>
            <w:vAlign w:val="bottom"/>
          </w:tcPr>
          <w:p>
            <w:pPr>
              <w:jc w:val="right"/>
              <w:spacing w:after="0"/>
              <w:rPr>
                <w:sz w:val="20"/>
                <w:szCs w:val="20"/>
                <w:color w:val="auto"/>
              </w:rPr>
            </w:pPr>
            <w:r>
              <w:rPr>
                <w:rFonts w:ascii="Arial" w:cs="Arial" w:eastAsia="Arial" w:hAnsi="Arial"/>
                <w:sz w:val="16"/>
                <w:szCs w:val="16"/>
                <w:color w:val="auto"/>
              </w:rPr>
              <w:t>(440)</w:t>
            </w:r>
          </w:p>
        </w:tc>
        <w:tc>
          <w:tcPr>
            <w:tcW w:w="100" w:type="dxa"/>
            <w:vAlign w:val="bottom"/>
          </w:tcPr>
          <w:p>
            <w:pPr>
              <w:spacing w:after="0"/>
              <w:rPr>
                <w:sz w:val="19"/>
                <w:szCs w:val="19"/>
                <w:color w:val="auto"/>
              </w:rPr>
            </w:pPr>
          </w:p>
        </w:tc>
        <w:tc>
          <w:tcPr>
            <w:tcW w:w="2040" w:type="dxa"/>
            <w:vAlign w:val="bottom"/>
          </w:tcPr>
          <w:p>
            <w:pPr>
              <w:jc w:val="right"/>
              <w:ind w:right="679"/>
              <w:spacing w:after="0"/>
              <w:rPr>
                <w:sz w:val="20"/>
                <w:szCs w:val="20"/>
                <w:color w:val="auto"/>
              </w:rPr>
            </w:pPr>
            <w:r>
              <w:rPr>
                <w:rFonts w:ascii="Arial" w:cs="Arial" w:eastAsia="Arial" w:hAnsi="Arial"/>
                <w:sz w:val="16"/>
                <w:szCs w:val="16"/>
                <w:b w:val="1"/>
                <w:bCs w:val="1"/>
                <w:color w:val="auto"/>
              </w:rPr>
              <w:t>(1,716)</w:t>
            </w:r>
          </w:p>
        </w:tc>
        <w:tc>
          <w:tcPr>
            <w:tcW w:w="700" w:type="dxa"/>
            <w:vAlign w:val="bottom"/>
          </w:tcPr>
          <w:p>
            <w:pPr>
              <w:jc w:val="right"/>
              <w:spacing w:after="0"/>
              <w:rPr>
                <w:sz w:val="20"/>
                <w:szCs w:val="20"/>
                <w:color w:val="auto"/>
              </w:rPr>
            </w:pPr>
            <w:r>
              <w:rPr>
                <w:rFonts w:ascii="Arial" w:cs="Arial" w:eastAsia="Arial" w:hAnsi="Arial"/>
                <w:sz w:val="16"/>
                <w:szCs w:val="16"/>
                <w:color w:val="auto"/>
              </w:rPr>
              <w:t>(1,855)</w:t>
            </w:r>
          </w:p>
        </w:tc>
        <w:tc>
          <w:tcPr>
            <w:tcW w:w="0" w:type="dxa"/>
            <w:vAlign w:val="bottom"/>
          </w:tcPr>
          <w:p>
            <w:pPr>
              <w:spacing w:after="0"/>
              <w:rPr>
                <w:sz w:val="1"/>
                <w:szCs w:val="1"/>
                <w:color w:val="auto"/>
              </w:rPr>
            </w:pPr>
          </w:p>
        </w:tc>
      </w:tr>
      <w:tr>
        <w:trPr>
          <w:trHeight w:val="229"/>
        </w:trPr>
        <w:tc>
          <w:tcPr>
            <w:tcW w:w="5560" w:type="dxa"/>
            <w:vAlign w:val="bottom"/>
          </w:tcPr>
          <w:p>
            <w:pPr>
              <w:ind w:left="20"/>
              <w:spacing w:after="0"/>
              <w:rPr>
                <w:sz w:val="20"/>
                <w:szCs w:val="20"/>
                <w:color w:val="auto"/>
              </w:rPr>
            </w:pPr>
            <w:r>
              <w:rPr>
                <w:rFonts w:ascii="Arial" w:cs="Arial" w:eastAsia="Arial" w:hAnsi="Arial"/>
                <w:sz w:val="16"/>
                <w:szCs w:val="16"/>
                <w:color w:val="auto"/>
              </w:rPr>
              <w:t>Interest income and other</w:t>
            </w:r>
          </w:p>
        </w:tc>
        <w:tc>
          <w:tcPr>
            <w:tcW w:w="2300" w:type="dxa"/>
            <w:vAlign w:val="bottom"/>
            <w:gridSpan w:val="2"/>
          </w:tcPr>
          <w:p>
            <w:pPr>
              <w:jc w:val="right"/>
              <w:ind w:right="879"/>
              <w:spacing w:after="0"/>
              <w:rPr>
                <w:sz w:val="20"/>
                <w:szCs w:val="20"/>
                <w:color w:val="auto"/>
              </w:rPr>
            </w:pPr>
            <w:r>
              <w:rPr>
                <w:rFonts w:ascii="Arial" w:cs="Arial" w:eastAsia="Arial" w:hAnsi="Arial"/>
                <w:sz w:val="16"/>
                <w:szCs w:val="16"/>
                <w:b w:val="1"/>
                <w:bCs w:val="1"/>
                <w:color w:val="auto"/>
              </w:rPr>
              <w:t>22</w:t>
            </w:r>
          </w:p>
        </w:tc>
        <w:tc>
          <w:tcPr>
            <w:tcW w:w="540" w:type="dxa"/>
            <w:vAlign w:val="bottom"/>
          </w:tcPr>
          <w:p>
            <w:pPr>
              <w:jc w:val="right"/>
              <w:spacing w:after="0"/>
              <w:rPr>
                <w:sz w:val="20"/>
                <w:szCs w:val="20"/>
                <w:color w:val="auto"/>
              </w:rPr>
            </w:pPr>
            <w:r>
              <w:rPr>
                <w:rFonts w:ascii="Arial" w:cs="Arial" w:eastAsia="Arial" w:hAnsi="Arial"/>
                <w:sz w:val="16"/>
                <w:szCs w:val="16"/>
                <w:color w:val="auto"/>
              </w:rPr>
              <w:t>51</w:t>
            </w:r>
          </w:p>
        </w:tc>
        <w:tc>
          <w:tcPr>
            <w:tcW w:w="100" w:type="dxa"/>
            <w:vAlign w:val="bottom"/>
          </w:tcPr>
          <w:p>
            <w:pPr>
              <w:spacing w:after="0"/>
              <w:rPr>
                <w:sz w:val="19"/>
                <w:szCs w:val="19"/>
                <w:color w:val="auto"/>
              </w:rPr>
            </w:pPr>
          </w:p>
        </w:tc>
        <w:tc>
          <w:tcPr>
            <w:tcW w:w="2040" w:type="dxa"/>
            <w:vAlign w:val="bottom"/>
          </w:tcPr>
          <w:p>
            <w:pPr>
              <w:jc w:val="right"/>
              <w:ind w:right="659"/>
              <w:spacing w:after="0"/>
              <w:rPr>
                <w:sz w:val="20"/>
                <w:szCs w:val="20"/>
                <w:color w:val="auto"/>
              </w:rPr>
            </w:pPr>
            <w:r>
              <w:rPr>
                <w:rFonts w:ascii="Arial" w:cs="Arial" w:eastAsia="Arial" w:hAnsi="Arial"/>
                <w:sz w:val="16"/>
                <w:szCs w:val="16"/>
                <w:b w:val="1"/>
                <w:bCs w:val="1"/>
                <w:color w:val="auto"/>
              </w:rPr>
              <w:t>112</w:t>
            </w:r>
          </w:p>
        </w:tc>
        <w:tc>
          <w:tcPr>
            <w:tcW w:w="700" w:type="dxa"/>
            <w:vAlign w:val="bottom"/>
          </w:tcPr>
          <w:p>
            <w:pPr>
              <w:jc w:val="right"/>
              <w:spacing w:after="0"/>
              <w:rPr>
                <w:sz w:val="20"/>
                <w:szCs w:val="20"/>
                <w:color w:val="auto"/>
              </w:rPr>
            </w:pPr>
            <w:r>
              <w:rPr>
                <w:rFonts w:ascii="Arial" w:cs="Arial" w:eastAsia="Arial" w:hAnsi="Arial"/>
                <w:sz w:val="16"/>
                <w:szCs w:val="16"/>
                <w:color w:val="auto"/>
              </w:rPr>
              <w:t>172</w:t>
            </w:r>
          </w:p>
        </w:tc>
        <w:tc>
          <w:tcPr>
            <w:tcW w:w="0" w:type="dxa"/>
            <w:vAlign w:val="bottom"/>
          </w:tcPr>
          <w:p>
            <w:pPr>
              <w:spacing w:after="0"/>
              <w:rPr>
                <w:sz w:val="1"/>
                <w:szCs w:val="1"/>
                <w:color w:val="auto"/>
              </w:rPr>
            </w:pPr>
          </w:p>
        </w:tc>
      </w:tr>
      <w:tr>
        <w:trPr>
          <w:trHeight w:val="230"/>
        </w:trPr>
        <w:tc>
          <w:tcPr>
            <w:tcW w:w="5560" w:type="dxa"/>
            <w:vAlign w:val="bottom"/>
          </w:tcPr>
          <w:p>
            <w:pPr>
              <w:ind w:left="20"/>
              <w:spacing w:after="0"/>
              <w:rPr>
                <w:sz w:val="20"/>
                <w:szCs w:val="20"/>
                <w:color w:val="auto"/>
              </w:rPr>
            </w:pPr>
            <w:r>
              <w:rPr>
                <w:rFonts w:ascii="Arial" w:cs="Arial" w:eastAsia="Arial" w:hAnsi="Arial"/>
                <w:sz w:val="16"/>
                <w:szCs w:val="16"/>
                <w:color w:val="auto"/>
              </w:rPr>
              <w:t>Interest expense allocated to discontinued operations</w:t>
            </w:r>
          </w:p>
        </w:tc>
        <w:tc>
          <w:tcPr>
            <w:tcW w:w="100" w:type="dxa"/>
            <w:vAlign w:val="bottom"/>
          </w:tcPr>
          <w:p>
            <w:pPr>
              <w:spacing w:after="0"/>
              <w:rPr>
                <w:sz w:val="19"/>
                <w:szCs w:val="19"/>
                <w:color w:val="auto"/>
              </w:rPr>
            </w:pPr>
          </w:p>
        </w:tc>
        <w:tc>
          <w:tcPr>
            <w:tcW w:w="2200" w:type="dxa"/>
            <w:vAlign w:val="bottom"/>
          </w:tcPr>
          <w:p>
            <w:pPr>
              <w:jc w:val="right"/>
              <w:ind w:right="879"/>
              <w:spacing w:after="0"/>
              <w:rPr>
                <w:sz w:val="20"/>
                <w:szCs w:val="20"/>
                <w:color w:val="auto"/>
              </w:rPr>
            </w:pPr>
            <w:r>
              <w:rPr>
                <w:rFonts w:ascii="Arial" w:cs="Arial" w:eastAsia="Arial" w:hAnsi="Arial"/>
                <w:sz w:val="16"/>
                <w:szCs w:val="16"/>
                <w:b w:val="1"/>
                <w:bCs w:val="1"/>
                <w:color w:val="auto"/>
              </w:rPr>
              <w:t>—</w:t>
            </w:r>
          </w:p>
        </w:tc>
        <w:tc>
          <w:tcPr>
            <w:tcW w:w="6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40" w:type="dxa"/>
            <w:vAlign w:val="bottom"/>
          </w:tcPr>
          <w:p>
            <w:pPr>
              <w:jc w:val="right"/>
              <w:ind w:right="719"/>
              <w:spacing w:after="0"/>
              <w:rPr>
                <w:sz w:val="20"/>
                <w:szCs w:val="20"/>
                <w:color w:val="auto"/>
              </w:rPr>
            </w:pPr>
            <w:r>
              <w:rPr>
                <w:rFonts w:ascii="Arial" w:cs="Arial" w:eastAsia="Arial" w:hAnsi="Arial"/>
                <w:sz w:val="16"/>
                <w:szCs w:val="16"/>
                <w:b w:val="1"/>
                <w:bCs w:val="1"/>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125</w:t>
            </w:r>
          </w:p>
        </w:tc>
        <w:tc>
          <w:tcPr>
            <w:tcW w:w="0" w:type="dxa"/>
            <w:vAlign w:val="bottom"/>
          </w:tcPr>
          <w:p>
            <w:pPr>
              <w:spacing w:after="0"/>
              <w:rPr>
                <w:sz w:val="1"/>
                <w:szCs w:val="1"/>
                <w:color w:val="auto"/>
              </w:rPr>
            </w:pPr>
          </w:p>
        </w:tc>
      </w:tr>
      <w:tr>
        <w:trPr>
          <w:trHeight w:val="230"/>
        </w:trPr>
        <w:tc>
          <w:tcPr>
            <w:tcW w:w="5560" w:type="dxa"/>
            <w:vAlign w:val="bottom"/>
          </w:tcPr>
          <w:p>
            <w:pPr>
              <w:ind w:left="20"/>
              <w:spacing w:after="0"/>
              <w:rPr>
                <w:sz w:val="20"/>
                <w:szCs w:val="20"/>
                <w:color w:val="auto"/>
              </w:rPr>
            </w:pPr>
            <w:r>
              <w:rPr>
                <w:rFonts w:ascii="Arial" w:cs="Arial" w:eastAsia="Arial" w:hAnsi="Arial"/>
                <w:sz w:val="16"/>
                <w:szCs w:val="16"/>
                <w:color w:val="auto"/>
              </w:rPr>
              <w:t>Allowance for funds used during construction</w:t>
            </w:r>
          </w:p>
        </w:tc>
        <w:tc>
          <w:tcPr>
            <w:tcW w:w="2300" w:type="dxa"/>
            <w:vAlign w:val="bottom"/>
            <w:gridSpan w:val="2"/>
          </w:tcPr>
          <w:p>
            <w:pPr>
              <w:jc w:val="right"/>
              <w:ind w:right="879"/>
              <w:spacing w:after="0"/>
              <w:rPr>
                <w:sz w:val="20"/>
                <w:szCs w:val="20"/>
                <w:color w:val="auto"/>
              </w:rPr>
            </w:pPr>
            <w:r>
              <w:rPr>
                <w:rFonts w:ascii="Arial" w:cs="Arial" w:eastAsia="Arial" w:hAnsi="Arial"/>
                <w:sz w:val="16"/>
                <w:szCs w:val="16"/>
                <w:b w:val="1"/>
                <w:bCs w:val="1"/>
                <w:color w:val="auto"/>
              </w:rPr>
              <w:t>16</w:t>
            </w:r>
          </w:p>
        </w:tc>
        <w:tc>
          <w:tcPr>
            <w:tcW w:w="540" w:type="dxa"/>
            <w:vAlign w:val="bottom"/>
          </w:tcPr>
          <w:p>
            <w:pPr>
              <w:jc w:val="right"/>
              <w:spacing w:after="0"/>
              <w:rPr>
                <w:sz w:val="20"/>
                <w:szCs w:val="20"/>
                <w:color w:val="auto"/>
              </w:rPr>
            </w:pPr>
            <w:r>
              <w:rPr>
                <w:rFonts w:ascii="Arial" w:cs="Arial" w:eastAsia="Arial" w:hAnsi="Arial"/>
                <w:sz w:val="16"/>
                <w:szCs w:val="16"/>
                <w:color w:val="auto"/>
              </w:rPr>
              <w:t>159</w:t>
            </w:r>
          </w:p>
        </w:tc>
        <w:tc>
          <w:tcPr>
            <w:tcW w:w="100" w:type="dxa"/>
            <w:vAlign w:val="bottom"/>
          </w:tcPr>
          <w:p>
            <w:pPr>
              <w:spacing w:after="0"/>
              <w:rPr>
                <w:sz w:val="19"/>
                <w:szCs w:val="19"/>
                <w:color w:val="auto"/>
              </w:rPr>
            </w:pPr>
          </w:p>
        </w:tc>
        <w:tc>
          <w:tcPr>
            <w:tcW w:w="2040" w:type="dxa"/>
            <w:vAlign w:val="bottom"/>
          </w:tcPr>
          <w:p>
            <w:pPr>
              <w:jc w:val="right"/>
              <w:ind w:right="719"/>
              <w:spacing w:after="0"/>
              <w:rPr>
                <w:sz w:val="20"/>
                <w:szCs w:val="20"/>
                <w:color w:val="auto"/>
              </w:rPr>
            </w:pPr>
            <w:r>
              <w:rPr>
                <w:rFonts w:ascii="Arial" w:cs="Arial" w:eastAsia="Arial" w:hAnsi="Arial"/>
                <w:sz w:val="16"/>
                <w:szCs w:val="16"/>
                <w:b w:val="1"/>
                <w:bCs w:val="1"/>
                <w:color w:val="auto"/>
              </w:rPr>
              <w:t>284</w:t>
            </w:r>
          </w:p>
        </w:tc>
        <w:tc>
          <w:tcPr>
            <w:tcW w:w="700" w:type="dxa"/>
            <w:vAlign w:val="bottom"/>
          </w:tcPr>
          <w:p>
            <w:pPr>
              <w:jc w:val="right"/>
              <w:spacing w:after="0"/>
              <w:rPr>
                <w:sz w:val="20"/>
                <w:szCs w:val="20"/>
                <w:color w:val="auto"/>
              </w:rPr>
            </w:pPr>
            <w:r>
              <w:rPr>
                <w:rFonts w:ascii="Arial" w:cs="Arial" w:eastAsia="Arial" w:hAnsi="Arial"/>
                <w:sz w:val="16"/>
                <w:szCs w:val="16"/>
                <w:color w:val="auto"/>
              </w:rPr>
              <w:t>546</w:t>
            </w:r>
          </w:p>
        </w:tc>
        <w:tc>
          <w:tcPr>
            <w:tcW w:w="0" w:type="dxa"/>
            <w:vAlign w:val="bottom"/>
          </w:tcPr>
          <w:p>
            <w:pPr>
              <w:spacing w:after="0"/>
              <w:rPr>
                <w:sz w:val="1"/>
                <w:szCs w:val="1"/>
                <w:color w:val="auto"/>
              </w:rPr>
            </w:pPr>
          </w:p>
        </w:tc>
      </w:tr>
      <w:tr>
        <w:trPr>
          <w:trHeight w:val="182"/>
        </w:trPr>
        <w:tc>
          <w:tcPr>
            <w:tcW w:w="5560" w:type="dxa"/>
            <w:vAlign w:val="bottom"/>
          </w:tcPr>
          <w:p>
            <w:pPr>
              <w:ind w:left="20"/>
              <w:spacing w:after="0" w:line="182" w:lineRule="exact"/>
              <w:rPr>
                <w:sz w:val="20"/>
                <w:szCs w:val="20"/>
                <w:color w:val="auto"/>
              </w:rPr>
            </w:pPr>
            <w:r>
              <w:rPr>
                <w:rFonts w:ascii="Arial" w:cs="Arial" w:eastAsia="Arial" w:hAnsi="Arial"/>
                <w:sz w:val="16"/>
                <w:szCs w:val="16"/>
                <w:color w:val="auto"/>
              </w:rPr>
              <w:t>Net (income) loss attributable to non-controlling interests included in</w:t>
            </w:r>
          </w:p>
        </w:tc>
        <w:tc>
          <w:tcPr>
            <w:tcW w:w="2300" w:type="dxa"/>
            <w:vAlign w:val="bottom"/>
            <w:gridSpan w:val="2"/>
            <w:vMerge w:val="restart"/>
          </w:tcPr>
          <w:p>
            <w:pPr>
              <w:jc w:val="right"/>
              <w:ind w:right="839"/>
              <w:spacing w:after="0"/>
              <w:rPr>
                <w:sz w:val="20"/>
                <w:szCs w:val="20"/>
                <w:color w:val="auto"/>
              </w:rPr>
            </w:pPr>
            <w:r>
              <w:rPr>
                <w:rFonts w:ascii="Arial" w:cs="Arial" w:eastAsia="Arial" w:hAnsi="Arial"/>
                <w:sz w:val="16"/>
                <w:szCs w:val="16"/>
                <w:b w:val="1"/>
                <w:bCs w:val="1"/>
                <w:color w:val="auto"/>
              </w:rPr>
              <w:t>(127)</w:t>
            </w: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40" w:type="dxa"/>
            <w:vAlign w:val="bottom"/>
            <w:vMerge w:val="restart"/>
          </w:tcPr>
          <w:p>
            <w:pPr>
              <w:jc w:val="right"/>
              <w:ind w:right="679"/>
              <w:spacing w:after="0"/>
              <w:rPr>
                <w:sz w:val="20"/>
                <w:szCs w:val="20"/>
                <w:color w:val="auto"/>
              </w:rPr>
            </w:pPr>
            <w:r>
              <w:rPr>
                <w:rFonts w:ascii="Arial" w:cs="Arial" w:eastAsia="Arial" w:hAnsi="Arial"/>
                <w:sz w:val="16"/>
                <w:szCs w:val="16"/>
                <w:b w:val="1"/>
                <w:bCs w:val="1"/>
                <w:color w:val="auto"/>
              </w:rPr>
              <w:t>(466)</w:t>
            </w: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556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comparable earnings and other</w:t>
            </w:r>
          </w:p>
        </w:tc>
        <w:tc>
          <w:tcPr>
            <w:tcW w:w="2300" w:type="dxa"/>
            <w:vAlign w:val="bottom"/>
            <w:tcBorders>
              <w:bottom w:val="single" w:sz="8" w:color="auto"/>
            </w:tcBorders>
            <w:gridSpan w:val="2"/>
            <w:vMerge w:val="continue"/>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w:t>
            </w:r>
          </w:p>
        </w:tc>
        <w:tc>
          <w:tcPr>
            <w:tcW w:w="10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vMerge w:val="continue"/>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(481)</w:t>
            </w:r>
          </w:p>
        </w:tc>
        <w:tc>
          <w:tcPr>
            <w:tcW w:w="0" w:type="dxa"/>
            <w:vAlign w:val="bottom"/>
          </w:tcPr>
          <w:p>
            <w:pPr>
              <w:spacing w:after="0"/>
              <w:rPr>
                <w:sz w:val="1"/>
                <w:szCs w:val="1"/>
                <w:color w:val="auto"/>
              </w:rPr>
            </w:pPr>
          </w:p>
        </w:tc>
      </w:tr>
      <w:tr>
        <w:trPr>
          <w:trHeight w:val="223"/>
        </w:trPr>
        <w:tc>
          <w:tcPr>
            <w:tcW w:w="556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gridSpan w:val="2"/>
          </w:tcPr>
          <w:p>
            <w:pPr>
              <w:jc w:val="right"/>
              <w:ind w:right="879"/>
              <w:spacing w:after="0"/>
              <w:rPr>
                <w:sz w:val="20"/>
                <w:szCs w:val="20"/>
                <w:color w:val="auto"/>
              </w:rPr>
            </w:pPr>
            <w:r>
              <w:rPr>
                <w:rFonts w:ascii="Arial" w:cs="Arial" w:eastAsia="Arial" w:hAnsi="Arial"/>
                <w:sz w:val="16"/>
                <w:szCs w:val="16"/>
                <w:b w:val="1"/>
                <w:bCs w:val="1"/>
                <w:color w:val="auto"/>
              </w:rPr>
              <w:t>547</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480</w:t>
            </w:r>
          </w:p>
        </w:tc>
        <w:tc>
          <w:tcPr>
            <w:tcW w:w="10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jc w:val="right"/>
              <w:ind w:right="719"/>
              <w:spacing w:after="0"/>
              <w:rPr>
                <w:sz w:val="20"/>
                <w:szCs w:val="20"/>
                <w:color w:val="auto"/>
              </w:rPr>
            </w:pPr>
            <w:r>
              <w:rPr>
                <w:rFonts w:ascii="Arial" w:cs="Arial" w:eastAsia="Arial" w:hAnsi="Arial"/>
                <w:sz w:val="16"/>
                <w:szCs w:val="16"/>
                <w:b w:val="1"/>
                <w:bCs w:val="1"/>
                <w:color w:val="auto"/>
              </w:rPr>
              <w:t>1,889</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1,767</w:t>
            </w:r>
          </w:p>
        </w:tc>
        <w:tc>
          <w:tcPr>
            <w:tcW w:w="0" w:type="dxa"/>
            <w:vAlign w:val="bottom"/>
          </w:tcPr>
          <w:p>
            <w:pPr>
              <w:spacing w:after="0"/>
              <w:rPr>
                <w:sz w:val="1"/>
                <w:szCs w:val="1"/>
                <w:color w:val="auto"/>
              </w:rPr>
            </w:pPr>
          </w:p>
        </w:tc>
      </w:tr>
      <w:tr>
        <w:trPr>
          <w:trHeight w:val="223"/>
        </w:trPr>
        <w:tc>
          <w:tcPr>
            <w:tcW w:w="55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Average exchange rate – U.S. to Canadian dollars</w:t>
            </w:r>
          </w:p>
        </w:tc>
        <w:tc>
          <w:tcPr>
            <w:tcW w:w="2300" w:type="dxa"/>
            <w:vAlign w:val="bottom"/>
            <w:tcBorders>
              <w:bottom w:val="single" w:sz="8" w:color="auto"/>
            </w:tcBorders>
            <w:gridSpan w:val="2"/>
          </w:tcPr>
          <w:p>
            <w:pPr>
              <w:jc w:val="right"/>
              <w:ind w:right="879"/>
              <w:spacing w:after="0"/>
              <w:rPr>
                <w:sz w:val="20"/>
                <w:szCs w:val="20"/>
                <w:color w:val="auto"/>
              </w:rPr>
            </w:pPr>
            <w:r>
              <w:rPr>
                <w:rFonts w:ascii="Arial" w:cs="Arial" w:eastAsia="Arial" w:hAnsi="Arial"/>
                <w:sz w:val="16"/>
                <w:szCs w:val="16"/>
                <w:b w:val="1"/>
                <w:bCs w:val="1"/>
                <w:color w:val="auto"/>
              </w:rPr>
              <w:t>1.39</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1.40</w:t>
            </w:r>
          </w:p>
        </w:tc>
        <w:tc>
          <w:tcPr>
            <w:tcW w:w="10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jc w:val="right"/>
              <w:ind w:right="719"/>
              <w:spacing w:after="0"/>
              <w:rPr>
                <w:sz w:val="20"/>
                <w:szCs w:val="20"/>
                <w:color w:val="auto"/>
              </w:rPr>
            </w:pPr>
            <w:r>
              <w:rPr>
                <w:rFonts w:ascii="Arial" w:cs="Arial" w:eastAsia="Arial" w:hAnsi="Arial"/>
                <w:sz w:val="16"/>
                <w:szCs w:val="16"/>
                <w:b w:val="1"/>
                <w:bCs w:val="1"/>
                <w:color w:val="auto"/>
              </w:rPr>
              <w:t>1.40</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1.37</w:t>
            </w:r>
          </w:p>
        </w:tc>
        <w:tc>
          <w:tcPr>
            <w:tcW w:w="0" w:type="dxa"/>
            <w:vAlign w:val="bottom"/>
          </w:tcPr>
          <w:p>
            <w:pPr>
              <w:spacing w:after="0"/>
              <w:rPr>
                <w:sz w:val="1"/>
                <w:szCs w:val="1"/>
                <w:color w:val="auto"/>
              </w:rPr>
            </w:pPr>
          </w:p>
        </w:tc>
      </w:tr>
    </w:tbl>
    <w:p>
      <w:pPr>
        <w:spacing w:after="0" w:line="233" w:lineRule="exact"/>
        <w:rPr>
          <w:sz w:val="20"/>
          <w:szCs w:val="20"/>
          <w:color w:val="auto"/>
        </w:rPr>
      </w:pPr>
    </w:p>
    <w:p>
      <w:pPr>
        <w:spacing w:after="0"/>
        <w:rPr>
          <w:sz w:val="20"/>
          <w:szCs w:val="20"/>
          <w:color w:val="auto"/>
        </w:rPr>
      </w:pPr>
      <w:r>
        <w:rPr>
          <w:rFonts w:ascii="Arial" w:cs="Arial" w:eastAsia="Arial" w:hAnsi="Arial"/>
          <w:sz w:val="20"/>
          <w:szCs w:val="20"/>
          <w:b w:val="1"/>
          <w:bCs w:val="1"/>
          <w:color w:val="0D64EF"/>
        </w:rPr>
        <w:t>FOREIGN EXCHANGE RELATED TO MEXICO NATURAL GAS PIPELINES</w:t>
      </w:r>
    </w:p>
    <w:p>
      <w:pPr>
        <w:spacing w:after="0" w:line="58" w:lineRule="exact"/>
        <w:rPr>
          <w:sz w:val="20"/>
          <w:szCs w:val="20"/>
          <w:color w:val="auto"/>
        </w:rPr>
      </w:pPr>
    </w:p>
    <w:p>
      <w:pPr>
        <w:ind w:right="60"/>
        <w:spacing w:after="0" w:line="310" w:lineRule="auto"/>
        <w:rPr>
          <w:sz w:val="20"/>
          <w:szCs w:val="20"/>
          <w:color w:val="auto"/>
        </w:rPr>
      </w:pPr>
      <w:r>
        <w:rPr>
          <w:rFonts w:ascii="Arial" w:cs="Arial" w:eastAsia="Arial" w:hAnsi="Arial"/>
          <w:sz w:val="18"/>
          <w:szCs w:val="18"/>
          <w:color w:val="auto"/>
        </w:rPr>
        <w:t>Changes in the value of the Mexican peso against the U.S. dollar can affect our comparable earnings as a portion of our Mexico Natural Gas Pipelines' monetary assets and liabilities are peso-denominated, while our financial results are denominated in U.S. dollars for our Mexico operations. These peso-denominated balances are revalued to U.S. dollars, creating foreign exchange gains and losses that are included in Income (loss) from equity investments, Foreign exchange (gains) losses, net and Net income (loss) attributable to non-controlling interests in the Condensed consolidated statement of income.</w:t>
      </w:r>
    </w:p>
    <w:p>
      <w:pPr>
        <w:spacing w:after="0" w:line="14" w:lineRule="exact"/>
        <w:rPr>
          <w:sz w:val="20"/>
          <w:szCs w:val="20"/>
          <w:color w:val="auto"/>
        </w:rPr>
      </w:pPr>
    </w:p>
    <w:p>
      <w:pPr>
        <w:ind w:right="300"/>
        <w:spacing w:after="0" w:line="276" w:lineRule="exact"/>
        <w:rPr>
          <w:sz w:val="20"/>
          <w:szCs w:val="20"/>
          <w:color w:val="auto"/>
        </w:rPr>
      </w:pPr>
      <w:r>
        <w:rPr>
          <w:rFonts w:ascii="Arial" w:cs="Arial" w:eastAsia="Arial" w:hAnsi="Arial"/>
          <w:sz w:val="18"/>
          <w:szCs w:val="18"/>
          <w:color w:val="auto"/>
        </w:rPr>
        <w:t>In addition, foreign exchange gains or losses calculated for Mexico income tax purposes on the revaluation of U.S. dollar</w:t>
      </w:r>
      <w:r>
        <w:rPr>
          <w:rFonts w:ascii="MS PGothic" w:cs="MS PGothic" w:eastAsia="MS PGothic" w:hAnsi="MS PGothic"/>
          <w:sz w:val="18"/>
          <w:szCs w:val="18"/>
          <w:color w:val="auto"/>
        </w:rPr>
        <w:t>‑</w:t>
      </w:r>
      <w:r>
        <w:rPr>
          <w:rFonts w:ascii="Arial" w:cs="Arial" w:eastAsia="Arial" w:hAnsi="Arial"/>
          <w:sz w:val="18"/>
          <w:szCs w:val="18"/>
          <w:color w:val="auto"/>
        </w:rPr>
        <w:t>denominated monetary assets and liabilities result in a peso-denominated income tax exposure for these entities, leading to fluctuations in Income from equity investments and Income tax expense. This exposure increases as our U.S. dollar</w:t>
      </w:r>
      <w:r>
        <w:rPr>
          <w:rFonts w:ascii="MS PGothic" w:cs="MS PGothic" w:eastAsia="MS PGothic" w:hAnsi="MS PGothic"/>
          <w:sz w:val="18"/>
          <w:szCs w:val="18"/>
          <w:color w:val="auto"/>
        </w:rPr>
        <w:t>‑</w:t>
      </w:r>
      <w:r>
        <w:rPr>
          <w:rFonts w:ascii="Arial" w:cs="Arial" w:eastAsia="Arial" w:hAnsi="Arial"/>
          <w:sz w:val="18"/>
          <w:szCs w:val="18"/>
          <w:color w:val="auto"/>
        </w:rPr>
        <w:t>denominated net monetary liabilities grow.</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7060"/>
        <w:spacing w:after="0"/>
        <w:rPr>
          <w:sz w:val="20"/>
          <w:szCs w:val="20"/>
          <w:color w:val="auto"/>
        </w:rPr>
      </w:pPr>
      <w:r>
        <w:rPr>
          <w:rFonts w:ascii="Arial" w:cs="Arial" w:eastAsia="Arial" w:hAnsi="Arial"/>
          <w:sz w:val="17"/>
          <w:szCs w:val="17"/>
          <w:color w:val="auto"/>
        </w:rPr>
        <w:t xml:space="preserve">TC Energy </w:t>
      </w:r>
      <w:r>
        <w:rPr>
          <w:rFonts w:ascii="Arial" w:cs="Arial" w:eastAsia="Arial" w:hAnsi="Arial"/>
          <w:sz w:val="17"/>
          <w:szCs w:val="17"/>
          <w:b w:val="1"/>
          <w:bCs w:val="1"/>
          <w:color w:val="0D64EF"/>
        </w:rPr>
        <w:t>Fourth Quarter</w:t>
      </w:r>
      <w:r>
        <w:rPr>
          <w:rFonts w:ascii="Arial" w:cs="Arial" w:eastAsia="Arial" w:hAnsi="Arial"/>
          <w:sz w:val="17"/>
          <w:szCs w:val="17"/>
          <w:color w:val="auto"/>
        </w:rPr>
        <w:t xml:space="preserve"> News Release 2025 | 27</w:t>
      </w:r>
    </w:p>
    <w:p>
      <w:pPr>
        <w:sectPr>
          <w:pgSz w:w="11900" w:h="16838" w:orient="portrait"/>
          <w:cols w:equalWidth="0" w:num="1">
            <w:col w:w="11240"/>
          </w:cols>
          <w:pgMar w:left="320" w:top="1359" w:right="339" w:bottom="1440" w:gutter="0" w:footer="0" w:header="0"/>
        </w:sectPr>
      </w:pPr>
    </w:p>
    <w:bookmarkStart w:id="40" w:name="page41"/>
    <w:bookmarkEnd w:id="40"/>
    <w:p>
      <w:pPr>
        <w:jc w:val="both"/>
        <w:ind w:right="380"/>
        <w:spacing w:after="0" w:line="302" w:lineRule="auto"/>
        <w:rPr>
          <w:sz w:val="20"/>
          <w:szCs w:val="20"/>
          <w:color w:val="auto"/>
        </w:rPr>
      </w:pPr>
      <w:r>
        <w:rPr>
          <w:rFonts w:ascii="Arial" w:cs="Arial" w:eastAsia="Arial" w:hAnsi="Arial"/>
          <w:sz w:val="18"/>
          <w:szCs w:val="18"/>
          <w:color w:val="auto"/>
        </w:rPr>
        <w:t>The above exposures are managed using foreign exchange derivatives, although some unhedged exposure remains. The impacts of the foreign exchange derivatives are recorded in Foreign exchange (gains) losses, net in the Condensed consolidated statement of income. Refer to the Other information – Financial risks and Financial instruments sections in the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MD&amp;A of our 2025 Annual Report for additional information.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The period end exchange rates for one U.S. dollar to Mexican pesos were as follows: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12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December 31, 2025</w:t>
            </w:r>
          </w:p>
        </w:tc>
        <w:tc>
          <w:tcPr>
            <w:tcW w:w="51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18.00</w:t>
            </w:r>
          </w:p>
        </w:tc>
      </w:tr>
      <w:tr>
        <w:trPr>
          <w:trHeight w:val="221"/>
        </w:trPr>
        <w:tc>
          <w:tcPr>
            <w:tcW w:w="6120" w:type="dxa"/>
            <w:vAlign w:val="bottom"/>
          </w:tcPr>
          <w:p>
            <w:pPr>
              <w:ind w:left="20"/>
              <w:spacing w:after="0"/>
              <w:rPr>
                <w:sz w:val="20"/>
                <w:szCs w:val="20"/>
                <w:color w:val="auto"/>
              </w:rPr>
            </w:pPr>
            <w:r>
              <w:rPr>
                <w:rFonts w:ascii="Arial" w:cs="Arial" w:eastAsia="Arial" w:hAnsi="Arial"/>
                <w:sz w:val="16"/>
                <w:szCs w:val="16"/>
                <w:color w:val="auto"/>
              </w:rPr>
              <w:t>December 31, 2024</w:t>
            </w:r>
          </w:p>
        </w:tc>
        <w:tc>
          <w:tcPr>
            <w:tcW w:w="5120" w:type="dxa"/>
            <w:vAlign w:val="bottom"/>
          </w:tcPr>
          <w:p>
            <w:pPr>
              <w:jc w:val="right"/>
              <w:spacing w:after="0"/>
              <w:rPr>
                <w:sz w:val="20"/>
                <w:szCs w:val="20"/>
                <w:color w:val="auto"/>
              </w:rPr>
            </w:pPr>
            <w:r>
              <w:rPr>
                <w:rFonts w:ascii="Arial" w:cs="Arial" w:eastAsia="Arial" w:hAnsi="Arial"/>
                <w:sz w:val="16"/>
                <w:szCs w:val="16"/>
                <w:color w:val="auto"/>
              </w:rPr>
              <w:t>20.87</w:t>
            </w:r>
          </w:p>
        </w:tc>
      </w:tr>
      <w:tr>
        <w:trPr>
          <w:trHeight w:val="239"/>
        </w:trPr>
        <w:tc>
          <w:tcPr>
            <w:tcW w:w="61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December 31, 2023</w:t>
            </w:r>
          </w:p>
        </w:tc>
        <w:tc>
          <w:tcPr>
            <w:tcW w:w="5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16.91</w:t>
            </w:r>
          </w:p>
        </w:tc>
      </w:tr>
    </w:tbl>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impacts of transactional foreign exchange gains and losses from changes in the value of the Mexican peso against the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U.S. dollar and associated derivatives is set out in the table below:</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540" w:type="dxa"/>
            <w:vAlign w:val="bottom"/>
            <w:tcBorders>
              <w:top w:val="single" w:sz="8" w:color="0D64EF"/>
            </w:tcBorders>
            <w:shd w:val="clear" w:color="auto" w:fill="D1D0CF"/>
          </w:tcPr>
          <w:p>
            <w:pPr>
              <w:spacing w:after="0"/>
              <w:rPr>
                <w:sz w:val="16"/>
                <w:szCs w:val="16"/>
                <w:color w:val="auto"/>
              </w:rPr>
            </w:pPr>
          </w:p>
        </w:tc>
        <w:tc>
          <w:tcPr>
            <w:tcW w:w="100" w:type="dxa"/>
            <w:vAlign w:val="bottom"/>
            <w:tcBorders>
              <w:top w:val="single" w:sz="8" w:color="0D64EF"/>
            </w:tcBorders>
            <w:shd w:val="clear" w:color="auto" w:fill="D1D0CF"/>
          </w:tcPr>
          <w:p>
            <w:pPr>
              <w:spacing w:after="0"/>
              <w:rPr>
                <w:sz w:val="16"/>
                <w:szCs w:val="16"/>
                <w:color w:val="auto"/>
              </w:rPr>
            </w:pPr>
          </w:p>
        </w:tc>
        <w:tc>
          <w:tcPr>
            <w:tcW w:w="2240" w:type="dxa"/>
            <w:vAlign w:val="bottom"/>
            <w:tcBorders>
              <w:top w:val="single" w:sz="8" w:color="0D64EF"/>
            </w:tcBorders>
            <w:shd w:val="clear" w:color="auto" w:fill="D1D0CF"/>
          </w:tcPr>
          <w:p>
            <w:pPr>
              <w:jc w:val="right"/>
              <w:ind w:right="39"/>
              <w:spacing w:after="0"/>
              <w:rPr>
                <w:sz w:val="20"/>
                <w:szCs w:val="20"/>
                <w:color w:val="auto"/>
              </w:rPr>
            </w:pPr>
            <w:r>
              <w:rPr>
                <w:rFonts w:ascii="Arial" w:cs="Arial" w:eastAsia="Arial" w:hAnsi="Arial"/>
                <w:sz w:val="16"/>
                <w:szCs w:val="16"/>
                <w:b w:val="1"/>
                <w:bCs w:val="1"/>
                <w:color w:val="auto"/>
              </w:rPr>
              <w:t>three months ended</w:t>
            </w:r>
          </w:p>
        </w:tc>
        <w:tc>
          <w:tcPr>
            <w:tcW w:w="480" w:type="dxa"/>
            <w:vAlign w:val="bottom"/>
            <w:tcBorders>
              <w:top w:val="single" w:sz="8" w:color="0D64EF"/>
            </w:tcBorders>
            <w:shd w:val="clear" w:color="auto" w:fill="D1D0CF"/>
          </w:tcPr>
          <w:p>
            <w:pPr>
              <w:spacing w:after="0"/>
              <w:rPr>
                <w:sz w:val="16"/>
                <w:szCs w:val="16"/>
                <w:color w:val="auto"/>
              </w:rPr>
            </w:pPr>
          </w:p>
        </w:tc>
        <w:tc>
          <w:tcPr>
            <w:tcW w:w="80" w:type="dxa"/>
            <w:vAlign w:val="bottom"/>
            <w:tcBorders>
              <w:top w:val="single" w:sz="8" w:color="0D64EF"/>
            </w:tcBorders>
            <w:shd w:val="clear" w:color="auto" w:fill="D1D0CF"/>
          </w:tcPr>
          <w:p>
            <w:pPr>
              <w:spacing w:after="0"/>
              <w:rPr>
                <w:sz w:val="16"/>
                <w:szCs w:val="16"/>
                <w:color w:val="auto"/>
              </w:rPr>
            </w:pPr>
          </w:p>
        </w:tc>
        <w:tc>
          <w:tcPr>
            <w:tcW w:w="2120" w:type="dxa"/>
            <w:vAlign w:val="bottom"/>
            <w:tcBorders>
              <w:top w:val="single" w:sz="8" w:color="0D64EF"/>
            </w:tcBorders>
            <w:shd w:val="clear" w:color="auto" w:fill="D1D0CF"/>
          </w:tcPr>
          <w:p>
            <w:pPr>
              <w:jc w:val="right"/>
              <w:ind w:right="259"/>
              <w:spacing w:after="0"/>
              <w:rPr>
                <w:sz w:val="20"/>
                <w:szCs w:val="20"/>
                <w:color w:val="auto"/>
              </w:rPr>
            </w:pPr>
            <w:r>
              <w:rPr>
                <w:rFonts w:ascii="Arial" w:cs="Arial" w:eastAsia="Arial" w:hAnsi="Arial"/>
                <w:sz w:val="16"/>
                <w:szCs w:val="16"/>
                <w:b w:val="1"/>
                <w:bCs w:val="1"/>
                <w:color w:val="auto"/>
              </w:rPr>
              <w:t>year ended</w:t>
            </w:r>
          </w:p>
        </w:tc>
        <w:tc>
          <w:tcPr>
            <w:tcW w:w="620" w:type="dxa"/>
            <w:vAlign w:val="bottom"/>
            <w:tcBorders>
              <w:top w:val="single" w:sz="8" w:color="0D64EF"/>
            </w:tcBorders>
            <w:shd w:val="clear" w:color="auto" w:fill="D1D0CF"/>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5540" w:type="dxa"/>
            <w:vAlign w:val="bottom"/>
            <w:tcBorders>
              <w:bottom w:val="single" w:sz="8" w:color="D1D0CF"/>
            </w:tcBorders>
            <w:shd w:val="clear" w:color="auto" w:fill="D1D0CF"/>
          </w:tcPr>
          <w:p>
            <w:pPr>
              <w:spacing w:after="0"/>
              <w:rPr>
                <w:sz w:val="19"/>
                <w:szCs w:val="19"/>
                <w:color w:val="auto"/>
              </w:rPr>
            </w:pPr>
          </w:p>
        </w:tc>
        <w:tc>
          <w:tcPr>
            <w:tcW w:w="100" w:type="dxa"/>
            <w:vAlign w:val="bottom"/>
            <w:tcBorders>
              <w:bottom w:val="single" w:sz="8" w:color="D1D0CF"/>
            </w:tcBorders>
            <w:shd w:val="clear" w:color="auto" w:fill="D1D0CF"/>
          </w:tcPr>
          <w:p>
            <w:pPr>
              <w:spacing w:after="0"/>
              <w:rPr>
                <w:sz w:val="19"/>
                <w:szCs w:val="19"/>
                <w:color w:val="auto"/>
              </w:rPr>
            </w:pPr>
          </w:p>
        </w:tc>
        <w:tc>
          <w:tcPr>
            <w:tcW w:w="2240" w:type="dxa"/>
            <w:vAlign w:val="bottom"/>
            <w:tcBorders>
              <w:bottom w:val="single" w:sz="8" w:color="0D64EF"/>
            </w:tcBorders>
            <w:shd w:val="clear" w:color="auto" w:fill="D1D0CF"/>
          </w:tcPr>
          <w:p>
            <w:pPr>
              <w:jc w:val="right"/>
              <w:ind w:right="299"/>
              <w:spacing w:after="0"/>
              <w:rPr>
                <w:sz w:val="20"/>
                <w:szCs w:val="20"/>
                <w:color w:val="auto"/>
              </w:rPr>
            </w:pPr>
            <w:r>
              <w:rPr>
                <w:rFonts w:ascii="Arial" w:cs="Arial" w:eastAsia="Arial" w:hAnsi="Arial"/>
                <w:sz w:val="16"/>
                <w:szCs w:val="16"/>
                <w:b w:val="1"/>
                <w:bCs w:val="1"/>
                <w:color w:val="auto"/>
              </w:rPr>
              <w:t>December 31</w:t>
            </w:r>
          </w:p>
        </w:tc>
        <w:tc>
          <w:tcPr>
            <w:tcW w:w="480" w:type="dxa"/>
            <w:vAlign w:val="bottom"/>
            <w:tcBorders>
              <w:bottom w:val="single" w:sz="8" w:color="0D64EF"/>
            </w:tcBorders>
            <w:shd w:val="clear" w:color="auto" w:fill="D1D0CF"/>
          </w:tcPr>
          <w:p>
            <w:pPr>
              <w:spacing w:after="0"/>
              <w:rPr>
                <w:sz w:val="19"/>
                <w:szCs w:val="19"/>
                <w:color w:val="auto"/>
              </w:rPr>
            </w:pPr>
          </w:p>
        </w:tc>
        <w:tc>
          <w:tcPr>
            <w:tcW w:w="80" w:type="dxa"/>
            <w:vAlign w:val="bottom"/>
            <w:tcBorders>
              <w:bottom w:val="single" w:sz="8" w:color="D1D0CF"/>
            </w:tcBorders>
            <w:shd w:val="clear" w:color="auto" w:fill="D1D0CF"/>
          </w:tcPr>
          <w:p>
            <w:pPr>
              <w:spacing w:after="0"/>
              <w:rPr>
                <w:sz w:val="19"/>
                <w:szCs w:val="19"/>
                <w:color w:val="auto"/>
              </w:rPr>
            </w:pPr>
          </w:p>
        </w:tc>
        <w:tc>
          <w:tcPr>
            <w:tcW w:w="2120" w:type="dxa"/>
            <w:vAlign w:val="bottom"/>
            <w:tcBorders>
              <w:bottom w:val="single" w:sz="8" w:color="0D64EF"/>
            </w:tcBorders>
            <w:shd w:val="clear" w:color="auto" w:fill="D1D0CF"/>
          </w:tcPr>
          <w:p>
            <w:pPr>
              <w:jc w:val="right"/>
              <w:ind w:right="159"/>
              <w:spacing w:after="0"/>
              <w:rPr>
                <w:sz w:val="20"/>
                <w:szCs w:val="20"/>
                <w:color w:val="auto"/>
              </w:rPr>
            </w:pPr>
            <w:r>
              <w:rPr>
                <w:rFonts w:ascii="Arial" w:cs="Arial" w:eastAsia="Arial" w:hAnsi="Arial"/>
                <w:sz w:val="16"/>
                <w:szCs w:val="16"/>
                <w:b w:val="1"/>
                <w:bCs w:val="1"/>
                <w:color w:val="auto"/>
              </w:rPr>
              <w:t>December 31</w:t>
            </w:r>
          </w:p>
        </w:tc>
        <w:tc>
          <w:tcPr>
            <w:tcW w:w="620" w:type="dxa"/>
            <w:vAlign w:val="bottom"/>
            <w:tcBorders>
              <w:bottom w:val="single" w:sz="8" w:color="0D64EF"/>
            </w:tcBorders>
            <w:shd w:val="clear" w:color="auto" w:fill="D1D0C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540" w:type="dxa"/>
            <w:vAlign w:val="bottom"/>
            <w:tcBorders>
              <w:bottom w:val="single" w:sz="8" w:color="0D64EF"/>
            </w:tcBorders>
            <w:shd w:val="clear" w:color="auto" w:fill="D1D0CF"/>
          </w:tcPr>
          <w:p>
            <w:pPr>
              <w:ind w:left="20"/>
              <w:spacing w:after="0"/>
              <w:rPr>
                <w:sz w:val="20"/>
                <w:szCs w:val="20"/>
                <w:color w:val="auto"/>
              </w:rPr>
            </w:pPr>
            <w:r>
              <w:rPr>
                <w:rFonts w:ascii="Arial" w:cs="Arial" w:eastAsia="Arial" w:hAnsi="Arial"/>
                <w:sz w:val="16"/>
                <w:szCs w:val="16"/>
                <w:color w:val="auto"/>
              </w:rPr>
              <w:t>(millions of $)</w:t>
            </w:r>
          </w:p>
        </w:tc>
        <w:tc>
          <w:tcPr>
            <w:tcW w:w="100" w:type="dxa"/>
            <w:vAlign w:val="bottom"/>
            <w:tcBorders>
              <w:bottom w:val="single" w:sz="8" w:color="0D64EF"/>
            </w:tcBorders>
            <w:shd w:val="clear" w:color="auto" w:fill="D1D0CF"/>
          </w:tcPr>
          <w:p>
            <w:pPr>
              <w:spacing w:after="0"/>
              <w:rPr>
                <w:sz w:val="19"/>
                <w:szCs w:val="19"/>
                <w:color w:val="auto"/>
              </w:rPr>
            </w:pPr>
          </w:p>
        </w:tc>
        <w:tc>
          <w:tcPr>
            <w:tcW w:w="2240" w:type="dxa"/>
            <w:vAlign w:val="bottom"/>
            <w:tcBorders>
              <w:bottom w:val="single" w:sz="8" w:color="0D64EF"/>
            </w:tcBorders>
            <w:shd w:val="clear" w:color="auto" w:fill="D1D0CF"/>
          </w:tcPr>
          <w:p>
            <w:pPr>
              <w:jc w:val="right"/>
              <w:ind w:right="879"/>
              <w:spacing w:after="0"/>
              <w:rPr>
                <w:sz w:val="20"/>
                <w:szCs w:val="20"/>
                <w:color w:val="auto"/>
              </w:rPr>
            </w:pPr>
            <w:r>
              <w:rPr>
                <w:rFonts w:ascii="Arial" w:cs="Arial" w:eastAsia="Arial" w:hAnsi="Arial"/>
                <w:sz w:val="16"/>
                <w:szCs w:val="16"/>
                <w:b w:val="1"/>
                <w:bCs w:val="1"/>
                <w:color w:val="auto"/>
              </w:rPr>
              <w:t>2025</w:t>
            </w:r>
          </w:p>
        </w:tc>
        <w:tc>
          <w:tcPr>
            <w:tcW w:w="480" w:type="dxa"/>
            <w:vAlign w:val="bottom"/>
            <w:tcBorders>
              <w:bottom w:val="single" w:sz="8" w:color="0D64EF"/>
            </w:tcBorders>
            <w:shd w:val="clear" w:color="auto" w:fill="D1D0CF"/>
          </w:tcPr>
          <w:p>
            <w:pPr>
              <w:jc w:val="right"/>
              <w:spacing w:after="0"/>
              <w:rPr>
                <w:sz w:val="20"/>
                <w:szCs w:val="20"/>
                <w:color w:val="auto"/>
              </w:rPr>
            </w:pPr>
            <w:r>
              <w:rPr>
                <w:rFonts w:ascii="Arial" w:cs="Arial" w:eastAsia="Arial" w:hAnsi="Arial"/>
                <w:sz w:val="16"/>
                <w:szCs w:val="16"/>
                <w:b w:val="1"/>
                <w:bCs w:val="1"/>
                <w:color w:val="auto"/>
              </w:rPr>
              <w:t>2024</w:t>
            </w:r>
          </w:p>
        </w:tc>
        <w:tc>
          <w:tcPr>
            <w:tcW w:w="80" w:type="dxa"/>
            <w:vAlign w:val="bottom"/>
            <w:tcBorders>
              <w:bottom w:val="single" w:sz="8" w:color="0D64EF"/>
            </w:tcBorders>
            <w:shd w:val="clear" w:color="auto" w:fill="D1D0CF"/>
          </w:tcPr>
          <w:p>
            <w:pPr>
              <w:spacing w:after="0"/>
              <w:rPr>
                <w:sz w:val="19"/>
                <w:szCs w:val="19"/>
                <w:color w:val="auto"/>
              </w:rPr>
            </w:pPr>
          </w:p>
        </w:tc>
        <w:tc>
          <w:tcPr>
            <w:tcW w:w="2120" w:type="dxa"/>
            <w:vAlign w:val="bottom"/>
            <w:tcBorders>
              <w:bottom w:val="single" w:sz="8" w:color="0D64EF"/>
            </w:tcBorders>
            <w:shd w:val="clear" w:color="auto" w:fill="D1D0CF"/>
          </w:tcPr>
          <w:p>
            <w:pPr>
              <w:jc w:val="right"/>
              <w:ind w:right="739"/>
              <w:spacing w:after="0"/>
              <w:rPr>
                <w:sz w:val="20"/>
                <w:szCs w:val="20"/>
                <w:color w:val="auto"/>
              </w:rPr>
            </w:pPr>
            <w:r>
              <w:rPr>
                <w:rFonts w:ascii="Arial" w:cs="Arial" w:eastAsia="Arial" w:hAnsi="Arial"/>
                <w:sz w:val="16"/>
                <w:szCs w:val="16"/>
                <w:b w:val="1"/>
                <w:bCs w:val="1"/>
                <w:color w:val="auto"/>
              </w:rPr>
              <w:t>2025</w:t>
            </w:r>
          </w:p>
        </w:tc>
        <w:tc>
          <w:tcPr>
            <w:tcW w:w="620" w:type="dxa"/>
            <w:vAlign w:val="bottom"/>
            <w:tcBorders>
              <w:bottom w:val="single" w:sz="8" w:color="0D64EF"/>
            </w:tcBorders>
            <w:shd w:val="clear" w:color="auto" w:fill="D1D0CF"/>
          </w:tcPr>
          <w:p>
            <w:pPr>
              <w:jc w:val="right"/>
              <w:spacing w:after="0"/>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266"/>
        </w:trPr>
        <w:tc>
          <w:tcPr>
            <w:tcW w:w="5540" w:type="dxa"/>
            <w:vAlign w:val="bottom"/>
          </w:tcPr>
          <w:p>
            <w:pPr>
              <w:ind w:left="20"/>
              <w:spacing w:after="0"/>
              <w:rPr>
                <w:sz w:val="20"/>
                <w:szCs w:val="20"/>
                <w:color w:val="auto"/>
              </w:rPr>
            </w:pPr>
            <w:r>
              <w:rPr>
                <w:rFonts w:ascii="Arial" w:cs="Arial" w:eastAsia="Arial" w:hAnsi="Arial"/>
                <w:sz w:val="16"/>
                <w:szCs w:val="16"/>
                <w:color w:val="auto"/>
              </w:rPr>
              <w:t>Comparable EBITDA - Mexico Natural Gas Pipelines</w:t>
            </w:r>
            <w:r>
              <w:rPr>
                <w:rFonts w:ascii="Arial" w:cs="Arial" w:eastAsia="Arial" w:hAnsi="Arial"/>
                <w:sz w:val="21"/>
                <w:szCs w:val="21"/>
                <w:color w:val="auto"/>
                <w:vertAlign w:val="superscript"/>
              </w:rPr>
              <w:t>1</w:t>
            </w:r>
          </w:p>
        </w:tc>
        <w:tc>
          <w:tcPr>
            <w:tcW w:w="2340" w:type="dxa"/>
            <w:vAlign w:val="bottom"/>
            <w:gridSpan w:val="2"/>
          </w:tcPr>
          <w:p>
            <w:pPr>
              <w:jc w:val="right"/>
              <w:ind w:right="879"/>
              <w:spacing w:after="0"/>
              <w:rPr>
                <w:sz w:val="20"/>
                <w:szCs w:val="20"/>
                <w:color w:val="auto"/>
              </w:rPr>
            </w:pPr>
            <w:r>
              <w:rPr>
                <w:rFonts w:ascii="Arial" w:cs="Arial" w:eastAsia="Arial" w:hAnsi="Arial"/>
                <w:sz w:val="16"/>
                <w:szCs w:val="16"/>
                <w:b w:val="1"/>
                <w:bCs w:val="1"/>
                <w:color w:val="auto"/>
              </w:rPr>
              <w:t>(12)</w:t>
            </w:r>
          </w:p>
        </w:tc>
        <w:tc>
          <w:tcPr>
            <w:tcW w:w="480" w:type="dxa"/>
            <w:vAlign w:val="bottom"/>
          </w:tcPr>
          <w:p>
            <w:pPr>
              <w:jc w:val="right"/>
              <w:spacing w:after="0"/>
              <w:rPr>
                <w:sz w:val="20"/>
                <w:szCs w:val="20"/>
                <w:color w:val="auto"/>
              </w:rPr>
            </w:pPr>
            <w:r>
              <w:rPr>
                <w:rFonts w:ascii="Arial" w:cs="Arial" w:eastAsia="Arial" w:hAnsi="Arial"/>
                <w:sz w:val="16"/>
                <w:szCs w:val="16"/>
                <w:color w:val="auto"/>
              </w:rPr>
              <w:t>30</w:t>
            </w:r>
          </w:p>
        </w:tc>
        <w:tc>
          <w:tcPr>
            <w:tcW w:w="80" w:type="dxa"/>
            <w:vAlign w:val="bottom"/>
          </w:tcPr>
          <w:p>
            <w:pPr>
              <w:spacing w:after="0"/>
              <w:rPr>
                <w:sz w:val="23"/>
                <w:szCs w:val="23"/>
                <w:color w:val="auto"/>
              </w:rPr>
            </w:pPr>
          </w:p>
        </w:tc>
        <w:tc>
          <w:tcPr>
            <w:tcW w:w="2120" w:type="dxa"/>
            <w:vAlign w:val="bottom"/>
          </w:tcPr>
          <w:p>
            <w:pPr>
              <w:jc w:val="right"/>
              <w:ind w:right="759"/>
              <w:spacing w:after="0"/>
              <w:rPr>
                <w:sz w:val="20"/>
                <w:szCs w:val="20"/>
                <w:color w:val="auto"/>
              </w:rPr>
            </w:pPr>
            <w:r>
              <w:rPr>
                <w:rFonts w:ascii="Arial" w:cs="Arial" w:eastAsia="Arial" w:hAnsi="Arial"/>
                <w:sz w:val="16"/>
                <w:szCs w:val="16"/>
                <w:b w:val="1"/>
                <w:bCs w:val="1"/>
                <w:color w:val="auto"/>
              </w:rPr>
              <w:t>(80)</w:t>
            </w:r>
          </w:p>
        </w:tc>
        <w:tc>
          <w:tcPr>
            <w:tcW w:w="620" w:type="dxa"/>
            <w:vAlign w:val="bottom"/>
          </w:tcPr>
          <w:p>
            <w:pPr>
              <w:jc w:val="right"/>
              <w:spacing w:after="0"/>
              <w:rPr>
                <w:sz w:val="20"/>
                <w:szCs w:val="20"/>
                <w:color w:val="auto"/>
              </w:rPr>
            </w:pPr>
            <w:r>
              <w:rPr>
                <w:rFonts w:ascii="Arial" w:cs="Arial" w:eastAsia="Arial" w:hAnsi="Arial"/>
                <w:sz w:val="16"/>
                <w:szCs w:val="16"/>
                <w:color w:val="auto"/>
              </w:rPr>
              <w:t>115</w:t>
            </w:r>
          </w:p>
        </w:tc>
        <w:tc>
          <w:tcPr>
            <w:tcW w:w="0" w:type="dxa"/>
            <w:vAlign w:val="bottom"/>
          </w:tcPr>
          <w:p>
            <w:pPr>
              <w:spacing w:after="0"/>
              <w:rPr>
                <w:sz w:val="1"/>
                <w:szCs w:val="1"/>
                <w:color w:val="auto"/>
              </w:rPr>
            </w:pPr>
          </w:p>
        </w:tc>
      </w:tr>
      <w:tr>
        <w:trPr>
          <w:trHeight w:val="223"/>
        </w:trPr>
        <w:tc>
          <w:tcPr>
            <w:tcW w:w="5540" w:type="dxa"/>
            <w:vAlign w:val="bottom"/>
          </w:tcPr>
          <w:p>
            <w:pPr>
              <w:ind w:left="20"/>
              <w:spacing w:after="0"/>
              <w:rPr>
                <w:sz w:val="20"/>
                <w:szCs w:val="20"/>
                <w:color w:val="auto"/>
              </w:rPr>
            </w:pPr>
            <w:r>
              <w:rPr>
                <w:rFonts w:ascii="Arial" w:cs="Arial" w:eastAsia="Arial" w:hAnsi="Arial"/>
                <w:sz w:val="16"/>
                <w:szCs w:val="16"/>
                <w:color w:val="auto"/>
              </w:rPr>
              <w:t>Foreign exchange gains (losses), net included in comparable earnings</w:t>
            </w:r>
          </w:p>
        </w:tc>
        <w:tc>
          <w:tcPr>
            <w:tcW w:w="2340" w:type="dxa"/>
            <w:vAlign w:val="bottom"/>
            <w:gridSpan w:val="2"/>
          </w:tcPr>
          <w:p>
            <w:pPr>
              <w:jc w:val="right"/>
              <w:ind w:right="919"/>
              <w:spacing w:after="0"/>
              <w:rPr>
                <w:sz w:val="20"/>
                <w:szCs w:val="20"/>
                <w:color w:val="auto"/>
              </w:rPr>
            </w:pPr>
            <w:r>
              <w:rPr>
                <w:rFonts w:ascii="Arial" w:cs="Arial" w:eastAsia="Arial" w:hAnsi="Arial"/>
                <w:sz w:val="16"/>
                <w:szCs w:val="16"/>
                <w:b w:val="1"/>
                <w:bCs w:val="1"/>
                <w:color w:val="auto"/>
              </w:rPr>
              <w:t>36</w:t>
            </w:r>
          </w:p>
        </w:tc>
        <w:tc>
          <w:tcPr>
            <w:tcW w:w="480" w:type="dxa"/>
            <w:vAlign w:val="bottom"/>
          </w:tcPr>
          <w:p>
            <w:pPr>
              <w:jc w:val="right"/>
              <w:spacing w:after="0"/>
              <w:rPr>
                <w:sz w:val="20"/>
                <w:szCs w:val="20"/>
                <w:color w:val="auto"/>
              </w:rPr>
            </w:pPr>
            <w:r>
              <w:rPr>
                <w:rFonts w:ascii="Arial" w:cs="Arial" w:eastAsia="Arial" w:hAnsi="Arial"/>
                <w:sz w:val="16"/>
                <w:szCs w:val="16"/>
                <w:color w:val="auto"/>
              </w:rPr>
              <w:t>(21)</w:t>
            </w:r>
          </w:p>
        </w:tc>
        <w:tc>
          <w:tcPr>
            <w:tcW w:w="80" w:type="dxa"/>
            <w:vAlign w:val="bottom"/>
          </w:tcPr>
          <w:p>
            <w:pPr>
              <w:spacing w:after="0"/>
              <w:rPr>
                <w:sz w:val="19"/>
                <w:szCs w:val="19"/>
                <w:color w:val="auto"/>
              </w:rPr>
            </w:pPr>
          </w:p>
        </w:tc>
        <w:tc>
          <w:tcPr>
            <w:tcW w:w="2120" w:type="dxa"/>
            <w:vAlign w:val="bottom"/>
          </w:tcPr>
          <w:p>
            <w:pPr>
              <w:jc w:val="right"/>
              <w:ind w:right="799"/>
              <w:spacing w:after="0"/>
              <w:rPr>
                <w:sz w:val="20"/>
                <w:szCs w:val="20"/>
                <w:color w:val="auto"/>
              </w:rPr>
            </w:pPr>
            <w:r>
              <w:rPr>
                <w:rFonts w:ascii="Arial" w:cs="Arial" w:eastAsia="Arial" w:hAnsi="Arial"/>
                <w:sz w:val="16"/>
                <w:szCs w:val="16"/>
                <w:b w:val="1"/>
                <w:bCs w:val="1"/>
                <w:color w:val="auto"/>
              </w:rPr>
              <w:t>140</w:t>
            </w:r>
          </w:p>
        </w:tc>
        <w:tc>
          <w:tcPr>
            <w:tcW w:w="620" w:type="dxa"/>
            <w:vAlign w:val="bottom"/>
          </w:tcPr>
          <w:p>
            <w:pPr>
              <w:jc w:val="right"/>
              <w:spacing w:after="0"/>
              <w:rPr>
                <w:sz w:val="20"/>
                <w:szCs w:val="20"/>
                <w:color w:val="auto"/>
              </w:rPr>
            </w:pPr>
            <w:r>
              <w:rPr>
                <w:rFonts w:ascii="Arial" w:cs="Arial" w:eastAsia="Arial" w:hAnsi="Arial"/>
                <w:sz w:val="16"/>
                <w:szCs w:val="16"/>
                <w:color w:val="auto"/>
              </w:rPr>
              <w:t>(53)</w:t>
            </w:r>
          </w:p>
        </w:tc>
        <w:tc>
          <w:tcPr>
            <w:tcW w:w="0" w:type="dxa"/>
            <w:vAlign w:val="bottom"/>
          </w:tcPr>
          <w:p>
            <w:pPr>
              <w:spacing w:after="0"/>
              <w:rPr>
                <w:sz w:val="1"/>
                <w:szCs w:val="1"/>
                <w:color w:val="auto"/>
              </w:rPr>
            </w:pPr>
          </w:p>
        </w:tc>
      </w:tr>
      <w:tr>
        <w:trPr>
          <w:trHeight w:val="229"/>
        </w:trPr>
        <w:tc>
          <w:tcPr>
            <w:tcW w:w="5540" w:type="dxa"/>
            <w:vAlign w:val="bottom"/>
          </w:tcPr>
          <w:p>
            <w:pPr>
              <w:ind w:left="20"/>
              <w:spacing w:after="0"/>
              <w:rPr>
                <w:sz w:val="20"/>
                <w:szCs w:val="20"/>
                <w:color w:val="auto"/>
              </w:rPr>
            </w:pPr>
            <w:r>
              <w:rPr>
                <w:rFonts w:ascii="Arial" w:cs="Arial" w:eastAsia="Arial" w:hAnsi="Arial"/>
                <w:sz w:val="16"/>
                <w:szCs w:val="16"/>
                <w:color w:val="auto"/>
              </w:rPr>
              <w:t>Income tax (expense) recovery included in comparable earnings</w:t>
            </w:r>
          </w:p>
        </w:tc>
        <w:tc>
          <w:tcPr>
            <w:tcW w:w="2340" w:type="dxa"/>
            <w:vAlign w:val="bottom"/>
            <w:gridSpan w:val="2"/>
          </w:tcPr>
          <w:p>
            <w:pPr>
              <w:jc w:val="right"/>
              <w:ind w:right="879"/>
              <w:spacing w:after="0"/>
              <w:rPr>
                <w:sz w:val="20"/>
                <w:szCs w:val="20"/>
                <w:color w:val="auto"/>
              </w:rPr>
            </w:pPr>
            <w:r>
              <w:rPr>
                <w:rFonts w:ascii="Arial" w:cs="Arial" w:eastAsia="Arial" w:hAnsi="Arial"/>
                <w:sz w:val="16"/>
                <w:szCs w:val="16"/>
                <w:b w:val="1"/>
                <w:bCs w:val="1"/>
                <w:color w:val="auto"/>
              </w:rPr>
              <w:t>(13)</w:t>
            </w:r>
          </w:p>
        </w:tc>
        <w:tc>
          <w:tcPr>
            <w:tcW w:w="480" w:type="dxa"/>
            <w:vAlign w:val="bottom"/>
          </w:tcPr>
          <w:p>
            <w:pPr>
              <w:jc w:val="right"/>
              <w:spacing w:after="0"/>
              <w:rPr>
                <w:sz w:val="20"/>
                <w:szCs w:val="20"/>
                <w:color w:val="auto"/>
              </w:rPr>
            </w:pPr>
            <w:r>
              <w:rPr>
                <w:rFonts w:ascii="Arial" w:cs="Arial" w:eastAsia="Arial" w:hAnsi="Arial"/>
                <w:sz w:val="16"/>
                <w:szCs w:val="16"/>
                <w:color w:val="auto"/>
              </w:rPr>
              <w:t>27</w:t>
            </w:r>
          </w:p>
        </w:tc>
        <w:tc>
          <w:tcPr>
            <w:tcW w:w="80" w:type="dxa"/>
            <w:vAlign w:val="bottom"/>
          </w:tcPr>
          <w:p>
            <w:pPr>
              <w:spacing w:after="0"/>
              <w:rPr>
                <w:sz w:val="19"/>
                <w:szCs w:val="19"/>
                <w:color w:val="auto"/>
              </w:rPr>
            </w:pPr>
          </w:p>
        </w:tc>
        <w:tc>
          <w:tcPr>
            <w:tcW w:w="2120" w:type="dxa"/>
            <w:vAlign w:val="bottom"/>
          </w:tcPr>
          <w:p>
            <w:pPr>
              <w:jc w:val="right"/>
              <w:ind w:right="759"/>
              <w:spacing w:after="0"/>
              <w:rPr>
                <w:sz w:val="20"/>
                <w:szCs w:val="20"/>
                <w:color w:val="auto"/>
              </w:rPr>
            </w:pPr>
            <w:r>
              <w:rPr>
                <w:rFonts w:ascii="Arial" w:cs="Arial" w:eastAsia="Arial" w:hAnsi="Arial"/>
                <w:sz w:val="16"/>
                <w:szCs w:val="16"/>
                <w:b w:val="1"/>
                <w:bCs w:val="1"/>
                <w:color w:val="auto"/>
              </w:rPr>
              <w:t>(89)</w:t>
            </w:r>
          </w:p>
        </w:tc>
        <w:tc>
          <w:tcPr>
            <w:tcW w:w="620" w:type="dxa"/>
            <w:vAlign w:val="bottom"/>
          </w:tcPr>
          <w:p>
            <w:pPr>
              <w:jc w:val="right"/>
              <w:spacing w:after="0"/>
              <w:rPr>
                <w:sz w:val="20"/>
                <w:szCs w:val="20"/>
                <w:color w:val="auto"/>
              </w:rPr>
            </w:pPr>
            <w:r>
              <w:rPr>
                <w:rFonts w:ascii="Arial" w:cs="Arial" w:eastAsia="Arial" w:hAnsi="Arial"/>
                <w:sz w:val="16"/>
                <w:szCs w:val="16"/>
                <w:color w:val="auto"/>
              </w:rPr>
              <w:t>110</w:t>
            </w:r>
          </w:p>
        </w:tc>
        <w:tc>
          <w:tcPr>
            <w:tcW w:w="0" w:type="dxa"/>
            <w:vAlign w:val="bottom"/>
          </w:tcPr>
          <w:p>
            <w:pPr>
              <w:spacing w:after="0"/>
              <w:rPr>
                <w:sz w:val="1"/>
                <w:szCs w:val="1"/>
                <w:color w:val="auto"/>
              </w:rPr>
            </w:pPr>
          </w:p>
        </w:tc>
      </w:tr>
      <w:tr>
        <w:trPr>
          <w:trHeight w:val="182"/>
        </w:trPr>
        <w:tc>
          <w:tcPr>
            <w:tcW w:w="5540" w:type="dxa"/>
            <w:vAlign w:val="bottom"/>
          </w:tcPr>
          <w:p>
            <w:pPr>
              <w:ind w:left="20"/>
              <w:spacing w:after="0" w:line="182" w:lineRule="exact"/>
              <w:rPr>
                <w:sz w:val="20"/>
                <w:szCs w:val="20"/>
                <w:color w:val="auto"/>
              </w:rPr>
            </w:pPr>
            <w:r>
              <w:rPr>
                <w:rFonts w:ascii="Arial" w:cs="Arial" w:eastAsia="Arial" w:hAnsi="Arial"/>
                <w:sz w:val="16"/>
                <w:szCs w:val="16"/>
                <w:color w:val="auto"/>
              </w:rPr>
              <w:t>Net (income) loss attributable to non-controlling interests included in</w:t>
            </w:r>
          </w:p>
        </w:tc>
        <w:tc>
          <w:tcPr>
            <w:tcW w:w="100" w:type="dxa"/>
            <w:vAlign w:val="bottom"/>
          </w:tcPr>
          <w:p>
            <w:pPr>
              <w:spacing w:after="0"/>
              <w:rPr>
                <w:sz w:val="15"/>
                <w:szCs w:val="15"/>
                <w:color w:val="auto"/>
              </w:rPr>
            </w:pPr>
          </w:p>
        </w:tc>
        <w:tc>
          <w:tcPr>
            <w:tcW w:w="2240" w:type="dxa"/>
            <w:vAlign w:val="bottom"/>
            <w:vMerge w:val="restart"/>
          </w:tcPr>
          <w:p>
            <w:pPr>
              <w:jc w:val="right"/>
              <w:ind w:right="919"/>
              <w:spacing w:after="0"/>
              <w:rPr>
                <w:sz w:val="20"/>
                <w:szCs w:val="20"/>
                <w:color w:val="auto"/>
              </w:rPr>
            </w:pPr>
            <w:r>
              <w:rPr>
                <w:rFonts w:ascii="Arial" w:cs="Arial" w:eastAsia="Arial" w:hAnsi="Arial"/>
                <w:sz w:val="16"/>
                <w:szCs w:val="16"/>
                <w:b w:val="1"/>
                <w:bCs w:val="1"/>
                <w:color w:val="auto"/>
              </w:rPr>
              <w:t>—</w:t>
            </w: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20" w:type="dxa"/>
            <w:vAlign w:val="bottom"/>
            <w:vMerge w:val="restart"/>
          </w:tcPr>
          <w:p>
            <w:pPr>
              <w:jc w:val="right"/>
              <w:ind w:right="799"/>
              <w:spacing w:after="0"/>
              <w:rPr>
                <w:sz w:val="20"/>
                <w:szCs w:val="20"/>
                <w:color w:val="auto"/>
              </w:rPr>
            </w:pPr>
            <w:r>
              <w:rPr>
                <w:rFonts w:ascii="Arial" w:cs="Arial" w:eastAsia="Arial" w:hAnsi="Arial"/>
                <w:sz w:val="16"/>
                <w:szCs w:val="16"/>
                <w:b w:val="1"/>
                <w:bCs w:val="1"/>
                <w:color w:val="auto"/>
              </w:rPr>
              <w:t>7</w:t>
            </w: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540" w:type="dxa"/>
            <w:vAlign w:val="bottom"/>
            <w:tcBorders>
              <w:bottom w:val="single" w:sz="8" w:color="auto"/>
            </w:tcBorders>
          </w:tcPr>
          <w:p>
            <w:pPr>
              <w:ind w:left="100"/>
              <w:spacing w:after="0" w:line="230" w:lineRule="exact"/>
              <w:rPr>
                <w:sz w:val="20"/>
                <w:szCs w:val="20"/>
                <w:color w:val="auto"/>
              </w:rPr>
            </w:pPr>
            <w:r>
              <w:rPr>
                <w:rFonts w:ascii="Arial" w:cs="Arial" w:eastAsia="Arial" w:hAnsi="Arial"/>
                <w:sz w:val="16"/>
                <w:szCs w:val="16"/>
                <w:color w:val="auto"/>
              </w:rPr>
              <w:t>comparable earnings</w:t>
            </w:r>
            <w:r>
              <w:rPr>
                <w:rFonts w:ascii="Arial" w:cs="Arial" w:eastAsia="Arial" w:hAnsi="Arial"/>
                <w:sz w:val="21"/>
                <w:szCs w:val="21"/>
                <w:color w:val="auto"/>
                <w:vertAlign w:val="superscript"/>
              </w:rPr>
              <w:t>2</w:t>
            </w:r>
          </w:p>
        </w:tc>
        <w:tc>
          <w:tcPr>
            <w:tcW w:w="10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vMerge w:val="continue"/>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8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vMerge w:val="continue"/>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20"/>
        </w:trPr>
        <w:tc>
          <w:tcPr>
            <w:tcW w:w="5540" w:type="dxa"/>
            <w:vAlign w:val="bottom"/>
            <w:tcBorders>
              <w:bottom w:val="single" w:sz="8" w:color="auto"/>
            </w:tcBorders>
          </w:tcPr>
          <w:p>
            <w:pPr>
              <w:spacing w:after="0"/>
              <w:rPr>
                <w:sz w:val="19"/>
                <w:szCs w:val="19"/>
                <w:color w:val="auto"/>
              </w:rPr>
            </w:pPr>
          </w:p>
        </w:tc>
        <w:tc>
          <w:tcPr>
            <w:tcW w:w="2340" w:type="dxa"/>
            <w:vAlign w:val="bottom"/>
            <w:tcBorders>
              <w:bottom w:val="single" w:sz="8" w:color="auto"/>
            </w:tcBorders>
            <w:gridSpan w:val="2"/>
          </w:tcPr>
          <w:p>
            <w:pPr>
              <w:jc w:val="right"/>
              <w:ind w:right="919"/>
              <w:spacing w:after="0"/>
              <w:rPr>
                <w:sz w:val="20"/>
                <w:szCs w:val="20"/>
                <w:color w:val="auto"/>
              </w:rPr>
            </w:pPr>
            <w:r>
              <w:rPr>
                <w:rFonts w:ascii="Arial" w:cs="Arial" w:eastAsia="Arial" w:hAnsi="Arial"/>
                <w:sz w:val="16"/>
                <w:szCs w:val="16"/>
                <w:b w:val="1"/>
                <w:bCs w:val="1"/>
                <w:color w:val="auto"/>
              </w:rPr>
              <w:t>11</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w:t>
            </w:r>
          </w:p>
        </w:tc>
        <w:tc>
          <w:tcPr>
            <w:tcW w:w="8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jc w:val="right"/>
              <w:ind w:right="759"/>
              <w:spacing w:after="0"/>
              <w:rPr>
                <w:sz w:val="20"/>
                <w:szCs w:val="20"/>
                <w:color w:val="auto"/>
              </w:rPr>
            </w:pPr>
            <w:r>
              <w:rPr>
                <w:rFonts w:ascii="Arial" w:cs="Arial" w:eastAsia="Arial" w:hAnsi="Arial"/>
                <w:sz w:val="16"/>
                <w:szCs w:val="16"/>
                <w:b w:val="1"/>
                <w:bCs w:val="1"/>
                <w:color w:val="auto"/>
              </w:rPr>
              <w:t>(22)</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161</w:t>
            </w: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340" w:right="120" w:hanging="332"/>
        <w:spacing w:after="0" w:line="301" w:lineRule="auto"/>
        <w:tabs>
          <w:tab w:leader="none" w:pos="339" w:val="left"/>
        </w:tabs>
        <w:numPr>
          <w:ilvl w:val="0"/>
          <w:numId w:val="61"/>
        </w:numPr>
        <w:rPr>
          <w:rFonts w:ascii="Arial" w:cs="Arial" w:eastAsia="Arial" w:hAnsi="Arial"/>
          <w:sz w:val="14"/>
          <w:szCs w:val="14"/>
          <w:color w:val="auto"/>
        </w:rPr>
      </w:pPr>
      <w:r>
        <w:rPr>
          <w:rFonts w:ascii="Arial" w:cs="Arial" w:eastAsia="Arial" w:hAnsi="Arial"/>
          <w:sz w:val="14"/>
          <w:szCs w:val="14"/>
          <w:color w:val="auto"/>
        </w:rPr>
        <w:t>Includes the foreign exchange impacts from the Sur de Texas joint venture recorded in Income (loss) from equity investments in the Condensed consolidated statement of income.</w:t>
      </w:r>
    </w:p>
    <w:p>
      <w:pPr>
        <w:spacing w:after="0" w:line="1" w:lineRule="exact"/>
        <w:rPr>
          <w:sz w:val="20"/>
          <w:szCs w:val="20"/>
          <w:color w:val="auto"/>
        </w:rPr>
      </w:pPr>
    </w:p>
    <w:p>
      <w:pPr>
        <w:ind w:left="240" w:hanging="232"/>
        <w:spacing w:after="0"/>
        <w:tabs>
          <w:tab w:leader="none" w:pos="240" w:val="left"/>
        </w:tabs>
        <w:numPr>
          <w:ilvl w:val="0"/>
          <w:numId w:val="62"/>
        </w:numPr>
        <w:rPr>
          <w:rFonts w:ascii="Arial" w:cs="Arial" w:eastAsia="Arial" w:hAnsi="Arial"/>
          <w:sz w:val="14"/>
          <w:szCs w:val="14"/>
          <w:color w:val="auto"/>
        </w:rPr>
      </w:pPr>
      <w:r>
        <w:rPr>
          <w:rFonts w:ascii="Arial" w:cs="Arial" w:eastAsia="Arial" w:hAnsi="Arial"/>
          <w:sz w:val="14"/>
          <w:szCs w:val="14"/>
          <w:color w:val="auto"/>
        </w:rPr>
        <w:t>Represents the non-controlling interest portion related to TGNH. Refer to the Corporate section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28 | TC Energy </w:t>
      </w:r>
      <w:r>
        <w:rPr>
          <w:rFonts w:ascii="Arial" w:cs="Arial" w:eastAsia="Arial" w:hAnsi="Arial"/>
          <w:sz w:val="18"/>
          <w:szCs w:val="18"/>
          <w:b w:val="1"/>
          <w:bCs w:val="1"/>
          <w:color w:val="0D64EF"/>
        </w:rPr>
        <w:t>Fourth Quarter</w:t>
      </w:r>
      <w:r>
        <w:rPr>
          <w:rFonts w:ascii="Arial" w:cs="Arial" w:eastAsia="Arial" w:hAnsi="Arial"/>
          <w:sz w:val="18"/>
          <w:szCs w:val="18"/>
          <w:color w:val="auto"/>
        </w:rPr>
        <w:t xml:space="preserve"> News Release 2025</w:t>
      </w:r>
    </w:p>
    <w:p>
      <w:pPr>
        <w:sectPr>
          <w:pgSz w:w="11900" w:h="16838" w:orient="portrait"/>
          <w:cols w:equalWidth="0" w:num="1">
            <w:col w:w="11240"/>
          </w:cols>
          <w:pgMar w:left="320" w:top="1295" w:right="339" w:bottom="1440" w:gutter="0" w:footer="0" w:header="0"/>
        </w:sectPr>
      </w:pPr>
    </w:p>
    <w:bookmarkStart w:id="41" w:name="page42"/>
    <w:bookmarkEnd w:id="41"/>
    <w:p>
      <w:pPr>
        <w:spacing w:after="0"/>
        <w:rPr>
          <w:sz w:val="20"/>
          <w:szCs w:val="20"/>
          <w:color w:val="auto"/>
        </w:rPr>
      </w:pPr>
      <w:r>
        <w:rPr>
          <w:rFonts w:ascii="Arial" w:cs="Arial" w:eastAsia="Arial" w:hAnsi="Arial"/>
          <w:sz w:val="25"/>
          <w:szCs w:val="25"/>
          <w:color w:val="0D64EF"/>
        </w:rPr>
        <w:t>Financial condition</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b w:val="1"/>
          <w:bCs w:val="1"/>
          <w:color w:val="0D64EF"/>
        </w:rPr>
        <w:t>CASH PROVIDED BY OPERATING ACTIVITIES</w:t>
      </w:r>
      <w:r>
        <w:rPr>
          <w:rFonts w:ascii="Arial" w:cs="Arial" w:eastAsia="Arial" w:hAnsi="Arial"/>
          <w:sz w:val="11"/>
          <w:szCs w:val="11"/>
          <w:color w:val="000000"/>
        </w:rPr>
        <w:t>1,2</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820" w:type="dxa"/>
            <w:vAlign w:val="bottom"/>
            <w:tcBorders>
              <w:top w:val="single" w:sz="8" w:color="0D64EF"/>
            </w:tcBorders>
            <w:shd w:val="clear" w:color="auto" w:fill="D1D0CF"/>
          </w:tcPr>
          <w:p>
            <w:pPr>
              <w:spacing w:after="0"/>
              <w:rPr>
                <w:sz w:val="16"/>
                <w:szCs w:val="16"/>
                <w:color w:val="auto"/>
              </w:rPr>
            </w:pPr>
          </w:p>
        </w:tc>
        <w:tc>
          <w:tcPr>
            <w:tcW w:w="100" w:type="dxa"/>
            <w:vAlign w:val="bottom"/>
            <w:tcBorders>
              <w:top w:val="single" w:sz="8" w:color="0D64EF"/>
            </w:tcBorders>
            <w:shd w:val="clear" w:color="auto" w:fill="D1D0CF"/>
          </w:tcPr>
          <w:p>
            <w:pPr>
              <w:spacing w:after="0"/>
              <w:rPr>
                <w:sz w:val="16"/>
                <w:szCs w:val="16"/>
                <w:color w:val="auto"/>
              </w:rPr>
            </w:pPr>
          </w:p>
        </w:tc>
        <w:tc>
          <w:tcPr>
            <w:tcW w:w="2100" w:type="dxa"/>
            <w:vAlign w:val="bottom"/>
            <w:tcBorders>
              <w:top w:val="single" w:sz="8" w:color="0D64EF"/>
            </w:tcBorders>
            <w:shd w:val="clear" w:color="auto" w:fill="D1D0CF"/>
          </w:tcPr>
          <w:p>
            <w:pPr>
              <w:jc w:val="right"/>
              <w:spacing w:after="0"/>
              <w:rPr>
                <w:sz w:val="20"/>
                <w:szCs w:val="20"/>
                <w:color w:val="auto"/>
              </w:rPr>
            </w:pPr>
            <w:r>
              <w:rPr>
                <w:rFonts w:ascii="Arial" w:cs="Arial" w:eastAsia="Arial" w:hAnsi="Arial"/>
                <w:sz w:val="16"/>
                <w:szCs w:val="16"/>
                <w:b w:val="1"/>
                <w:bCs w:val="1"/>
                <w:color w:val="auto"/>
              </w:rPr>
              <w:t>three months ended</w:t>
            </w:r>
          </w:p>
        </w:tc>
        <w:tc>
          <w:tcPr>
            <w:tcW w:w="500" w:type="dxa"/>
            <w:vAlign w:val="bottom"/>
            <w:tcBorders>
              <w:top w:val="single" w:sz="8" w:color="0D64EF"/>
            </w:tcBorders>
            <w:shd w:val="clear" w:color="auto" w:fill="D1D0CF"/>
          </w:tcPr>
          <w:p>
            <w:pPr>
              <w:spacing w:after="0"/>
              <w:rPr>
                <w:sz w:val="16"/>
                <w:szCs w:val="16"/>
                <w:color w:val="auto"/>
              </w:rPr>
            </w:pPr>
          </w:p>
        </w:tc>
        <w:tc>
          <w:tcPr>
            <w:tcW w:w="100" w:type="dxa"/>
            <w:vAlign w:val="bottom"/>
            <w:tcBorders>
              <w:top w:val="single" w:sz="8" w:color="0D64EF"/>
            </w:tcBorders>
            <w:shd w:val="clear" w:color="auto" w:fill="D1D0CF"/>
          </w:tcPr>
          <w:p>
            <w:pPr>
              <w:spacing w:after="0"/>
              <w:rPr>
                <w:sz w:val="16"/>
                <w:szCs w:val="16"/>
                <w:color w:val="auto"/>
              </w:rPr>
            </w:pPr>
          </w:p>
        </w:tc>
        <w:tc>
          <w:tcPr>
            <w:tcW w:w="1980" w:type="dxa"/>
            <w:vAlign w:val="bottom"/>
            <w:tcBorders>
              <w:top w:val="single" w:sz="8" w:color="0D64EF"/>
            </w:tcBorders>
            <w:shd w:val="clear" w:color="auto" w:fill="D1D0CF"/>
          </w:tcPr>
          <w:p>
            <w:pPr>
              <w:jc w:val="right"/>
              <w:ind w:right="179"/>
              <w:spacing w:after="0"/>
              <w:rPr>
                <w:sz w:val="20"/>
                <w:szCs w:val="20"/>
                <w:color w:val="auto"/>
              </w:rPr>
            </w:pPr>
            <w:r>
              <w:rPr>
                <w:rFonts w:ascii="Arial" w:cs="Arial" w:eastAsia="Arial" w:hAnsi="Arial"/>
                <w:sz w:val="16"/>
                <w:szCs w:val="16"/>
                <w:b w:val="1"/>
                <w:bCs w:val="1"/>
                <w:color w:val="auto"/>
              </w:rPr>
              <w:t>year ended</w:t>
            </w:r>
          </w:p>
        </w:tc>
        <w:tc>
          <w:tcPr>
            <w:tcW w:w="640" w:type="dxa"/>
            <w:vAlign w:val="bottom"/>
            <w:tcBorders>
              <w:top w:val="single" w:sz="8" w:color="0D64EF"/>
            </w:tcBorders>
            <w:shd w:val="clear" w:color="auto" w:fill="D1D0CF"/>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5820" w:type="dxa"/>
            <w:vAlign w:val="bottom"/>
            <w:tcBorders>
              <w:bottom w:val="single" w:sz="8" w:color="D1D0CF"/>
            </w:tcBorders>
            <w:shd w:val="clear" w:color="auto" w:fill="D1D0CF"/>
          </w:tcPr>
          <w:p>
            <w:pPr>
              <w:spacing w:after="0"/>
              <w:rPr>
                <w:sz w:val="19"/>
                <w:szCs w:val="19"/>
                <w:color w:val="auto"/>
              </w:rPr>
            </w:pPr>
          </w:p>
        </w:tc>
        <w:tc>
          <w:tcPr>
            <w:tcW w:w="100" w:type="dxa"/>
            <w:vAlign w:val="bottom"/>
            <w:tcBorders>
              <w:bottom w:val="single" w:sz="8" w:color="D1D0CF"/>
            </w:tcBorders>
            <w:shd w:val="clear" w:color="auto" w:fill="D1D0CF"/>
          </w:tcPr>
          <w:p>
            <w:pPr>
              <w:spacing w:after="0"/>
              <w:rPr>
                <w:sz w:val="19"/>
                <w:szCs w:val="19"/>
                <w:color w:val="auto"/>
              </w:rPr>
            </w:pPr>
          </w:p>
        </w:tc>
        <w:tc>
          <w:tcPr>
            <w:tcW w:w="2100" w:type="dxa"/>
            <w:vAlign w:val="bottom"/>
            <w:tcBorders>
              <w:bottom w:val="single" w:sz="8" w:color="0D64EF"/>
            </w:tcBorders>
            <w:shd w:val="clear" w:color="auto" w:fill="D1D0CF"/>
          </w:tcPr>
          <w:p>
            <w:pPr>
              <w:jc w:val="right"/>
              <w:ind w:right="219"/>
              <w:spacing w:after="0"/>
              <w:rPr>
                <w:sz w:val="20"/>
                <w:szCs w:val="20"/>
                <w:color w:val="auto"/>
              </w:rPr>
            </w:pPr>
            <w:r>
              <w:rPr>
                <w:rFonts w:ascii="Arial" w:cs="Arial" w:eastAsia="Arial" w:hAnsi="Arial"/>
                <w:sz w:val="16"/>
                <w:szCs w:val="16"/>
                <w:b w:val="1"/>
                <w:bCs w:val="1"/>
                <w:color w:val="auto"/>
              </w:rPr>
              <w:t>December 31</w:t>
            </w:r>
          </w:p>
        </w:tc>
        <w:tc>
          <w:tcPr>
            <w:tcW w:w="500" w:type="dxa"/>
            <w:vAlign w:val="bottom"/>
            <w:tcBorders>
              <w:bottom w:val="single" w:sz="8" w:color="0D64EF"/>
            </w:tcBorders>
            <w:shd w:val="clear" w:color="auto" w:fill="D1D0CF"/>
          </w:tcPr>
          <w:p>
            <w:pPr>
              <w:spacing w:after="0"/>
              <w:rPr>
                <w:sz w:val="19"/>
                <w:szCs w:val="19"/>
                <w:color w:val="auto"/>
              </w:rPr>
            </w:pPr>
          </w:p>
        </w:tc>
        <w:tc>
          <w:tcPr>
            <w:tcW w:w="100" w:type="dxa"/>
            <w:vAlign w:val="bottom"/>
            <w:tcBorders>
              <w:bottom w:val="single" w:sz="8" w:color="D1D0CF"/>
            </w:tcBorders>
            <w:shd w:val="clear" w:color="auto" w:fill="D1D0CF"/>
          </w:tcPr>
          <w:p>
            <w:pPr>
              <w:spacing w:after="0"/>
              <w:rPr>
                <w:sz w:val="19"/>
                <w:szCs w:val="19"/>
                <w:color w:val="auto"/>
              </w:rPr>
            </w:pPr>
          </w:p>
        </w:tc>
        <w:tc>
          <w:tcPr>
            <w:tcW w:w="1980" w:type="dxa"/>
            <w:vAlign w:val="bottom"/>
            <w:tcBorders>
              <w:bottom w:val="single" w:sz="8" w:color="0D64EF"/>
            </w:tcBorders>
            <w:shd w:val="clear" w:color="auto" w:fill="D1D0CF"/>
          </w:tcPr>
          <w:p>
            <w:pPr>
              <w:jc w:val="right"/>
              <w:ind w:right="79"/>
              <w:spacing w:after="0"/>
              <w:rPr>
                <w:sz w:val="20"/>
                <w:szCs w:val="20"/>
                <w:color w:val="auto"/>
              </w:rPr>
            </w:pPr>
            <w:r>
              <w:rPr>
                <w:rFonts w:ascii="Arial" w:cs="Arial" w:eastAsia="Arial" w:hAnsi="Arial"/>
                <w:sz w:val="16"/>
                <w:szCs w:val="16"/>
                <w:b w:val="1"/>
                <w:bCs w:val="1"/>
                <w:color w:val="auto"/>
              </w:rPr>
              <w:t>December 31</w:t>
            </w:r>
          </w:p>
        </w:tc>
        <w:tc>
          <w:tcPr>
            <w:tcW w:w="640" w:type="dxa"/>
            <w:vAlign w:val="bottom"/>
            <w:tcBorders>
              <w:bottom w:val="single" w:sz="8" w:color="0D64EF"/>
            </w:tcBorders>
            <w:shd w:val="clear" w:color="auto" w:fill="D1D0C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820" w:type="dxa"/>
            <w:vAlign w:val="bottom"/>
            <w:tcBorders>
              <w:bottom w:val="single" w:sz="8" w:color="0D64EF"/>
            </w:tcBorders>
            <w:shd w:val="clear" w:color="auto" w:fill="D1D0CF"/>
          </w:tcPr>
          <w:p>
            <w:pPr>
              <w:ind w:left="20"/>
              <w:spacing w:after="0"/>
              <w:rPr>
                <w:sz w:val="20"/>
                <w:szCs w:val="20"/>
                <w:color w:val="auto"/>
              </w:rPr>
            </w:pPr>
            <w:r>
              <w:rPr>
                <w:rFonts w:ascii="Arial" w:cs="Arial" w:eastAsia="Arial" w:hAnsi="Arial"/>
                <w:sz w:val="16"/>
                <w:szCs w:val="16"/>
                <w:color w:val="auto"/>
              </w:rPr>
              <w:t>(millions of $)</w:t>
            </w:r>
          </w:p>
        </w:tc>
        <w:tc>
          <w:tcPr>
            <w:tcW w:w="100" w:type="dxa"/>
            <w:vAlign w:val="bottom"/>
            <w:tcBorders>
              <w:bottom w:val="single" w:sz="8" w:color="0D64EF"/>
            </w:tcBorders>
            <w:shd w:val="clear" w:color="auto" w:fill="D1D0CF"/>
          </w:tcPr>
          <w:p>
            <w:pPr>
              <w:spacing w:after="0"/>
              <w:rPr>
                <w:sz w:val="19"/>
                <w:szCs w:val="19"/>
                <w:color w:val="auto"/>
              </w:rPr>
            </w:pPr>
          </w:p>
        </w:tc>
        <w:tc>
          <w:tcPr>
            <w:tcW w:w="2100" w:type="dxa"/>
            <w:vAlign w:val="bottom"/>
            <w:tcBorders>
              <w:bottom w:val="single" w:sz="8" w:color="0D64EF"/>
            </w:tcBorders>
            <w:shd w:val="clear" w:color="auto" w:fill="D1D0CF"/>
          </w:tcPr>
          <w:p>
            <w:pPr>
              <w:jc w:val="right"/>
              <w:ind w:right="799"/>
              <w:spacing w:after="0"/>
              <w:rPr>
                <w:sz w:val="20"/>
                <w:szCs w:val="20"/>
                <w:color w:val="auto"/>
              </w:rPr>
            </w:pPr>
            <w:r>
              <w:rPr>
                <w:rFonts w:ascii="Arial" w:cs="Arial" w:eastAsia="Arial" w:hAnsi="Arial"/>
                <w:sz w:val="16"/>
                <w:szCs w:val="16"/>
                <w:b w:val="1"/>
                <w:bCs w:val="1"/>
                <w:color w:val="auto"/>
              </w:rPr>
              <w:t>2025</w:t>
            </w:r>
          </w:p>
        </w:tc>
        <w:tc>
          <w:tcPr>
            <w:tcW w:w="500" w:type="dxa"/>
            <w:vAlign w:val="bottom"/>
            <w:tcBorders>
              <w:bottom w:val="single" w:sz="8" w:color="0D64EF"/>
            </w:tcBorders>
            <w:shd w:val="clear" w:color="auto" w:fill="D1D0CF"/>
          </w:tcPr>
          <w:p>
            <w:pPr>
              <w:jc w:val="right"/>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bottom w:val="single" w:sz="8" w:color="0D64EF"/>
            </w:tcBorders>
            <w:shd w:val="clear" w:color="auto" w:fill="D1D0CF"/>
          </w:tcPr>
          <w:p>
            <w:pPr>
              <w:spacing w:after="0"/>
              <w:rPr>
                <w:sz w:val="19"/>
                <w:szCs w:val="19"/>
                <w:color w:val="auto"/>
              </w:rPr>
            </w:pPr>
          </w:p>
        </w:tc>
        <w:tc>
          <w:tcPr>
            <w:tcW w:w="1980" w:type="dxa"/>
            <w:vAlign w:val="bottom"/>
            <w:tcBorders>
              <w:bottom w:val="single" w:sz="8" w:color="0D64EF"/>
            </w:tcBorders>
            <w:shd w:val="clear" w:color="auto" w:fill="D1D0CF"/>
          </w:tcPr>
          <w:p>
            <w:pPr>
              <w:jc w:val="right"/>
              <w:ind w:right="659"/>
              <w:spacing w:after="0"/>
              <w:rPr>
                <w:sz w:val="20"/>
                <w:szCs w:val="20"/>
                <w:color w:val="auto"/>
              </w:rPr>
            </w:pPr>
            <w:r>
              <w:rPr>
                <w:rFonts w:ascii="Arial" w:cs="Arial" w:eastAsia="Arial" w:hAnsi="Arial"/>
                <w:sz w:val="16"/>
                <w:szCs w:val="16"/>
                <w:b w:val="1"/>
                <w:bCs w:val="1"/>
                <w:color w:val="auto"/>
              </w:rPr>
              <w:t>2025</w:t>
            </w:r>
          </w:p>
        </w:tc>
        <w:tc>
          <w:tcPr>
            <w:tcW w:w="640" w:type="dxa"/>
            <w:vAlign w:val="bottom"/>
            <w:tcBorders>
              <w:bottom w:val="single" w:sz="8" w:color="0D64EF"/>
            </w:tcBorders>
            <w:shd w:val="clear" w:color="auto" w:fill="D1D0CF"/>
          </w:tcPr>
          <w:p>
            <w:pPr>
              <w:jc w:val="right"/>
              <w:spacing w:after="0"/>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259"/>
        </w:trPr>
        <w:tc>
          <w:tcPr>
            <w:tcW w:w="5820" w:type="dxa"/>
            <w:vAlign w:val="bottom"/>
          </w:tcPr>
          <w:p>
            <w:pPr>
              <w:ind w:left="20"/>
              <w:spacing w:after="0"/>
              <w:rPr>
                <w:sz w:val="20"/>
                <w:szCs w:val="20"/>
                <w:color w:val="auto"/>
              </w:rPr>
            </w:pPr>
            <w:r>
              <w:rPr>
                <w:rFonts w:ascii="Arial" w:cs="Arial" w:eastAsia="Arial" w:hAnsi="Arial"/>
                <w:sz w:val="16"/>
                <w:szCs w:val="16"/>
                <w:b w:val="1"/>
                <w:bCs w:val="1"/>
                <w:color w:val="0D64EF"/>
              </w:rPr>
              <w:t>Net cash provided by operations</w:t>
            </w:r>
          </w:p>
        </w:tc>
        <w:tc>
          <w:tcPr>
            <w:tcW w:w="2200" w:type="dxa"/>
            <w:vAlign w:val="bottom"/>
            <w:gridSpan w:val="2"/>
          </w:tcPr>
          <w:p>
            <w:pPr>
              <w:jc w:val="right"/>
              <w:ind w:right="839"/>
              <w:spacing w:after="0"/>
              <w:rPr>
                <w:sz w:val="20"/>
                <w:szCs w:val="20"/>
                <w:color w:val="auto"/>
              </w:rPr>
            </w:pPr>
            <w:r>
              <w:rPr>
                <w:rFonts w:ascii="Arial" w:cs="Arial" w:eastAsia="Arial" w:hAnsi="Arial"/>
                <w:sz w:val="16"/>
                <w:szCs w:val="16"/>
                <w:b w:val="1"/>
                <w:bCs w:val="1"/>
                <w:color w:val="auto"/>
              </w:rPr>
              <w:t>1,894</w:t>
            </w:r>
          </w:p>
        </w:tc>
        <w:tc>
          <w:tcPr>
            <w:tcW w:w="500" w:type="dxa"/>
            <w:vAlign w:val="bottom"/>
          </w:tcPr>
          <w:p>
            <w:pPr>
              <w:jc w:val="right"/>
              <w:spacing w:after="0"/>
              <w:rPr>
                <w:sz w:val="20"/>
                <w:szCs w:val="20"/>
                <w:color w:val="auto"/>
              </w:rPr>
            </w:pPr>
            <w:r>
              <w:rPr>
                <w:rFonts w:ascii="Arial" w:cs="Arial" w:eastAsia="Arial" w:hAnsi="Arial"/>
                <w:sz w:val="16"/>
                <w:szCs w:val="16"/>
                <w:color w:val="auto"/>
                <w:w w:val="99"/>
              </w:rPr>
              <w:t>2,084</w:t>
            </w:r>
          </w:p>
        </w:tc>
        <w:tc>
          <w:tcPr>
            <w:tcW w:w="100" w:type="dxa"/>
            <w:vAlign w:val="bottom"/>
          </w:tcPr>
          <w:p>
            <w:pPr>
              <w:spacing w:after="0"/>
              <w:rPr>
                <w:sz w:val="22"/>
                <w:szCs w:val="22"/>
                <w:color w:val="auto"/>
              </w:rPr>
            </w:pPr>
          </w:p>
        </w:tc>
        <w:tc>
          <w:tcPr>
            <w:tcW w:w="1980" w:type="dxa"/>
            <w:vAlign w:val="bottom"/>
          </w:tcPr>
          <w:p>
            <w:pPr>
              <w:jc w:val="right"/>
              <w:ind w:right="719"/>
              <w:spacing w:after="0"/>
              <w:rPr>
                <w:sz w:val="20"/>
                <w:szCs w:val="20"/>
                <w:color w:val="auto"/>
              </w:rPr>
            </w:pPr>
            <w:r>
              <w:rPr>
                <w:rFonts w:ascii="Arial" w:cs="Arial" w:eastAsia="Arial" w:hAnsi="Arial"/>
                <w:sz w:val="16"/>
                <w:szCs w:val="16"/>
                <w:b w:val="1"/>
                <w:bCs w:val="1"/>
                <w:color w:val="auto"/>
              </w:rPr>
              <w:t>7,346</w:t>
            </w:r>
          </w:p>
        </w:tc>
        <w:tc>
          <w:tcPr>
            <w:tcW w:w="640" w:type="dxa"/>
            <w:vAlign w:val="bottom"/>
          </w:tcPr>
          <w:p>
            <w:pPr>
              <w:jc w:val="right"/>
              <w:spacing w:after="0"/>
              <w:rPr>
                <w:sz w:val="20"/>
                <w:szCs w:val="20"/>
                <w:color w:val="auto"/>
              </w:rPr>
            </w:pPr>
            <w:r>
              <w:rPr>
                <w:rFonts w:ascii="Arial" w:cs="Arial" w:eastAsia="Arial" w:hAnsi="Arial"/>
                <w:sz w:val="16"/>
                <w:szCs w:val="16"/>
                <w:color w:val="auto"/>
              </w:rPr>
              <w:t>7,696</w:t>
            </w:r>
          </w:p>
        </w:tc>
        <w:tc>
          <w:tcPr>
            <w:tcW w:w="0" w:type="dxa"/>
            <w:vAlign w:val="bottom"/>
          </w:tcPr>
          <w:p>
            <w:pPr>
              <w:spacing w:after="0"/>
              <w:rPr>
                <w:sz w:val="1"/>
                <w:szCs w:val="1"/>
                <w:color w:val="auto"/>
              </w:rPr>
            </w:pPr>
          </w:p>
        </w:tc>
      </w:tr>
      <w:tr>
        <w:trPr>
          <w:trHeight w:val="233"/>
        </w:trPr>
        <w:tc>
          <w:tcPr>
            <w:tcW w:w="58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Increase (decrease) in operating working capital</w:t>
            </w:r>
          </w:p>
        </w:tc>
        <w:tc>
          <w:tcPr>
            <w:tcW w:w="2200" w:type="dxa"/>
            <w:vAlign w:val="bottom"/>
            <w:tcBorders>
              <w:bottom w:val="single" w:sz="8" w:color="auto"/>
            </w:tcBorders>
            <w:gridSpan w:val="2"/>
          </w:tcPr>
          <w:p>
            <w:pPr>
              <w:jc w:val="right"/>
              <w:ind w:right="839"/>
              <w:spacing w:after="0"/>
              <w:rPr>
                <w:sz w:val="20"/>
                <w:szCs w:val="20"/>
                <w:color w:val="auto"/>
              </w:rPr>
            </w:pPr>
            <w:r>
              <w:rPr>
                <w:rFonts w:ascii="Arial" w:cs="Arial" w:eastAsia="Arial" w:hAnsi="Arial"/>
                <w:sz w:val="16"/>
                <w:szCs w:val="16"/>
                <w:b w:val="1"/>
                <w:bCs w:val="1"/>
                <w:color w:val="auto"/>
              </w:rPr>
              <w:t>252</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(512)</w:t>
            </w:r>
          </w:p>
        </w:tc>
        <w:tc>
          <w:tcPr>
            <w:tcW w:w="10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tcPr>
          <w:p>
            <w:pPr>
              <w:jc w:val="right"/>
              <w:ind w:right="719"/>
              <w:spacing w:after="0"/>
              <w:rPr>
                <w:sz w:val="20"/>
                <w:szCs w:val="20"/>
                <w:color w:val="auto"/>
              </w:rPr>
            </w:pPr>
            <w:r>
              <w:rPr>
                <w:rFonts w:ascii="Arial" w:cs="Arial" w:eastAsia="Arial" w:hAnsi="Arial"/>
                <w:sz w:val="16"/>
                <w:szCs w:val="16"/>
                <w:b w:val="1"/>
                <w:bCs w:val="1"/>
                <w:color w:val="auto"/>
              </w:rPr>
              <w:t>503</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(199)</w:t>
            </w:r>
          </w:p>
        </w:tc>
        <w:tc>
          <w:tcPr>
            <w:tcW w:w="0" w:type="dxa"/>
            <w:vAlign w:val="bottom"/>
          </w:tcPr>
          <w:p>
            <w:pPr>
              <w:spacing w:after="0"/>
              <w:rPr>
                <w:sz w:val="1"/>
                <w:szCs w:val="1"/>
                <w:color w:val="auto"/>
              </w:rPr>
            </w:pPr>
          </w:p>
        </w:tc>
      </w:tr>
      <w:tr>
        <w:trPr>
          <w:trHeight w:val="220"/>
        </w:trPr>
        <w:tc>
          <w:tcPr>
            <w:tcW w:w="5820" w:type="dxa"/>
            <w:vAlign w:val="bottom"/>
          </w:tcPr>
          <w:p>
            <w:pPr>
              <w:ind w:left="20"/>
              <w:spacing w:after="0"/>
              <w:rPr>
                <w:sz w:val="20"/>
                <w:szCs w:val="20"/>
                <w:color w:val="auto"/>
              </w:rPr>
            </w:pPr>
            <w:r>
              <w:rPr>
                <w:rFonts w:ascii="Arial" w:cs="Arial" w:eastAsia="Arial" w:hAnsi="Arial"/>
                <w:sz w:val="16"/>
                <w:szCs w:val="16"/>
                <w:color w:val="auto"/>
              </w:rPr>
              <w:t>Funds generated from operations</w:t>
            </w:r>
          </w:p>
        </w:tc>
        <w:tc>
          <w:tcPr>
            <w:tcW w:w="2200" w:type="dxa"/>
            <w:vAlign w:val="bottom"/>
            <w:gridSpan w:val="2"/>
          </w:tcPr>
          <w:p>
            <w:pPr>
              <w:jc w:val="right"/>
              <w:ind w:right="839"/>
              <w:spacing w:after="0"/>
              <w:rPr>
                <w:sz w:val="20"/>
                <w:szCs w:val="20"/>
                <w:color w:val="auto"/>
              </w:rPr>
            </w:pPr>
            <w:r>
              <w:rPr>
                <w:rFonts w:ascii="Arial" w:cs="Arial" w:eastAsia="Arial" w:hAnsi="Arial"/>
                <w:sz w:val="16"/>
                <w:szCs w:val="16"/>
                <w:b w:val="1"/>
                <w:bCs w:val="1"/>
                <w:color w:val="auto"/>
              </w:rPr>
              <w:t>2,146</w:t>
            </w:r>
          </w:p>
        </w:tc>
        <w:tc>
          <w:tcPr>
            <w:tcW w:w="500" w:type="dxa"/>
            <w:vAlign w:val="bottom"/>
          </w:tcPr>
          <w:p>
            <w:pPr>
              <w:jc w:val="right"/>
              <w:spacing w:after="0"/>
              <w:rPr>
                <w:sz w:val="20"/>
                <w:szCs w:val="20"/>
                <w:color w:val="auto"/>
              </w:rPr>
            </w:pPr>
            <w:r>
              <w:rPr>
                <w:rFonts w:ascii="Arial" w:cs="Arial" w:eastAsia="Arial" w:hAnsi="Arial"/>
                <w:sz w:val="16"/>
                <w:szCs w:val="16"/>
                <w:color w:val="auto"/>
                <w:w w:val="99"/>
              </w:rPr>
              <w:t>1,572</w:t>
            </w:r>
          </w:p>
        </w:tc>
        <w:tc>
          <w:tcPr>
            <w:tcW w:w="100" w:type="dxa"/>
            <w:vAlign w:val="bottom"/>
          </w:tcPr>
          <w:p>
            <w:pPr>
              <w:spacing w:after="0"/>
              <w:rPr>
                <w:sz w:val="19"/>
                <w:szCs w:val="19"/>
                <w:color w:val="auto"/>
              </w:rPr>
            </w:pPr>
          </w:p>
        </w:tc>
        <w:tc>
          <w:tcPr>
            <w:tcW w:w="1980" w:type="dxa"/>
            <w:vAlign w:val="bottom"/>
          </w:tcPr>
          <w:p>
            <w:pPr>
              <w:jc w:val="right"/>
              <w:ind w:right="719"/>
              <w:spacing w:after="0"/>
              <w:rPr>
                <w:sz w:val="20"/>
                <w:szCs w:val="20"/>
                <w:color w:val="auto"/>
              </w:rPr>
            </w:pPr>
            <w:r>
              <w:rPr>
                <w:rFonts w:ascii="Arial" w:cs="Arial" w:eastAsia="Arial" w:hAnsi="Arial"/>
                <w:sz w:val="16"/>
                <w:szCs w:val="16"/>
                <w:b w:val="1"/>
                <w:bCs w:val="1"/>
                <w:color w:val="auto"/>
              </w:rPr>
              <w:t>7,849</w:t>
            </w:r>
          </w:p>
        </w:tc>
        <w:tc>
          <w:tcPr>
            <w:tcW w:w="640" w:type="dxa"/>
            <w:vAlign w:val="bottom"/>
          </w:tcPr>
          <w:p>
            <w:pPr>
              <w:jc w:val="right"/>
              <w:spacing w:after="0"/>
              <w:rPr>
                <w:sz w:val="20"/>
                <w:szCs w:val="20"/>
                <w:color w:val="auto"/>
              </w:rPr>
            </w:pPr>
            <w:r>
              <w:rPr>
                <w:rFonts w:ascii="Arial" w:cs="Arial" w:eastAsia="Arial" w:hAnsi="Arial"/>
                <w:sz w:val="16"/>
                <w:szCs w:val="16"/>
                <w:color w:val="auto"/>
              </w:rPr>
              <w:t>7,497</w:t>
            </w:r>
          </w:p>
        </w:tc>
        <w:tc>
          <w:tcPr>
            <w:tcW w:w="0" w:type="dxa"/>
            <w:vAlign w:val="bottom"/>
          </w:tcPr>
          <w:p>
            <w:pPr>
              <w:spacing w:after="0"/>
              <w:rPr>
                <w:sz w:val="1"/>
                <w:szCs w:val="1"/>
                <w:color w:val="auto"/>
              </w:rPr>
            </w:pPr>
          </w:p>
        </w:tc>
      </w:tr>
      <w:tr>
        <w:trPr>
          <w:trHeight w:val="221"/>
        </w:trPr>
        <w:tc>
          <w:tcPr>
            <w:tcW w:w="5820" w:type="dxa"/>
            <w:vAlign w:val="bottom"/>
          </w:tcPr>
          <w:p>
            <w:pPr>
              <w:ind w:left="20"/>
              <w:spacing w:after="0"/>
              <w:rPr>
                <w:sz w:val="20"/>
                <w:szCs w:val="20"/>
                <w:color w:val="auto"/>
              </w:rPr>
            </w:pPr>
            <w:r>
              <w:rPr>
                <w:rFonts w:ascii="Arial" w:cs="Arial" w:eastAsia="Arial" w:hAnsi="Arial"/>
                <w:sz w:val="16"/>
                <w:szCs w:val="16"/>
                <w:color w:val="auto"/>
              </w:rPr>
              <w:t>Specific items:</w:t>
            </w:r>
          </w:p>
        </w:tc>
        <w:tc>
          <w:tcPr>
            <w:tcW w:w="10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5820" w:type="dxa"/>
            <w:vAlign w:val="bottom"/>
          </w:tcPr>
          <w:p>
            <w:pPr>
              <w:ind w:left="100"/>
              <w:spacing w:after="0"/>
              <w:rPr>
                <w:sz w:val="20"/>
                <w:szCs w:val="20"/>
                <w:color w:val="auto"/>
              </w:rPr>
            </w:pPr>
            <w:r>
              <w:rPr>
                <w:rFonts w:ascii="Arial" w:cs="Arial" w:eastAsia="Arial" w:hAnsi="Arial"/>
                <w:sz w:val="16"/>
                <w:szCs w:val="16"/>
                <w:color w:val="auto"/>
              </w:rPr>
              <w:t>South Bow settlement</w:t>
            </w:r>
          </w:p>
        </w:tc>
        <w:tc>
          <w:tcPr>
            <w:tcW w:w="2200" w:type="dxa"/>
            <w:vAlign w:val="bottom"/>
            <w:gridSpan w:val="2"/>
          </w:tcPr>
          <w:p>
            <w:pPr>
              <w:jc w:val="right"/>
              <w:ind w:right="839"/>
              <w:spacing w:after="0"/>
              <w:rPr>
                <w:sz w:val="20"/>
                <w:szCs w:val="20"/>
                <w:color w:val="auto"/>
              </w:rPr>
            </w:pPr>
            <w:r>
              <w:rPr>
                <w:rFonts w:ascii="Arial" w:cs="Arial" w:eastAsia="Arial" w:hAnsi="Arial"/>
                <w:sz w:val="16"/>
                <w:szCs w:val="16"/>
                <w:b w:val="1"/>
                <w:bCs w:val="1"/>
                <w:color w:val="auto"/>
              </w:rPr>
              <w:t>147</w:t>
            </w:r>
          </w:p>
        </w:tc>
        <w:tc>
          <w:tcPr>
            <w:tcW w:w="6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980" w:type="dxa"/>
            <w:vAlign w:val="bottom"/>
          </w:tcPr>
          <w:p>
            <w:pPr>
              <w:jc w:val="right"/>
              <w:ind w:right="719"/>
              <w:spacing w:after="0"/>
              <w:rPr>
                <w:sz w:val="20"/>
                <w:szCs w:val="20"/>
                <w:color w:val="auto"/>
              </w:rPr>
            </w:pPr>
            <w:r>
              <w:rPr>
                <w:rFonts w:ascii="Arial" w:cs="Arial" w:eastAsia="Arial" w:hAnsi="Arial"/>
                <w:sz w:val="16"/>
                <w:szCs w:val="16"/>
                <w:b w:val="1"/>
                <w:bCs w:val="1"/>
                <w:color w:val="auto"/>
              </w:rPr>
              <w:t>147</w:t>
            </w: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9"/>
        </w:trPr>
        <w:tc>
          <w:tcPr>
            <w:tcW w:w="5820" w:type="dxa"/>
            <w:vAlign w:val="bottom"/>
          </w:tcPr>
          <w:p>
            <w:pPr>
              <w:ind w:left="100"/>
              <w:spacing w:after="0"/>
              <w:rPr>
                <w:sz w:val="20"/>
                <w:szCs w:val="20"/>
                <w:color w:val="auto"/>
              </w:rPr>
            </w:pPr>
            <w:r>
              <w:rPr>
                <w:rFonts w:ascii="Arial" w:cs="Arial" w:eastAsia="Arial" w:hAnsi="Arial"/>
                <w:sz w:val="16"/>
                <w:szCs w:val="16"/>
                <w:color w:val="auto"/>
              </w:rPr>
              <w:t>Liquids Pipelines business separation costs, net of current income tax</w:t>
            </w:r>
          </w:p>
        </w:tc>
        <w:tc>
          <w:tcPr>
            <w:tcW w:w="100" w:type="dxa"/>
            <w:vAlign w:val="bottom"/>
          </w:tcPr>
          <w:p>
            <w:pPr>
              <w:spacing w:after="0"/>
              <w:rPr>
                <w:sz w:val="19"/>
                <w:szCs w:val="19"/>
                <w:color w:val="auto"/>
              </w:rPr>
            </w:pPr>
          </w:p>
        </w:tc>
        <w:tc>
          <w:tcPr>
            <w:tcW w:w="2100" w:type="dxa"/>
            <w:vAlign w:val="bottom"/>
          </w:tcPr>
          <w:p>
            <w:pPr>
              <w:jc w:val="right"/>
              <w:ind w:right="839"/>
              <w:spacing w:after="0"/>
              <w:rPr>
                <w:sz w:val="20"/>
                <w:szCs w:val="20"/>
                <w:color w:val="auto"/>
              </w:rPr>
            </w:pPr>
            <w:r>
              <w:rPr>
                <w:rFonts w:ascii="Arial" w:cs="Arial" w:eastAsia="Arial" w:hAnsi="Arial"/>
                <w:sz w:val="16"/>
                <w:szCs w:val="16"/>
                <w:b w:val="1"/>
                <w:bCs w:val="1"/>
                <w:color w:val="auto"/>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85</w:t>
            </w:r>
          </w:p>
        </w:tc>
        <w:tc>
          <w:tcPr>
            <w:tcW w:w="100" w:type="dxa"/>
            <w:vAlign w:val="bottom"/>
          </w:tcPr>
          <w:p>
            <w:pPr>
              <w:spacing w:after="0"/>
              <w:rPr>
                <w:sz w:val="19"/>
                <w:szCs w:val="19"/>
                <w:color w:val="auto"/>
              </w:rPr>
            </w:pPr>
          </w:p>
        </w:tc>
        <w:tc>
          <w:tcPr>
            <w:tcW w:w="1980" w:type="dxa"/>
            <w:vAlign w:val="bottom"/>
          </w:tcPr>
          <w:p>
            <w:pPr>
              <w:jc w:val="right"/>
              <w:ind w:right="719"/>
              <w:spacing w:after="0"/>
              <w:rPr>
                <w:sz w:val="20"/>
                <w:szCs w:val="20"/>
                <w:color w:val="auto"/>
              </w:rPr>
            </w:pPr>
            <w:r>
              <w:rPr>
                <w:rFonts w:ascii="Arial" w:cs="Arial" w:eastAsia="Arial" w:hAnsi="Arial"/>
                <w:sz w:val="16"/>
                <w:szCs w:val="16"/>
                <w:b w:val="1"/>
                <w:bCs w:val="1"/>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185</w:t>
            </w:r>
          </w:p>
        </w:tc>
        <w:tc>
          <w:tcPr>
            <w:tcW w:w="0" w:type="dxa"/>
            <w:vAlign w:val="bottom"/>
          </w:tcPr>
          <w:p>
            <w:pPr>
              <w:spacing w:after="0"/>
              <w:rPr>
                <w:sz w:val="1"/>
                <w:szCs w:val="1"/>
                <w:color w:val="auto"/>
              </w:rPr>
            </w:pPr>
          </w:p>
        </w:tc>
      </w:tr>
      <w:tr>
        <w:trPr>
          <w:trHeight w:val="230"/>
        </w:trPr>
        <w:tc>
          <w:tcPr>
            <w:tcW w:w="5820" w:type="dxa"/>
            <w:vAlign w:val="bottom"/>
          </w:tcPr>
          <w:p>
            <w:pPr>
              <w:ind w:left="100"/>
              <w:spacing w:after="0"/>
              <w:rPr>
                <w:sz w:val="20"/>
                <w:szCs w:val="20"/>
                <w:color w:val="auto"/>
              </w:rPr>
            </w:pPr>
            <w:r>
              <w:rPr>
                <w:rFonts w:ascii="Arial" w:cs="Arial" w:eastAsia="Arial" w:hAnsi="Arial"/>
                <w:sz w:val="16"/>
                <w:szCs w:val="16"/>
                <w:color w:val="auto"/>
              </w:rPr>
              <w:t>Current income tax (recovery) expense on sale of PNGTS and non-core assets</w:t>
            </w:r>
          </w:p>
        </w:tc>
        <w:tc>
          <w:tcPr>
            <w:tcW w:w="100" w:type="dxa"/>
            <w:vAlign w:val="bottom"/>
          </w:tcPr>
          <w:p>
            <w:pPr>
              <w:spacing w:after="0"/>
              <w:rPr>
                <w:sz w:val="19"/>
                <w:szCs w:val="19"/>
                <w:color w:val="auto"/>
              </w:rPr>
            </w:pPr>
          </w:p>
        </w:tc>
        <w:tc>
          <w:tcPr>
            <w:tcW w:w="2100" w:type="dxa"/>
            <w:vAlign w:val="bottom"/>
          </w:tcPr>
          <w:p>
            <w:pPr>
              <w:jc w:val="right"/>
              <w:ind w:right="839"/>
              <w:spacing w:after="0"/>
              <w:rPr>
                <w:sz w:val="20"/>
                <w:szCs w:val="20"/>
                <w:color w:val="auto"/>
              </w:rPr>
            </w:pPr>
            <w:r>
              <w:rPr>
                <w:rFonts w:ascii="Arial" w:cs="Arial" w:eastAsia="Arial" w:hAnsi="Arial"/>
                <w:sz w:val="16"/>
                <w:szCs w:val="16"/>
                <w:b w:val="1"/>
                <w:bCs w:val="1"/>
                <w:color w:val="auto"/>
              </w:rPr>
              <w:t>—</w:t>
            </w:r>
          </w:p>
        </w:tc>
        <w:tc>
          <w:tcPr>
            <w:tcW w:w="6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980" w:type="dxa"/>
            <w:vAlign w:val="bottom"/>
          </w:tcPr>
          <w:p>
            <w:pPr>
              <w:jc w:val="right"/>
              <w:ind w:right="719"/>
              <w:spacing w:after="0"/>
              <w:rPr>
                <w:sz w:val="20"/>
                <w:szCs w:val="20"/>
                <w:color w:val="auto"/>
              </w:rPr>
            </w:pPr>
            <w:r>
              <w:rPr>
                <w:rFonts w:ascii="Arial" w:cs="Arial" w:eastAsia="Arial" w:hAnsi="Arial"/>
                <w:sz w:val="16"/>
                <w:szCs w:val="16"/>
                <w:b w:val="1"/>
                <w:bCs w:val="1"/>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148</w:t>
            </w:r>
          </w:p>
        </w:tc>
        <w:tc>
          <w:tcPr>
            <w:tcW w:w="0" w:type="dxa"/>
            <w:vAlign w:val="bottom"/>
          </w:tcPr>
          <w:p>
            <w:pPr>
              <w:spacing w:after="0"/>
              <w:rPr>
                <w:sz w:val="1"/>
                <w:szCs w:val="1"/>
                <w:color w:val="auto"/>
              </w:rPr>
            </w:pPr>
          </w:p>
        </w:tc>
      </w:tr>
      <w:tr>
        <w:trPr>
          <w:trHeight w:val="229"/>
        </w:trPr>
        <w:tc>
          <w:tcPr>
            <w:tcW w:w="5820" w:type="dxa"/>
            <w:vAlign w:val="bottom"/>
          </w:tcPr>
          <w:p>
            <w:pPr>
              <w:ind w:left="100"/>
              <w:spacing w:after="0"/>
              <w:rPr>
                <w:sz w:val="20"/>
                <w:szCs w:val="20"/>
                <w:color w:val="auto"/>
              </w:rPr>
            </w:pPr>
            <w:r>
              <w:rPr>
                <w:rFonts w:ascii="Arial" w:cs="Arial" w:eastAsia="Arial" w:hAnsi="Arial"/>
                <w:sz w:val="16"/>
                <w:szCs w:val="16"/>
                <w:color w:val="auto"/>
              </w:rPr>
              <w:t>Third-party settlement, net of current income tax</w:t>
            </w:r>
          </w:p>
        </w:tc>
        <w:tc>
          <w:tcPr>
            <w:tcW w:w="100" w:type="dxa"/>
            <w:vAlign w:val="bottom"/>
          </w:tcPr>
          <w:p>
            <w:pPr>
              <w:spacing w:after="0"/>
              <w:rPr>
                <w:sz w:val="19"/>
                <w:szCs w:val="19"/>
                <w:color w:val="auto"/>
              </w:rPr>
            </w:pPr>
          </w:p>
        </w:tc>
        <w:tc>
          <w:tcPr>
            <w:tcW w:w="2100" w:type="dxa"/>
            <w:vAlign w:val="bottom"/>
          </w:tcPr>
          <w:p>
            <w:pPr>
              <w:jc w:val="right"/>
              <w:ind w:right="839"/>
              <w:spacing w:after="0"/>
              <w:rPr>
                <w:sz w:val="20"/>
                <w:szCs w:val="20"/>
                <w:color w:val="auto"/>
              </w:rPr>
            </w:pPr>
            <w:r>
              <w:rPr>
                <w:rFonts w:ascii="Arial" w:cs="Arial" w:eastAsia="Arial" w:hAnsi="Arial"/>
                <w:sz w:val="16"/>
                <w:szCs w:val="16"/>
                <w:b w:val="1"/>
                <w:bCs w:val="1"/>
                <w:color w:val="auto"/>
              </w:rPr>
              <w:t>—</w:t>
            </w:r>
          </w:p>
        </w:tc>
        <w:tc>
          <w:tcPr>
            <w:tcW w:w="6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980" w:type="dxa"/>
            <w:vAlign w:val="bottom"/>
          </w:tcPr>
          <w:p>
            <w:pPr>
              <w:jc w:val="right"/>
              <w:ind w:right="719"/>
              <w:spacing w:after="0"/>
              <w:rPr>
                <w:sz w:val="20"/>
                <w:szCs w:val="20"/>
                <w:color w:val="auto"/>
              </w:rPr>
            </w:pPr>
            <w:r>
              <w:rPr>
                <w:rFonts w:ascii="Arial" w:cs="Arial" w:eastAsia="Arial" w:hAnsi="Arial"/>
                <w:sz w:val="16"/>
                <w:szCs w:val="16"/>
                <w:b w:val="1"/>
                <w:bCs w:val="1"/>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29"/>
        </w:trPr>
        <w:tc>
          <w:tcPr>
            <w:tcW w:w="5820" w:type="dxa"/>
            <w:vAlign w:val="bottom"/>
          </w:tcPr>
          <w:p>
            <w:pPr>
              <w:ind w:left="100"/>
              <w:spacing w:after="0"/>
              <w:rPr>
                <w:sz w:val="20"/>
                <w:szCs w:val="20"/>
                <w:color w:val="auto"/>
              </w:rPr>
            </w:pPr>
            <w:r>
              <w:rPr>
                <w:rFonts w:ascii="Arial" w:cs="Arial" w:eastAsia="Arial" w:hAnsi="Arial"/>
                <w:sz w:val="16"/>
                <w:szCs w:val="16"/>
                <w:color w:val="auto"/>
              </w:rPr>
              <w:t>Focus Project costs, net of current income tax</w:t>
            </w:r>
          </w:p>
        </w:tc>
        <w:tc>
          <w:tcPr>
            <w:tcW w:w="100" w:type="dxa"/>
            <w:vAlign w:val="bottom"/>
          </w:tcPr>
          <w:p>
            <w:pPr>
              <w:spacing w:after="0"/>
              <w:rPr>
                <w:sz w:val="19"/>
                <w:szCs w:val="19"/>
                <w:color w:val="auto"/>
              </w:rPr>
            </w:pPr>
          </w:p>
        </w:tc>
        <w:tc>
          <w:tcPr>
            <w:tcW w:w="2100" w:type="dxa"/>
            <w:vAlign w:val="bottom"/>
          </w:tcPr>
          <w:p>
            <w:pPr>
              <w:jc w:val="right"/>
              <w:ind w:right="839"/>
              <w:spacing w:after="0"/>
              <w:rPr>
                <w:sz w:val="20"/>
                <w:szCs w:val="20"/>
                <w:color w:val="auto"/>
              </w:rPr>
            </w:pPr>
            <w:r>
              <w:rPr>
                <w:rFonts w:ascii="Arial" w:cs="Arial" w:eastAsia="Arial" w:hAnsi="Arial"/>
                <w:sz w:val="16"/>
                <w:szCs w:val="16"/>
                <w:b w:val="1"/>
                <w:bCs w:val="1"/>
                <w:color w:val="auto"/>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9"/>
                <w:szCs w:val="19"/>
                <w:color w:val="auto"/>
              </w:rPr>
            </w:pPr>
          </w:p>
        </w:tc>
        <w:tc>
          <w:tcPr>
            <w:tcW w:w="1980" w:type="dxa"/>
            <w:vAlign w:val="bottom"/>
          </w:tcPr>
          <w:p>
            <w:pPr>
              <w:jc w:val="right"/>
              <w:ind w:right="719"/>
              <w:spacing w:after="0"/>
              <w:rPr>
                <w:sz w:val="20"/>
                <w:szCs w:val="20"/>
                <w:color w:val="auto"/>
              </w:rPr>
            </w:pPr>
            <w:r>
              <w:rPr>
                <w:rFonts w:ascii="Arial" w:cs="Arial" w:eastAsia="Arial" w:hAnsi="Arial"/>
                <w:sz w:val="16"/>
                <w:szCs w:val="16"/>
                <w:b w:val="1"/>
                <w:bCs w:val="1"/>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30"/>
        </w:trPr>
        <w:tc>
          <w:tcPr>
            <w:tcW w:w="5820" w:type="dxa"/>
            <w:vAlign w:val="bottom"/>
          </w:tcPr>
          <w:p>
            <w:pPr>
              <w:ind w:left="100"/>
              <w:spacing w:after="0"/>
              <w:rPr>
                <w:sz w:val="20"/>
                <w:szCs w:val="20"/>
                <w:color w:val="auto"/>
              </w:rPr>
            </w:pPr>
            <w:r>
              <w:rPr>
                <w:rFonts w:ascii="Arial" w:cs="Arial" w:eastAsia="Arial" w:hAnsi="Arial"/>
                <w:sz w:val="16"/>
                <w:szCs w:val="16"/>
                <w:color w:val="auto"/>
              </w:rPr>
              <w:t>NGTL System ownership transfer costs</w:t>
            </w:r>
          </w:p>
        </w:tc>
        <w:tc>
          <w:tcPr>
            <w:tcW w:w="100" w:type="dxa"/>
            <w:vAlign w:val="bottom"/>
          </w:tcPr>
          <w:p>
            <w:pPr>
              <w:spacing w:after="0"/>
              <w:rPr>
                <w:sz w:val="19"/>
                <w:szCs w:val="19"/>
                <w:color w:val="auto"/>
              </w:rPr>
            </w:pPr>
          </w:p>
        </w:tc>
        <w:tc>
          <w:tcPr>
            <w:tcW w:w="2100" w:type="dxa"/>
            <w:vAlign w:val="bottom"/>
          </w:tcPr>
          <w:p>
            <w:pPr>
              <w:jc w:val="right"/>
              <w:ind w:right="839"/>
              <w:spacing w:after="0"/>
              <w:rPr>
                <w:sz w:val="20"/>
                <w:szCs w:val="20"/>
                <w:color w:val="auto"/>
              </w:rPr>
            </w:pPr>
            <w:r>
              <w:rPr>
                <w:rFonts w:ascii="Arial" w:cs="Arial" w:eastAsia="Arial" w:hAnsi="Arial"/>
                <w:sz w:val="16"/>
                <w:szCs w:val="16"/>
                <w:b w:val="1"/>
                <w:bCs w:val="1"/>
                <w:color w:val="auto"/>
              </w:rPr>
              <w:t>—</w:t>
            </w:r>
          </w:p>
        </w:tc>
        <w:tc>
          <w:tcPr>
            <w:tcW w:w="6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980" w:type="dxa"/>
            <w:vAlign w:val="bottom"/>
          </w:tcPr>
          <w:p>
            <w:pPr>
              <w:jc w:val="right"/>
              <w:ind w:right="719"/>
              <w:spacing w:after="0"/>
              <w:rPr>
                <w:sz w:val="20"/>
                <w:szCs w:val="20"/>
                <w:color w:val="auto"/>
              </w:rPr>
            </w:pPr>
            <w:r>
              <w:rPr>
                <w:rFonts w:ascii="Arial" w:cs="Arial" w:eastAsia="Arial" w:hAnsi="Arial"/>
                <w:sz w:val="16"/>
                <w:szCs w:val="16"/>
                <w:b w:val="1"/>
                <w:bCs w:val="1"/>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29"/>
        </w:trPr>
        <w:tc>
          <w:tcPr>
            <w:tcW w:w="5820" w:type="dxa"/>
            <w:vAlign w:val="bottom"/>
          </w:tcPr>
          <w:p>
            <w:pPr>
              <w:ind w:left="100"/>
              <w:spacing w:after="0"/>
              <w:rPr>
                <w:sz w:val="20"/>
                <w:szCs w:val="20"/>
                <w:color w:val="auto"/>
              </w:rPr>
            </w:pPr>
            <w:r>
              <w:rPr>
                <w:rFonts w:ascii="Arial" w:cs="Arial" w:eastAsia="Arial" w:hAnsi="Arial"/>
                <w:sz w:val="16"/>
                <w:szCs w:val="16"/>
                <w:color w:val="auto"/>
              </w:rPr>
              <w:t>Current income tax (recovery) expense on risk management activities</w:t>
            </w:r>
          </w:p>
        </w:tc>
        <w:tc>
          <w:tcPr>
            <w:tcW w:w="100" w:type="dxa"/>
            <w:vAlign w:val="bottom"/>
          </w:tcPr>
          <w:p>
            <w:pPr>
              <w:spacing w:after="0"/>
              <w:rPr>
                <w:sz w:val="19"/>
                <w:szCs w:val="19"/>
                <w:color w:val="auto"/>
              </w:rPr>
            </w:pPr>
          </w:p>
        </w:tc>
        <w:tc>
          <w:tcPr>
            <w:tcW w:w="2100" w:type="dxa"/>
            <w:vAlign w:val="bottom"/>
          </w:tcPr>
          <w:p>
            <w:pPr>
              <w:jc w:val="right"/>
              <w:ind w:right="839"/>
              <w:spacing w:after="0"/>
              <w:rPr>
                <w:sz w:val="20"/>
                <w:szCs w:val="20"/>
                <w:color w:val="auto"/>
              </w:rPr>
            </w:pPr>
            <w:r>
              <w:rPr>
                <w:rFonts w:ascii="Arial" w:cs="Arial" w:eastAsia="Arial" w:hAnsi="Arial"/>
                <w:sz w:val="16"/>
                <w:szCs w:val="16"/>
                <w:b w:val="1"/>
                <w:bCs w:val="1"/>
                <w:color w:val="auto"/>
              </w:rPr>
              <w:t>—</w:t>
            </w:r>
          </w:p>
        </w:tc>
        <w:tc>
          <w:tcPr>
            <w:tcW w:w="6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980" w:type="dxa"/>
            <w:vAlign w:val="bottom"/>
          </w:tcPr>
          <w:p>
            <w:pPr>
              <w:jc w:val="right"/>
              <w:ind w:right="719"/>
              <w:spacing w:after="0"/>
              <w:rPr>
                <w:sz w:val="20"/>
                <w:szCs w:val="20"/>
                <w:color w:val="auto"/>
              </w:rPr>
            </w:pPr>
            <w:r>
              <w:rPr>
                <w:rFonts w:ascii="Arial" w:cs="Arial" w:eastAsia="Arial" w:hAnsi="Arial"/>
                <w:sz w:val="16"/>
                <w:szCs w:val="16"/>
                <w:b w:val="1"/>
                <w:bCs w:val="1"/>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182"/>
        </w:trPr>
        <w:tc>
          <w:tcPr>
            <w:tcW w:w="5820" w:type="dxa"/>
            <w:vAlign w:val="bottom"/>
          </w:tcPr>
          <w:p>
            <w:pPr>
              <w:ind w:left="100"/>
              <w:spacing w:after="0" w:line="182" w:lineRule="exact"/>
              <w:rPr>
                <w:sz w:val="20"/>
                <w:szCs w:val="20"/>
                <w:color w:val="auto"/>
              </w:rPr>
            </w:pPr>
            <w:r>
              <w:rPr>
                <w:rFonts w:ascii="Arial" w:cs="Arial" w:eastAsia="Arial" w:hAnsi="Arial"/>
                <w:sz w:val="16"/>
                <w:szCs w:val="16"/>
                <w:color w:val="auto"/>
              </w:rPr>
              <w:t>Current income tax (recovery) expense on Keystone XL asset impairment</w:t>
            </w:r>
          </w:p>
        </w:tc>
        <w:tc>
          <w:tcPr>
            <w:tcW w:w="100" w:type="dxa"/>
            <w:vAlign w:val="bottom"/>
          </w:tcPr>
          <w:p>
            <w:pPr>
              <w:spacing w:after="0"/>
              <w:rPr>
                <w:sz w:val="15"/>
                <w:szCs w:val="15"/>
                <w:color w:val="auto"/>
              </w:rPr>
            </w:pPr>
          </w:p>
        </w:tc>
        <w:tc>
          <w:tcPr>
            <w:tcW w:w="2100" w:type="dxa"/>
            <w:vAlign w:val="bottom"/>
            <w:vMerge w:val="restart"/>
          </w:tcPr>
          <w:p>
            <w:pPr>
              <w:jc w:val="right"/>
              <w:ind w:right="839"/>
              <w:spacing w:after="0"/>
              <w:rPr>
                <w:sz w:val="20"/>
                <w:szCs w:val="20"/>
                <w:color w:val="auto"/>
              </w:rPr>
            </w:pPr>
            <w:r>
              <w:rPr>
                <w:rFonts w:ascii="Arial" w:cs="Arial" w:eastAsia="Arial" w:hAnsi="Arial"/>
                <w:sz w:val="16"/>
                <w:szCs w:val="16"/>
                <w:b w:val="1"/>
                <w:bCs w:val="1"/>
                <w:color w:val="auto"/>
              </w:rPr>
              <w:t>—</w:t>
            </w: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80" w:type="dxa"/>
            <w:vAlign w:val="bottom"/>
            <w:vMerge w:val="restart"/>
          </w:tcPr>
          <w:p>
            <w:pPr>
              <w:jc w:val="right"/>
              <w:ind w:right="719"/>
              <w:spacing w:after="0"/>
              <w:rPr>
                <w:sz w:val="20"/>
                <w:szCs w:val="20"/>
                <w:color w:val="auto"/>
              </w:rPr>
            </w:pPr>
            <w:r>
              <w:rPr>
                <w:rFonts w:ascii="Arial" w:cs="Arial" w:eastAsia="Arial" w:hAnsi="Arial"/>
                <w:sz w:val="16"/>
                <w:szCs w:val="16"/>
                <w:b w:val="1"/>
                <w:bCs w:val="1"/>
                <w:color w:val="auto"/>
              </w:rPr>
              <w:t>—</w:t>
            </w: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5820" w:type="dxa"/>
            <w:vAlign w:val="bottom"/>
          </w:tcPr>
          <w:p>
            <w:pPr>
              <w:ind w:left="180"/>
              <w:spacing w:after="0"/>
              <w:rPr>
                <w:sz w:val="20"/>
                <w:szCs w:val="20"/>
                <w:color w:val="auto"/>
              </w:rPr>
            </w:pPr>
            <w:r>
              <w:rPr>
                <w:rFonts w:ascii="Arial" w:cs="Arial" w:eastAsia="Arial" w:hAnsi="Arial"/>
                <w:sz w:val="16"/>
                <w:szCs w:val="16"/>
                <w:color w:val="auto"/>
              </w:rPr>
              <w:t>charge and other</w:t>
            </w:r>
          </w:p>
        </w:tc>
        <w:tc>
          <w:tcPr>
            <w:tcW w:w="100" w:type="dxa"/>
            <w:vAlign w:val="bottom"/>
          </w:tcPr>
          <w:p>
            <w:pPr>
              <w:spacing w:after="0"/>
              <w:rPr>
                <w:sz w:val="19"/>
                <w:szCs w:val="19"/>
                <w:color w:val="auto"/>
              </w:rPr>
            </w:pPr>
          </w:p>
        </w:tc>
        <w:tc>
          <w:tcPr>
            <w:tcW w:w="2100" w:type="dxa"/>
            <w:vAlign w:val="bottom"/>
            <w:vMerge w:val="continue"/>
          </w:tcPr>
          <w:p>
            <w:pPr>
              <w:spacing w:after="0"/>
              <w:rPr>
                <w:sz w:val="19"/>
                <w:szCs w:val="19"/>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980" w:type="dxa"/>
            <w:vAlign w:val="bottom"/>
            <w:vMerge w:val="continue"/>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33"/>
        </w:trPr>
        <w:tc>
          <w:tcPr>
            <w:tcW w:w="582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Current income tax (recovery) expense on Keystone regulatory decisions</w:t>
            </w:r>
          </w:p>
        </w:tc>
        <w:tc>
          <w:tcPr>
            <w:tcW w:w="10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tcPr>
          <w:p>
            <w:pPr>
              <w:jc w:val="right"/>
              <w:ind w:right="839"/>
              <w:spacing w:after="0"/>
              <w:rPr>
                <w:sz w:val="20"/>
                <w:szCs w:val="20"/>
                <w:color w:val="auto"/>
              </w:rPr>
            </w:pPr>
            <w:r>
              <w:rPr>
                <w:rFonts w:ascii="Arial" w:cs="Arial" w:eastAsia="Arial" w:hAnsi="Arial"/>
                <w:sz w:val="16"/>
                <w:szCs w:val="16"/>
                <w:b w:val="1"/>
                <w:bCs w:val="1"/>
                <w:color w:val="auto"/>
              </w:rPr>
              <w:t>—</w:t>
            </w:r>
          </w:p>
        </w:tc>
        <w:tc>
          <w:tcPr>
            <w:tcW w:w="60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1980" w:type="dxa"/>
            <w:vAlign w:val="bottom"/>
            <w:tcBorders>
              <w:bottom w:val="single" w:sz="8" w:color="auto"/>
            </w:tcBorders>
          </w:tcPr>
          <w:p>
            <w:pPr>
              <w:jc w:val="right"/>
              <w:ind w:right="719"/>
              <w:spacing w:after="0"/>
              <w:rPr>
                <w:sz w:val="20"/>
                <w:szCs w:val="20"/>
                <w:color w:val="auto"/>
              </w:rPr>
            </w:pPr>
            <w:r>
              <w:rPr>
                <w:rFonts w:ascii="Arial" w:cs="Arial" w:eastAsia="Arial" w:hAnsi="Arial"/>
                <w:sz w:val="16"/>
                <w:szCs w:val="16"/>
                <w:b w:val="1"/>
                <w:bCs w:val="1"/>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23"/>
        </w:trPr>
        <w:tc>
          <w:tcPr>
            <w:tcW w:w="58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0D64EF"/>
              </w:rPr>
              <w:t>Comparable funds generated from operations</w:t>
            </w:r>
          </w:p>
        </w:tc>
        <w:tc>
          <w:tcPr>
            <w:tcW w:w="2200" w:type="dxa"/>
            <w:vAlign w:val="bottom"/>
            <w:tcBorders>
              <w:bottom w:val="single" w:sz="8" w:color="auto"/>
            </w:tcBorders>
            <w:gridSpan w:val="2"/>
          </w:tcPr>
          <w:p>
            <w:pPr>
              <w:jc w:val="right"/>
              <w:ind w:right="839"/>
              <w:spacing w:after="0"/>
              <w:rPr>
                <w:sz w:val="20"/>
                <w:szCs w:val="20"/>
                <w:color w:val="auto"/>
              </w:rPr>
            </w:pPr>
            <w:r>
              <w:rPr>
                <w:rFonts w:ascii="Arial" w:cs="Arial" w:eastAsia="Arial" w:hAnsi="Arial"/>
                <w:sz w:val="16"/>
                <w:szCs w:val="16"/>
                <w:b w:val="1"/>
                <w:bCs w:val="1"/>
                <w:color w:val="auto"/>
              </w:rPr>
              <w:t>2,293</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9"/>
              </w:rPr>
              <w:t>1,665</w:t>
            </w:r>
          </w:p>
        </w:tc>
        <w:tc>
          <w:tcPr>
            <w:tcW w:w="10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ind w:right="719"/>
              <w:spacing w:after="0"/>
              <w:rPr>
                <w:sz w:val="20"/>
                <w:szCs w:val="20"/>
                <w:color w:val="auto"/>
              </w:rPr>
            </w:pPr>
            <w:r>
              <w:rPr>
                <w:rFonts w:ascii="Arial" w:cs="Arial" w:eastAsia="Arial" w:hAnsi="Arial"/>
                <w:sz w:val="16"/>
                <w:szCs w:val="16"/>
                <w:b w:val="1"/>
                <w:bCs w:val="1"/>
                <w:color w:val="auto"/>
              </w:rPr>
              <w:t>7,996</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7,890</w:t>
            </w: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240" w:hanging="232"/>
        <w:spacing w:after="0"/>
        <w:tabs>
          <w:tab w:leader="none" w:pos="240" w:val="left"/>
        </w:tabs>
        <w:numPr>
          <w:ilvl w:val="0"/>
          <w:numId w:val="63"/>
        </w:numPr>
        <w:rPr>
          <w:rFonts w:ascii="Arial" w:cs="Arial" w:eastAsia="Arial" w:hAnsi="Arial"/>
          <w:sz w:val="14"/>
          <w:szCs w:val="14"/>
          <w:color w:val="auto"/>
        </w:rPr>
      </w:pPr>
      <w:r>
        <w:rPr>
          <w:rFonts w:ascii="Arial" w:cs="Arial" w:eastAsia="Arial" w:hAnsi="Arial"/>
          <w:sz w:val="14"/>
          <w:szCs w:val="14"/>
          <w:color w:val="auto"/>
        </w:rPr>
        <w:t>Includes continuing and discontinued operations.</w:t>
      </w:r>
    </w:p>
    <w:p>
      <w:pPr>
        <w:spacing w:after="0" w:line="42" w:lineRule="exact"/>
        <w:rPr>
          <w:sz w:val="20"/>
          <w:szCs w:val="20"/>
          <w:color w:val="auto"/>
        </w:rPr>
      </w:pPr>
    </w:p>
    <w:p>
      <w:pPr>
        <w:ind w:left="340" w:right="280" w:hanging="332"/>
        <w:spacing w:after="0" w:line="365" w:lineRule="auto"/>
        <w:tabs>
          <w:tab w:leader="none" w:pos="256" w:val="left"/>
        </w:tabs>
        <w:numPr>
          <w:ilvl w:val="0"/>
          <w:numId w:val="64"/>
        </w:numPr>
        <w:rPr>
          <w:rFonts w:ascii="Arial" w:cs="Arial" w:eastAsia="Arial" w:hAnsi="Arial"/>
          <w:sz w:val="14"/>
          <w:szCs w:val="14"/>
          <w:color w:val="auto"/>
        </w:rPr>
      </w:pPr>
      <w:r>
        <w:rPr>
          <w:rFonts w:ascii="Arial" w:cs="Arial" w:eastAsia="Arial" w:hAnsi="Arial"/>
          <w:sz w:val="14"/>
          <w:szCs w:val="14"/>
          <w:color w:val="auto"/>
        </w:rPr>
        <w:t>Includes nine months of Liquids Pipelines earnings for the year ended December 31, 2024. Refer to the Discontinued operations section and our 2025 Annual Report for additional information.</w:t>
      </w:r>
    </w:p>
    <w:p>
      <w:pPr>
        <w:spacing w:after="0" w:line="36" w:lineRule="exact"/>
        <w:rPr>
          <w:sz w:val="20"/>
          <w:szCs w:val="20"/>
          <w:color w:val="auto"/>
        </w:rPr>
      </w:pPr>
    </w:p>
    <w:p>
      <w:pPr>
        <w:spacing w:after="0"/>
        <w:rPr>
          <w:sz w:val="20"/>
          <w:szCs w:val="20"/>
          <w:color w:val="auto"/>
        </w:rPr>
      </w:pPr>
      <w:r>
        <w:rPr>
          <w:rFonts w:ascii="Arial" w:cs="Arial" w:eastAsia="Arial" w:hAnsi="Arial"/>
          <w:sz w:val="20"/>
          <w:szCs w:val="20"/>
          <w:b w:val="1"/>
          <w:bCs w:val="1"/>
          <w:color w:val="0D64EF"/>
        </w:rPr>
        <w:t>Net cash provided by operations</w:t>
      </w:r>
    </w:p>
    <w:p>
      <w:pPr>
        <w:spacing w:after="0" w:line="72" w:lineRule="exact"/>
        <w:rPr>
          <w:sz w:val="20"/>
          <w:szCs w:val="20"/>
          <w:color w:val="auto"/>
        </w:rPr>
      </w:pPr>
    </w:p>
    <w:p>
      <w:pPr>
        <w:ind w:right="80"/>
        <w:spacing w:after="0" w:line="334" w:lineRule="auto"/>
        <w:rPr>
          <w:sz w:val="20"/>
          <w:szCs w:val="20"/>
          <w:color w:val="auto"/>
        </w:rPr>
      </w:pPr>
      <w:r>
        <w:rPr>
          <w:rFonts w:ascii="Arial" w:cs="Arial" w:eastAsia="Arial" w:hAnsi="Arial"/>
          <w:sz w:val="18"/>
          <w:szCs w:val="18"/>
          <w:color w:val="auto"/>
        </w:rPr>
        <w:t>Net cash provided by operations decreased by $190 million for the three months ended December 31, 2025 compared to the same period in 2024 primarily due to the timing of working capital changes, partially offset by higher funds generated from operations.</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b w:val="1"/>
          <w:bCs w:val="1"/>
          <w:color w:val="0D64EF"/>
        </w:rPr>
        <w:t>Comparable funds generated from operations</w:t>
      </w:r>
    </w:p>
    <w:p>
      <w:pPr>
        <w:spacing w:after="0" w:line="72" w:lineRule="exact"/>
        <w:rPr>
          <w:sz w:val="20"/>
          <w:szCs w:val="20"/>
          <w:color w:val="auto"/>
        </w:rPr>
      </w:pPr>
    </w:p>
    <w:p>
      <w:pPr>
        <w:ind w:right="520"/>
        <w:spacing w:after="0" w:line="334" w:lineRule="auto"/>
        <w:rPr>
          <w:sz w:val="20"/>
          <w:szCs w:val="20"/>
          <w:color w:val="auto"/>
        </w:rPr>
      </w:pPr>
      <w:r>
        <w:rPr>
          <w:rFonts w:ascii="Arial" w:cs="Arial" w:eastAsia="Arial" w:hAnsi="Arial"/>
          <w:sz w:val="18"/>
          <w:szCs w:val="18"/>
          <w:color w:val="auto"/>
        </w:rPr>
        <w:t>Comparable funds generated from operations, a non-GAAP measure, helps us assess the cash generating ability of our businesses by excluding the timing effects of working capital changes, as well as the cash impact of our specific items.</w:t>
      </w:r>
    </w:p>
    <w:p>
      <w:pPr>
        <w:spacing w:after="0" w:line="31" w:lineRule="exact"/>
        <w:rPr>
          <w:sz w:val="20"/>
          <w:szCs w:val="20"/>
          <w:color w:val="auto"/>
        </w:rPr>
      </w:pPr>
    </w:p>
    <w:p>
      <w:pPr>
        <w:ind w:right="320"/>
        <w:spacing w:after="0" w:line="334" w:lineRule="auto"/>
        <w:rPr>
          <w:sz w:val="20"/>
          <w:szCs w:val="20"/>
          <w:color w:val="auto"/>
        </w:rPr>
      </w:pPr>
      <w:r>
        <w:rPr>
          <w:rFonts w:ascii="Arial" w:cs="Arial" w:eastAsia="Arial" w:hAnsi="Arial"/>
          <w:sz w:val="18"/>
          <w:szCs w:val="18"/>
          <w:color w:val="auto"/>
        </w:rPr>
        <w:t>Comparable funds generated from operations increased by $628 million for the three months ended December 31, 2025 compared to the same period in 2024 primarily due to higher comparable EBITDA and higher distributions from our equity investments.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TC Energy </w:t>
      </w:r>
      <w:r>
        <w:rPr>
          <w:rFonts w:ascii="Arial" w:cs="Arial" w:eastAsia="Arial" w:hAnsi="Arial"/>
          <w:sz w:val="18"/>
          <w:szCs w:val="18"/>
          <w:b w:val="1"/>
          <w:bCs w:val="1"/>
          <w:color w:val="0D64EF"/>
        </w:rPr>
        <w:t>Fourth Quarter</w:t>
      </w:r>
      <w:r>
        <w:rPr>
          <w:rFonts w:ascii="Arial" w:cs="Arial" w:eastAsia="Arial" w:hAnsi="Arial"/>
          <w:sz w:val="18"/>
          <w:szCs w:val="18"/>
          <w:color w:val="auto"/>
        </w:rPr>
        <w:t xml:space="preserve"> News Release 2025 | 29</w:t>
      </w:r>
    </w:p>
    <w:p>
      <w:pPr>
        <w:sectPr>
          <w:pgSz w:w="11900" w:h="16838" w:orient="portrait"/>
          <w:cols w:equalWidth="0" w:num="1">
            <w:col w:w="11240"/>
          </w:cols>
          <w:pgMar w:left="320" w:top="1359" w:right="339" w:bottom="1440" w:gutter="0" w:footer="0" w:header="0"/>
        </w:sectPr>
      </w:pPr>
    </w:p>
    <w:bookmarkStart w:id="42" w:name="page43"/>
    <w:bookmarkEnd w:id="42"/>
    <w:p>
      <w:pPr>
        <w:spacing w:after="0"/>
        <w:rPr>
          <w:sz w:val="20"/>
          <w:szCs w:val="20"/>
          <w:color w:val="auto"/>
        </w:rPr>
      </w:pPr>
      <w:r>
        <w:rPr>
          <w:rFonts w:ascii="Arial" w:cs="Arial" w:eastAsia="Arial" w:hAnsi="Arial"/>
          <w:sz w:val="25"/>
          <w:szCs w:val="25"/>
          <w:color w:val="0D64EF"/>
        </w:rPr>
        <w:t>Discontinued operations</w:t>
      </w:r>
    </w:p>
    <w:p>
      <w:pPr>
        <w:spacing w:after="0" w:line="148" w:lineRule="exact"/>
        <w:rPr>
          <w:sz w:val="20"/>
          <w:szCs w:val="20"/>
          <w:color w:val="auto"/>
        </w:rPr>
      </w:pPr>
    </w:p>
    <w:p>
      <w:pPr>
        <w:jc w:val="both"/>
        <w:ind w:right="640"/>
        <w:spacing w:after="0" w:line="323" w:lineRule="auto"/>
        <w:rPr>
          <w:sz w:val="20"/>
          <w:szCs w:val="20"/>
          <w:color w:val="auto"/>
        </w:rPr>
      </w:pPr>
      <w:r>
        <w:rPr>
          <w:rFonts w:ascii="Arial" w:cs="Arial" w:eastAsia="Arial" w:hAnsi="Arial"/>
          <w:sz w:val="18"/>
          <w:szCs w:val="18"/>
          <w:color w:val="auto"/>
        </w:rPr>
        <w:t>On October 1, 2024, TC Energy completed the spinoff of its Liquids Pipelines business into a new public company, South Bow. Upon completion of the Spinoff Transaction, the Liquids Pipelines business was accounted for as a discontinued operation. Refer to Note 4, Discontinued operations, in the Consolidated financial statements of our 2025 Annual Report for additional information.</w:t>
      </w:r>
    </w:p>
    <w:p>
      <w:pPr>
        <w:spacing w:after="0" w:line="91" w:lineRule="exact"/>
        <w:rPr>
          <w:sz w:val="20"/>
          <w:szCs w:val="20"/>
          <w:color w:val="auto"/>
        </w:rPr>
      </w:pPr>
    </w:p>
    <w:p>
      <w:pPr>
        <w:spacing w:after="0"/>
        <w:rPr>
          <w:sz w:val="20"/>
          <w:szCs w:val="20"/>
          <w:color w:val="auto"/>
        </w:rPr>
      </w:pPr>
      <w:r>
        <w:rPr>
          <w:rFonts w:ascii="Arial" w:cs="Arial" w:eastAsia="Arial" w:hAnsi="Arial"/>
          <w:sz w:val="20"/>
          <w:szCs w:val="20"/>
          <w:b w:val="1"/>
          <w:bCs w:val="1"/>
          <w:color w:val="0D64EF"/>
        </w:rPr>
        <w:t>RESULTS FROM DISCONTINUED OPERATIONS</w:t>
      </w:r>
      <w:r>
        <w:rPr>
          <w:rFonts w:ascii="Arial" w:cs="Arial" w:eastAsia="Arial" w:hAnsi="Arial"/>
          <w:sz w:val="11"/>
          <w:szCs w:val="11"/>
          <w:color w:val="000000"/>
        </w:rPr>
        <w:t>1</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600" w:type="dxa"/>
            <w:vAlign w:val="bottom"/>
            <w:tcBorders>
              <w:top w:val="single" w:sz="8" w:color="0D64EF"/>
            </w:tcBorders>
            <w:shd w:val="clear" w:color="auto" w:fill="D1D0CF"/>
          </w:tcPr>
          <w:p>
            <w:pPr>
              <w:spacing w:after="0"/>
              <w:rPr>
                <w:sz w:val="16"/>
                <w:szCs w:val="16"/>
                <w:color w:val="auto"/>
              </w:rPr>
            </w:pPr>
          </w:p>
        </w:tc>
        <w:tc>
          <w:tcPr>
            <w:tcW w:w="100" w:type="dxa"/>
            <w:vAlign w:val="bottom"/>
            <w:tcBorders>
              <w:top w:val="single" w:sz="8" w:color="0D64EF"/>
            </w:tcBorders>
            <w:shd w:val="clear" w:color="auto" w:fill="D1D0CF"/>
          </w:tcPr>
          <w:p>
            <w:pPr>
              <w:spacing w:after="0"/>
              <w:rPr>
                <w:sz w:val="16"/>
                <w:szCs w:val="16"/>
                <w:color w:val="auto"/>
              </w:rPr>
            </w:pPr>
          </w:p>
        </w:tc>
        <w:tc>
          <w:tcPr>
            <w:tcW w:w="2160" w:type="dxa"/>
            <w:vAlign w:val="bottom"/>
            <w:tcBorders>
              <w:top w:val="single" w:sz="8" w:color="0D64EF"/>
            </w:tcBorders>
            <w:shd w:val="clear" w:color="auto" w:fill="D1D0CF"/>
          </w:tcPr>
          <w:p>
            <w:pPr>
              <w:jc w:val="right"/>
              <w:spacing w:after="0"/>
              <w:rPr>
                <w:sz w:val="20"/>
                <w:szCs w:val="20"/>
                <w:color w:val="auto"/>
              </w:rPr>
            </w:pPr>
            <w:r>
              <w:rPr>
                <w:rFonts w:ascii="Arial" w:cs="Arial" w:eastAsia="Arial" w:hAnsi="Arial"/>
                <w:sz w:val="16"/>
                <w:szCs w:val="16"/>
                <w:b w:val="1"/>
                <w:bCs w:val="1"/>
                <w:color w:val="auto"/>
              </w:rPr>
              <w:t>three months ended</w:t>
            </w:r>
          </w:p>
        </w:tc>
        <w:tc>
          <w:tcPr>
            <w:tcW w:w="560" w:type="dxa"/>
            <w:vAlign w:val="bottom"/>
            <w:tcBorders>
              <w:top w:val="single" w:sz="8" w:color="0D64EF"/>
            </w:tcBorders>
            <w:shd w:val="clear" w:color="auto" w:fill="D1D0CF"/>
          </w:tcPr>
          <w:p>
            <w:pPr>
              <w:spacing w:after="0"/>
              <w:rPr>
                <w:sz w:val="16"/>
                <w:szCs w:val="16"/>
                <w:color w:val="auto"/>
              </w:rPr>
            </w:pPr>
          </w:p>
        </w:tc>
        <w:tc>
          <w:tcPr>
            <w:tcW w:w="20" w:type="dxa"/>
            <w:vAlign w:val="bottom"/>
            <w:tcBorders>
              <w:top w:val="single" w:sz="8" w:color="0D64EF"/>
            </w:tcBorders>
            <w:shd w:val="clear" w:color="auto" w:fill="D1D0CF"/>
          </w:tcPr>
          <w:p>
            <w:pPr>
              <w:spacing w:after="0"/>
              <w:rPr>
                <w:sz w:val="16"/>
                <w:szCs w:val="16"/>
                <w:color w:val="auto"/>
              </w:rPr>
            </w:pPr>
          </w:p>
        </w:tc>
        <w:tc>
          <w:tcPr>
            <w:tcW w:w="80" w:type="dxa"/>
            <w:vAlign w:val="bottom"/>
            <w:tcBorders>
              <w:top w:val="single" w:sz="8" w:color="0D64EF"/>
            </w:tcBorders>
            <w:shd w:val="clear" w:color="auto" w:fill="D1D0CF"/>
          </w:tcPr>
          <w:p>
            <w:pPr>
              <w:spacing w:after="0"/>
              <w:rPr>
                <w:sz w:val="16"/>
                <w:szCs w:val="16"/>
                <w:color w:val="auto"/>
              </w:rPr>
            </w:pPr>
          </w:p>
        </w:tc>
        <w:tc>
          <w:tcPr>
            <w:tcW w:w="2060" w:type="dxa"/>
            <w:vAlign w:val="bottom"/>
            <w:tcBorders>
              <w:top w:val="single" w:sz="8" w:color="0D64EF"/>
            </w:tcBorders>
            <w:gridSpan w:val="2"/>
            <w:shd w:val="clear" w:color="auto" w:fill="D1D0CF"/>
          </w:tcPr>
          <w:p>
            <w:pPr>
              <w:jc w:val="center"/>
              <w:ind w:left="539"/>
              <w:spacing w:after="0"/>
              <w:rPr>
                <w:sz w:val="20"/>
                <w:szCs w:val="20"/>
                <w:color w:val="auto"/>
              </w:rPr>
            </w:pPr>
            <w:r>
              <w:rPr>
                <w:rFonts w:ascii="Arial" w:cs="Arial" w:eastAsia="Arial" w:hAnsi="Arial"/>
                <w:sz w:val="16"/>
                <w:szCs w:val="16"/>
                <w:b w:val="1"/>
                <w:bCs w:val="1"/>
                <w:color w:val="auto"/>
                <w:w w:val="99"/>
              </w:rPr>
              <w:t>year ended</w:t>
            </w:r>
          </w:p>
        </w:tc>
        <w:tc>
          <w:tcPr>
            <w:tcW w:w="660" w:type="dxa"/>
            <w:vAlign w:val="bottom"/>
            <w:tcBorders>
              <w:top w:val="single" w:sz="8" w:color="0D64EF"/>
            </w:tcBorders>
            <w:shd w:val="clear" w:color="auto" w:fill="D1D0C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5600" w:type="dxa"/>
            <w:vAlign w:val="bottom"/>
            <w:tcBorders>
              <w:bottom w:val="single" w:sz="8" w:color="D1D0CF"/>
            </w:tcBorders>
            <w:shd w:val="clear" w:color="auto" w:fill="D1D0CF"/>
          </w:tcPr>
          <w:p>
            <w:pPr>
              <w:spacing w:after="0"/>
              <w:rPr>
                <w:sz w:val="21"/>
                <w:szCs w:val="21"/>
                <w:color w:val="auto"/>
              </w:rPr>
            </w:pPr>
          </w:p>
        </w:tc>
        <w:tc>
          <w:tcPr>
            <w:tcW w:w="100" w:type="dxa"/>
            <w:vAlign w:val="bottom"/>
            <w:tcBorders>
              <w:bottom w:val="single" w:sz="8" w:color="D1D0CF"/>
            </w:tcBorders>
            <w:shd w:val="clear" w:color="auto" w:fill="D1D0CF"/>
          </w:tcPr>
          <w:p>
            <w:pPr>
              <w:spacing w:after="0"/>
              <w:rPr>
                <w:sz w:val="21"/>
                <w:szCs w:val="21"/>
                <w:color w:val="auto"/>
              </w:rPr>
            </w:pPr>
          </w:p>
        </w:tc>
        <w:tc>
          <w:tcPr>
            <w:tcW w:w="2160" w:type="dxa"/>
            <w:vAlign w:val="bottom"/>
            <w:tcBorders>
              <w:bottom w:val="single" w:sz="8" w:color="0D64EF"/>
            </w:tcBorders>
            <w:shd w:val="clear" w:color="auto" w:fill="D1D0CF"/>
          </w:tcPr>
          <w:p>
            <w:pPr>
              <w:jc w:val="right"/>
              <w:ind w:right="219"/>
              <w:spacing w:after="0"/>
              <w:rPr>
                <w:sz w:val="20"/>
                <w:szCs w:val="20"/>
                <w:color w:val="auto"/>
              </w:rPr>
            </w:pPr>
            <w:r>
              <w:rPr>
                <w:rFonts w:ascii="Arial" w:cs="Arial" w:eastAsia="Arial" w:hAnsi="Arial"/>
                <w:sz w:val="16"/>
                <w:szCs w:val="16"/>
                <w:b w:val="1"/>
                <w:bCs w:val="1"/>
                <w:color w:val="auto"/>
              </w:rPr>
              <w:t>December 31</w:t>
            </w:r>
          </w:p>
        </w:tc>
        <w:tc>
          <w:tcPr>
            <w:tcW w:w="560" w:type="dxa"/>
            <w:vAlign w:val="bottom"/>
            <w:tcBorders>
              <w:bottom w:val="single" w:sz="8" w:color="0D64EF"/>
            </w:tcBorders>
            <w:shd w:val="clear" w:color="auto" w:fill="D1D0CF"/>
          </w:tcPr>
          <w:p>
            <w:pPr>
              <w:spacing w:after="0"/>
              <w:rPr>
                <w:sz w:val="21"/>
                <w:szCs w:val="21"/>
                <w:color w:val="auto"/>
              </w:rPr>
            </w:pPr>
          </w:p>
        </w:tc>
        <w:tc>
          <w:tcPr>
            <w:tcW w:w="20" w:type="dxa"/>
            <w:vAlign w:val="bottom"/>
            <w:tcBorders>
              <w:bottom w:val="single" w:sz="8" w:color="D1D0CF"/>
            </w:tcBorders>
            <w:shd w:val="clear" w:color="auto" w:fill="D1D0CF"/>
          </w:tcPr>
          <w:p>
            <w:pPr>
              <w:spacing w:after="0"/>
              <w:rPr>
                <w:sz w:val="21"/>
                <w:szCs w:val="21"/>
                <w:color w:val="auto"/>
              </w:rPr>
            </w:pPr>
          </w:p>
        </w:tc>
        <w:tc>
          <w:tcPr>
            <w:tcW w:w="80" w:type="dxa"/>
            <w:vAlign w:val="bottom"/>
            <w:tcBorders>
              <w:bottom w:val="single" w:sz="8" w:color="D1D0CF"/>
            </w:tcBorders>
            <w:shd w:val="clear" w:color="auto" w:fill="D1D0CF"/>
          </w:tcPr>
          <w:p>
            <w:pPr>
              <w:spacing w:after="0"/>
              <w:rPr>
                <w:sz w:val="21"/>
                <w:szCs w:val="21"/>
                <w:color w:val="auto"/>
              </w:rPr>
            </w:pPr>
          </w:p>
        </w:tc>
        <w:tc>
          <w:tcPr>
            <w:tcW w:w="2060" w:type="dxa"/>
            <w:vAlign w:val="bottom"/>
            <w:tcBorders>
              <w:bottom w:val="single" w:sz="8" w:color="0D64EF"/>
            </w:tcBorders>
            <w:gridSpan w:val="2"/>
            <w:shd w:val="clear" w:color="auto" w:fill="D1D0CF"/>
          </w:tcPr>
          <w:p>
            <w:pPr>
              <w:jc w:val="center"/>
              <w:ind w:left="579"/>
              <w:spacing w:after="0"/>
              <w:rPr>
                <w:sz w:val="20"/>
                <w:szCs w:val="20"/>
                <w:color w:val="auto"/>
              </w:rPr>
            </w:pPr>
            <w:r>
              <w:rPr>
                <w:rFonts w:ascii="Arial" w:cs="Arial" w:eastAsia="Arial" w:hAnsi="Arial"/>
                <w:sz w:val="16"/>
                <w:szCs w:val="16"/>
                <w:b w:val="1"/>
                <w:bCs w:val="1"/>
                <w:color w:val="auto"/>
              </w:rPr>
              <w:t>December 31</w:t>
            </w:r>
          </w:p>
        </w:tc>
        <w:tc>
          <w:tcPr>
            <w:tcW w:w="660" w:type="dxa"/>
            <w:vAlign w:val="bottom"/>
            <w:tcBorders>
              <w:bottom w:val="single" w:sz="8" w:color="0D64EF"/>
            </w:tcBorders>
            <w:shd w:val="clear" w:color="auto" w:fill="D1D0CF"/>
          </w:tcPr>
          <w:p>
            <w:pPr>
              <w:spacing w:after="0"/>
              <w:rPr>
                <w:sz w:val="21"/>
                <w:szCs w:val="21"/>
                <w:color w:val="auto"/>
              </w:rPr>
            </w:pPr>
          </w:p>
        </w:tc>
        <w:tc>
          <w:tcPr>
            <w:tcW w:w="20" w:type="dxa"/>
            <w:vAlign w:val="bottom"/>
            <w:tcBorders>
              <w:bottom w:val="single" w:sz="8" w:color="0D64EF"/>
            </w:tcBorders>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5600" w:type="dxa"/>
            <w:vAlign w:val="bottom"/>
            <w:tcBorders>
              <w:top w:val="single" w:sz="8" w:color="D1D0CF"/>
              <w:bottom w:val="single" w:sz="8" w:color="0D64EF"/>
            </w:tcBorders>
            <w:shd w:val="clear" w:color="auto" w:fill="D1D0CF"/>
          </w:tcPr>
          <w:p>
            <w:pPr>
              <w:ind w:left="20"/>
              <w:spacing w:after="0"/>
              <w:rPr>
                <w:sz w:val="20"/>
                <w:szCs w:val="20"/>
                <w:color w:val="auto"/>
              </w:rPr>
            </w:pPr>
            <w:r>
              <w:rPr>
                <w:rFonts w:ascii="Arial" w:cs="Arial" w:eastAsia="Arial" w:hAnsi="Arial"/>
                <w:sz w:val="16"/>
                <w:szCs w:val="16"/>
                <w:color w:val="auto"/>
              </w:rPr>
              <w:t>(millions of $, except per share amounts)</w:t>
            </w:r>
          </w:p>
        </w:tc>
        <w:tc>
          <w:tcPr>
            <w:tcW w:w="100" w:type="dxa"/>
            <w:vAlign w:val="bottom"/>
            <w:tcBorders>
              <w:top w:val="single" w:sz="8" w:color="D1D0CF"/>
              <w:bottom w:val="single" w:sz="8" w:color="0D64EF"/>
            </w:tcBorders>
            <w:shd w:val="clear" w:color="auto" w:fill="D1D0CF"/>
          </w:tcPr>
          <w:p>
            <w:pPr>
              <w:spacing w:after="0"/>
              <w:rPr>
                <w:sz w:val="17"/>
                <w:szCs w:val="17"/>
                <w:color w:val="auto"/>
              </w:rPr>
            </w:pPr>
          </w:p>
        </w:tc>
        <w:tc>
          <w:tcPr>
            <w:tcW w:w="2160" w:type="dxa"/>
            <w:vAlign w:val="bottom"/>
            <w:tcBorders>
              <w:top w:val="single" w:sz="8" w:color="D1D0CF"/>
              <w:bottom w:val="single" w:sz="8" w:color="0D64EF"/>
            </w:tcBorders>
            <w:shd w:val="clear" w:color="auto" w:fill="D1D0CF"/>
          </w:tcPr>
          <w:p>
            <w:pPr>
              <w:jc w:val="right"/>
              <w:ind w:right="799"/>
              <w:spacing w:after="0"/>
              <w:rPr>
                <w:sz w:val="20"/>
                <w:szCs w:val="20"/>
                <w:color w:val="auto"/>
              </w:rPr>
            </w:pPr>
            <w:r>
              <w:rPr>
                <w:rFonts w:ascii="Arial" w:cs="Arial" w:eastAsia="Arial" w:hAnsi="Arial"/>
                <w:sz w:val="16"/>
                <w:szCs w:val="16"/>
                <w:b w:val="1"/>
                <w:bCs w:val="1"/>
                <w:color w:val="auto"/>
              </w:rPr>
              <w:t>2025</w:t>
            </w:r>
          </w:p>
        </w:tc>
        <w:tc>
          <w:tcPr>
            <w:tcW w:w="560" w:type="dxa"/>
            <w:vAlign w:val="bottom"/>
            <w:tcBorders>
              <w:top w:val="single" w:sz="8" w:color="D1D0CF"/>
              <w:bottom w:val="single" w:sz="8" w:color="0D64EF"/>
            </w:tcBorders>
            <w:shd w:val="clear" w:color="auto" w:fill="D1D0CF"/>
          </w:tcPr>
          <w:p>
            <w:pPr>
              <w:jc w:val="right"/>
              <w:spacing w:after="0"/>
              <w:rPr>
                <w:sz w:val="20"/>
                <w:szCs w:val="20"/>
                <w:color w:val="auto"/>
              </w:rPr>
            </w:pPr>
            <w:r>
              <w:rPr>
                <w:rFonts w:ascii="Arial" w:cs="Arial" w:eastAsia="Arial" w:hAnsi="Arial"/>
                <w:sz w:val="16"/>
                <w:szCs w:val="16"/>
                <w:b w:val="1"/>
                <w:bCs w:val="1"/>
                <w:color w:val="auto"/>
              </w:rPr>
              <w:t>2024</w:t>
            </w:r>
          </w:p>
        </w:tc>
        <w:tc>
          <w:tcPr>
            <w:tcW w:w="20" w:type="dxa"/>
            <w:vAlign w:val="bottom"/>
            <w:tcBorders>
              <w:top w:val="single" w:sz="8" w:color="D1D0CF"/>
              <w:bottom w:val="single" w:sz="8" w:color="D1D0CF"/>
            </w:tcBorders>
            <w:shd w:val="clear" w:color="auto" w:fill="D1D0CF"/>
          </w:tcPr>
          <w:p>
            <w:pPr>
              <w:spacing w:after="0"/>
              <w:rPr>
                <w:sz w:val="17"/>
                <w:szCs w:val="17"/>
                <w:color w:val="auto"/>
              </w:rPr>
            </w:pPr>
          </w:p>
        </w:tc>
        <w:tc>
          <w:tcPr>
            <w:tcW w:w="80" w:type="dxa"/>
            <w:vAlign w:val="bottom"/>
            <w:tcBorders>
              <w:top w:val="single" w:sz="8" w:color="D1D0CF"/>
              <w:bottom w:val="single" w:sz="8" w:color="0D64EF"/>
            </w:tcBorders>
            <w:shd w:val="clear" w:color="auto" w:fill="D1D0CF"/>
          </w:tcPr>
          <w:p>
            <w:pPr>
              <w:spacing w:after="0"/>
              <w:rPr>
                <w:sz w:val="17"/>
                <w:szCs w:val="17"/>
                <w:color w:val="auto"/>
              </w:rPr>
            </w:pPr>
          </w:p>
        </w:tc>
        <w:tc>
          <w:tcPr>
            <w:tcW w:w="1320" w:type="dxa"/>
            <w:vAlign w:val="bottom"/>
            <w:tcBorders>
              <w:top w:val="single" w:sz="8" w:color="0D64EF"/>
              <w:bottom w:val="single" w:sz="8" w:color="0D64EF"/>
            </w:tcBorders>
            <w:shd w:val="clear" w:color="auto" w:fill="D1D0CF"/>
          </w:tcPr>
          <w:p>
            <w:pPr>
              <w:jc w:val="right"/>
              <w:spacing w:after="0"/>
              <w:rPr>
                <w:sz w:val="20"/>
                <w:szCs w:val="20"/>
                <w:color w:val="auto"/>
              </w:rPr>
            </w:pPr>
            <w:r>
              <w:rPr>
                <w:rFonts w:ascii="Arial" w:cs="Arial" w:eastAsia="Arial" w:hAnsi="Arial"/>
                <w:sz w:val="16"/>
                <w:szCs w:val="16"/>
                <w:b w:val="1"/>
                <w:bCs w:val="1"/>
                <w:color w:val="auto"/>
              </w:rPr>
              <w:t>2025</w:t>
            </w:r>
          </w:p>
        </w:tc>
        <w:tc>
          <w:tcPr>
            <w:tcW w:w="740" w:type="dxa"/>
            <w:vAlign w:val="bottom"/>
            <w:tcBorders>
              <w:top w:val="single" w:sz="8" w:color="0D64EF"/>
              <w:bottom w:val="single" w:sz="8" w:color="0D64EF"/>
            </w:tcBorders>
            <w:shd w:val="clear" w:color="auto" w:fill="D1D0CF"/>
          </w:tcPr>
          <w:p>
            <w:pPr>
              <w:spacing w:after="0"/>
              <w:rPr>
                <w:sz w:val="17"/>
                <w:szCs w:val="17"/>
                <w:color w:val="auto"/>
              </w:rPr>
            </w:pPr>
          </w:p>
        </w:tc>
        <w:tc>
          <w:tcPr>
            <w:tcW w:w="660" w:type="dxa"/>
            <w:vAlign w:val="bottom"/>
            <w:tcBorders>
              <w:top w:val="single" w:sz="8" w:color="0D64EF"/>
              <w:bottom w:val="single" w:sz="8" w:color="0D64EF"/>
            </w:tcBorders>
            <w:shd w:val="clear" w:color="auto" w:fill="D1D0CF"/>
          </w:tcPr>
          <w:p>
            <w:pPr>
              <w:jc w:val="right"/>
              <w:spacing w:after="0"/>
              <w:rPr>
                <w:sz w:val="20"/>
                <w:szCs w:val="20"/>
                <w:color w:val="auto"/>
              </w:rPr>
            </w:pPr>
            <w:r>
              <w:rPr>
                <w:rFonts w:ascii="Arial" w:cs="Arial" w:eastAsia="Arial" w:hAnsi="Arial"/>
                <w:sz w:val="16"/>
                <w:szCs w:val="16"/>
                <w:b w:val="1"/>
                <w:bCs w:val="1"/>
                <w:color w:val="auto"/>
              </w:rPr>
              <w:t>2024</w:t>
            </w:r>
          </w:p>
        </w:tc>
        <w:tc>
          <w:tcPr>
            <w:tcW w:w="20" w:type="dxa"/>
            <w:vAlign w:val="bottom"/>
            <w:tcBorders>
              <w:top w:val="single" w:sz="8" w:color="0D64EF"/>
              <w:bottom w:val="single" w:sz="8" w:color="D1D0CF"/>
            </w:tcBorders>
            <w:shd w:val="clear" w:color="auto" w:fill="D1D0CF"/>
          </w:tcPr>
          <w:p>
            <w:pPr>
              <w:spacing w:after="0"/>
              <w:rPr>
                <w:sz w:val="17"/>
                <w:szCs w:val="17"/>
                <w:color w:val="auto"/>
              </w:rPr>
            </w:pPr>
          </w:p>
        </w:tc>
        <w:tc>
          <w:tcPr>
            <w:tcW w:w="0" w:type="dxa"/>
            <w:vAlign w:val="bottom"/>
          </w:tcPr>
          <w:p>
            <w:pPr>
              <w:spacing w:after="0"/>
              <w:rPr>
                <w:sz w:val="1"/>
                <w:szCs w:val="1"/>
                <w:color w:val="auto"/>
              </w:rPr>
            </w:pPr>
          </w:p>
        </w:tc>
      </w:tr>
      <w:tr>
        <w:trPr>
          <w:trHeight w:val="259"/>
        </w:trPr>
        <w:tc>
          <w:tcPr>
            <w:tcW w:w="5600" w:type="dxa"/>
            <w:vAlign w:val="bottom"/>
          </w:tcPr>
          <w:p>
            <w:pPr>
              <w:ind w:left="20"/>
              <w:spacing w:after="0"/>
              <w:rPr>
                <w:sz w:val="20"/>
                <w:szCs w:val="20"/>
                <w:color w:val="auto"/>
              </w:rPr>
            </w:pPr>
            <w:r>
              <w:rPr>
                <w:rFonts w:ascii="Arial" w:cs="Arial" w:eastAsia="Arial" w:hAnsi="Arial"/>
                <w:sz w:val="16"/>
                <w:szCs w:val="16"/>
                <w:b w:val="1"/>
                <w:bCs w:val="1"/>
                <w:color w:val="0D64EF"/>
              </w:rPr>
              <w:t>Segmented earnings (losses) from discontinued operations</w:t>
            </w:r>
          </w:p>
        </w:tc>
        <w:tc>
          <w:tcPr>
            <w:tcW w:w="2260" w:type="dxa"/>
            <w:vAlign w:val="bottom"/>
            <w:gridSpan w:val="2"/>
          </w:tcPr>
          <w:p>
            <w:pPr>
              <w:jc w:val="right"/>
              <w:ind w:right="799"/>
              <w:spacing w:after="0"/>
              <w:rPr>
                <w:sz w:val="20"/>
                <w:szCs w:val="20"/>
                <w:color w:val="auto"/>
              </w:rPr>
            </w:pPr>
            <w:r>
              <w:rPr>
                <w:rFonts w:ascii="Arial" w:cs="Arial" w:eastAsia="Arial" w:hAnsi="Arial"/>
                <w:sz w:val="16"/>
                <w:szCs w:val="16"/>
                <w:b w:val="1"/>
                <w:bCs w:val="1"/>
                <w:color w:val="auto"/>
              </w:rPr>
              <w:t>(6)</w:t>
            </w:r>
          </w:p>
        </w:tc>
        <w:tc>
          <w:tcPr>
            <w:tcW w:w="560" w:type="dxa"/>
            <w:vAlign w:val="bottom"/>
          </w:tcPr>
          <w:p>
            <w:pPr>
              <w:jc w:val="right"/>
              <w:spacing w:after="0"/>
              <w:rPr>
                <w:sz w:val="20"/>
                <w:szCs w:val="20"/>
                <w:color w:val="auto"/>
              </w:rPr>
            </w:pPr>
            <w:r>
              <w:rPr>
                <w:rFonts w:ascii="Arial" w:cs="Arial" w:eastAsia="Arial" w:hAnsi="Arial"/>
                <w:sz w:val="16"/>
                <w:szCs w:val="16"/>
                <w:color w:val="auto"/>
              </w:rPr>
              <w:t>(109)</w:t>
            </w:r>
          </w:p>
        </w:tc>
        <w:tc>
          <w:tcPr>
            <w:tcW w:w="20" w:type="dxa"/>
            <w:vAlign w:val="bottom"/>
          </w:tcPr>
          <w:p>
            <w:pPr>
              <w:spacing w:after="0"/>
              <w:rPr>
                <w:sz w:val="22"/>
                <w:szCs w:val="22"/>
                <w:color w:val="auto"/>
              </w:rPr>
            </w:pPr>
          </w:p>
        </w:tc>
        <w:tc>
          <w:tcPr>
            <w:tcW w:w="1400" w:type="dxa"/>
            <w:vAlign w:val="bottom"/>
            <w:gridSpan w:val="2"/>
          </w:tcPr>
          <w:p>
            <w:pPr>
              <w:jc w:val="right"/>
              <w:spacing w:after="0"/>
              <w:rPr>
                <w:sz w:val="20"/>
                <w:szCs w:val="20"/>
                <w:color w:val="auto"/>
              </w:rPr>
            </w:pPr>
            <w:r>
              <w:rPr>
                <w:rFonts w:ascii="Arial" w:cs="Arial" w:eastAsia="Arial" w:hAnsi="Arial"/>
                <w:sz w:val="16"/>
                <w:szCs w:val="16"/>
                <w:b w:val="1"/>
                <w:bCs w:val="1"/>
                <w:color w:val="auto"/>
              </w:rPr>
              <w:t>(245)</w:t>
            </w:r>
          </w:p>
        </w:tc>
        <w:tc>
          <w:tcPr>
            <w:tcW w:w="74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716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5600" w:type="dxa"/>
            <w:vAlign w:val="bottom"/>
          </w:tcPr>
          <w:p>
            <w:pPr>
              <w:ind w:left="120"/>
              <w:spacing w:after="0"/>
              <w:rPr>
                <w:sz w:val="20"/>
                <w:szCs w:val="20"/>
                <w:color w:val="auto"/>
              </w:rPr>
            </w:pPr>
            <w:r>
              <w:rPr>
                <w:rFonts w:ascii="Arial" w:cs="Arial" w:eastAsia="Arial" w:hAnsi="Arial"/>
                <w:sz w:val="16"/>
                <w:szCs w:val="16"/>
                <w:color w:val="auto"/>
              </w:rPr>
              <w:t>Interest expense</w:t>
            </w:r>
          </w:p>
        </w:tc>
        <w:tc>
          <w:tcPr>
            <w:tcW w:w="100" w:type="dxa"/>
            <w:vAlign w:val="bottom"/>
          </w:tcPr>
          <w:p>
            <w:pPr>
              <w:spacing w:after="0"/>
              <w:rPr>
                <w:sz w:val="19"/>
                <w:szCs w:val="19"/>
                <w:color w:val="auto"/>
              </w:rPr>
            </w:pPr>
          </w:p>
        </w:tc>
        <w:tc>
          <w:tcPr>
            <w:tcW w:w="2160" w:type="dxa"/>
            <w:vAlign w:val="bottom"/>
          </w:tcPr>
          <w:p>
            <w:pPr>
              <w:jc w:val="right"/>
              <w:ind w:right="859"/>
              <w:spacing w:after="0"/>
              <w:rPr>
                <w:sz w:val="20"/>
                <w:szCs w:val="20"/>
                <w:color w:val="auto"/>
              </w:rPr>
            </w:pPr>
            <w:r>
              <w:rPr>
                <w:rFonts w:ascii="Arial" w:cs="Arial" w:eastAsia="Arial" w:hAnsi="Arial"/>
                <w:sz w:val="16"/>
                <w:szCs w:val="16"/>
                <w:b w:val="1"/>
                <w:bCs w:val="1"/>
                <w:color w:val="auto"/>
              </w:rPr>
              <w:t>—</w:t>
            </w:r>
          </w:p>
        </w:tc>
        <w:tc>
          <w:tcPr>
            <w:tcW w:w="5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2060" w:type="dxa"/>
            <w:vAlign w:val="bottom"/>
            <w:gridSpan w:val="2"/>
          </w:tcPr>
          <w:p>
            <w:pPr>
              <w:jc w:val="right"/>
              <w:ind w:right="820"/>
              <w:spacing w:after="0"/>
              <w:rPr>
                <w:sz w:val="20"/>
                <w:szCs w:val="20"/>
                <w:color w:val="auto"/>
              </w:rPr>
            </w:pPr>
            <w:r>
              <w:rPr>
                <w:rFonts w:ascii="Arial" w:cs="Arial" w:eastAsia="Arial" w:hAnsi="Arial"/>
                <w:sz w:val="16"/>
                <w:szCs w:val="16"/>
                <w:b w:val="1"/>
                <w:bCs w:val="1"/>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(218)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560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Interest income and other</w:t>
            </w:r>
          </w:p>
        </w:tc>
        <w:tc>
          <w:tcPr>
            <w:tcW w:w="2260" w:type="dxa"/>
            <w:vAlign w:val="bottom"/>
            <w:tcBorders>
              <w:bottom w:val="single" w:sz="8" w:color="auto"/>
            </w:tcBorders>
            <w:gridSpan w:val="2"/>
          </w:tcPr>
          <w:p>
            <w:pPr>
              <w:jc w:val="right"/>
              <w:ind w:right="859"/>
              <w:spacing w:after="0"/>
              <w:rPr>
                <w:sz w:val="20"/>
                <w:szCs w:val="20"/>
                <w:color w:val="auto"/>
              </w:rPr>
            </w:pPr>
            <w:r>
              <w:rPr>
                <w:rFonts w:ascii="Arial" w:cs="Arial" w:eastAsia="Arial" w:hAnsi="Arial"/>
                <w:sz w:val="16"/>
                <w:szCs w:val="16"/>
                <w:b w:val="1"/>
                <w:bCs w:val="1"/>
                <w:color w:val="auto"/>
              </w:rPr>
              <w:t>14</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28</w:t>
            </w:r>
          </w:p>
        </w:tc>
        <w:tc>
          <w:tcPr>
            <w:tcW w:w="7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5600" w:type="dxa"/>
            <w:vAlign w:val="bottom"/>
          </w:tcPr>
          <w:p>
            <w:pPr>
              <w:ind w:left="20"/>
              <w:spacing w:after="0"/>
              <w:rPr>
                <w:sz w:val="20"/>
                <w:szCs w:val="20"/>
                <w:color w:val="auto"/>
              </w:rPr>
            </w:pPr>
            <w:r>
              <w:rPr>
                <w:rFonts w:ascii="Arial" w:cs="Arial" w:eastAsia="Arial" w:hAnsi="Arial"/>
                <w:sz w:val="16"/>
                <w:szCs w:val="16"/>
                <w:b w:val="1"/>
                <w:bCs w:val="1"/>
                <w:color w:val="0D64EF"/>
              </w:rPr>
              <w:t>Income (loss) from discontinued operations before income taxes</w:t>
            </w:r>
          </w:p>
        </w:tc>
        <w:tc>
          <w:tcPr>
            <w:tcW w:w="2260" w:type="dxa"/>
            <w:vAlign w:val="bottom"/>
            <w:gridSpan w:val="2"/>
          </w:tcPr>
          <w:p>
            <w:pPr>
              <w:jc w:val="right"/>
              <w:ind w:right="859"/>
              <w:spacing w:after="0"/>
              <w:rPr>
                <w:sz w:val="20"/>
                <w:szCs w:val="20"/>
                <w:color w:val="auto"/>
              </w:rPr>
            </w:pPr>
            <w:r>
              <w:rPr>
                <w:rFonts w:ascii="Arial" w:cs="Arial" w:eastAsia="Arial" w:hAnsi="Arial"/>
                <w:sz w:val="16"/>
                <w:szCs w:val="16"/>
                <w:b w:val="1"/>
                <w:bCs w:val="1"/>
                <w:color w:val="auto"/>
              </w:rPr>
              <w:t>8</w:t>
            </w:r>
          </w:p>
        </w:tc>
        <w:tc>
          <w:tcPr>
            <w:tcW w:w="560" w:type="dxa"/>
            <w:vAlign w:val="bottom"/>
          </w:tcPr>
          <w:p>
            <w:pPr>
              <w:jc w:val="right"/>
              <w:spacing w:after="0"/>
              <w:rPr>
                <w:sz w:val="20"/>
                <w:szCs w:val="20"/>
                <w:color w:val="auto"/>
              </w:rPr>
            </w:pPr>
            <w:r>
              <w:rPr>
                <w:rFonts w:ascii="Arial" w:cs="Arial" w:eastAsia="Arial" w:hAnsi="Arial"/>
                <w:sz w:val="16"/>
                <w:szCs w:val="16"/>
                <w:color w:val="auto"/>
              </w:rPr>
              <w:t>(119)</w:t>
            </w:r>
          </w:p>
        </w:tc>
        <w:tc>
          <w:tcPr>
            <w:tcW w:w="20" w:type="dxa"/>
            <w:vAlign w:val="bottom"/>
          </w:tcPr>
          <w:p>
            <w:pPr>
              <w:spacing w:after="0"/>
              <w:rPr>
                <w:sz w:val="19"/>
                <w:szCs w:val="19"/>
                <w:color w:val="auto"/>
              </w:rPr>
            </w:pPr>
          </w:p>
        </w:tc>
        <w:tc>
          <w:tcPr>
            <w:tcW w:w="1400" w:type="dxa"/>
            <w:vAlign w:val="bottom"/>
            <w:gridSpan w:val="2"/>
          </w:tcPr>
          <w:p>
            <w:pPr>
              <w:jc w:val="right"/>
              <w:spacing w:after="0"/>
              <w:rPr>
                <w:sz w:val="20"/>
                <w:szCs w:val="20"/>
                <w:color w:val="auto"/>
              </w:rPr>
            </w:pPr>
            <w:r>
              <w:rPr>
                <w:rFonts w:ascii="Arial" w:cs="Arial" w:eastAsia="Arial" w:hAnsi="Arial"/>
                <w:sz w:val="16"/>
                <w:szCs w:val="16"/>
                <w:b w:val="1"/>
                <w:bCs w:val="1"/>
                <w:color w:val="auto"/>
              </w:rPr>
              <w:t>(217)</w:t>
            </w:r>
          </w:p>
        </w:tc>
        <w:tc>
          <w:tcPr>
            <w:tcW w:w="7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519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560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Income tax (expense) recovery</w:t>
            </w:r>
          </w:p>
        </w:tc>
        <w:tc>
          <w:tcPr>
            <w:tcW w:w="2260" w:type="dxa"/>
            <w:vAlign w:val="bottom"/>
            <w:tcBorders>
              <w:bottom w:val="single" w:sz="8" w:color="auto"/>
            </w:tcBorders>
            <w:gridSpan w:val="2"/>
          </w:tcPr>
          <w:p>
            <w:pPr>
              <w:jc w:val="right"/>
              <w:ind w:right="859"/>
              <w:spacing w:after="0"/>
              <w:rPr>
                <w:sz w:val="20"/>
                <w:szCs w:val="20"/>
                <w:color w:val="auto"/>
              </w:rPr>
            </w:pPr>
            <w:r>
              <w:rPr>
                <w:rFonts w:ascii="Arial" w:cs="Arial" w:eastAsia="Arial" w:hAnsi="Arial"/>
                <w:sz w:val="16"/>
                <w:szCs w:val="16"/>
                <w:b w:val="1"/>
                <w:bCs w:val="1"/>
                <w:color w:val="auto"/>
              </w:rPr>
              <w:t>13</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w:t>
            </w:r>
          </w:p>
        </w:tc>
        <w:tc>
          <w:tcPr>
            <w:tcW w:w="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5</w:t>
            </w:r>
          </w:p>
        </w:tc>
        <w:tc>
          <w:tcPr>
            <w:tcW w:w="7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6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0D64EF"/>
              </w:rPr>
              <w:t>Net income (loss) from discontinued operations, net of tax</w:t>
            </w:r>
          </w:p>
        </w:tc>
        <w:tc>
          <w:tcPr>
            <w:tcW w:w="2260" w:type="dxa"/>
            <w:vAlign w:val="bottom"/>
            <w:tcBorders>
              <w:bottom w:val="single" w:sz="8" w:color="auto"/>
            </w:tcBorders>
            <w:gridSpan w:val="2"/>
          </w:tcPr>
          <w:p>
            <w:pPr>
              <w:jc w:val="right"/>
              <w:ind w:right="859"/>
              <w:spacing w:after="0"/>
              <w:rPr>
                <w:sz w:val="20"/>
                <w:szCs w:val="20"/>
                <w:color w:val="auto"/>
              </w:rPr>
            </w:pPr>
            <w:r>
              <w:rPr>
                <w:rFonts w:ascii="Arial" w:cs="Arial" w:eastAsia="Arial" w:hAnsi="Arial"/>
                <w:sz w:val="16"/>
                <w:szCs w:val="16"/>
                <w:b w:val="1"/>
                <w:bCs w:val="1"/>
                <w:color w:val="auto"/>
              </w:rPr>
              <w:t>21</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w:t>
            </w:r>
          </w:p>
        </w:tc>
        <w:tc>
          <w:tcPr>
            <w:tcW w:w="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(212)</w:t>
            </w:r>
          </w:p>
        </w:tc>
        <w:tc>
          <w:tcPr>
            <w:tcW w:w="7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2"/>
        </w:trPr>
        <w:tc>
          <w:tcPr>
            <w:tcW w:w="5600" w:type="dxa"/>
            <w:vAlign w:val="bottom"/>
          </w:tcPr>
          <w:p>
            <w:pPr>
              <w:ind w:left="20"/>
              <w:spacing w:after="0" w:line="172" w:lineRule="exact"/>
              <w:rPr>
                <w:sz w:val="20"/>
                <w:szCs w:val="20"/>
                <w:color w:val="auto"/>
              </w:rPr>
            </w:pPr>
            <w:r>
              <w:rPr>
                <w:rFonts w:ascii="Arial" w:cs="Arial" w:eastAsia="Arial" w:hAnsi="Arial"/>
                <w:sz w:val="16"/>
                <w:szCs w:val="16"/>
                <w:b w:val="1"/>
                <w:bCs w:val="1"/>
                <w:color w:val="0D64EF"/>
              </w:rPr>
              <w:t>Net income (loss) per common share from discontinued operations -</w:t>
            </w:r>
          </w:p>
        </w:tc>
        <w:tc>
          <w:tcPr>
            <w:tcW w:w="2260" w:type="dxa"/>
            <w:vAlign w:val="bottom"/>
            <w:gridSpan w:val="2"/>
            <w:vMerge w:val="restart"/>
          </w:tcPr>
          <w:p>
            <w:pPr>
              <w:jc w:val="right"/>
              <w:ind w:right="859"/>
              <w:spacing w:after="0"/>
              <w:rPr>
                <w:sz w:val="20"/>
                <w:szCs w:val="20"/>
                <w:color w:val="auto"/>
              </w:rPr>
            </w:pPr>
            <w:r>
              <w:rPr>
                <w:rFonts w:ascii="Arial" w:cs="Arial" w:eastAsia="Arial" w:hAnsi="Arial"/>
                <w:sz w:val="16"/>
                <w:szCs w:val="16"/>
                <w:b w:val="1"/>
                <w:bCs w:val="1"/>
                <w:color w:val="auto"/>
              </w:rPr>
              <w:t>$0.02</w:t>
            </w: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rPr>
              <w:t>($0.20)</w:t>
            </w: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6"/>
        </w:trPr>
        <w:tc>
          <w:tcPr>
            <w:tcW w:w="5600" w:type="dxa"/>
            <w:vAlign w:val="bottom"/>
            <w:tcBorders>
              <w:bottom w:val="single" w:sz="8" w:color="auto"/>
            </w:tcBorders>
          </w:tcPr>
          <w:p>
            <w:pPr>
              <w:ind w:left="100"/>
              <w:spacing w:after="0"/>
              <w:rPr>
                <w:sz w:val="20"/>
                <w:szCs w:val="20"/>
                <w:color w:val="auto"/>
              </w:rPr>
            </w:pPr>
            <w:r>
              <w:rPr>
                <w:rFonts w:ascii="Arial" w:cs="Arial" w:eastAsia="Arial" w:hAnsi="Arial"/>
                <w:sz w:val="16"/>
                <w:szCs w:val="16"/>
                <w:b w:val="1"/>
                <w:bCs w:val="1"/>
                <w:color w:val="0D64EF"/>
              </w:rPr>
              <w:t>basic</w:t>
            </w:r>
          </w:p>
        </w:tc>
        <w:tc>
          <w:tcPr>
            <w:tcW w:w="2260" w:type="dxa"/>
            <w:vAlign w:val="bottom"/>
            <w:tcBorders>
              <w:bottom w:val="single" w:sz="8" w:color="auto"/>
            </w:tcBorders>
            <w:gridSpan w:val="2"/>
            <w:vMerge w:val="continue"/>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($0.09)</w:t>
            </w:r>
          </w:p>
        </w:tc>
        <w:tc>
          <w:tcPr>
            <w:tcW w:w="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2"/>
            <w:vMerge w:val="continue"/>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240" w:hanging="232"/>
        <w:spacing w:after="0"/>
        <w:tabs>
          <w:tab w:leader="none" w:pos="240" w:val="left"/>
        </w:tabs>
        <w:numPr>
          <w:ilvl w:val="0"/>
          <w:numId w:val="65"/>
        </w:numPr>
        <w:rPr>
          <w:rFonts w:ascii="Arial" w:cs="Arial" w:eastAsia="Arial" w:hAnsi="Arial"/>
          <w:sz w:val="14"/>
          <w:szCs w:val="14"/>
          <w:color w:val="auto"/>
        </w:rPr>
      </w:pPr>
      <w:r>
        <w:rPr>
          <w:rFonts w:ascii="Arial" w:cs="Arial" w:eastAsia="Arial" w:hAnsi="Arial"/>
          <w:sz w:val="14"/>
          <w:szCs w:val="14"/>
          <w:color w:val="auto"/>
        </w:rPr>
        <w:t>Represents nine months of Liquids Pipelines earnings for the year ended December 31, 2024.</w:t>
      </w:r>
    </w:p>
    <w:p>
      <w:pPr>
        <w:spacing w:after="0" w:line="140" w:lineRule="exact"/>
        <w:rPr>
          <w:sz w:val="20"/>
          <w:szCs w:val="20"/>
          <w:color w:val="auto"/>
        </w:rPr>
      </w:pPr>
    </w:p>
    <w:p>
      <w:pPr>
        <w:ind w:right="140"/>
        <w:spacing w:after="0" w:line="334" w:lineRule="auto"/>
        <w:rPr>
          <w:sz w:val="20"/>
          <w:szCs w:val="20"/>
          <w:color w:val="auto"/>
        </w:rPr>
      </w:pPr>
      <w:r>
        <w:rPr>
          <w:rFonts w:ascii="Arial" w:cs="Arial" w:eastAsia="Arial" w:hAnsi="Arial"/>
          <w:sz w:val="18"/>
          <w:szCs w:val="18"/>
          <w:color w:val="auto"/>
        </w:rPr>
        <w:t>Net income from discontinued operations, net of tax in the three months ended in December 31, 2025 was $21 million or $0.02 per common share (2024 - net loss of $98 million or loss of $0.09 per common share), an increase of $119 million or $0.11 per common share.</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30 | TC Energy </w:t>
      </w:r>
      <w:r>
        <w:rPr>
          <w:rFonts w:ascii="Arial" w:cs="Arial" w:eastAsia="Arial" w:hAnsi="Arial"/>
          <w:sz w:val="18"/>
          <w:szCs w:val="18"/>
          <w:b w:val="1"/>
          <w:bCs w:val="1"/>
          <w:color w:val="0D64EF"/>
        </w:rPr>
        <w:t>Fourth Quarter</w:t>
      </w:r>
      <w:r>
        <w:rPr>
          <w:rFonts w:ascii="Arial" w:cs="Arial" w:eastAsia="Arial" w:hAnsi="Arial"/>
          <w:sz w:val="18"/>
          <w:szCs w:val="18"/>
          <w:color w:val="auto"/>
        </w:rPr>
        <w:t xml:space="preserve"> News Release 2025</w:t>
      </w:r>
    </w:p>
    <w:p>
      <w:pPr>
        <w:sectPr>
          <w:pgSz w:w="11900" w:h="16838" w:orient="portrait"/>
          <w:cols w:equalWidth="0" w:num="1">
            <w:col w:w="11260"/>
          </w:cols>
          <w:pgMar w:left="320" w:top="1359" w:right="319" w:bottom="1440" w:gutter="0" w:footer="0" w:header="0"/>
        </w:sectPr>
      </w:pPr>
    </w:p>
    <w:bookmarkStart w:id="43" w:name="page44"/>
    <w:bookmarkEnd w:id="43"/>
    <w:p>
      <w:pPr>
        <w:spacing w:after="0"/>
        <w:rPr>
          <w:sz w:val="20"/>
          <w:szCs w:val="20"/>
          <w:color w:val="auto"/>
        </w:rPr>
      </w:pPr>
      <w:r>
        <w:rPr>
          <w:rFonts w:ascii="Arial" w:cs="Arial" w:eastAsia="Arial" w:hAnsi="Arial"/>
          <w:sz w:val="20"/>
          <w:szCs w:val="20"/>
          <w:b w:val="1"/>
          <w:bCs w:val="1"/>
          <w:color w:val="0D64EF"/>
        </w:rPr>
        <w:t>NON-GAAP MEASURES</w:t>
      </w:r>
    </w:p>
    <w:p>
      <w:pPr>
        <w:spacing w:after="0" w:line="58" w:lineRule="exact"/>
        <w:rPr>
          <w:sz w:val="20"/>
          <w:szCs w:val="20"/>
          <w:color w:val="auto"/>
        </w:rPr>
      </w:pPr>
    </w:p>
    <w:p>
      <w:pPr>
        <w:ind w:right="760"/>
        <w:spacing w:after="0" w:line="368" w:lineRule="auto"/>
        <w:rPr>
          <w:sz w:val="20"/>
          <w:szCs w:val="20"/>
          <w:color w:val="auto"/>
        </w:rPr>
      </w:pPr>
      <w:r>
        <w:rPr>
          <w:rFonts w:ascii="Arial" w:cs="Arial" w:eastAsia="Arial" w:hAnsi="Arial"/>
          <w:sz w:val="17"/>
          <w:szCs w:val="17"/>
          <w:color w:val="auto"/>
        </w:rPr>
        <w:t>This news release references non-GAAP measures, which are described on page 6. These measures do not have any standardized meaning as prescribed by GAAP and therefore may not be comparable to similar measures presented by other entities.</w:t>
      </w:r>
    </w:p>
    <w:p>
      <w:pPr>
        <w:spacing w:after="0" w:line="30" w:lineRule="exact"/>
        <w:rPr>
          <w:sz w:val="20"/>
          <w:szCs w:val="20"/>
          <w:color w:val="auto"/>
        </w:rPr>
      </w:pPr>
    </w:p>
    <w:p>
      <w:pPr>
        <w:ind w:right="600"/>
        <w:spacing w:after="0" w:line="308" w:lineRule="auto"/>
        <w:rPr>
          <w:sz w:val="20"/>
          <w:szCs w:val="20"/>
          <w:color w:val="auto"/>
        </w:rPr>
      </w:pPr>
      <w:r>
        <w:rPr>
          <w:rFonts w:ascii="Arial" w:cs="Arial" w:eastAsia="Arial" w:hAnsi="Arial"/>
          <w:sz w:val="20"/>
          <w:szCs w:val="20"/>
          <w:b w:val="1"/>
          <w:bCs w:val="1"/>
          <w:color w:val="0D64EF"/>
        </w:rPr>
        <w:t>RECONCILIATION OF NET INCOME (LOSS) FROM DISCONTINUED OPERATIONS, NET OF TAX TO COMPARABLE EARNINGS FROM DISCONTINUED OPERATIONS</w:t>
      </w:r>
      <w:r>
        <w:rPr>
          <w:rFonts w:ascii="Arial" w:cs="Arial" w:eastAsia="Arial" w:hAnsi="Arial"/>
          <w:sz w:val="11"/>
          <w:szCs w:val="11"/>
          <w:color w:val="000000"/>
        </w:rPr>
        <w:t>1</w:t>
      </w:r>
    </w:p>
    <w:tbl>
      <w:tblPr>
        <w:tblLayout w:type="fixed"/>
        <w:tblInd w:w="0" w:type="dxa"/>
        <w:tblCellMar>
          <w:top w:w="0" w:type="dxa"/>
          <w:left w:w="0" w:type="dxa"/>
          <w:bottom w:w="0" w:type="dxa"/>
          <w:right w:w="0" w:type="dxa"/>
        </w:tblCellMar>
      </w:tblPr>
      <w:tr>
        <w:trPr>
          <w:trHeight w:val="169"/>
        </w:trPr>
        <w:tc>
          <w:tcPr>
            <w:tcW w:w="5560" w:type="dxa"/>
            <w:vAlign w:val="bottom"/>
            <w:tcBorders>
              <w:top w:val="single" w:sz="8" w:color="0D64EF"/>
            </w:tcBorders>
            <w:shd w:val="clear" w:color="auto" w:fill="D1D0CF"/>
          </w:tcPr>
          <w:p>
            <w:pPr>
              <w:spacing w:after="0"/>
              <w:rPr>
                <w:sz w:val="14"/>
                <w:szCs w:val="14"/>
                <w:color w:val="auto"/>
              </w:rPr>
            </w:pPr>
          </w:p>
        </w:tc>
        <w:tc>
          <w:tcPr>
            <w:tcW w:w="120" w:type="dxa"/>
            <w:vAlign w:val="bottom"/>
            <w:tcBorders>
              <w:top w:val="single" w:sz="8" w:color="0D64EF"/>
            </w:tcBorders>
            <w:shd w:val="clear" w:color="auto" w:fill="D1D0CF"/>
          </w:tcPr>
          <w:p>
            <w:pPr>
              <w:spacing w:after="0"/>
              <w:rPr>
                <w:sz w:val="14"/>
                <w:szCs w:val="14"/>
                <w:color w:val="auto"/>
              </w:rPr>
            </w:pPr>
          </w:p>
        </w:tc>
        <w:tc>
          <w:tcPr>
            <w:tcW w:w="2160" w:type="dxa"/>
            <w:vAlign w:val="bottom"/>
            <w:tcBorders>
              <w:top w:val="single" w:sz="8" w:color="0D64EF"/>
            </w:tcBorders>
            <w:shd w:val="clear" w:color="auto" w:fill="D1D0CF"/>
          </w:tcPr>
          <w:p>
            <w:pPr>
              <w:jc w:val="right"/>
              <w:spacing w:after="0" w:line="169" w:lineRule="exact"/>
              <w:rPr>
                <w:sz w:val="20"/>
                <w:szCs w:val="20"/>
                <w:color w:val="auto"/>
              </w:rPr>
            </w:pPr>
            <w:r>
              <w:rPr>
                <w:rFonts w:ascii="Arial" w:cs="Arial" w:eastAsia="Arial" w:hAnsi="Arial"/>
                <w:sz w:val="16"/>
                <w:szCs w:val="16"/>
                <w:b w:val="1"/>
                <w:bCs w:val="1"/>
                <w:color w:val="auto"/>
              </w:rPr>
              <w:t>three months ended</w:t>
            </w:r>
          </w:p>
        </w:tc>
        <w:tc>
          <w:tcPr>
            <w:tcW w:w="560" w:type="dxa"/>
            <w:vAlign w:val="bottom"/>
            <w:tcBorders>
              <w:top w:val="single" w:sz="8" w:color="0D64EF"/>
            </w:tcBorders>
            <w:shd w:val="clear" w:color="auto" w:fill="D1D0CF"/>
          </w:tcPr>
          <w:p>
            <w:pPr>
              <w:spacing w:after="0"/>
              <w:rPr>
                <w:sz w:val="14"/>
                <w:szCs w:val="14"/>
                <w:color w:val="auto"/>
              </w:rPr>
            </w:pPr>
          </w:p>
        </w:tc>
        <w:tc>
          <w:tcPr>
            <w:tcW w:w="120" w:type="dxa"/>
            <w:vAlign w:val="bottom"/>
            <w:tcBorders>
              <w:top w:val="single" w:sz="8" w:color="0D64EF"/>
            </w:tcBorders>
            <w:shd w:val="clear" w:color="auto" w:fill="D1D0CF"/>
          </w:tcPr>
          <w:p>
            <w:pPr>
              <w:spacing w:after="0"/>
              <w:rPr>
                <w:sz w:val="14"/>
                <w:szCs w:val="14"/>
                <w:color w:val="auto"/>
              </w:rPr>
            </w:pPr>
          </w:p>
        </w:tc>
        <w:tc>
          <w:tcPr>
            <w:tcW w:w="2060" w:type="dxa"/>
            <w:vAlign w:val="bottom"/>
            <w:tcBorders>
              <w:top w:val="single" w:sz="8" w:color="0D64EF"/>
            </w:tcBorders>
            <w:shd w:val="clear" w:color="auto" w:fill="D1D0CF"/>
          </w:tcPr>
          <w:p>
            <w:pPr>
              <w:jc w:val="right"/>
              <w:ind w:right="219"/>
              <w:spacing w:after="0" w:line="169" w:lineRule="exact"/>
              <w:rPr>
                <w:sz w:val="20"/>
                <w:szCs w:val="20"/>
                <w:color w:val="auto"/>
              </w:rPr>
            </w:pPr>
            <w:r>
              <w:rPr>
                <w:rFonts w:ascii="Arial" w:cs="Arial" w:eastAsia="Arial" w:hAnsi="Arial"/>
                <w:sz w:val="16"/>
                <w:szCs w:val="16"/>
                <w:b w:val="1"/>
                <w:bCs w:val="1"/>
                <w:color w:val="auto"/>
              </w:rPr>
              <w:t>year ended</w:t>
            </w:r>
          </w:p>
        </w:tc>
        <w:tc>
          <w:tcPr>
            <w:tcW w:w="660" w:type="dxa"/>
            <w:vAlign w:val="bottom"/>
            <w:tcBorders>
              <w:top w:val="single" w:sz="8" w:color="0D64EF"/>
            </w:tcBorders>
            <w:shd w:val="clear" w:color="auto" w:fill="D1D0CF"/>
          </w:tcPr>
          <w:p>
            <w:pPr>
              <w:spacing w:after="0"/>
              <w:rPr>
                <w:sz w:val="14"/>
                <w:szCs w:val="14"/>
                <w:color w:val="auto"/>
              </w:rPr>
            </w:pPr>
          </w:p>
        </w:tc>
      </w:tr>
      <w:tr>
        <w:trPr>
          <w:trHeight w:val="224"/>
        </w:trPr>
        <w:tc>
          <w:tcPr>
            <w:tcW w:w="5560" w:type="dxa"/>
            <w:vAlign w:val="bottom"/>
            <w:tcBorders>
              <w:bottom w:val="single" w:sz="8" w:color="D1D0CF"/>
            </w:tcBorders>
            <w:shd w:val="clear" w:color="auto" w:fill="D1D0CF"/>
          </w:tcPr>
          <w:p>
            <w:pPr>
              <w:spacing w:after="0"/>
              <w:rPr>
                <w:sz w:val="19"/>
                <w:szCs w:val="19"/>
                <w:color w:val="auto"/>
              </w:rPr>
            </w:pPr>
          </w:p>
        </w:tc>
        <w:tc>
          <w:tcPr>
            <w:tcW w:w="120" w:type="dxa"/>
            <w:vAlign w:val="bottom"/>
            <w:tcBorders>
              <w:bottom w:val="single" w:sz="8" w:color="D1D0CF"/>
            </w:tcBorders>
            <w:shd w:val="clear" w:color="auto" w:fill="D1D0CF"/>
          </w:tcPr>
          <w:p>
            <w:pPr>
              <w:spacing w:after="0"/>
              <w:rPr>
                <w:sz w:val="19"/>
                <w:szCs w:val="19"/>
                <w:color w:val="auto"/>
              </w:rPr>
            </w:pPr>
          </w:p>
        </w:tc>
        <w:tc>
          <w:tcPr>
            <w:tcW w:w="2160" w:type="dxa"/>
            <w:vAlign w:val="bottom"/>
            <w:tcBorders>
              <w:bottom w:val="single" w:sz="8" w:color="0D64EF"/>
            </w:tcBorders>
            <w:shd w:val="clear" w:color="auto" w:fill="D1D0CF"/>
          </w:tcPr>
          <w:p>
            <w:pPr>
              <w:jc w:val="right"/>
              <w:ind w:right="219"/>
              <w:spacing w:after="0"/>
              <w:rPr>
                <w:sz w:val="20"/>
                <w:szCs w:val="20"/>
                <w:color w:val="auto"/>
              </w:rPr>
            </w:pPr>
            <w:r>
              <w:rPr>
                <w:rFonts w:ascii="Arial" w:cs="Arial" w:eastAsia="Arial" w:hAnsi="Arial"/>
                <w:sz w:val="16"/>
                <w:szCs w:val="16"/>
                <w:b w:val="1"/>
                <w:bCs w:val="1"/>
                <w:color w:val="auto"/>
              </w:rPr>
              <w:t>December 31</w:t>
            </w:r>
          </w:p>
        </w:tc>
        <w:tc>
          <w:tcPr>
            <w:tcW w:w="560" w:type="dxa"/>
            <w:vAlign w:val="bottom"/>
            <w:tcBorders>
              <w:bottom w:val="single" w:sz="8" w:color="0D64EF"/>
            </w:tcBorders>
            <w:shd w:val="clear" w:color="auto" w:fill="D1D0CF"/>
          </w:tcPr>
          <w:p>
            <w:pPr>
              <w:spacing w:after="0"/>
              <w:rPr>
                <w:sz w:val="19"/>
                <w:szCs w:val="19"/>
                <w:color w:val="auto"/>
              </w:rPr>
            </w:pPr>
          </w:p>
        </w:tc>
        <w:tc>
          <w:tcPr>
            <w:tcW w:w="120" w:type="dxa"/>
            <w:vAlign w:val="bottom"/>
            <w:tcBorders>
              <w:bottom w:val="single" w:sz="8" w:color="D1D0CF"/>
            </w:tcBorders>
            <w:shd w:val="clear" w:color="auto" w:fill="D1D0CF"/>
          </w:tcPr>
          <w:p>
            <w:pPr>
              <w:spacing w:after="0"/>
              <w:rPr>
                <w:sz w:val="19"/>
                <w:szCs w:val="19"/>
                <w:color w:val="auto"/>
              </w:rPr>
            </w:pPr>
          </w:p>
        </w:tc>
        <w:tc>
          <w:tcPr>
            <w:tcW w:w="2060" w:type="dxa"/>
            <w:vAlign w:val="bottom"/>
            <w:tcBorders>
              <w:bottom w:val="single" w:sz="8" w:color="0D64EF"/>
            </w:tcBorders>
            <w:shd w:val="clear" w:color="auto" w:fill="D1D0CF"/>
          </w:tcPr>
          <w:p>
            <w:pPr>
              <w:jc w:val="right"/>
              <w:ind w:right="119"/>
              <w:spacing w:after="0"/>
              <w:rPr>
                <w:sz w:val="20"/>
                <w:szCs w:val="20"/>
                <w:color w:val="auto"/>
              </w:rPr>
            </w:pPr>
            <w:r>
              <w:rPr>
                <w:rFonts w:ascii="Arial" w:cs="Arial" w:eastAsia="Arial" w:hAnsi="Arial"/>
                <w:sz w:val="16"/>
                <w:szCs w:val="16"/>
                <w:b w:val="1"/>
                <w:bCs w:val="1"/>
                <w:color w:val="auto"/>
              </w:rPr>
              <w:t>December 31</w:t>
            </w:r>
          </w:p>
        </w:tc>
        <w:tc>
          <w:tcPr>
            <w:tcW w:w="660" w:type="dxa"/>
            <w:vAlign w:val="bottom"/>
            <w:tcBorders>
              <w:bottom w:val="single" w:sz="8" w:color="0D64EF"/>
            </w:tcBorders>
            <w:shd w:val="clear" w:color="auto" w:fill="D1D0CF"/>
          </w:tcPr>
          <w:p>
            <w:pPr>
              <w:spacing w:after="0"/>
              <w:rPr>
                <w:sz w:val="19"/>
                <w:szCs w:val="19"/>
                <w:color w:val="auto"/>
              </w:rPr>
            </w:pPr>
          </w:p>
        </w:tc>
      </w:tr>
      <w:tr>
        <w:trPr>
          <w:trHeight w:val="226"/>
        </w:trPr>
        <w:tc>
          <w:tcPr>
            <w:tcW w:w="5560" w:type="dxa"/>
            <w:vAlign w:val="bottom"/>
            <w:tcBorders>
              <w:bottom w:val="single" w:sz="8" w:color="0D64EF"/>
            </w:tcBorders>
            <w:shd w:val="clear" w:color="auto" w:fill="D1D0CF"/>
          </w:tcPr>
          <w:p>
            <w:pPr>
              <w:ind w:left="20"/>
              <w:spacing w:after="0"/>
              <w:rPr>
                <w:sz w:val="20"/>
                <w:szCs w:val="20"/>
                <w:color w:val="auto"/>
              </w:rPr>
            </w:pPr>
            <w:r>
              <w:rPr>
                <w:rFonts w:ascii="Arial" w:cs="Arial" w:eastAsia="Arial" w:hAnsi="Arial"/>
                <w:sz w:val="16"/>
                <w:szCs w:val="16"/>
                <w:color w:val="auto"/>
              </w:rPr>
              <w:t>(millions of $, except per share amounts)</w:t>
            </w:r>
          </w:p>
        </w:tc>
        <w:tc>
          <w:tcPr>
            <w:tcW w:w="120" w:type="dxa"/>
            <w:vAlign w:val="bottom"/>
            <w:tcBorders>
              <w:bottom w:val="single" w:sz="8" w:color="0D64EF"/>
            </w:tcBorders>
            <w:shd w:val="clear" w:color="auto" w:fill="D1D0CF"/>
          </w:tcPr>
          <w:p>
            <w:pPr>
              <w:spacing w:after="0"/>
              <w:rPr>
                <w:sz w:val="19"/>
                <w:szCs w:val="19"/>
                <w:color w:val="auto"/>
              </w:rPr>
            </w:pPr>
          </w:p>
        </w:tc>
        <w:tc>
          <w:tcPr>
            <w:tcW w:w="2160" w:type="dxa"/>
            <w:vAlign w:val="bottom"/>
            <w:tcBorders>
              <w:bottom w:val="single" w:sz="8" w:color="0D64EF"/>
            </w:tcBorders>
            <w:shd w:val="clear" w:color="auto" w:fill="D1D0CF"/>
          </w:tcPr>
          <w:p>
            <w:pPr>
              <w:jc w:val="right"/>
              <w:ind w:right="799"/>
              <w:spacing w:after="0"/>
              <w:rPr>
                <w:sz w:val="20"/>
                <w:szCs w:val="20"/>
                <w:color w:val="auto"/>
              </w:rPr>
            </w:pPr>
            <w:r>
              <w:rPr>
                <w:rFonts w:ascii="Arial" w:cs="Arial" w:eastAsia="Arial" w:hAnsi="Arial"/>
                <w:sz w:val="16"/>
                <w:szCs w:val="16"/>
                <w:b w:val="1"/>
                <w:bCs w:val="1"/>
                <w:color w:val="auto"/>
              </w:rPr>
              <w:t>2025</w:t>
            </w:r>
          </w:p>
        </w:tc>
        <w:tc>
          <w:tcPr>
            <w:tcW w:w="560" w:type="dxa"/>
            <w:vAlign w:val="bottom"/>
            <w:tcBorders>
              <w:bottom w:val="single" w:sz="8" w:color="0D64EF"/>
            </w:tcBorders>
            <w:shd w:val="clear" w:color="auto" w:fill="D1D0CF"/>
          </w:tcPr>
          <w:p>
            <w:pPr>
              <w:jc w:val="right"/>
              <w:spacing w:after="0"/>
              <w:rPr>
                <w:sz w:val="20"/>
                <w:szCs w:val="20"/>
                <w:color w:val="auto"/>
              </w:rPr>
            </w:pPr>
            <w:r>
              <w:rPr>
                <w:rFonts w:ascii="Arial" w:cs="Arial" w:eastAsia="Arial" w:hAnsi="Arial"/>
                <w:sz w:val="16"/>
                <w:szCs w:val="16"/>
                <w:b w:val="1"/>
                <w:bCs w:val="1"/>
                <w:color w:val="auto"/>
              </w:rPr>
              <w:t>2024</w:t>
            </w:r>
          </w:p>
        </w:tc>
        <w:tc>
          <w:tcPr>
            <w:tcW w:w="120" w:type="dxa"/>
            <w:vAlign w:val="bottom"/>
            <w:tcBorders>
              <w:bottom w:val="single" w:sz="8" w:color="0D64EF"/>
            </w:tcBorders>
            <w:shd w:val="clear" w:color="auto" w:fill="D1D0CF"/>
          </w:tcPr>
          <w:p>
            <w:pPr>
              <w:spacing w:after="0"/>
              <w:rPr>
                <w:sz w:val="19"/>
                <w:szCs w:val="19"/>
                <w:color w:val="auto"/>
              </w:rPr>
            </w:pPr>
          </w:p>
        </w:tc>
        <w:tc>
          <w:tcPr>
            <w:tcW w:w="2060" w:type="dxa"/>
            <w:vAlign w:val="bottom"/>
            <w:tcBorders>
              <w:bottom w:val="single" w:sz="8" w:color="0D64EF"/>
            </w:tcBorders>
            <w:shd w:val="clear" w:color="auto" w:fill="D1D0CF"/>
          </w:tcPr>
          <w:p>
            <w:pPr>
              <w:jc w:val="right"/>
              <w:ind w:right="699"/>
              <w:spacing w:after="0"/>
              <w:rPr>
                <w:sz w:val="20"/>
                <w:szCs w:val="20"/>
                <w:color w:val="auto"/>
              </w:rPr>
            </w:pPr>
            <w:r>
              <w:rPr>
                <w:rFonts w:ascii="Arial" w:cs="Arial" w:eastAsia="Arial" w:hAnsi="Arial"/>
                <w:sz w:val="16"/>
                <w:szCs w:val="16"/>
                <w:b w:val="1"/>
                <w:bCs w:val="1"/>
                <w:color w:val="auto"/>
              </w:rPr>
              <w:t>2025</w:t>
            </w:r>
          </w:p>
        </w:tc>
        <w:tc>
          <w:tcPr>
            <w:tcW w:w="660" w:type="dxa"/>
            <w:vAlign w:val="bottom"/>
            <w:tcBorders>
              <w:bottom w:val="single" w:sz="8" w:color="0D64EF"/>
            </w:tcBorders>
            <w:shd w:val="clear" w:color="auto" w:fill="D1D0CF"/>
          </w:tcPr>
          <w:p>
            <w:pPr>
              <w:jc w:val="right"/>
              <w:spacing w:after="0"/>
              <w:rPr>
                <w:sz w:val="20"/>
                <w:szCs w:val="20"/>
                <w:color w:val="auto"/>
              </w:rPr>
            </w:pPr>
            <w:r>
              <w:rPr>
                <w:rFonts w:ascii="Arial" w:cs="Arial" w:eastAsia="Arial" w:hAnsi="Arial"/>
                <w:sz w:val="16"/>
                <w:szCs w:val="16"/>
                <w:b w:val="1"/>
                <w:bCs w:val="1"/>
                <w:color w:val="auto"/>
              </w:rPr>
              <w:t>2024</w:t>
            </w:r>
          </w:p>
        </w:tc>
      </w:tr>
      <w:tr>
        <w:trPr>
          <w:trHeight w:val="259"/>
        </w:trPr>
        <w:tc>
          <w:tcPr>
            <w:tcW w:w="5560" w:type="dxa"/>
            <w:vAlign w:val="bottom"/>
          </w:tcPr>
          <w:p>
            <w:pPr>
              <w:ind w:left="20"/>
              <w:spacing w:after="0"/>
              <w:rPr>
                <w:sz w:val="20"/>
                <w:szCs w:val="20"/>
                <w:color w:val="auto"/>
              </w:rPr>
            </w:pPr>
            <w:r>
              <w:rPr>
                <w:rFonts w:ascii="Arial" w:cs="Arial" w:eastAsia="Arial" w:hAnsi="Arial"/>
                <w:sz w:val="16"/>
                <w:szCs w:val="16"/>
                <w:b w:val="1"/>
                <w:bCs w:val="1"/>
                <w:color w:val="0D64EF"/>
              </w:rPr>
              <w:t>Net income (loss) from discontinued operations, net of tax</w:t>
            </w:r>
          </w:p>
        </w:tc>
        <w:tc>
          <w:tcPr>
            <w:tcW w:w="2280" w:type="dxa"/>
            <w:vAlign w:val="bottom"/>
            <w:gridSpan w:val="2"/>
          </w:tcPr>
          <w:p>
            <w:pPr>
              <w:jc w:val="right"/>
              <w:ind w:right="839"/>
              <w:spacing w:after="0"/>
              <w:rPr>
                <w:sz w:val="20"/>
                <w:szCs w:val="20"/>
                <w:color w:val="auto"/>
              </w:rPr>
            </w:pPr>
            <w:r>
              <w:rPr>
                <w:rFonts w:ascii="Arial" w:cs="Arial" w:eastAsia="Arial" w:hAnsi="Arial"/>
                <w:sz w:val="16"/>
                <w:szCs w:val="16"/>
                <w:b w:val="1"/>
                <w:bCs w:val="1"/>
                <w:color w:val="auto"/>
              </w:rPr>
              <w:t>21</w:t>
            </w:r>
          </w:p>
        </w:tc>
        <w:tc>
          <w:tcPr>
            <w:tcW w:w="560" w:type="dxa"/>
            <w:vAlign w:val="bottom"/>
          </w:tcPr>
          <w:p>
            <w:pPr>
              <w:jc w:val="right"/>
              <w:spacing w:after="0"/>
              <w:rPr>
                <w:sz w:val="20"/>
                <w:szCs w:val="20"/>
                <w:color w:val="auto"/>
              </w:rPr>
            </w:pPr>
            <w:r>
              <w:rPr>
                <w:rFonts w:ascii="Arial" w:cs="Arial" w:eastAsia="Arial" w:hAnsi="Arial"/>
                <w:sz w:val="16"/>
                <w:szCs w:val="16"/>
                <w:color w:val="auto"/>
              </w:rPr>
              <w:t>(98)</w:t>
            </w:r>
          </w:p>
        </w:tc>
        <w:tc>
          <w:tcPr>
            <w:tcW w:w="120" w:type="dxa"/>
            <w:vAlign w:val="bottom"/>
          </w:tcPr>
          <w:p>
            <w:pPr>
              <w:spacing w:after="0"/>
              <w:rPr>
                <w:sz w:val="22"/>
                <w:szCs w:val="22"/>
                <w:color w:val="auto"/>
              </w:rPr>
            </w:pPr>
          </w:p>
        </w:tc>
        <w:tc>
          <w:tcPr>
            <w:tcW w:w="2060" w:type="dxa"/>
            <w:vAlign w:val="bottom"/>
          </w:tcPr>
          <w:p>
            <w:pPr>
              <w:jc w:val="right"/>
              <w:ind w:right="699"/>
              <w:spacing w:after="0"/>
              <w:rPr>
                <w:sz w:val="20"/>
                <w:szCs w:val="20"/>
                <w:color w:val="auto"/>
              </w:rPr>
            </w:pPr>
            <w:r>
              <w:rPr>
                <w:rFonts w:ascii="Arial" w:cs="Arial" w:eastAsia="Arial" w:hAnsi="Arial"/>
                <w:sz w:val="16"/>
                <w:szCs w:val="16"/>
                <w:b w:val="1"/>
                <w:bCs w:val="1"/>
                <w:color w:val="auto"/>
              </w:rPr>
              <w:t>(212)</w:t>
            </w:r>
          </w:p>
        </w:tc>
        <w:tc>
          <w:tcPr>
            <w:tcW w:w="660" w:type="dxa"/>
            <w:vAlign w:val="bottom"/>
          </w:tcPr>
          <w:p>
            <w:pPr>
              <w:jc w:val="right"/>
              <w:spacing w:after="0"/>
              <w:rPr>
                <w:sz w:val="20"/>
                <w:szCs w:val="20"/>
                <w:color w:val="auto"/>
              </w:rPr>
            </w:pPr>
            <w:r>
              <w:rPr>
                <w:rFonts w:ascii="Arial" w:cs="Arial" w:eastAsia="Arial" w:hAnsi="Arial"/>
                <w:sz w:val="16"/>
                <w:szCs w:val="16"/>
                <w:color w:val="auto"/>
              </w:rPr>
              <w:t>395</w:t>
            </w:r>
          </w:p>
        </w:tc>
      </w:tr>
      <w:tr>
        <w:trPr>
          <w:trHeight w:val="230"/>
        </w:trPr>
        <w:tc>
          <w:tcPr>
            <w:tcW w:w="5560" w:type="dxa"/>
            <w:vAlign w:val="bottom"/>
          </w:tcPr>
          <w:p>
            <w:pPr>
              <w:ind w:left="20"/>
              <w:spacing w:after="0"/>
              <w:rPr>
                <w:sz w:val="20"/>
                <w:szCs w:val="20"/>
                <w:color w:val="auto"/>
              </w:rPr>
            </w:pPr>
            <w:r>
              <w:rPr>
                <w:rFonts w:ascii="Arial" w:cs="Arial" w:eastAsia="Arial" w:hAnsi="Arial"/>
                <w:sz w:val="16"/>
                <w:szCs w:val="16"/>
                <w:b w:val="1"/>
                <w:bCs w:val="1"/>
                <w:color w:val="0D64EF"/>
              </w:rPr>
              <w:t>Specific items (pre tax):</w:t>
            </w:r>
          </w:p>
        </w:tc>
        <w:tc>
          <w:tcPr>
            <w:tcW w:w="1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36"/>
        </w:trPr>
        <w:tc>
          <w:tcPr>
            <w:tcW w:w="5560" w:type="dxa"/>
            <w:vAlign w:val="bottom"/>
          </w:tcPr>
          <w:p>
            <w:pPr>
              <w:ind w:left="100"/>
              <w:spacing w:after="0" w:line="236" w:lineRule="exact"/>
              <w:rPr>
                <w:sz w:val="20"/>
                <w:szCs w:val="20"/>
                <w:color w:val="auto"/>
              </w:rPr>
            </w:pPr>
            <w:r>
              <w:rPr>
                <w:rFonts w:ascii="Arial" w:cs="Arial" w:eastAsia="Arial" w:hAnsi="Arial"/>
                <w:sz w:val="16"/>
                <w:szCs w:val="16"/>
                <w:color w:val="auto"/>
              </w:rPr>
              <w:t>South Bow settlement</w:t>
            </w:r>
            <w:r>
              <w:rPr>
                <w:rFonts w:ascii="Arial" w:cs="Arial" w:eastAsia="Arial" w:hAnsi="Arial"/>
                <w:sz w:val="21"/>
                <w:szCs w:val="21"/>
                <w:color w:val="auto"/>
                <w:vertAlign w:val="superscript"/>
              </w:rPr>
              <w:t>2</w:t>
            </w:r>
          </w:p>
        </w:tc>
        <w:tc>
          <w:tcPr>
            <w:tcW w:w="2280" w:type="dxa"/>
            <w:vAlign w:val="bottom"/>
            <w:gridSpan w:val="2"/>
          </w:tcPr>
          <w:p>
            <w:pPr>
              <w:jc w:val="right"/>
              <w:ind w:right="799"/>
              <w:spacing w:after="0"/>
              <w:rPr>
                <w:sz w:val="20"/>
                <w:szCs w:val="20"/>
                <w:color w:val="auto"/>
              </w:rPr>
            </w:pPr>
            <w:r>
              <w:rPr>
                <w:rFonts w:ascii="Arial" w:cs="Arial" w:eastAsia="Arial" w:hAnsi="Arial"/>
                <w:sz w:val="16"/>
                <w:szCs w:val="16"/>
                <w:b w:val="1"/>
                <w:bCs w:val="1"/>
                <w:color w:val="auto"/>
              </w:rPr>
              <w:t>(8)</w:t>
            </w:r>
          </w:p>
        </w:tc>
        <w:tc>
          <w:tcPr>
            <w:tcW w:w="6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60" w:type="dxa"/>
            <w:vAlign w:val="bottom"/>
          </w:tcPr>
          <w:p>
            <w:pPr>
              <w:jc w:val="right"/>
              <w:ind w:right="739"/>
              <w:spacing w:after="0"/>
              <w:rPr>
                <w:sz w:val="20"/>
                <w:szCs w:val="20"/>
                <w:color w:val="auto"/>
              </w:rPr>
            </w:pPr>
            <w:r>
              <w:rPr>
                <w:rFonts w:ascii="Arial" w:cs="Arial" w:eastAsia="Arial" w:hAnsi="Arial"/>
                <w:sz w:val="16"/>
                <w:szCs w:val="16"/>
                <w:b w:val="1"/>
                <w:bCs w:val="1"/>
                <w:color w:val="auto"/>
              </w:rPr>
              <w:t>188</w:t>
            </w: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23"/>
        </w:trPr>
        <w:tc>
          <w:tcPr>
            <w:tcW w:w="5560" w:type="dxa"/>
            <w:vAlign w:val="bottom"/>
          </w:tcPr>
          <w:p>
            <w:pPr>
              <w:ind w:left="100"/>
              <w:spacing w:after="0"/>
              <w:rPr>
                <w:sz w:val="20"/>
                <w:szCs w:val="20"/>
                <w:color w:val="auto"/>
              </w:rPr>
            </w:pPr>
            <w:r>
              <w:rPr>
                <w:rFonts w:ascii="Arial" w:cs="Arial" w:eastAsia="Arial" w:hAnsi="Arial"/>
                <w:sz w:val="16"/>
                <w:szCs w:val="16"/>
                <w:color w:val="auto"/>
              </w:rPr>
              <w:t>Keystone XL asset impairment charge and other</w:t>
            </w:r>
          </w:p>
        </w:tc>
        <w:tc>
          <w:tcPr>
            <w:tcW w:w="120" w:type="dxa"/>
            <w:vAlign w:val="bottom"/>
          </w:tcPr>
          <w:p>
            <w:pPr>
              <w:spacing w:after="0"/>
              <w:rPr>
                <w:sz w:val="19"/>
                <w:szCs w:val="19"/>
                <w:color w:val="auto"/>
              </w:rPr>
            </w:pPr>
          </w:p>
        </w:tc>
        <w:tc>
          <w:tcPr>
            <w:tcW w:w="2160" w:type="dxa"/>
            <w:vAlign w:val="bottom"/>
          </w:tcPr>
          <w:p>
            <w:pPr>
              <w:jc w:val="right"/>
              <w:ind w:right="839"/>
              <w:spacing w:after="0"/>
              <w:rPr>
                <w:sz w:val="20"/>
                <w:szCs w:val="20"/>
                <w:color w:val="auto"/>
              </w:rPr>
            </w:pPr>
            <w:r>
              <w:rPr>
                <w:rFonts w:ascii="Arial" w:cs="Arial" w:eastAsia="Arial" w:hAnsi="Arial"/>
                <w:sz w:val="16"/>
                <w:szCs w:val="16"/>
                <w:b w:val="1"/>
                <w:bCs w:val="1"/>
                <w:color w:val="auto"/>
              </w:rPr>
              <w:t>—</w:t>
            </w:r>
          </w:p>
        </w:tc>
        <w:tc>
          <w:tcPr>
            <w:tcW w:w="6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60" w:type="dxa"/>
            <w:vAlign w:val="bottom"/>
          </w:tcPr>
          <w:p>
            <w:pPr>
              <w:jc w:val="right"/>
              <w:ind w:right="739"/>
              <w:spacing w:after="0"/>
              <w:rPr>
                <w:sz w:val="20"/>
                <w:szCs w:val="20"/>
                <w:color w:val="auto"/>
              </w:rPr>
            </w:pPr>
            <w:r>
              <w:rPr>
                <w:rFonts w:ascii="Arial" w:cs="Arial" w:eastAsia="Arial" w:hAnsi="Arial"/>
                <w:sz w:val="16"/>
                <w:szCs w:val="16"/>
                <w:b w:val="1"/>
                <w:bCs w:val="1"/>
                <w:color w:val="auto"/>
              </w:rPr>
              <w:t>29</w:t>
            </w:r>
          </w:p>
        </w:tc>
        <w:tc>
          <w:tcPr>
            <w:tcW w:w="660" w:type="dxa"/>
            <w:vAlign w:val="bottom"/>
          </w:tcPr>
          <w:p>
            <w:pPr>
              <w:jc w:val="right"/>
              <w:spacing w:after="0"/>
              <w:rPr>
                <w:sz w:val="20"/>
                <w:szCs w:val="20"/>
                <w:color w:val="auto"/>
              </w:rPr>
            </w:pPr>
            <w:r>
              <w:rPr>
                <w:rFonts w:ascii="Arial" w:cs="Arial" w:eastAsia="Arial" w:hAnsi="Arial"/>
                <w:sz w:val="16"/>
                <w:szCs w:val="16"/>
                <w:color w:val="auto"/>
              </w:rPr>
              <w:t>21</w:t>
            </w:r>
          </w:p>
        </w:tc>
      </w:tr>
      <w:tr>
        <w:trPr>
          <w:trHeight w:val="230"/>
        </w:trPr>
        <w:tc>
          <w:tcPr>
            <w:tcW w:w="5560" w:type="dxa"/>
            <w:vAlign w:val="bottom"/>
          </w:tcPr>
          <w:p>
            <w:pPr>
              <w:ind w:left="100"/>
              <w:spacing w:after="0"/>
              <w:rPr>
                <w:sz w:val="20"/>
                <w:szCs w:val="20"/>
                <w:color w:val="auto"/>
              </w:rPr>
            </w:pPr>
            <w:r>
              <w:rPr>
                <w:rFonts w:ascii="Arial" w:cs="Arial" w:eastAsia="Arial" w:hAnsi="Arial"/>
                <w:sz w:val="16"/>
                <w:szCs w:val="16"/>
                <w:color w:val="auto"/>
              </w:rPr>
              <w:t>Liquids Pipelines business separation costs</w:t>
            </w:r>
          </w:p>
        </w:tc>
        <w:tc>
          <w:tcPr>
            <w:tcW w:w="120" w:type="dxa"/>
            <w:vAlign w:val="bottom"/>
          </w:tcPr>
          <w:p>
            <w:pPr>
              <w:spacing w:after="0"/>
              <w:rPr>
                <w:sz w:val="19"/>
                <w:szCs w:val="19"/>
                <w:color w:val="auto"/>
              </w:rPr>
            </w:pPr>
          </w:p>
        </w:tc>
        <w:tc>
          <w:tcPr>
            <w:tcW w:w="2160" w:type="dxa"/>
            <w:vAlign w:val="bottom"/>
          </w:tcPr>
          <w:p>
            <w:pPr>
              <w:jc w:val="right"/>
              <w:ind w:right="839"/>
              <w:spacing w:after="0"/>
              <w:rPr>
                <w:sz w:val="20"/>
                <w:szCs w:val="20"/>
                <w:color w:val="auto"/>
              </w:rPr>
            </w:pPr>
            <w:r>
              <w:rPr>
                <w:rFonts w:ascii="Arial" w:cs="Arial" w:eastAsia="Arial" w:hAnsi="Arial"/>
                <w:sz w:val="16"/>
                <w:szCs w:val="16"/>
                <w:b w:val="1"/>
                <w:bCs w:val="1"/>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85</w:t>
            </w:r>
          </w:p>
        </w:tc>
        <w:tc>
          <w:tcPr>
            <w:tcW w:w="120" w:type="dxa"/>
            <w:vAlign w:val="bottom"/>
          </w:tcPr>
          <w:p>
            <w:pPr>
              <w:spacing w:after="0"/>
              <w:rPr>
                <w:sz w:val="19"/>
                <w:szCs w:val="19"/>
                <w:color w:val="auto"/>
              </w:rPr>
            </w:pPr>
          </w:p>
        </w:tc>
        <w:tc>
          <w:tcPr>
            <w:tcW w:w="2060" w:type="dxa"/>
            <w:vAlign w:val="bottom"/>
          </w:tcPr>
          <w:p>
            <w:pPr>
              <w:jc w:val="right"/>
              <w:ind w:right="739"/>
              <w:spacing w:after="0"/>
              <w:rPr>
                <w:sz w:val="20"/>
                <w:szCs w:val="20"/>
                <w:color w:val="auto"/>
              </w:rPr>
            </w:pPr>
            <w:r>
              <w:rPr>
                <w:rFonts w:ascii="Arial" w:cs="Arial" w:eastAsia="Arial" w:hAnsi="Arial"/>
                <w:sz w:val="16"/>
                <w:szCs w:val="16"/>
                <w:b w:val="1"/>
                <w:bCs w:val="1"/>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197</w:t>
            </w:r>
          </w:p>
        </w:tc>
      </w:tr>
      <w:tr>
        <w:trPr>
          <w:trHeight w:val="229"/>
        </w:trPr>
        <w:tc>
          <w:tcPr>
            <w:tcW w:w="5560" w:type="dxa"/>
            <w:vAlign w:val="bottom"/>
          </w:tcPr>
          <w:p>
            <w:pPr>
              <w:ind w:left="100"/>
              <w:spacing w:after="0"/>
              <w:rPr>
                <w:sz w:val="20"/>
                <w:szCs w:val="20"/>
                <w:color w:val="auto"/>
              </w:rPr>
            </w:pPr>
            <w:r>
              <w:rPr>
                <w:rFonts w:ascii="Arial" w:cs="Arial" w:eastAsia="Arial" w:hAnsi="Arial"/>
                <w:sz w:val="16"/>
                <w:szCs w:val="16"/>
                <w:color w:val="auto"/>
              </w:rPr>
              <w:t>Milepost 14 incremental costs</w:t>
            </w:r>
          </w:p>
        </w:tc>
        <w:tc>
          <w:tcPr>
            <w:tcW w:w="120" w:type="dxa"/>
            <w:vAlign w:val="bottom"/>
          </w:tcPr>
          <w:p>
            <w:pPr>
              <w:spacing w:after="0"/>
              <w:rPr>
                <w:sz w:val="19"/>
                <w:szCs w:val="19"/>
                <w:color w:val="auto"/>
              </w:rPr>
            </w:pPr>
          </w:p>
        </w:tc>
        <w:tc>
          <w:tcPr>
            <w:tcW w:w="2160" w:type="dxa"/>
            <w:vAlign w:val="bottom"/>
          </w:tcPr>
          <w:p>
            <w:pPr>
              <w:jc w:val="right"/>
              <w:ind w:right="839"/>
              <w:spacing w:after="0"/>
              <w:rPr>
                <w:sz w:val="20"/>
                <w:szCs w:val="20"/>
                <w:color w:val="auto"/>
              </w:rPr>
            </w:pPr>
            <w:r>
              <w:rPr>
                <w:rFonts w:ascii="Arial" w:cs="Arial" w:eastAsia="Arial" w:hAnsi="Arial"/>
                <w:sz w:val="16"/>
                <w:szCs w:val="16"/>
                <w:b w:val="1"/>
                <w:bCs w:val="1"/>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37</w:t>
            </w:r>
          </w:p>
        </w:tc>
        <w:tc>
          <w:tcPr>
            <w:tcW w:w="120" w:type="dxa"/>
            <w:vAlign w:val="bottom"/>
          </w:tcPr>
          <w:p>
            <w:pPr>
              <w:spacing w:after="0"/>
              <w:rPr>
                <w:sz w:val="19"/>
                <w:szCs w:val="19"/>
                <w:color w:val="auto"/>
              </w:rPr>
            </w:pPr>
          </w:p>
        </w:tc>
        <w:tc>
          <w:tcPr>
            <w:tcW w:w="2060" w:type="dxa"/>
            <w:vAlign w:val="bottom"/>
          </w:tcPr>
          <w:p>
            <w:pPr>
              <w:jc w:val="right"/>
              <w:ind w:right="739"/>
              <w:spacing w:after="0"/>
              <w:rPr>
                <w:sz w:val="20"/>
                <w:szCs w:val="20"/>
                <w:color w:val="auto"/>
              </w:rPr>
            </w:pPr>
            <w:r>
              <w:rPr>
                <w:rFonts w:ascii="Arial" w:cs="Arial" w:eastAsia="Arial" w:hAnsi="Arial"/>
                <w:sz w:val="16"/>
                <w:szCs w:val="16"/>
                <w:b w:val="1"/>
                <w:bCs w:val="1"/>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37</w:t>
            </w:r>
          </w:p>
        </w:tc>
      </w:tr>
      <w:tr>
        <w:trPr>
          <w:trHeight w:val="230"/>
        </w:trPr>
        <w:tc>
          <w:tcPr>
            <w:tcW w:w="5560" w:type="dxa"/>
            <w:vAlign w:val="bottom"/>
          </w:tcPr>
          <w:p>
            <w:pPr>
              <w:ind w:left="100"/>
              <w:spacing w:after="0"/>
              <w:rPr>
                <w:sz w:val="20"/>
                <w:szCs w:val="20"/>
                <w:color w:val="auto"/>
              </w:rPr>
            </w:pPr>
            <w:r>
              <w:rPr>
                <w:rFonts w:ascii="Arial" w:cs="Arial" w:eastAsia="Arial" w:hAnsi="Arial"/>
                <w:sz w:val="16"/>
                <w:szCs w:val="16"/>
                <w:color w:val="auto"/>
              </w:rPr>
              <w:t>Keystone regulatory decisions</w:t>
            </w:r>
          </w:p>
        </w:tc>
        <w:tc>
          <w:tcPr>
            <w:tcW w:w="120" w:type="dxa"/>
            <w:vAlign w:val="bottom"/>
          </w:tcPr>
          <w:p>
            <w:pPr>
              <w:spacing w:after="0"/>
              <w:rPr>
                <w:sz w:val="19"/>
                <w:szCs w:val="19"/>
                <w:color w:val="auto"/>
              </w:rPr>
            </w:pPr>
          </w:p>
        </w:tc>
        <w:tc>
          <w:tcPr>
            <w:tcW w:w="2160" w:type="dxa"/>
            <w:vAlign w:val="bottom"/>
          </w:tcPr>
          <w:p>
            <w:pPr>
              <w:jc w:val="right"/>
              <w:ind w:right="839"/>
              <w:spacing w:after="0"/>
              <w:rPr>
                <w:sz w:val="20"/>
                <w:szCs w:val="20"/>
                <w:color w:val="auto"/>
              </w:rPr>
            </w:pPr>
            <w:r>
              <w:rPr>
                <w:rFonts w:ascii="Arial" w:cs="Arial" w:eastAsia="Arial" w:hAnsi="Arial"/>
                <w:sz w:val="16"/>
                <w:szCs w:val="16"/>
                <w:b w:val="1"/>
                <w:bCs w:val="1"/>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9"/>
                <w:szCs w:val="19"/>
                <w:color w:val="auto"/>
              </w:rPr>
            </w:pPr>
          </w:p>
        </w:tc>
        <w:tc>
          <w:tcPr>
            <w:tcW w:w="2060" w:type="dxa"/>
            <w:vAlign w:val="bottom"/>
          </w:tcPr>
          <w:p>
            <w:pPr>
              <w:jc w:val="right"/>
              <w:ind w:right="739"/>
              <w:spacing w:after="0"/>
              <w:rPr>
                <w:sz w:val="20"/>
                <w:szCs w:val="20"/>
                <w:color w:val="auto"/>
              </w:rPr>
            </w:pPr>
            <w:r>
              <w:rPr>
                <w:rFonts w:ascii="Arial" w:cs="Arial" w:eastAsia="Arial" w:hAnsi="Arial"/>
                <w:sz w:val="16"/>
                <w:szCs w:val="16"/>
                <w:b w:val="1"/>
                <w:bCs w:val="1"/>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229"/>
        </w:trPr>
        <w:tc>
          <w:tcPr>
            <w:tcW w:w="5560" w:type="dxa"/>
            <w:vAlign w:val="bottom"/>
          </w:tcPr>
          <w:p>
            <w:pPr>
              <w:ind w:left="100"/>
              <w:spacing w:after="0"/>
              <w:rPr>
                <w:sz w:val="20"/>
                <w:szCs w:val="20"/>
                <w:color w:val="auto"/>
              </w:rPr>
            </w:pPr>
            <w:r>
              <w:rPr>
                <w:rFonts w:ascii="Arial" w:cs="Arial" w:eastAsia="Arial" w:hAnsi="Arial"/>
                <w:sz w:val="16"/>
                <w:szCs w:val="16"/>
                <w:color w:val="auto"/>
              </w:rPr>
              <w:t>Risk management activities</w:t>
            </w:r>
          </w:p>
        </w:tc>
        <w:tc>
          <w:tcPr>
            <w:tcW w:w="120" w:type="dxa"/>
            <w:vAlign w:val="bottom"/>
          </w:tcPr>
          <w:p>
            <w:pPr>
              <w:spacing w:after="0"/>
              <w:rPr>
                <w:sz w:val="19"/>
                <w:szCs w:val="19"/>
                <w:color w:val="auto"/>
              </w:rPr>
            </w:pPr>
          </w:p>
        </w:tc>
        <w:tc>
          <w:tcPr>
            <w:tcW w:w="2160" w:type="dxa"/>
            <w:vAlign w:val="bottom"/>
          </w:tcPr>
          <w:p>
            <w:pPr>
              <w:jc w:val="right"/>
              <w:ind w:right="839"/>
              <w:spacing w:after="0"/>
              <w:rPr>
                <w:sz w:val="20"/>
                <w:szCs w:val="20"/>
                <w:color w:val="auto"/>
              </w:rPr>
            </w:pPr>
            <w:r>
              <w:rPr>
                <w:rFonts w:ascii="Arial" w:cs="Arial" w:eastAsia="Arial" w:hAnsi="Arial"/>
                <w:sz w:val="16"/>
                <w:szCs w:val="16"/>
                <w:b w:val="1"/>
                <w:bCs w:val="1"/>
                <w:color w:val="auto"/>
              </w:rPr>
              <w:t>—</w:t>
            </w:r>
          </w:p>
        </w:tc>
        <w:tc>
          <w:tcPr>
            <w:tcW w:w="6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60" w:type="dxa"/>
            <w:vAlign w:val="bottom"/>
          </w:tcPr>
          <w:p>
            <w:pPr>
              <w:jc w:val="right"/>
              <w:ind w:right="739"/>
              <w:spacing w:after="0"/>
              <w:rPr>
                <w:sz w:val="20"/>
                <w:szCs w:val="20"/>
                <w:color w:val="auto"/>
              </w:rPr>
            </w:pPr>
            <w:r>
              <w:rPr>
                <w:rFonts w:ascii="Arial" w:cs="Arial" w:eastAsia="Arial" w:hAnsi="Arial"/>
                <w:sz w:val="16"/>
                <w:szCs w:val="16"/>
                <w:b w:val="1"/>
                <w:bCs w:val="1"/>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(67)</w:t>
            </w:r>
          </w:p>
        </w:tc>
      </w:tr>
      <w:tr>
        <w:trPr>
          <w:trHeight w:val="233"/>
        </w:trPr>
        <w:tc>
          <w:tcPr>
            <w:tcW w:w="55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0D64EF"/>
              </w:rPr>
              <w:t>Taxes related to specific items</w:t>
            </w:r>
          </w:p>
        </w:tc>
        <w:tc>
          <w:tcPr>
            <w:tcW w:w="2280" w:type="dxa"/>
            <w:vAlign w:val="bottom"/>
            <w:tcBorders>
              <w:bottom w:val="single" w:sz="8" w:color="auto"/>
            </w:tcBorders>
            <w:gridSpan w:val="2"/>
          </w:tcPr>
          <w:p>
            <w:pPr>
              <w:jc w:val="right"/>
              <w:ind w:right="799"/>
              <w:spacing w:after="0"/>
              <w:rPr>
                <w:sz w:val="20"/>
                <w:szCs w:val="20"/>
                <w:color w:val="auto"/>
              </w:rPr>
            </w:pPr>
            <w:r>
              <w:rPr>
                <w:rFonts w:ascii="Arial" w:cs="Arial" w:eastAsia="Arial" w:hAnsi="Arial"/>
                <w:sz w:val="16"/>
                <w:szCs w:val="16"/>
                <w:b w:val="1"/>
                <w:bCs w:val="1"/>
                <w:color w:val="auto"/>
              </w:rPr>
              <w:t>(13)</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w:t>
            </w:r>
          </w:p>
        </w:tc>
        <w:tc>
          <w:tcPr>
            <w:tcW w:w="12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tcPr>
          <w:p>
            <w:pPr>
              <w:jc w:val="right"/>
              <w:ind w:right="699"/>
              <w:spacing w:after="0"/>
              <w:rPr>
                <w:sz w:val="20"/>
                <w:szCs w:val="20"/>
                <w:color w:val="auto"/>
              </w:rPr>
            </w:pPr>
            <w:r>
              <w:rPr>
                <w:rFonts w:ascii="Arial" w:cs="Arial" w:eastAsia="Arial" w:hAnsi="Arial"/>
                <w:sz w:val="16"/>
                <w:szCs w:val="16"/>
                <w:b w:val="1"/>
                <w:bCs w:val="1"/>
                <w:color w:val="auto"/>
              </w:rPr>
              <w:t>(5)</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w:t>
            </w:r>
          </w:p>
        </w:tc>
      </w:tr>
      <w:tr>
        <w:trPr>
          <w:trHeight w:val="223"/>
        </w:trPr>
        <w:tc>
          <w:tcPr>
            <w:tcW w:w="55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0D64EF"/>
              </w:rPr>
              <w:t>Comparable earnings from discontinued operations</w:t>
            </w:r>
          </w:p>
        </w:tc>
        <w:tc>
          <w:tcPr>
            <w:tcW w:w="120" w:type="dxa"/>
            <w:vAlign w:val="bottom"/>
            <w:tcBorders>
              <w:bottom w:val="single" w:sz="8" w:color="auto"/>
            </w:tcBorders>
          </w:tcPr>
          <w:p>
            <w:pPr>
              <w:spacing w:after="0"/>
              <w:rPr>
                <w:sz w:val="19"/>
                <w:szCs w:val="19"/>
                <w:color w:val="auto"/>
              </w:rPr>
            </w:pPr>
          </w:p>
        </w:tc>
        <w:tc>
          <w:tcPr>
            <w:tcW w:w="2160" w:type="dxa"/>
            <w:vAlign w:val="bottom"/>
            <w:tcBorders>
              <w:bottom w:val="single" w:sz="8" w:color="auto"/>
            </w:tcBorders>
          </w:tcPr>
          <w:p>
            <w:pPr>
              <w:jc w:val="right"/>
              <w:ind w:right="839"/>
              <w:spacing w:after="0"/>
              <w:rPr>
                <w:sz w:val="20"/>
                <w:szCs w:val="20"/>
                <w:color w:val="auto"/>
              </w:rPr>
            </w:pPr>
            <w:r>
              <w:rPr>
                <w:rFonts w:ascii="Arial" w:cs="Arial" w:eastAsia="Arial" w:hAnsi="Arial"/>
                <w:sz w:val="16"/>
                <w:szCs w:val="16"/>
                <w:b w:val="1"/>
                <w:bCs w:val="1"/>
                <w:color w:val="auto"/>
              </w:rPr>
              <w:t>—</w:t>
            </w:r>
          </w:p>
        </w:tc>
        <w:tc>
          <w:tcPr>
            <w:tcW w:w="68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2060" w:type="dxa"/>
            <w:vAlign w:val="bottom"/>
            <w:tcBorders>
              <w:bottom w:val="single" w:sz="8" w:color="auto"/>
            </w:tcBorders>
          </w:tcPr>
          <w:p>
            <w:pPr>
              <w:jc w:val="right"/>
              <w:ind w:right="739"/>
              <w:spacing w:after="0"/>
              <w:rPr>
                <w:sz w:val="20"/>
                <w:szCs w:val="20"/>
                <w:color w:val="auto"/>
              </w:rPr>
            </w:pPr>
            <w:r>
              <w:rPr>
                <w:rFonts w:ascii="Arial" w:cs="Arial" w:eastAsia="Arial" w:hAnsi="Arial"/>
                <w:sz w:val="16"/>
                <w:szCs w:val="16"/>
                <w:b w:val="1"/>
                <w:bCs w:val="1"/>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565</w:t>
            </w:r>
          </w:p>
        </w:tc>
      </w:tr>
      <w:tr>
        <w:trPr>
          <w:trHeight w:val="220"/>
        </w:trPr>
        <w:tc>
          <w:tcPr>
            <w:tcW w:w="5560" w:type="dxa"/>
            <w:vAlign w:val="bottom"/>
          </w:tcPr>
          <w:p>
            <w:pPr>
              <w:ind w:left="20"/>
              <w:spacing w:after="0"/>
              <w:rPr>
                <w:sz w:val="20"/>
                <w:szCs w:val="20"/>
                <w:color w:val="auto"/>
              </w:rPr>
            </w:pPr>
            <w:r>
              <w:rPr>
                <w:rFonts w:ascii="Arial" w:cs="Arial" w:eastAsia="Arial" w:hAnsi="Arial"/>
                <w:sz w:val="16"/>
                <w:szCs w:val="16"/>
                <w:b w:val="1"/>
                <w:bCs w:val="1"/>
                <w:color w:val="0D64EF"/>
              </w:rPr>
              <w:t>Net income (loss) per common share from discontinued operations</w:t>
            </w:r>
          </w:p>
        </w:tc>
        <w:tc>
          <w:tcPr>
            <w:tcW w:w="2280" w:type="dxa"/>
            <w:vAlign w:val="bottom"/>
            <w:gridSpan w:val="2"/>
          </w:tcPr>
          <w:p>
            <w:pPr>
              <w:jc w:val="right"/>
              <w:ind w:right="839"/>
              <w:spacing w:after="0"/>
              <w:rPr>
                <w:sz w:val="20"/>
                <w:szCs w:val="20"/>
                <w:color w:val="auto"/>
              </w:rPr>
            </w:pPr>
            <w:r>
              <w:rPr>
                <w:rFonts w:ascii="Arial" w:cs="Arial" w:eastAsia="Arial" w:hAnsi="Arial"/>
                <w:sz w:val="16"/>
                <w:szCs w:val="16"/>
                <w:b w:val="1"/>
                <w:bCs w:val="1"/>
                <w:color w:val="auto"/>
              </w:rPr>
              <w:t>$0.02</w:t>
            </w:r>
          </w:p>
        </w:tc>
        <w:tc>
          <w:tcPr>
            <w:tcW w:w="560" w:type="dxa"/>
            <w:vAlign w:val="bottom"/>
          </w:tcPr>
          <w:p>
            <w:pPr>
              <w:jc w:val="right"/>
              <w:spacing w:after="0"/>
              <w:rPr>
                <w:sz w:val="20"/>
                <w:szCs w:val="20"/>
                <w:color w:val="auto"/>
              </w:rPr>
            </w:pPr>
            <w:r>
              <w:rPr>
                <w:rFonts w:ascii="Arial" w:cs="Arial" w:eastAsia="Arial" w:hAnsi="Arial"/>
                <w:sz w:val="16"/>
                <w:szCs w:val="16"/>
                <w:color w:val="auto"/>
              </w:rPr>
              <w:t>($0.09)</w:t>
            </w:r>
          </w:p>
        </w:tc>
        <w:tc>
          <w:tcPr>
            <w:tcW w:w="120" w:type="dxa"/>
            <w:vAlign w:val="bottom"/>
          </w:tcPr>
          <w:p>
            <w:pPr>
              <w:spacing w:after="0"/>
              <w:rPr>
                <w:sz w:val="19"/>
                <w:szCs w:val="19"/>
                <w:color w:val="auto"/>
              </w:rPr>
            </w:pPr>
          </w:p>
        </w:tc>
        <w:tc>
          <w:tcPr>
            <w:tcW w:w="2060" w:type="dxa"/>
            <w:vAlign w:val="bottom"/>
          </w:tcPr>
          <w:p>
            <w:pPr>
              <w:jc w:val="right"/>
              <w:ind w:right="699"/>
              <w:spacing w:after="0"/>
              <w:rPr>
                <w:sz w:val="20"/>
                <w:szCs w:val="20"/>
                <w:color w:val="auto"/>
              </w:rPr>
            </w:pPr>
            <w:r>
              <w:rPr>
                <w:rFonts w:ascii="Arial" w:cs="Arial" w:eastAsia="Arial" w:hAnsi="Arial"/>
                <w:sz w:val="16"/>
                <w:szCs w:val="16"/>
                <w:b w:val="1"/>
                <w:bCs w:val="1"/>
                <w:color w:val="auto"/>
              </w:rPr>
              <w:t>($0.20)</w:t>
            </w:r>
          </w:p>
        </w:tc>
        <w:tc>
          <w:tcPr>
            <w:tcW w:w="660" w:type="dxa"/>
            <w:vAlign w:val="bottom"/>
          </w:tcPr>
          <w:p>
            <w:pPr>
              <w:jc w:val="right"/>
              <w:spacing w:after="0"/>
              <w:rPr>
                <w:sz w:val="20"/>
                <w:szCs w:val="20"/>
                <w:color w:val="auto"/>
              </w:rPr>
            </w:pPr>
            <w:r>
              <w:rPr>
                <w:rFonts w:ascii="Arial" w:cs="Arial" w:eastAsia="Arial" w:hAnsi="Arial"/>
                <w:sz w:val="16"/>
                <w:szCs w:val="16"/>
                <w:color w:val="auto"/>
              </w:rPr>
              <w:t>$0.38</w:t>
            </w:r>
          </w:p>
        </w:tc>
      </w:tr>
      <w:tr>
        <w:trPr>
          <w:trHeight w:val="233"/>
        </w:trPr>
        <w:tc>
          <w:tcPr>
            <w:tcW w:w="556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Specific items (net of tax)</w:t>
            </w:r>
          </w:p>
        </w:tc>
        <w:tc>
          <w:tcPr>
            <w:tcW w:w="2280" w:type="dxa"/>
            <w:vAlign w:val="bottom"/>
            <w:tcBorders>
              <w:bottom w:val="single" w:sz="8" w:color="auto"/>
            </w:tcBorders>
            <w:gridSpan w:val="2"/>
          </w:tcPr>
          <w:p>
            <w:pPr>
              <w:jc w:val="right"/>
              <w:ind w:right="799"/>
              <w:spacing w:after="0"/>
              <w:rPr>
                <w:sz w:val="20"/>
                <w:szCs w:val="20"/>
                <w:color w:val="auto"/>
              </w:rPr>
            </w:pPr>
            <w:r>
              <w:rPr>
                <w:rFonts w:ascii="Arial" w:cs="Arial" w:eastAsia="Arial" w:hAnsi="Arial"/>
                <w:sz w:val="16"/>
                <w:szCs w:val="16"/>
                <w:b w:val="1"/>
                <w:bCs w:val="1"/>
                <w:color w:val="auto"/>
              </w:rPr>
              <w:t>(0.02)</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0.09</w:t>
            </w:r>
          </w:p>
        </w:tc>
        <w:tc>
          <w:tcPr>
            <w:tcW w:w="12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tcPr>
          <w:p>
            <w:pPr>
              <w:jc w:val="right"/>
              <w:ind w:right="739"/>
              <w:spacing w:after="0"/>
              <w:rPr>
                <w:sz w:val="20"/>
                <w:szCs w:val="20"/>
                <w:color w:val="auto"/>
              </w:rPr>
            </w:pPr>
            <w:r>
              <w:rPr>
                <w:rFonts w:ascii="Arial" w:cs="Arial" w:eastAsia="Arial" w:hAnsi="Arial"/>
                <w:sz w:val="16"/>
                <w:szCs w:val="16"/>
                <w:b w:val="1"/>
                <w:bCs w:val="1"/>
                <w:color w:val="auto"/>
              </w:rPr>
              <w:t>0.20</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0.16</w:t>
            </w:r>
          </w:p>
        </w:tc>
      </w:tr>
      <w:tr>
        <w:trPr>
          <w:trHeight w:val="223"/>
        </w:trPr>
        <w:tc>
          <w:tcPr>
            <w:tcW w:w="55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0D64EF"/>
              </w:rPr>
              <w:t>Comparable earnings per common share from discontinued operations</w:t>
            </w:r>
          </w:p>
        </w:tc>
        <w:tc>
          <w:tcPr>
            <w:tcW w:w="120" w:type="dxa"/>
            <w:vAlign w:val="bottom"/>
            <w:tcBorders>
              <w:bottom w:val="single" w:sz="8" w:color="auto"/>
            </w:tcBorders>
          </w:tcPr>
          <w:p>
            <w:pPr>
              <w:spacing w:after="0"/>
              <w:rPr>
                <w:sz w:val="19"/>
                <w:szCs w:val="19"/>
                <w:color w:val="auto"/>
              </w:rPr>
            </w:pPr>
          </w:p>
        </w:tc>
        <w:tc>
          <w:tcPr>
            <w:tcW w:w="2160" w:type="dxa"/>
            <w:vAlign w:val="bottom"/>
            <w:tcBorders>
              <w:bottom w:val="single" w:sz="8" w:color="auto"/>
            </w:tcBorders>
          </w:tcPr>
          <w:p>
            <w:pPr>
              <w:jc w:val="right"/>
              <w:ind w:right="839"/>
              <w:spacing w:after="0"/>
              <w:rPr>
                <w:sz w:val="20"/>
                <w:szCs w:val="20"/>
                <w:color w:val="auto"/>
              </w:rPr>
            </w:pPr>
            <w:r>
              <w:rPr>
                <w:rFonts w:ascii="Arial" w:cs="Arial" w:eastAsia="Arial" w:hAnsi="Arial"/>
                <w:sz w:val="16"/>
                <w:szCs w:val="16"/>
                <w:b w:val="1"/>
                <w:bCs w:val="1"/>
                <w:color w:val="auto"/>
              </w:rPr>
              <w:t>—</w:t>
            </w:r>
          </w:p>
        </w:tc>
        <w:tc>
          <w:tcPr>
            <w:tcW w:w="68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2060" w:type="dxa"/>
            <w:vAlign w:val="bottom"/>
            <w:tcBorders>
              <w:bottom w:val="single" w:sz="8" w:color="auto"/>
            </w:tcBorders>
          </w:tcPr>
          <w:p>
            <w:pPr>
              <w:jc w:val="right"/>
              <w:ind w:right="739"/>
              <w:spacing w:after="0"/>
              <w:rPr>
                <w:sz w:val="20"/>
                <w:szCs w:val="20"/>
                <w:color w:val="auto"/>
              </w:rPr>
            </w:pPr>
            <w:r>
              <w:rPr>
                <w:rFonts w:ascii="Arial" w:cs="Arial" w:eastAsia="Arial" w:hAnsi="Arial"/>
                <w:sz w:val="16"/>
                <w:szCs w:val="16"/>
                <w:b w:val="1"/>
                <w:bCs w:val="1"/>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$0.54</w:t>
            </w:r>
          </w:p>
        </w:tc>
      </w:tr>
    </w:tbl>
    <w:p>
      <w:pPr>
        <w:spacing w:after="0" w:line="180" w:lineRule="exact"/>
        <w:rPr>
          <w:sz w:val="20"/>
          <w:szCs w:val="20"/>
          <w:color w:val="auto"/>
        </w:rPr>
      </w:pPr>
    </w:p>
    <w:p>
      <w:pPr>
        <w:ind w:left="340" w:hanging="332"/>
        <w:spacing w:after="0"/>
        <w:tabs>
          <w:tab w:leader="none" w:pos="340" w:val="left"/>
        </w:tabs>
        <w:numPr>
          <w:ilvl w:val="0"/>
          <w:numId w:val="66"/>
        </w:numPr>
        <w:rPr>
          <w:rFonts w:ascii="Arial" w:cs="Arial" w:eastAsia="Arial" w:hAnsi="Arial"/>
          <w:sz w:val="14"/>
          <w:szCs w:val="14"/>
          <w:color w:val="auto"/>
        </w:rPr>
      </w:pPr>
      <w:r>
        <w:rPr>
          <w:rFonts w:ascii="Arial" w:cs="Arial" w:eastAsia="Arial" w:hAnsi="Arial"/>
          <w:sz w:val="14"/>
          <w:szCs w:val="14"/>
          <w:color w:val="auto"/>
        </w:rPr>
        <w:t>Represents nine months of Liquids Pipelines earnings for the year ended December 31, 2024.</w:t>
      </w:r>
    </w:p>
    <w:p>
      <w:pPr>
        <w:spacing w:after="0" w:line="55" w:lineRule="exact"/>
        <w:rPr>
          <w:sz w:val="20"/>
          <w:szCs w:val="20"/>
          <w:color w:val="auto"/>
        </w:rPr>
      </w:pPr>
    </w:p>
    <w:p>
      <w:pPr>
        <w:ind w:left="340" w:right="120" w:hanging="332"/>
        <w:spacing w:after="0" w:line="345" w:lineRule="auto"/>
        <w:tabs>
          <w:tab w:leader="none" w:pos="339" w:val="left"/>
        </w:tabs>
        <w:numPr>
          <w:ilvl w:val="0"/>
          <w:numId w:val="67"/>
        </w:numPr>
        <w:rPr>
          <w:rFonts w:ascii="Arial" w:cs="Arial" w:eastAsia="Arial" w:hAnsi="Arial"/>
          <w:sz w:val="14"/>
          <w:szCs w:val="14"/>
          <w:color w:val="auto"/>
        </w:rPr>
      </w:pPr>
      <w:r>
        <w:rPr>
          <w:rFonts w:ascii="Arial" w:cs="Arial" w:eastAsia="Arial" w:hAnsi="Arial"/>
          <w:sz w:val="14"/>
          <w:szCs w:val="14"/>
          <w:color w:val="auto"/>
        </w:rPr>
        <w:t>A pre-tax recovery of $8 million for the three months ended December 31, 2025 resulting from the resolution reached in September 2025 under the Separation Agreement with South Bow.</w:t>
      </w:r>
    </w:p>
    <w:p>
      <w:pPr>
        <w:spacing w:after="0" w:line="90" w:lineRule="exact"/>
        <w:rPr>
          <w:sz w:val="20"/>
          <w:szCs w:val="20"/>
          <w:color w:val="auto"/>
        </w:rPr>
      </w:pPr>
    </w:p>
    <w:p>
      <w:pPr>
        <w:spacing w:after="0"/>
        <w:rPr>
          <w:sz w:val="20"/>
          <w:szCs w:val="20"/>
          <w:color w:val="auto"/>
        </w:rPr>
      </w:pPr>
      <w:r>
        <w:rPr>
          <w:rFonts w:ascii="Arial" w:cs="Arial" w:eastAsia="Arial" w:hAnsi="Arial"/>
          <w:sz w:val="20"/>
          <w:szCs w:val="20"/>
          <w:b w:val="1"/>
          <w:bCs w:val="1"/>
          <w:color w:val="0D64EF"/>
        </w:rPr>
        <w:t>COMPARABLE EBITDA TO COMPARABLE EARNINGS - FROM DISCONTINUED OPERATIONS</w:t>
      </w:r>
      <w:r>
        <w:rPr>
          <w:rFonts w:ascii="Arial" w:cs="Arial" w:eastAsia="Arial" w:hAnsi="Arial"/>
          <w:sz w:val="11"/>
          <w:szCs w:val="11"/>
          <w:color w:val="000000"/>
        </w:rPr>
        <w:t>1</w:t>
      </w:r>
    </w:p>
    <w:p>
      <w:pPr>
        <w:spacing w:after="0" w:line="72" w:lineRule="exact"/>
        <w:rPr>
          <w:sz w:val="20"/>
          <w:szCs w:val="20"/>
          <w:color w:val="auto"/>
        </w:rPr>
      </w:pPr>
    </w:p>
    <w:p>
      <w:pPr>
        <w:ind w:right="300"/>
        <w:spacing w:after="0" w:line="334" w:lineRule="auto"/>
        <w:rPr>
          <w:sz w:val="20"/>
          <w:szCs w:val="20"/>
          <w:color w:val="auto"/>
        </w:rPr>
      </w:pPr>
      <w:r>
        <w:rPr>
          <w:rFonts w:ascii="Arial" w:cs="Arial" w:eastAsia="Arial" w:hAnsi="Arial"/>
          <w:sz w:val="18"/>
          <w:szCs w:val="18"/>
          <w:color w:val="auto"/>
        </w:rPr>
        <w:t>Comparable EBITDA from discontinued operations represents segmented earnings (losses) from discontinued operations adjusted for the specific items described above, excluding charges for depreciation and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3003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00355"/>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year ended December 31</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820" w:type="dxa"/>
            <w:vAlign w:val="bottom"/>
            <w:tcBorders>
              <w:bottom w:val="single" w:sz="8" w:color="0D64EF"/>
              <w:right w:val="single" w:sz="8" w:color="D1D0CF"/>
            </w:tcBorders>
          </w:tcPr>
          <w:p>
            <w:pPr>
              <w:ind w:left="20"/>
              <w:spacing w:after="0"/>
              <w:rPr>
                <w:sz w:val="20"/>
                <w:szCs w:val="20"/>
                <w:color w:val="auto"/>
              </w:rPr>
            </w:pPr>
            <w:r>
              <w:rPr>
                <w:rFonts w:ascii="Arial" w:cs="Arial" w:eastAsia="Arial" w:hAnsi="Arial"/>
                <w:sz w:val="16"/>
                <w:szCs w:val="16"/>
                <w:color w:val="auto"/>
              </w:rPr>
              <w:t>(millions of $, except per share amounts)</w:t>
            </w:r>
          </w:p>
        </w:tc>
        <w:tc>
          <w:tcPr>
            <w:tcW w:w="1420" w:type="dxa"/>
            <w:vAlign w:val="bottom"/>
            <w:tcBorders>
              <w:bottom w:val="single" w:sz="8" w:color="0D64EF"/>
            </w:tcBorders>
            <w:shd w:val="clear" w:color="auto" w:fill="D1D0CF"/>
          </w:tcPr>
          <w:p>
            <w:pPr>
              <w:jc w:val="right"/>
              <w:spacing w:after="0"/>
              <w:rPr>
                <w:sz w:val="20"/>
                <w:szCs w:val="20"/>
                <w:color w:val="auto"/>
              </w:rPr>
            </w:pPr>
            <w:r>
              <w:rPr>
                <w:rFonts w:ascii="Arial" w:cs="Arial" w:eastAsia="Arial" w:hAnsi="Arial"/>
                <w:sz w:val="16"/>
                <w:szCs w:val="16"/>
                <w:b w:val="1"/>
                <w:bCs w:val="1"/>
                <w:color w:val="auto"/>
              </w:rPr>
              <w:t>2024</w:t>
            </w:r>
          </w:p>
        </w:tc>
        <w:tc>
          <w:tcPr>
            <w:tcW w:w="20" w:type="dxa"/>
            <w:vAlign w:val="bottom"/>
            <w:tcBorders>
              <w:bottom w:val="single" w:sz="8" w:color="D1D0CF"/>
            </w:tcBorders>
            <w:shd w:val="clear" w:color="auto" w:fill="D1D0CF"/>
          </w:tcPr>
          <w:p>
            <w:pPr>
              <w:spacing w:after="0"/>
              <w:rPr>
                <w:sz w:val="18"/>
                <w:szCs w:val="18"/>
                <w:color w:val="auto"/>
              </w:rPr>
            </w:pPr>
          </w:p>
        </w:tc>
      </w:tr>
      <w:tr>
        <w:trPr>
          <w:trHeight w:val="256"/>
        </w:trPr>
        <w:tc>
          <w:tcPr>
            <w:tcW w:w="9820" w:type="dxa"/>
            <w:vAlign w:val="bottom"/>
          </w:tcPr>
          <w:p>
            <w:pPr>
              <w:ind w:left="20"/>
              <w:spacing w:after="0"/>
              <w:rPr>
                <w:sz w:val="20"/>
                <w:szCs w:val="20"/>
                <w:color w:val="auto"/>
              </w:rPr>
            </w:pPr>
            <w:r>
              <w:rPr>
                <w:rFonts w:ascii="Arial" w:cs="Arial" w:eastAsia="Arial" w:hAnsi="Arial"/>
                <w:sz w:val="16"/>
                <w:szCs w:val="16"/>
                <w:b w:val="1"/>
                <w:bCs w:val="1"/>
                <w:color w:val="0D64EF"/>
              </w:rPr>
              <w:t>Comparable EBITDA from discontinued operations</w:t>
            </w:r>
          </w:p>
        </w:tc>
        <w:tc>
          <w:tcPr>
            <w:tcW w:w="1420" w:type="dxa"/>
            <w:vAlign w:val="bottom"/>
          </w:tcPr>
          <w:p>
            <w:pPr>
              <w:jc w:val="right"/>
              <w:spacing w:after="0"/>
              <w:rPr>
                <w:sz w:val="20"/>
                <w:szCs w:val="20"/>
                <w:color w:val="auto"/>
              </w:rPr>
            </w:pPr>
            <w:r>
              <w:rPr>
                <w:rFonts w:ascii="Arial" w:cs="Arial" w:eastAsia="Arial" w:hAnsi="Arial"/>
                <w:sz w:val="16"/>
                <w:szCs w:val="16"/>
                <w:color w:val="auto"/>
              </w:rPr>
              <w:t>1,145</w:t>
            </w:r>
          </w:p>
        </w:tc>
        <w:tc>
          <w:tcPr>
            <w:tcW w:w="20" w:type="dxa"/>
            <w:vAlign w:val="bottom"/>
          </w:tcPr>
          <w:p>
            <w:pPr>
              <w:spacing w:after="0"/>
              <w:rPr>
                <w:sz w:val="22"/>
                <w:szCs w:val="22"/>
                <w:color w:val="auto"/>
              </w:rPr>
            </w:pPr>
          </w:p>
        </w:tc>
      </w:tr>
      <w:tr>
        <w:trPr>
          <w:trHeight w:val="222"/>
        </w:trPr>
        <w:tc>
          <w:tcPr>
            <w:tcW w:w="9820" w:type="dxa"/>
            <w:vAlign w:val="bottom"/>
          </w:tcPr>
          <w:p>
            <w:pPr>
              <w:ind w:left="120"/>
              <w:spacing w:after="0"/>
              <w:rPr>
                <w:sz w:val="20"/>
                <w:szCs w:val="20"/>
                <w:color w:val="auto"/>
              </w:rPr>
            </w:pPr>
            <w:r>
              <w:rPr>
                <w:rFonts w:ascii="Arial" w:cs="Arial" w:eastAsia="Arial" w:hAnsi="Arial"/>
                <w:sz w:val="16"/>
                <w:szCs w:val="16"/>
                <w:color w:val="auto"/>
              </w:rPr>
              <w:t>Depreciation and amortization</w:t>
            </w:r>
          </w:p>
        </w:tc>
        <w:tc>
          <w:tcPr>
            <w:tcW w:w="1420" w:type="dxa"/>
            <w:vAlign w:val="bottom"/>
          </w:tcPr>
          <w:p>
            <w:pPr>
              <w:jc w:val="right"/>
              <w:spacing w:after="0"/>
              <w:rPr>
                <w:sz w:val="20"/>
                <w:szCs w:val="20"/>
                <w:color w:val="auto"/>
              </w:rPr>
            </w:pPr>
            <w:r>
              <w:rPr>
                <w:rFonts w:ascii="Arial" w:cs="Arial" w:eastAsia="Arial" w:hAnsi="Arial"/>
                <w:sz w:val="16"/>
                <w:szCs w:val="16"/>
                <w:color w:val="auto"/>
              </w:rPr>
              <w:t>(253)</w:t>
            </w:r>
          </w:p>
        </w:tc>
        <w:tc>
          <w:tcPr>
            <w:tcW w:w="20" w:type="dxa"/>
            <w:vAlign w:val="bottom"/>
          </w:tcPr>
          <w:p>
            <w:pPr>
              <w:spacing w:after="0"/>
              <w:rPr>
                <w:sz w:val="19"/>
                <w:szCs w:val="19"/>
                <w:color w:val="auto"/>
              </w:rPr>
            </w:pPr>
          </w:p>
        </w:tc>
      </w:tr>
      <w:tr>
        <w:trPr>
          <w:trHeight w:val="229"/>
        </w:trPr>
        <w:tc>
          <w:tcPr>
            <w:tcW w:w="9820" w:type="dxa"/>
            <w:vAlign w:val="bottom"/>
          </w:tcPr>
          <w:p>
            <w:pPr>
              <w:ind w:left="120"/>
              <w:spacing w:after="0"/>
              <w:rPr>
                <w:sz w:val="20"/>
                <w:szCs w:val="20"/>
                <w:color w:val="auto"/>
              </w:rPr>
            </w:pPr>
            <w:r>
              <w:rPr>
                <w:rFonts w:ascii="Arial" w:cs="Arial" w:eastAsia="Arial" w:hAnsi="Arial"/>
                <w:sz w:val="16"/>
                <w:szCs w:val="16"/>
                <w:color w:val="auto"/>
              </w:rPr>
              <w:t>Interest expense included in comparable earnings</w:t>
            </w:r>
          </w:p>
        </w:tc>
        <w:tc>
          <w:tcPr>
            <w:tcW w:w="1420" w:type="dxa"/>
            <w:vAlign w:val="bottom"/>
          </w:tcPr>
          <w:p>
            <w:pPr>
              <w:jc w:val="right"/>
              <w:spacing w:after="0"/>
              <w:rPr>
                <w:sz w:val="20"/>
                <w:szCs w:val="20"/>
                <w:color w:val="auto"/>
              </w:rPr>
            </w:pPr>
            <w:r>
              <w:rPr>
                <w:rFonts w:ascii="Arial" w:cs="Arial" w:eastAsia="Arial" w:hAnsi="Arial"/>
                <w:sz w:val="16"/>
                <w:szCs w:val="16"/>
                <w:color w:val="auto"/>
              </w:rPr>
              <w:t>(176)</w:t>
            </w:r>
          </w:p>
        </w:tc>
        <w:tc>
          <w:tcPr>
            <w:tcW w:w="20" w:type="dxa"/>
            <w:vAlign w:val="bottom"/>
          </w:tcPr>
          <w:p>
            <w:pPr>
              <w:spacing w:after="0"/>
              <w:rPr>
                <w:sz w:val="19"/>
                <w:szCs w:val="19"/>
                <w:color w:val="auto"/>
              </w:rPr>
            </w:pPr>
          </w:p>
        </w:tc>
      </w:tr>
      <w:tr>
        <w:trPr>
          <w:trHeight w:val="230"/>
        </w:trPr>
        <w:tc>
          <w:tcPr>
            <w:tcW w:w="9820" w:type="dxa"/>
            <w:vAlign w:val="bottom"/>
          </w:tcPr>
          <w:p>
            <w:pPr>
              <w:ind w:left="120"/>
              <w:spacing w:after="0"/>
              <w:rPr>
                <w:sz w:val="20"/>
                <w:szCs w:val="20"/>
                <w:color w:val="auto"/>
              </w:rPr>
            </w:pPr>
            <w:r>
              <w:rPr>
                <w:rFonts w:ascii="Arial" w:cs="Arial" w:eastAsia="Arial" w:hAnsi="Arial"/>
                <w:sz w:val="16"/>
                <w:szCs w:val="16"/>
                <w:color w:val="auto"/>
              </w:rPr>
              <w:t>Interest income and other included in comparable earnings</w:t>
            </w:r>
          </w:p>
        </w:tc>
        <w:tc>
          <w:tcPr>
            <w:tcW w:w="1420" w:type="dxa"/>
            <w:vAlign w:val="bottom"/>
          </w:tcPr>
          <w:p>
            <w:pPr>
              <w:jc w:val="right"/>
              <w:spacing w:after="0"/>
              <w:rPr>
                <w:sz w:val="20"/>
                <w:szCs w:val="20"/>
                <w:color w:val="auto"/>
              </w:rPr>
            </w:pPr>
            <w:r>
              <w:rPr>
                <w:rFonts w:ascii="Arial" w:cs="Arial" w:eastAsia="Arial" w:hAnsi="Arial"/>
                <w:sz w:val="16"/>
                <w:szCs w:val="16"/>
                <w:color w:val="auto"/>
              </w:rPr>
              <w:t>3</w:t>
            </w:r>
          </w:p>
        </w:tc>
        <w:tc>
          <w:tcPr>
            <w:tcW w:w="20" w:type="dxa"/>
            <w:vAlign w:val="bottom"/>
          </w:tcPr>
          <w:p>
            <w:pPr>
              <w:spacing w:after="0"/>
              <w:rPr>
                <w:sz w:val="19"/>
                <w:szCs w:val="19"/>
                <w:color w:val="auto"/>
              </w:rPr>
            </w:pPr>
          </w:p>
        </w:tc>
      </w:tr>
      <w:tr>
        <w:trPr>
          <w:trHeight w:val="238"/>
        </w:trPr>
        <w:tc>
          <w:tcPr>
            <w:tcW w:w="982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Income tax (expense) recovery included in comparable earnings</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(154)</w:t>
            </w:r>
          </w:p>
        </w:tc>
        <w:tc>
          <w:tcPr>
            <w:tcW w:w="20" w:type="dxa"/>
            <w:vAlign w:val="bottom"/>
          </w:tcPr>
          <w:p>
            <w:pPr>
              <w:spacing w:after="0"/>
              <w:rPr>
                <w:sz w:val="20"/>
                <w:szCs w:val="20"/>
                <w:color w:val="auto"/>
              </w:rPr>
            </w:pPr>
          </w:p>
        </w:tc>
      </w:tr>
      <w:tr>
        <w:trPr>
          <w:trHeight w:val="226"/>
        </w:trPr>
        <w:tc>
          <w:tcPr>
            <w:tcW w:w="98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0D64EF"/>
              </w:rPr>
              <w:t>Comparable earnings from discontinued operations</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565</w:t>
            </w:r>
          </w:p>
        </w:tc>
        <w:tc>
          <w:tcPr>
            <w:tcW w:w="20" w:type="dxa"/>
            <w:vAlign w:val="bottom"/>
          </w:tcPr>
          <w:p>
            <w:pPr>
              <w:spacing w:after="0"/>
              <w:rPr>
                <w:sz w:val="19"/>
                <w:szCs w:val="19"/>
                <w:color w:val="auto"/>
              </w:rPr>
            </w:pPr>
          </w:p>
        </w:tc>
      </w:tr>
      <w:tr>
        <w:trPr>
          <w:trHeight w:val="223"/>
        </w:trPr>
        <w:tc>
          <w:tcPr>
            <w:tcW w:w="98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0D64EF"/>
              </w:rPr>
              <w:t>Comparable earnings per common share from discontinued operations</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$0.54</w:t>
            </w:r>
          </w:p>
        </w:tc>
        <w:tc>
          <w:tcPr>
            <w:tcW w:w="20" w:type="dxa"/>
            <w:vAlign w:val="bottom"/>
          </w:tcPr>
          <w:p>
            <w:pPr>
              <w:spacing w:after="0"/>
              <w:rPr>
                <w:sz w:val="19"/>
                <w:szCs w:val="19"/>
                <w:color w:val="auto"/>
              </w:rPr>
            </w:pPr>
          </w:p>
        </w:tc>
      </w:tr>
    </w:tbl>
    <w:p>
      <w:pPr>
        <w:spacing w:after="0" w:line="180" w:lineRule="exact"/>
        <w:rPr>
          <w:sz w:val="20"/>
          <w:szCs w:val="20"/>
          <w:color w:val="auto"/>
        </w:rPr>
      </w:pPr>
    </w:p>
    <w:p>
      <w:pPr>
        <w:ind w:left="240" w:hanging="232"/>
        <w:spacing w:after="0"/>
        <w:tabs>
          <w:tab w:leader="none" w:pos="240" w:val="left"/>
        </w:tabs>
        <w:numPr>
          <w:ilvl w:val="0"/>
          <w:numId w:val="68"/>
        </w:numPr>
        <w:rPr>
          <w:rFonts w:ascii="Arial" w:cs="Arial" w:eastAsia="Arial" w:hAnsi="Arial"/>
          <w:sz w:val="14"/>
          <w:szCs w:val="14"/>
          <w:color w:val="auto"/>
        </w:rPr>
      </w:pPr>
      <w:r>
        <w:rPr>
          <w:rFonts w:ascii="Arial" w:cs="Arial" w:eastAsia="Arial" w:hAnsi="Arial"/>
          <w:sz w:val="14"/>
          <w:szCs w:val="14"/>
          <w:color w:val="auto"/>
        </w:rPr>
        <w:t>Represents nine months of Liquids Pipelines earnings in the year ended December 31, 2024.</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 xml:space="preserve">TC Energy </w:t>
      </w:r>
      <w:r>
        <w:rPr>
          <w:rFonts w:ascii="Arial" w:cs="Arial" w:eastAsia="Arial" w:hAnsi="Arial"/>
          <w:sz w:val="18"/>
          <w:szCs w:val="18"/>
          <w:b w:val="1"/>
          <w:bCs w:val="1"/>
          <w:color w:val="0D64EF"/>
        </w:rPr>
        <w:t>Fourth Quarter</w:t>
      </w:r>
      <w:r>
        <w:rPr>
          <w:rFonts w:ascii="Arial" w:cs="Arial" w:eastAsia="Arial" w:hAnsi="Arial"/>
          <w:sz w:val="18"/>
          <w:szCs w:val="18"/>
          <w:color w:val="auto"/>
        </w:rPr>
        <w:t xml:space="preserve"> News Release 2025 | 31</w:t>
      </w:r>
    </w:p>
    <w:p>
      <w:pPr>
        <w:sectPr>
          <w:pgSz w:w="11900" w:h="16838" w:orient="portrait"/>
          <w:cols w:equalWidth="0" w:num="1">
            <w:col w:w="11260"/>
          </w:cols>
          <w:pgMar w:left="320" w:top="1344" w:right="319" w:bottom="1440" w:gutter="0" w:footer="0" w:header="0"/>
        </w:sectPr>
      </w:pPr>
    </w:p>
    <w:bookmarkStart w:id="44" w:name="page45"/>
    <w:bookmarkEnd w:id="44"/>
    <w:p>
      <w:pPr>
        <w:jc w:val="center"/>
        <w:spacing w:after="0"/>
        <w:rPr>
          <w:sz w:val="20"/>
          <w:szCs w:val="20"/>
          <w:color w:val="auto"/>
        </w:rPr>
      </w:pPr>
      <w:r>
        <w:rPr>
          <w:rFonts w:ascii="Arial" w:cs="Arial" w:eastAsia="Arial" w:hAnsi="Arial"/>
          <w:sz w:val="25"/>
          <w:szCs w:val="25"/>
          <w:color w:val="0D64EF"/>
        </w:rPr>
        <w:t>Condensed consolidated statement of income</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6560" w:type="dxa"/>
            <w:vAlign w:val="bottom"/>
            <w:tcBorders>
              <w:top w:val="single" w:sz="8" w:color="0D64EF"/>
            </w:tcBorders>
            <w:shd w:val="clear" w:color="auto" w:fill="D1D0CF"/>
          </w:tcPr>
          <w:p>
            <w:pPr>
              <w:spacing w:after="0"/>
              <w:rPr>
                <w:sz w:val="17"/>
                <w:szCs w:val="17"/>
                <w:color w:val="auto"/>
              </w:rPr>
            </w:pPr>
          </w:p>
        </w:tc>
        <w:tc>
          <w:tcPr>
            <w:tcW w:w="120" w:type="dxa"/>
            <w:vAlign w:val="bottom"/>
            <w:tcBorders>
              <w:top w:val="single" w:sz="8" w:color="0D64EF"/>
            </w:tcBorders>
            <w:shd w:val="clear" w:color="auto" w:fill="D1D0CF"/>
          </w:tcPr>
          <w:p>
            <w:pPr>
              <w:spacing w:after="0"/>
              <w:rPr>
                <w:sz w:val="17"/>
                <w:szCs w:val="17"/>
                <w:color w:val="auto"/>
              </w:rPr>
            </w:pPr>
          </w:p>
        </w:tc>
        <w:tc>
          <w:tcPr>
            <w:tcW w:w="2340" w:type="dxa"/>
            <w:vAlign w:val="bottom"/>
            <w:tcBorders>
              <w:top w:val="single" w:sz="8" w:color="0D64EF"/>
            </w:tcBorders>
            <w:gridSpan w:val="3"/>
            <w:shd w:val="clear" w:color="auto" w:fill="D1D0CF"/>
          </w:tcPr>
          <w:p>
            <w:pPr>
              <w:ind w:left="340"/>
              <w:spacing w:after="0"/>
              <w:rPr>
                <w:sz w:val="20"/>
                <w:szCs w:val="20"/>
                <w:color w:val="auto"/>
              </w:rPr>
            </w:pPr>
            <w:r>
              <w:rPr>
                <w:rFonts w:ascii="Arial" w:cs="Arial" w:eastAsia="Arial" w:hAnsi="Arial"/>
                <w:sz w:val="16"/>
                <w:szCs w:val="16"/>
                <w:b w:val="1"/>
                <w:bCs w:val="1"/>
                <w:color w:val="auto"/>
              </w:rPr>
              <w:t>three months ended</w:t>
            </w:r>
          </w:p>
        </w:tc>
        <w:tc>
          <w:tcPr>
            <w:tcW w:w="1640" w:type="dxa"/>
            <w:vAlign w:val="bottom"/>
            <w:tcBorders>
              <w:top w:val="single" w:sz="8" w:color="0D64EF"/>
            </w:tcBorders>
            <w:shd w:val="clear" w:color="auto" w:fill="D1D0CF"/>
          </w:tcPr>
          <w:p>
            <w:pPr>
              <w:jc w:val="right"/>
              <w:ind w:right="39"/>
              <w:spacing w:after="0"/>
              <w:rPr>
                <w:sz w:val="20"/>
                <w:szCs w:val="20"/>
                <w:color w:val="auto"/>
              </w:rPr>
            </w:pPr>
            <w:r>
              <w:rPr>
                <w:rFonts w:ascii="Arial" w:cs="Arial" w:eastAsia="Arial" w:hAnsi="Arial"/>
                <w:sz w:val="16"/>
                <w:szCs w:val="16"/>
                <w:b w:val="1"/>
                <w:bCs w:val="1"/>
                <w:color w:val="auto"/>
              </w:rPr>
              <w:t>year ended</w:t>
            </w:r>
          </w:p>
        </w:tc>
        <w:tc>
          <w:tcPr>
            <w:tcW w:w="580" w:type="dxa"/>
            <w:vAlign w:val="bottom"/>
            <w:tcBorders>
              <w:top w:val="single" w:sz="8" w:color="0D64EF"/>
            </w:tcBorders>
            <w:shd w:val="clear" w:color="auto" w:fill="D1D0CF"/>
          </w:tcPr>
          <w:p>
            <w:pPr>
              <w:spacing w:after="0"/>
              <w:rPr>
                <w:sz w:val="17"/>
                <w:szCs w:val="17"/>
                <w:color w:val="auto"/>
              </w:rPr>
            </w:pPr>
          </w:p>
        </w:tc>
      </w:tr>
      <w:tr>
        <w:trPr>
          <w:trHeight w:val="217"/>
        </w:trPr>
        <w:tc>
          <w:tcPr>
            <w:tcW w:w="6560" w:type="dxa"/>
            <w:vAlign w:val="bottom"/>
            <w:tcBorders>
              <w:bottom w:val="single" w:sz="8" w:color="D1D0CF"/>
            </w:tcBorders>
            <w:shd w:val="clear" w:color="auto" w:fill="D1D0CF"/>
          </w:tcPr>
          <w:p>
            <w:pPr>
              <w:spacing w:after="0"/>
              <w:rPr>
                <w:sz w:val="18"/>
                <w:szCs w:val="18"/>
                <w:color w:val="auto"/>
              </w:rPr>
            </w:pPr>
          </w:p>
        </w:tc>
        <w:tc>
          <w:tcPr>
            <w:tcW w:w="120" w:type="dxa"/>
            <w:vAlign w:val="bottom"/>
            <w:tcBorders>
              <w:bottom w:val="single" w:sz="8" w:color="D1D0CF"/>
            </w:tcBorders>
            <w:shd w:val="clear" w:color="auto" w:fill="D1D0CF"/>
          </w:tcPr>
          <w:p>
            <w:pPr>
              <w:spacing w:after="0"/>
              <w:rPr>
                <w:sz w:val="18"/>
                <w:szCs w:val="18"/>
                <w:color w:val="auto"/>
              </w:rPr>
            </w:pPr>
          </w:p>
        </w:tc>
        <w:tc>
          <w:tcPr>
            <w:tcW w:w="1640" w:type="dxa"/>
            <w:vAlign w:val="bottom"/>
            <w:tcBorders>
              <w:bottom w:val="single" w:sz="8" w:color="0D64EF"/>
            </w:tcBorders>
            <w:shd w:val="clear" w:color="auto" w:fill="D1D0CF"/>
          </w:tcPr>
          <w:p>
            <w:pPr>
              <w:jc w:val="right"/>
              <w:spacing w:after="0"/>
              <w:rPr>
                <w:sz w:val="20"/>
                <w:szCs w:val="20"/>
                <w:color w:val="auto"/>
              </w:rPr>
            </w:pPr>
            <w:r>
              <w:rPr>
                <w:rFonts w:ascii="Arial" w:cs="Arial" w:eastAsia="Arial" w:hAnsi="Arial"/>
                <w:sz w:val="16"/>
                <w:szCs w:val="16"/>
                <w:b w:val="1"/>
                <w:bCs w:val="1"/>
                <w:color w:val="auto"/>
              </w:rPr>
              <w:t>December 31</w:t>
            </w:r>
          </w:p>
        </w:tc>
        <w:tc>
          <w:tcPr>
            <w:tcW w:w="580" w:type="dxa"/>
            <w:vAlign w:val="bottom"/>
            <w:tcBorders>
              <w:bottom w:val="single" w:sz="8" w:color="0D64EF"/>
            </w:tcBorders>
            <w:shd w:val="clear" w:color="auto" w:fill="D1D0CF"/>
          </w:tcPr>
          <w:p>
            <w:pPr>
              <w:spacing w:after="0"/>
              <w:rPr>
                <w:sz w:val="18"/>
                <w:szCs w:val="18"/>
                <w:color w:val="auto"/>
              </w:rPr>
            </w:pPr>
          </w:p>
        </w:tc>
        <w:tc>
          <w:tcPr>
            <w:tcW w:w="120" w:type="dxa"/>
            <w:vAlign w:val="bottom"/>
            <w:tcBorders>
              <w:bottom w:val="single" w:sz="8" w:color="D1D0CF"/>
            </w:tcBorders>
            <w:shd w:val="clear" w:color="auto" w:fill="D1D0CF"/>
          </w:tcPr>
          <w:p>
            <w:pPr>
              <w:spacing w:after="0"/>
              <w:rPr>
                <w:sz w:val="18"/>
                <w:szCs w:val="18"/>
                <w:color w:val="auto"/>
              </w:rPr>
            </w:pPr>
          </w:p>
        </w:tc>
        <w:tc>
          <w:tcPr>
            <w:tcW w:w="1640" w:type="dxa"/>
            <w:vAlign w:val="bottom"/>
            <w:tcBorders>
              <w:bottom w:val="single" w:sz="8" w:color="0D64EF"/>
            </w:tcBorders>
            <w:shd w:val="clear" w:color="auto" w:fill="D1D0CF"/>
          </w:tcPr>
          <w:p>
            <w:pPr>
              <w:jc w:val="right"/>
              <w:spacing w:after="0"/>
              <w:rPr>
                <w:sz w:val="20"/>
                <w:szCs w:val="20"/>
                <w:color w:val="auto"/>
              </w:rPr>
            </w:pPr>
            <w:r>
              <w:rPr>
                <w:rFonts w:ascii="Arial" w:cs="Arial" w:eastAsia="Arial" w:hAnsi="Arial"/>
                <w:sz w:val="16"/>
                <w:szCs w:val="16"/>
                <w:b w:val="1"/>
                <w:bCs w:val="1"/>
                <w:color w:val="auto"/>
              </w:rPr>
              <w:t>December 31</w:t>
            </w:r>
          </w:p>
        </w:tc>
        <w:tc>
          <w:tcPr>
            <w:tcW w:w="580" w:type="dxa"/>
            <w:vAlign w:val="bottom"/>
            <w:tcBorders>
              <w:bottom w:val="single" w:sz="8" w:color="0D64EF"/>
            </w:tcBorders>
            <w:shd w:val="clear" w:color="auto" w:fill="D1D0CF"/>
          </w:tcPr>
          <w:p>
            <w:pPr>
              <w:spacing w:after="0"/>
              <w:rPr>
                <w:sz w:val="18"/>
                <w:szCs w:val="18"/>
                <w:color w:val="auto"/>
              </w:rPr>
            </w:pPr>
          </w:p>
        </w:tc>
      </w:tr>
      <w:tr>
        <w:trPr>
          <w:trHeight w:val="220"/>
        </w:trPr>
        <w:tc>
          <w:tcPr>
            <w:tcW w:w="6560" w:type="dxa"/>
            <w:vAlign w:val="bottom"/>
            <w:tcBorders>
              <w:bottom w:val="single" w:sz="8" w:color="0D64EF"/>
            </w:tcBorders>
            <w:shd w:val="clear" w:color="auto" w:fill="D1D0CF"/>
          </w:tcPr>
          <w:p>
            <w:pPr>
              <w:ind w:left="20"/>
              <w:spacing w:after="0"/>
              <w:rPr>
                <w:sz w:val="20"/>
                <w:szCs w:val="20"/>
                <w:color w:val="auto"/>
              </w:rPr>
            </w:pPr>
            <w:r>
              <w:rPr>
                <w:rFonts w:ascii="Arial" w:cs="Arial" w:eastAsia="Arial" w:hAnsi="Arial"/>
                <w:sz w:val="16"/>
                <w:szCs w:val="16"/>
                <w:color w:val="auto"/>
              </w:rPr>
              <w:t>(unaudited - millions of Canadian $, except per share amounts)</w:t>
            </w:r>
          </w:p>
        </w:tc>
        <w:tc>
          <w:tcPr>
            <w:tcW w:w="120" w:type="dxa"/>
            <w:vAlign w:val="bottom"/>
            <w:tcBorders>
              <w:bottom w:val="single" w:sz="8" w:color="0D64EF"/>
            </w:tcBorders>
            <w:shd w:val="clear" w:color="auto" w:fill="D1D0CF"/>
          </w:tcPr>
          <w:p>
            <w:pPr>
              <w:spacing w:after="0"/>
              <w:rPr>
                <w:sz w:val="19"/>
                <w:szCs w:val="19"/>
                <w:color w:val="auto"/>
              </w:rPr>
            </w:pPr>
          </w:p>
        </w:tc>
        <w:tc>
          <w:tcPr>
            <w:tcW w:w="1640" w:type="dxa"/>
            <w:vAlign w:val="bottom"/>
            <w:tcBorders>
              <w:bottom w:val="single" w:sz="8" w:color="0D64EF"/>
            </w:tcBorders>
            <w:shd w:val="clear" w:color="auto" w:fill="D1D0CF"/>
          </w:tcPr>
          <w:p>
            <w:pPr>
              <w:jc w:val="right"/>
              <w:ind w:right="519"/>
              <w:spacing w:after="0"/>
              <w:rPr>
                <w:sz w:val="20"/>
                <w:szCs w:val="20"/>
                <w:color w:val="auto"/>
              </w:rPr>
            </w:pPr>
            <w:r>
              <w:rPr>
                <w:rFonts w:ascii="Arial" w:cs="Arial" w:eastAsia="Arial" w:hAnsi="Arial"/>
                <w:sz w:val="16"/>
                <w:szCs w:val="16"/>
                <w:b w:val="1"/>
                <w:bCs w:val="1"/>
                <w:color w:val="auto"/>
              </w:rPr>
              <w:t>2025</w:t>
            </w:r>
          </w:p>
        </w:tc>
        <w:tc>
          <w:tcPr>
            <w:tcW w:w="580" w:type="dxa"/>
            <w:vAlign w:val="bottom"/>
            <w:tcBorders>
              <w:bottom w:val="single" w:sz="8" w:color="0D64EF"/>
            </w:tcBorders>
            <w:shd w:val="clear" w:color="auto" w:fill="D1D0CF"/>
          </w:tcPr>
          <w:p>
            <w:pPr>
              <w:jc w:val="right"/>
              <w:spacing w:after="0"/>
              <w:rPr>
                <w:sz w:val="20"/>
                <w:szCs w:val="20"/>
                <w:color w:val="auto"/>
              </w:rPr>
            </w:pPr>
            <w:r>
              <w:rPr>
                <w:rFonts w:ascii="Arial" w:cs="Arial" w:eastAsia="Arial" w:hAnsi="Arial"/>
                <w:sz w:val="16"/>
                <w:szCs w:val="16"/>
                <w:b w:val="1"/>
                <w:bCs w:val="1"/>
                <w:color w:val="auto"/>
              </w:rPr>
              <w:t>2024</w:t>
            </w:r>
          </w:p>
        </w:tc>
        <w:tc>
          <w:tcPr>
            <w:tcW w:w="120" w:type="dxa"/>
            <w:vAlign w:val="bottom"/>
            <w:tcBorders>
              <w:bottom w:val="single" w:sz="8" w:color="0D64EF"/>
            </w:tcBorders>
            <w:shd w:val="clear" w:color="auto" w:fill="D1D0CF"/>
          </w:tcPr>
          <w:p>
            <w:pPr>
              <w:spacing w:after="0"/>
              <w:rPr>
                <w:sz w:val="19"/>
                <w:szCs w:val="19"/>
                <w:color w:val="auto"/>
              </w:rPr>
            </w:pPr>
          </w:p>
        </w:tc>
        <w:tc>
          <w:tcPr>
            <w:tcW w:w="1640" w:type="dxa"/>
            <w:vAlign w:val="bottom"/>
            <w:tcBorders>
              <w:bottom w:val="single" w:sz="8" w:color="0D64EF"/>
            </w:tcBorders>
            <w:shd w:val="clear" w:color="auto" w:fill="D1D0CF"/>
          </w:tcPr>
          <w:p>
            <w:pPr>
              <w:jc w:val="right"/>
              <w:ind w:right="519"/>
              <w:spacing w:after="0"/>
              <w:rPr>
                <w:sz w:val="20"/>
                <w:szCs w:val="20"/>
                <w:color w:val="auto"/>
              </w:rPr>
            </w:pPr>
            <w:r>
              <w:rPr>
                <w:rFonts w:ascii="Arial" w:cs="Arial" w:eastAsia="Arial" w:hAnsi="Arial"/>
                <w:sz w:val="16"/>
                <w:szCs w:val="16"/>
                <w:b w:val="1"/>
                <w:bCs w:val="1"/>
                <w:color w:val="auto"/>
              </w:rPr>
              <w:t>2025</w:t>
            </w:r>
          </w:p>
        </w:tc>
        <w:tc>
          <w:tcPr>
            <w:tcW w:w="580" w:type="dxa"/>
            <w:vAlign w:val="bottom"/>
            <w:tcBorders>
              <w:bottom w:val="single" w:sz="8" w:color="0D64EF"/>
            </w:tcBorders>
            <w:shd w:val="clear" w:color="auto" w:fill="D1D0CF"/>
          </w:tcPr>
          <w:p>
            <w:pPr>
              <w:jc w:val="right"/>
              <w:spacing w:after="0"/>
              <w:rPr>
                <w:sz w:val="20"/>
                <w:szCs w:val="20"/>
                <w:color w:val="auto"/>
              </w:rPr>
            </w:pPr>
            <w:r>
              <w:rPr>
                <w:rFonts w:ascii="Arial" w:cs="Arial" w:eastAsia="Arial" w:hAnsi="Arial"/>
                <w:sz w:val="16"/>
                <w:szCs w:val="16"/>
                <w:b w:val="1"/>
                <w:bCs w:val="1"/>
                <w:color w:val="auto"/>
              </w:rPr>
              <w:t>2024</w:t>
            </w:r>
          </w:p>
        </w:tc>
      </w:tr>
      <w:tr>
        <w:trPr>
          <w:trHeight w:val="421"/>
        </w:trPr>
        <w:tc>
          <w:tcPr>
            <w:tcW w:w="6560" w:type="dxa"/>
            <w:vAlign w:val="bottom"/>
          </w:tcPr>
          <w:p>
            <w:pPr>
              <w:ind w:left="20"/>
              <w:spacing w:after="0"/>
              <w:rPr>
                <w:sz w:val="20"/>
                <w:szCs w:val="20"/>
                <w:color w:val="auto"/>
              </w:rPr>
            </w:pPr>
            <w:r>
              <w:rPr>
                <w:rFonts w:ascii="Arial" w:cs="Arial" w:eastAsia="Arial" w:hAnsi="Arial"/>
                <w:sz w:val="16"/>
                <w:szCs w:val="16"/>
                <w:b w:val="1"/>
                <w:bCs w:val="1"/>
                <w:color w:val="0D64EF"/>
              </w:rPr>
              <w:t>Revenues</w:t>
            </w:r>
          </w:p>
        </w:tc>
        <w:tc>
          <w:tcPr>
            <w:tcW w:w="1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30"/>
        </w:trPr>
        <w:tc>
          <w:tcPr>
            <w:tcW w:w="6560" w:type="dxa"/>
            <w:vAlign w:val="bottom"/>
          </w:tcPr>
          <w:p>
            <w:pPr>
              <w:ind w:left="20"/>
              <w:spacing w:after="0"/>
              <w:rPr>
                <w:sz w:val="20"/>
                <w:szCs w:val="20"/>
                <w:color w:val="auto"/>
              </w:rPr>
            </w:pPr>
            <w:r>
              <w:rPr>
                <w:rFonts w:ascii="Arial" w:cs="Arial" w:eastAsia="Arial" w:hAnsi="Arial"/>
                <w:sz w:val="16"/>
                <w:szCs w:val="16"/>
                <w:color w:val="auto"/>
              </w:rPr>
              <w:t>Canadian Natural Gas Pipelines</w:t>
            </w:r>
          </w:p>
        </w:tc>
        <w:tc>
          <w:tcPr>
            <w:tcW w:w="1760" w:type="dxa"/>
            <w:vAlign w:val="bottom"/>
            <w:gridSpan w:val="2"/>
          </w:tcPr>
          <w:p>
            <w:pPr>
              <w:jc w:val="right"/>
              <w:ind w:right="559"/>
              <w:spacing w:after="0"/>
              <w:rPr>
                <w:sz w:val="20"/>
                <w:szCs w:val="20"/>
                <w:color w:val="auto"/>
              </w:rPr>
            </w:pPr>
            <w:r>
              <w:rPr>
                <w:rFonts w:ascii="Arial" w:cs="Arial" w:eastAsia="Arial" w:hAnsi="Arial"/>
                <w:sz w:val="16"/>
                <w:szCs w:val="16"/>
                <w:b w:val="1"/>
                <w:bCs w:val="1"/>
                <w:color w:val="auto"/>
              </w:rPr>
              <w:t>1,481</w:t>
            </w:r>
          </w:p>
        </w:tc>
        <w:tc>
          <w:tcPr>
            <w:tcW w:w="580" w:type="dxa"/>
            <w:vAlign w:val="bottom"/>
          </w:tcPr>
          <w:p>
            <w:pPr>
              <w:jc w:val="right"/>
              <w:spacing w:after="0"/>
              <w:rPr>
                <w:sz w:val="20"/>
                <w:szCs w:val="20"/>
                <w:color w:val="auto"/>
              </w:rPr>
            </w:pPr>
            <w:r>
              <w:rPr>
                <w:rFonts w:ascii="Arial" w:cs="Arial" w:eastAsia="Arial" w:hAnsi="Arial"/>
                <w:sz w:val="16"/>
                <w:szCs w:val="16"/>
                <w:color w:val="auto"/>
              </w:rPr>
              <w:t>1,404</w:t>
            </w:r>
          </w:p>
        </w:tc>
        <w:tc>
          <w:tcPr>
            <w:tcW w:w="120" w:type="dxa"/>
            <w:vAlign w:val="bottom"/>
          </w:tcPr>
          <w:p>
            <w:pPr>
              <w:spacing w:after="0"/>
              <w:rPr>
                <w:sz w:val="19"/>
                <w:szCs w:val="19"/>
                <w:color w:val="auto"/>
              </w:rPr>
            </w:pPr>
          </w:p>
        </w:tc>
        <w:tc>
          <w:tcPr>
            <w:tcW w:w="1640" w:type="dxa"/>
            <w:vAlign w:val="bottom"/>
          </w:tcPr>
          <w:p>
            <w:pPr>
              <w:jc w:val="right"/>
              <w:ind w:right="579"/>
              <w:spacing w:after="0"/>
              <w:rPr>
                <w:sz w:val="20"/>
                <w:szCs w:val="20"/>
                <w:color w:val="auto"/>
              </w:rPr>
            </w:pPr>
            <w:r>
              <w:rPr>
                <w:rFonts w:ascii="Arial" w:cs="Arial" w:eastAsia="Arial" w:hAnsi="Arial"/>
                <w:sz w:val="16"/>
                <w:szCs w:val="16"/>
                <w:b w:val="1"/>
                <w:bCs w:val="1"/>
                <w:color w:val="auto"/>
              </w:rPr>
              <w:t>5,785</w:t>
            </w:r>
          </w:p>
        </w:tc>
        <w:tc>
          <w:tcPr>
            <w:tcW w:w="580" w:type="dxa"/>
            <w:vAlign w:val="bottom"/>
          </w:tcPr>
          <w:p>
            <w:pPr>
              <w:jc w:val="right"/>
              <w:spacing w:after="0"/>
              <w:rPr>
                <w:sz w:val="20"/>
                <w:szCs w:val="20"/>
                <w:color w:val="auto"/>
              </w:rPr>
            </w:pPr>
            <w:r>
              <w:rPr>
                <w:rFonts w:ascii="Arial" w:cs="Arial" w:eastAsia="Arial" w:hAnsi="Arial"/>
                <w:sz w:val="16"/>
                <w:szCs w:val="16"/>
                <w:color w:val="auto"/>
              </w:rPr>
              <w:t>5,600</w:t>
            </w:r>
          </w:p>
        </w:tc>
      </w:tr>
      <w:tr>
        <w:trPr>
          <w:trHeight w:val="229"/>
        </w:trPr>
        <w:tc>
          <w:tcPr>
            <w:tcW w:w="6560" w:type="dxa"/>
            <w:vAlign w:val="bottom"/>
          </w:tcPr>
          <w:p>
            <w:pPr>
              <w:ind w:left="20"/>
              <w:spacing w:after="0"/>
              <w:rPr>
                <w:sz w:val="20"/>
                <w:szCs w:val="20"/>
                <w:color w:val="auto"/>
              </w:rPr>
            </w:pPr>
            <w:r>
              <w:rPr>
                <w:rFonts w:ascii="Arial" w:cs="Arial" w:eastAsia="Arial" w:hAnsi="Arial"/>
                <w:sz w:val="16"/>
                <w:szCs w:val="16"/>
                <w:color w:val="auto"/>
              </w:rPr>
              <w:t>U.S. Natural Gas Pipelines</w:t>
            </w:r>
          </w:p>
        </w:tc>
        <w:tc>
          <w:tcPr>
            <w:tcW w:w="1760" w:type="dxa"/>
            <w:vAlign w:val="bottom"/>
            <w:gridSpan w:val="2"/>
          </w:tcPr>
          <w:p>
            <w:pPr>
              <w:jc w:val="right"/>
              <w:ind w:right="559"/>
              <w:spacing w:after="0"/>
              <w:rPr>
                <w:sz w:val="20"/>
                <w:szCs w:val="20"/>
                <w:color w:val="auto"/>
              </w:rPr>
            </w:pPr>
            <w:r>
              <w:rPr>
                <w:rFonts w:ascii="Arial" w:cs="Arial" w:eastAsia="Arial" w:hAnsi="Arial"/>
                <w:sz w:val="16"/>
                <w:szCs w:val="16"/>
                <w:b w:val="1"/>
                <w:bCs w:val="1"/>
                <w:color w:val="auto"/>
              </w:rPr>
              <w:t>1,946</w:t>
            </w:r>
          </w:p>
        </w:tc>
        <w:tc>
          <w:tcPr>
            <w:tcW w:w="580" w:type="dxa"/>
            <w:vAlign w:val="bottom"/>
          </w:tcPr>
          <w:p>
            <w:pPr>
              <w:jc w:val="right"/>
              <w:spacing w:after="0"/>
              <w:rPr>
                <w:sz w:val="20"/>
                <w:szCs w:val="20"/>
                <w:color w:val="auto"/>
              </w:rPr>
            </w:pPr>
            <w:r>
              <w:rPr>
                <w:rFonts w:ascii="Arial" w:cs="Arial" w:eastAsia="Arial" w:hAnsi="Arial"/>
                <w:sz w:val="16"/>
                <w:szCs w:val="16"/>
                <w:color w:val="auto"/>
              </w:rPr>
              <w:t>1,696</w:t>
            </w:r>
          </w:p>
        </w:tc>
        <w:tc>
          <w:tcPr>
            <w:tcW w:w="120" w:type="dxa"/>
            <w:vAlign w:val="bottom"/>
          </w:tcPr>
          <w:p>
            <w:pPr>
              <w:spacing w:after="0"/>
              <w:rPr>
                <w:sz w:val="19"/>
                <w:szCs w:val="19"/>
                <w:color w:val="auto"/>
              </w:rPr>
            </w:pPr>
          </w:p>
        </w:tc>
        <w:tc>
          <w:tcPr>
            <w:tcW w:w="1640" w:type="dxa"/>
            <w:vAlign w:val="bottom"/>
          </w:tcPr>
          <w:p>
            <w:pPr>
              <w:jc w:val="right"/>
              <w:ind w:right="579"/>
              <w:spacing w:after="0"/>
              <w:rPr>
                <w:sz w:val="20"/>
                <w:szCs w:val="20"/>
                <w:color w:val="auto"/>
              </w:rPr>
            </w:pPr>
            <w:r>
              <w:rPr>
                <w:rFonts w:ascii="Arial" w:cs="Arial" w:eastAsia="Arial" w:hAnsi="Arial"/>
                <w:sz w:val="16"/>
                <w:szCs w:val="16"/>
                <w:b w:val="1"/>
                <w:bCs w:val="1"/>
                <w:color w:val="auto"/>
              </w:rPr>
              <w:t>7,145</w:t>
            </w:r>
          </w:p>
        </w:tc>
        <w:tc>
          <w:tcPr>
            <w:tcW w:w="580" w:type="dxa"/>
            <w:vAlign w:val="bottom"/>
          </w:tcPr>
          <w:p>
            <w:pPr>
              <w:jc w:val="right"/>
              <w:spacing w:after="0"/>
              <w:rPr>
                <w:sz w:val="20"/>
                <w:szCs w:val="20"/>
                <w:color w:val="auto"/>
              </w:rPr>
            </w:pPr>
            <w:r>
              <w:rPr>
                <w:rFonts w:ascii="Arial" w:cs="Arial" w:eastAsia="Arial" w:hAnsi="Arial"/>
                <w:sz w:val="16"/>
                <w:szCs w:val="16"/>
                <w:color w:val="auto"/>
              </w:rPr>
              <w:t>6,339</w:t>
            </w:r>
          </w:p>
        </w:tc>
      </w:tr>
      <w:tr>
        <w:trPr>
          <w:trHeight w:val="230"/>
        </w:trPr>
        <w:tc>
          <w:tcPr>
            <w:tcW w:w="6560" w:type="dxa"/>
            <w:vAlign w:val="bottom"/>
          </w:tcPr>
          <w:p>
            <w:pPr>
              <w:ind w:left="20"/>
              <w:spacing w:after="0"/>
              <w:rPr>
                <w:sz w:val="20"/>
                <w:szCs w:val="20"/>
                <w:color w:val="auto"/>
              </w:rPr>
            </w:pPr>
            <w:r>
              <w:rPr>
                <w:rFonts w:ascii="Arial" w:cs="Arial" w:eastAsia="Arial" w:hAnsi="Arial"/>
                <w:sz w:val="16"/>
                <w:szCs w:val="16"/>
                <w:color w:val="auto"/>
              </w:rPr>
              <w:t>Mexico Natural Gas Pipelines</w:t>
            </w:r>
          </w:p>
        </w:tc>
        <w:tc>
          <w:tcPr>
            <w:tcW w:w="1760" w:type="dxa"/>
            <w:vAlign w:val="bottom"/>
            <w:gridSpan w:val="2"/>
          </w:tcPr>
          <w:p>
            <w:pPr>
              <w:jc w:val="right"/>
              <w:ind w:right="559"/>
              <w:spacing w:after="0"/>
              <w:rPr>
                <w:sz w:val="20"/>
                <w:szCs w:val="20"/>
                <w:color w:val="auto"/>
              </w:rPr>
            </w:pPr>
            <w:r>
              <w:rPr>
                <w:rFonts w:ascii="Arial" w:cs="Arial" w:eastAsia="Arial" w:hAnsi="Arial"/>
                <w:sz w:val="16"/>
                <w:szCs w:val="16"/>
                <w:b w:val="1"/>
                <w:bCs w:val="1"/>
                <w:color w:val="auto"/>
              </w:rPr>
              <w:t>438</w:t>
            </w:r>
          </w:p>
        </w:tc>
        <w:tc>
          <w:tcPr>
            <w:tcW w:w="580" w:type="dxa"/>
            <w:vAlign w:val="bottom"/>
          </w:tcPr>
          <w:p>
            <w:pPr>
              <w:jc w:val="right"/>
              <w:spacing w:after="0"/>
              <w:rPr>
                <w:sz w:val="20"/>
                <w:szCs w:val="20"/>
                <w:color w:val="auto"/>
              </w:rPr>
            </w:pPr>
            <w:r>
              <w:rPr>
                <w:rFonts w:ascii="Arial" w:cs="Arial" w:eastAsia="Arial" w:hAnsi="Arial"/>
                <w:sz w:val="16"/>
                <w:szCs w:val="16"/>
                <w:color w:val="auto"/>
              </w:rPr>
              <w:t>221</w:t>
            </w:r>
          </w:p>
        </w:tc>
        <w:tc>
          <w:tcPr>
            <w:tcW w:w="120" w:type="dxa"/>
            <w:vAlign w:val="bottom"/>
          </w:tcPr>
          <w:p>
            <w:pPr>
              <w:spacing w:after="0"/>
              <w:rPr>
                <w:sz w:val="19"/>
                <w:szCs w:val="19"/>
                <w:color w:val="auto"/>
              </w:rPr>
            </w:pPr>
          </w:p>
        </w:tc>
        <w:tc>
          <w:tcPr>
            <w:tcW w:w="1640" w:type="dxa"/>
            <w:vAlign w:val="bottom"/>
          </w:tcPr>
          <w:p>
            <w:pPr>
              <w:jc w:val="right"/>
              <w:ind w:right="579"/>
              <w:spacing w:after="0"/>
              <w:rPr>
                <w:sz w:val="20"/>
                <w:szCs w:val="20"/>
                <w:color w:val="auto"/>
              </w:rPr>
            </w:pPr>
            <w:r>
              <w:rPr>
                <w:rFonts w:ascii="Arial" w:cs="Arial" w:eastAsia="Arial" w:hAnsi="Arial"/>
                <w:sz w:val="16"/>
                <w:szCs w:val="16"/>
                <w:b w:val="1"/>
                <w:bCs w:val="1"/>
                <w:color w:val="auto"/>
              </w:rPr>
              <w:t>1,450</w:t>
            </w:r>
          </w:p>
        </w:tc>
        <w:tc>
          <w:tcPr>
            <w:tcW w:w="580" w:type="dxa"/>
            <w:vAlign w:val="bottom"/>
          </w:tcPr>
          <w:p>
            <w:pPr>
              <w:jc w:val="right"/>
              <w:spacing w:after="0"/>
              <w:rPr>
                <w:sz w:val="20"/>
                <w:szCs w:val="20"/>
                <w:color w:val="auto"/>
              </w:rPr>
            </w:pPr>
            <w:r>
              <w:rPr>
                <w:rFonts w:ascii="Arial" w:cs="Arial" w:eastAsia="Arial" w:hAnsi="Arial"/>
                <w:sz w:val="16"/>
                <w:szCs w:val="16"/>
                <w:color w:val="auto"/>
              </w:rPr>
              <w:t>870</w:t>
            </w:r>
          </w:p>
        </w:tc>
      </w:tr>
      <w:tr>
        <w:trPr>
          <w:trHeight w:val="229"/>
        </w:trPr>
        <w:tc>
          <w:tcPr>
            <w:tcW w:w="6560" w:type="dxa"/>
            <w:vAlign w:val="bottom"/>
          </w:tcPr>
          <w:p>
            <w:pPr>
              <w:ind w:left="20"/>
              <w:spacing w:after="0"/>
              <w:rPr>
                <w:sz w:val="20"/>
                <w:szCs w:val="20"/>
                <w:color w:val="auto"/>
              </w:rPr>
            </w:pPr>
            <w:r>
              <w:rPr>
                <w:rFonts w:ascii="Arial" w:cs="Arial" w:eastAsia="Arial" w:hAnsi="Arial"/>
                <w:sz w:val="16"/>
                <w:szCs w:val="16"/>
                <w:color w:val="auto"/>
              </w:rPr>
              <w:t>Power and Energy Solutions</w:t>
            </w:r>
          </w:p>
        </w:tc>
        <w:tc>
          <w:tcPr>
            <w:tcW w:w="1760" w:type="dxa"/>
            <w:vAlign w:val="bottom"/>
            <w:gridSpan w:val="2"/>
          </w:tcPr>
          <w:p>
            <w:pPr>
              <w:jc w:val="right"/>
              <w:ind w:right="559"/>
              <w:spacing w:after="0"/>
              <w:rPr>
                <w:sz w:val="20"/>
                <w:szCs w:val="20"/>
                <w:color w:val="auto"/>
              </w:rPr>
            </w:pPr>
            <w:r>
              <w:rPr>
                <w:rFonts w:ascii="Arial" w:cs="Arial" w:eastAsia="Arial" w:hAnsi="Arial"/>
                <w:sz w:val="16"/>
                <w:szCs w:val="16"/>
                <w:b w:val="1"/>
                <w:bCs w:val="1"/>
                <w:color w:val="auto"/>
              </w:rPr>
              <w:t>301</w:t>
            </w:r>
          </w:p>
        </w:tc>
        <w:tc>
          <w:tcPr>
            <w:tcW w:w="580" w:type="dxa"/>
            <w:vAlign w:val="bottom"/>
          </w:tcPr>
          <w:p>
            <w:pPr>
              <w:jc w:val="right"/>
              <w:spacing w:after="0"/>
              <w:rPr>
                <w:sz w:val="20"/>
                <w:szCs w:val="20"/>
                <w:color w:val="auto"/>
              </w:rPr>
            </w:pPr>
            <w:r>
              <w:rPr>
                <w:rFonts w:ascii="Arial" w:cs="Arial" w:eastAsia="Arial" w:hAnsi="Arial"/>
                <w:sz w:val="16"/>
                <w:szCs w:val="16"/>
                <w:color w:val="auto"/>
              </w:rPr>
              <w:t>248</w:t>
            </w:r>
          </w:p>
        </w:tc>
        <w:tc>
          <w:tcPr>
            <w:tcW w:w="120" w:type="dxa"/>
            <w:vAlign w:val="bottom"/>
          </w:tcPr>
          <w:p>
            <w:pPr>
              <w:spacing w:after="0"/>
              <w:rPr>
                <w:sz w:val="19"/>
                <w:szCs w:val="19"/>
                <w:color w:val="auto"/>
              </w:rPr>
            </w:pPr>
          </w:p>
        </w:tc>
        <w:tc>
          <w:tcPr>
            <w:tcW w:w="1640" w:type="dxa"/>
            <w:vAlign w:val="bottom"/>
          </w:tcPr>
          <w:p>
            <w:pPr>
              <w:jc w:val="right"/>
              <w:ind w:right="579"/>
              <w:spacing w:after="0"/>
              <w:rPr>
                <w:sz w:val="20"/>
                <w:szCs w:val="20"/>
                <w:color w:val="auto"/>
              </w:rPr>
            </w:pPr>
            <w:r>
              <w:rPr>
                <w:rFonts w:ascii="Arial" w:cs="Arial" w:eastAsia="Arial" w:hAnsi="Arial"/>
                <w:sz w:val="16"/>
                <w:szCs w:val="16"/>
                <w:b w:val="1"/>
                <w:bCs w:val="1"/>
                <w:color w:val="auto"/>
              </w:rPr>
              <w:t>845</w:t>
            </w:r>
          </w:p>
        </w:tc>
        <w:tc>
          <w:tcPr>
            <w:tcW w:w="580" w:type="dxa"/>
            <w:vAlign w:val="bottom"/>
          </w:tcPr>
          <w:p>
            <w:pPr>
              <w:jc w:val="right"/>
              <w:spacing w:after="0"/>
              <w:rPr>
                <w:sz w:val="20"/>
                <w:szCs w:val="20"/>
                <w:color w:val="auto"/>
              </w:rPr>
            </w:pPr>
            <w:r>
              <w:rPr>
                <w:rFonts w:ascii="Arial" w:cs="Arial" w:eastAsia="Arial" w:hAnsi="Arial"/>
                <w:sz w:val="16"/>
                <w:szCs w:val="16"/>
                <w:color w:val="auto"/>
              </w:rPr>
              <w:t>954</w:t>
            </w:r>
          </w:p>
        </w:tc>
      </w:tr>
      <w:tr>
        <w:trPr>
          <w:trHeight w:val="233"/>
        </w:trPr>
        <w:tc>
          <w:tcPr>
            <w:tcW w:w="65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Corporate</w:t>
            </w:r>
          </w:p>
        </w:tc>
        <w:tc>
          <w:tcPr>
            <w:tcW w:w="1760" w:type="dxa"/>
            <w:vAlign w:val="bottom"/>
            <w:tcBorders>
              <w:bottom w:val="single" w:sz="8" w:color="auto"/>
            </w:tcBorders>
            <w:gridSpan w:val="2"/>
          </w:tcPr>
          <w:p>
            <w:pPr>
              <w:jc w:val="right"/>
              <w:ind w:right="559"/>
              <w:spacing w:after="0"/>
              <w:rPr>
                <w:sz w:val="20"/>
                <w:szCs w:val="20"/>
                <w:color w:val="auto"/>
              </w:rPr>
            </w:pPr>
            <w:r>
              <w:rPr>
                <w:rFonts w:ascii="Arial" w:cs="Arial" w:eastAsia="Arial" w:hAnsi="Arial"/>
                <w:sz w:val="16"/>
                <w:szCs w:val="16"/>
                <w:b w:val="1"/>
                <w:bCs w:val="1"/>
                <w:color w:val="auto"/>
              </w:rPr>
              <w:t>2</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12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14</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r>
      <w:tr>
        <w:trPr>
          <w:trHeight w:val="220"/>
        </w:trPr>
        <w:tc>
          <w:tcPr>
            <w:tcW w:w="6560" w:type="dxa"/>
            <w:vAlign w:val="bottom"/>
          </w:tcPr>
          <w:p>
            <w:pPr>
              <w:spacing w:after="0"/>
              <w:rPr>
                <w:sz w:val="19"/>
                <w:szCs w:val="19"/>
                <w:color w:val="auto"/>
              </w:rPr>
            </w:pPr>
          </w:p>
        </w:tc>
        <w:tc>
          <w:tcPr>
            <w:tcW w:w="1760" w:type="dxa"/>
            <w:vAlign w:val="bottom"/>
            <w:gridSpan w:val="2"/>
          </w:tcPr>
          <w:p>
            <w:pPr>
              <w:jc w:val="right"/>
              <w:ind w:right="559"/>
              <w:spacing w:after="0"/>
              <w:rPr>
                <w:sz w:val="20"/>
                <w:szCs w:val="20"/>
                <w:color w:val="auto"/>
              </w:rPr>
            </w:pPr>
            <w:r>
              <w:rPr>
                <w:rFonts w:ascii="Arial" w:cs="Arial" w:eastAsia="Arial" w:hAnsi="Arial"/>
                <w:sz w:val="16"/>
                <w:szCs w:val="16"/>
                <w:b w:val="1"/>
                <w:bCs w:val="1"/>
                <w:color w:val="auto"/>
              </w:rPr>
              <w:t>4,168</w:t>
            </w:r>
          </w:p>
        </w:tc>
        <w:tc>
          <w:tcPr>
            <w:tcW w:w="580" w:type="dxa"/>
            <w:vAlign w:val="bottom"/>
          </w:tcPr>
          <w:p>
            <w:pPr>
              <w:jc w:val="right"/>
              <w:spacing w:after="0"/>
              <w:rPr>
                <w:sz w:val="20"/>
                <w:szCs w:val="20"/>
                <w:color w:val="auto"/>
              </w:rPr>
            </w:pPr>
            <w:r>
              <w:rPr>
                <w:rFonts w:ascii="Arial" w:cs="Arial" w:eastAsia="Arial" w:hAnsi="Arial"/>
                <w:sz w:val="16"/>
                <w:szCs w:val="16"/>
                <w:color w:val="auto"/>
              </w:rPr>
              <w:t>3,577</w:t>
            </w:r>
          </w:p>
        </w:tc>
        <w:tc>
          <w:tcPr>
            <w:tcW w:w="120" w:type="dxa"/>
            <w:vAlign w:val="bottom"/>
          </w:tcPr>
          <w:p>
            <w:pPr>
              <w:spacing w:after="0"/>
              <w:rPr>
                <w:sz w:val="19"/>
                <w:szCs w:val="19"/>
                <w:color w:val="auto"/>
              </w:rPr>
            </w:pPr>
          </w:p>
        </w:tc>
        <w:tc>
          <w:tcPr>
            <w:tcW w:w="1640" w:type="dxa"/>
            <w:vAlign w:val="bottom"/>
          </w:tcPr>
          <w:p>
            <w:pPr>
              <w:jc w:val="right"/>
              <w:ind w:right="579"/>
              <w:spacing w:after="0"/>
              <w:rPr>
                <w:sz w:val="20"/>
                <w:szCs w:val="20"/>
                <w:color w:val="auto"/>
              </w:rPr>
            </w:pPr>
            <w:r>
              <w:rPr>
                <w:rFonts w:ascii="Arial" w:cs="Arial" w:eastAsia="Arial" w:hAnsi="Arial"/>
                <w:sz w:val="16"/>
                <w:szCs w:val="16"/>
                <w:b w:val="1"/>
                <w:bCs w:val="1"/>
                <w:color w:val="auto"/>
              </w:rPr>
              <w:t>15,239</w:t>
            </w:r>
          </w:p>
        </w:tc>
        <w:tc>
          <w:tcPr>
            <w:tcW w:w="580" w:type="dxa"/>
            <w:vAlign w:val="bottom"/>
          </w:tcPr>
          <w:p>
            <w:pPr>
              <w:jc w:val="right"/>
              <w:spacing w:after="0"/>
              <w:rPr>
                <w:sz w:val="20"/>
                <w:szCs w:val="20"/>
                <w:color w:val="auto"/>
              </w:rPr>
            </w:pPr>
            <w:r>
              <w:rPr>
                <w:rFonts w:ascii="Arial" w:cs="Arial" w:eastAsia="Arial" w:hAnsi="Arial"/>
                <w:sz w:val="16"/>
                <w:szCs w:val="16"/>
                <w:color w:val="auto"/>
                <w:w w:val="98"/>
              </w:rPr>
              <w:t>13,771</w:t>
            </w:r>
          </w:p>
        </w:tc>
      </w:tr>
      <w:tr>
        <w:trPr>
          <w:trHeight w:val="229"/>
        </w:trPr>
        <w:tc>
          <w:tcPr>
            <w:tcW w:w="6560" w:type="dxa"/>
            <w:vAlign w:val="bottom"/>
          </w:tcPr>
          <w:p>
            <w:pPr>
              <w:ind w:left="20"/>
              <w:spacing w:after="0"/>
              <w:rPr>
                <w:sz w:val="20"/>
                <w:szCs w:val="20"/>
                <w:color w:val="auto"/>
              </w:rPr>
            </w:pPr>
            <w:r>
              <w:rPr>
                <w:rFonts w:ascii="Arial" w:cs="Arial" w:eastAsia="Arial" w:hAnsi="Arial"/>
                <w:sz w:val="16"/>
                <w:szCs w:val="16"/>
                <w:b w:val="1"/>
                <w:bCs w:val="1"/>
                <w:color w:val="0D64EF"/>
              </w:rPr>
              <w:t>Income (Loss) from Equity Investments</w:t>
            </w:r>
          </w:p>
        </w:tc>
        <w:tc>
          <w:tcPr>
            <w:tcW w:w="1760" w:type="dxa"/>
            <w:vAlign w:val="bottom"/>
            <w:gridSpan w:val="2"/>
          </w:tcPr>
          <w:p>
            <w:pPr>
              <w:jc w:val="right"/>
              <w:ind w:right="559"/>
              <w:spacing w:after="0"/>
              <w:rPr>
                <w:sz w:val="20"/>
                <w:szCs w:val="20"/>
                <w:color w:val="auto"/>
              </w:rPr>
            </w:pPr>
            <w:r>
              <w:rPr>
                <w:rFonts w:ascii="Arial" w:cs="Arial" w:eastAsia="Arial" w:hAnsi="Arial"/>
                <w:sz w:val="16"/>
                <w:szCs w:val="16"/>
                <w:b w:val="1"/>
                <w:bCs w:val="1"/>
                <w:color w:val="auto"/>
              </w:rPr>
              <w:t>294</w:t>
            </w:r>
          </w:p>
        </w:tc>
        <w:tc>
          <w:tcPr>
            <w:tcW w:w="580" w:type="dxa"/>
            <w:vAlign w:val="bottom"/>
          </w:tcPr>
          <w:p>
            <w:pPr>
              <w:jc w:val="right"/>
              <w:spacing w:after="0"/>
              <w:rPr>
                <w:sz w:val="20"/>
                <w:szCs w:val="20"/>
                <w:color w:val="auto"/>
              </w:rPr>
            </w:pPr>
            <w:r>
              <w:rPr>
                <w:rFonts w:ascii="Arial" w:cs="Arial" w:eastAsia="Arial" w:hAnsi="Arial"/>
                <w:sz w:val="16"/>
                <w:szCs w:val="16"/>
                <w:color w:val="auto"/>
              </w:rPr>
              <w:t>450</w:t>
            </w:r>
          </w:p>
        </w:tc>
        <w:tc>
          <w:tcPr>
            <w:tcW w:w="120" w:type="dxa"/>
            <w:vAlign w:val="bottom"/>
          </w:tcPr>
          <w:p>
            <w:pPr>
              <w:spacing w:after="0"/>
              <w:rPr>
                <w:sz w:val="19"/>
                <w:szCs w:val="19"/>
                <w:color w:val="auto"/>
              </w:rPr>
            </w:pPr>
          </w:p>
        </w:tc>
        <w:tc>
          <w:tcPr>
            <w:tcW w:w="1640" w:type="dxa"/>
            <w:vAlign w:val="bottom"/>
          </w:tcPr>
          <w:p>
            <w:pPr>
              <w:jc w:val="right"/>
              <w:ind w:right="579"/>
              <w:spacing w:after="0"/>
              <w:rPr>
                <w:sz w:val="20"/>
                <w:szCs w:val="20"/>
                <w:color w:val="auto"/>
              </w:rPr>
            </w:pPr>
            <w:r>
              <w:rPr>
                <w:rFonts w:ascii="Arial" w:cs="Arial" w:eastAsia="Arial" w:hAnsi="Arial"/>
                <w:sz w:val="16"/>
                <w:szCs w:val="16"/>
                <w:b w:val="1"/>
                <w:bCs w:val="1"/>
                <w:color w:val="auto"/>
              </w:rPr>
              <w:t>1,274</w:t>
            </w:r>
          </w:p>
        </w:tc>
        <w:tc>
          <w:tcPr>
            <w:tcW w:w="580" w:type="dxa"/>
            <w:vAlign w:val="bottom"/>
          </w:tcPr>
          <w:p>
            <w:pPr>
              <w:jc w:val="right"/>
              <w:spacing w:after="0"/>
              <w:rPr>
                <w:sz w:val="20"/>
                <w:szCs w:val="20"/>
                <w:color w:val="auto"/>
              </w:rPr>
            </w:pPr>
            <w:r>
              <w:rPr>
                <w:rFonts w:ascii="Arial" w:cs="Arial" w:eastAsia="Arial" w:hAnsi="Arial"/>
                <w:sz w:val="16"/>
                <w:szCs w:val="16"/>
                <w:color w:val="auto"/>
              </w:rPr>
              <w:t>1,558</w:t>
            </w:r>
          </w:p>
        </w:tc>
      </w:tr>
      <w:tr>
        <w:trPr>
          <w:trHeight w:val="230"/>
        </w:trPr>
        <w:tc>
          <w:tcPr>
            <w:tcW w:w="6560" w:type="dxa"/>
            <w:vAlign w:val="bottom"/>
          </w:tcPr>
          <w:p>
            <w:pPr>
              <w:ind w:left="20"/>
              <w:spacing w:after="0"/>
              <w:rPr>
                <w:sz w:val="20"/>
                <w:szCs w:val="20"/>
                <w:color w:val="auto"/>
              </w:rPr>
            </w:pPr>
            <w:r>
              <w:rPr>
                <w:rFonts w:ascii="Arial" w:cs="Arial" w:eastAsia="Arial" w:hAnsi="Arial"/>
                <w:sz w:val="16"/>
                <w:szCs w:val="16"/>
                <w:b w:val="1"/>
                <w:bCs w:val="1"/>
                <w:color w:val="0D64EF"/>
              </w:rPr>
              <w:t>Operating and Other Expenses</w:t>
            </w:r>
          </w:p>
        </w:tc>
        <w:tc>
          <w:tcPr>
            <w:tcW w:w="1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29"/>
        </w:trPr>
        <w:tc>
          <w:tcPr>
            <w:tcW w:w="6560" w:type="dxa"/>
            <w:vAlign w:val="bottom"/>
          </w:tcPr>
          <w:p>
            <w:pPr>
              <w:ind w:left="20"/>
              <w:spacing w:after="0"/>
              <w:rPr>
                <w:sz w:val="20"/>
                <w:szCs w:val="20"/>
                <w:color w:val="auto"/>
              </w:rPr>
            </w:pPr>
            <w:r>
              <w:rPr>
                <w:rFonts w:ascii="Arial" w:cs="Arial" w:eastAsia="Arial" w:hAnsi="Arial"/>
                <w:sz w:val="16"/>
                <w:szCs w:val="16"/>
                <w:color w:val="auto"/>
              </w:rPr>
              <w:t>Plant operating costs and other</w:t>
            </w:r>
          </w:p>
        </w:tc>
        <w:tc>
          <w:tcPr>
            <w:tcW w:w="1760" w:type="dxa"/>
            <w:vAlign w:val="bottom"/>
            <w:gridSpan w:val="2"/>
          </w:tcPr>
          <w:p>
            <w:pPr>
              <w:jc w:val="right"/>
              <w:ind w:right="559"/>
              <w:spacing w:after="0"/>
              <w:rPr>
                <w:sz w:val="20"/>
                <w:szCs w:val="20"/>
                <w:color w:val="auto"/>
              </w:rPr>
            </w:pPr>
            <w:r>
              <w:rPr>
                <w:rFonts w:ascii="Arial" w:cs="Arial" w:eastAsia="Arial" w:hAnsi="Arial"/>
                <w:sz w:val="16"/>
                <w:szCs w:val="16"/>
                <w:b w:val="1"/>
                <w:bCs w:val="1"/>
                <w:color w:val="auto"/>
              </w:rPr>
              <w:t>1,276</w:t>
            </w:r>
          </w:p>
        </w:tc>
        <w:tc>
          <w:tcPr>
            <w:tcW w:w="580" w:type="dxa"/>
            <w:vAlign w:val="bottom"/>
          </w:tcPr>
          <w:p>
            <w:pPr>
              <w:jc w:val="right"/>
              <w:spacing w:after="0"/>
              <w:rPr>
                <w:sz w:val="20"/>
                <w:szCs w:val="20"/>
                <w:color w:val="auto"/>
              </w:rPr>
            </w:pPr>
            <w:r>
              <w:rPr>
                <w:rFonts w:ascii="Arial" w:cs="Arial" w:eastAsia="Arial" w:hAnsi="Arial"/>
                <w:sz w:val="16"/>
                <w:szCs w:val="16"/>
                <w:color w:val="auto"/>
              </w:rPr>
              <w:t>1,201</w:t>
            </w:r>
          </w:p>
        </w:tc>
        <w:tc>
          <w:tcPr>
            <w:tcW w:w="120" w:type="dxa"/>
            <w:vAlign w:val="bottom"/>
          </w:tcPr>
          <w:p>
            <w:pPr>
              <w:spacing w:after="0"/>
              <w:rPr>
                <w:sz w:val="19"/>
                <w:szCs w:val="19"/>
                <w:color w:val="auto"/>
              </w:rPr>
            </w:pPr>
          </w:p>
        </w:tc>
        <w:tc>
          <w:tcPr>
            <w:tcW w:w="1640" w:type="dxa"/>
            <w:vAlign w:val="bottom"/>
          </w:tcPr>
          <w:p>
            <w:pPr>
              <w:jc w:val="right"/>
              <w:ind w:right="579"/>
              <w:spacing w:after="0"/>
              <w:rPr>
                <w:sz w:val="20"/>
                <w:szCs w:val="20"/>
                <w:color w:val="auto"/>
              </w:rPr>
            </w:pPr>
            <w:r>
              <w:rPr>
                <w:rFonts w:ascii="Arial" w:cs="Arial" w:eastAsia="Arial" w:hAnsi="Arial"/>
                <w:sz w:val="16"/>
                <w:szCs w:val="16"/>
                <w:b w:val="1"/>
                <w:bCs w:val="1"/>
                <w:color w:val="auto"/>
              </w:rPr>
              <w:t>4,619</w:t>
            </w:r>
          </w:p>
        </w:tc>
        <w:tc>
          <w:tcPr>
            <w:tcW w:w="580" w:type="dxa"/>
            <w:vAlign w:val="bottom"/>
          </w:tcPr>
          <w:p>
            <w:pPr>
              <w:jc w:val="right"/>
              <w:spacing w:after="0"/>
              <w:rPr>
                <w:sz w:val="20"/>
                <w:szCs w:val="20"/>
                <w:color w:val="auto"/>
              </w:rPr>
            </w:pPr>
            <w:r>
              <w:rPr>
                <w:rFonts w:ascii="Arial" w:cs="Arial" w:eastAsia="Arial" w:hAnsi="Arial"/>
                <w:sz w:val="16"/>
                <w:szCs w:val="16"/>
                <w:color w:val="auto"/>
              </w:rPr>
              <w:t>4,413</w:t>
            </w:r>
          </w:p>
        </w:tc>
      </w:tr>
      <w:tr>
        <w:trPr>
          <w:trHeight w:val="229"/>
        </w:trPr>
        <w:tc>
          <w:tcPr>
            <w:tcW w:w="6560" w:type="dxa"/>
            <w:vAlign w:val="bottom"/>
          </w:tcPr>
          <w:p>
            <w:pPr>
              <w:ind w:left="20"/>
              <w:spacing w:after="0"/>
              <w:rPr>
                <w:sz w:val="20"/>
                <w:szCs w:val="20"/>
                <w:color w:val="auto"/>
              </w:rPr>
            </w:pPr>
            <w:r>
              <w:rPr>
                <w:rFonts w:ascii="Arial" w:cs="Arial" w:eastAsia="Arial" w:hAnsi="Arial"/>
                <w:sz w:val="16"/>
                <w:szCs w:val="16"/>
                <w:color w:val="auto"/>
              </w:rPr>
              <w:t>Commodity purchases resold</w:t>
            </w:r>
          </w:p>
        </w:tc>
        <w:tc>
          <w:tcPr>
            <w:tcW w:w="1760" w:type="dxa"/>
            <w:vAlign w:val="bottom"/>
            <w:gridSpan w:val="2"/>
          </w:tcPr>
          <w:p>
            <w:pPr>
              <w:jc w:val="right"/>
              <w:ind w:right="559"/>
              <w:spacing w:after="0"/>
              <w:rPr>
                <w:sz w:val="20"/>
                <w:szCs w:val="20"/>
                <w:color w:val="auto"/>
              </w:rPr>
            </w:pPr>
            <w:r>
              <w:rPr>
                <w:rFonts w:ascii="Arial" w:cs="Arial" w:eastAsia="Arial" w:hAnsi="Arial"/>
                <w:sz w:val="16"/>
                <w:szCs w:val="16"/>
                <w:b w:val="1"/>
                <w:bCs w:val="1"/>
                <w:color w:val="auto"/>
              </w:rPr>
              <w:t>55</w:t>
            </w:r>
          </w:p>
        </w:tc>
        <w:tc>
          <w:tcPr>
            <w:tcW w:w="580" w:type="dxa"/>
            <w:vAlign w:val="bottom"/>
          </w:tcPr>
          <w:p>
            <w:pPr>
              <w:jc w:val="right"/>
              <w:spacing w:after="0"/>
              <w:rPr>
                <w:sz w:val="20"/>
                <w:szCs w:val="20"/>
                <w:color w:val="auto"/>
              </w:rPr>
            </w:pPr>
            <w:r>
              <w:rPr>
                <w:rFonts w:ascii="Arial" w:cs="Arial" w:eastAsia="Arial" w:hAnsi="Arial"/>
                <w:sz w:val="16"/>
                <w:szCs w:val="16"/>
                <w:color w:val="auto"/>
              </w:rPr>
              <w:t>82</w:t>
            </w:r>
          </w:p>
        </w:tc>
        <w:tc>
          <w:tcPr>
            <w:tcW w:w="120" w:type="dxa"/>
            <w:vAlign w:val="bottom"/>
          </w:tcPr>
          <w:p>
            <w:pPr>
              <w:spacing w:after="0"/>
              <w:rPr>
                <w:sz w:val="19"/>
                <w:szCs w:val="19"/>
                <w:color w:val="auto"/>
              </w:rPr>
            </w:pPr>
          </w:p>
        </w:tc>
        <w:tc>
          <w:tcPr>
            <w:tcW w:w="1640" w:type="dxa"/>
            <w:vAlign w:val="bottom"/>
          </w:tcPr>
          <w:p>
            <w:pPr>
              <w:jc w:val="right"/>
              <w:ind w:right="579"/>
              <w:spacing w:after="0"/>
              <w:rPr>
                <w:sz w:val="20"/>
                <w:szCs w:val="20"/>
                <w:color w:val="auto"/>
              </w:rPr>
            </w:pPr>
            <w:r>
              <w:rPr>
                <w:rFonts w:ascii="Arial" w:cs="Arial" w:eastAsia="Arial" w:hAnsi="Arial"/>
                <w:sz w:val="16"/>
                <w:szCs w:val="16"/>
                <w:b w:val="1"/>
                <w:bCs w:val="1"/>
                <w:color w:val="auto"/>
              </w:rPr>
              <w:t>208</w:t>
            </w:r>
          </w:p>
        </w:tc>
        <w:tc>
          <w:tcPr>
            <w:tcW w:w="580" w:type="dxa"/>
            <w:vAlign w:val="bottom"/>
          </w:tcPr>
          <w:p>
            <w:pPr>
              <w:jc w:val="right"/>
              <w:spacing w:after="0"/>
              <w:rPr>
                <w:sz w:val="20"/>
                <w:szCs w:val="20"/>
                <w:color w:val="auto"/>
              </w:rPr>
            </w:pPr>
            <w:r>
              <w:rPr>
                <w:rFonts w:ascii="Arial" w:cs="Arial" w:eastAsia="Arial" w:hAnsi="Arial"/>
                <w:sz w:val="16"/>
                <w:szCs w:val="16"/>
                <w:color w:val="auto"/>
              </w:rPr>
              <w:t>217</w:t>
            </w:r>
          </w:p>
        </w:tc>
      </w:tr>
      <w:tr>
        <w:trPr>
          <w:trHeight w:val="230"/>
        </w:trPr>
        <w:tc>
          <w:tcPr>
            <w:tcW w:w="6560" w:type="dxa"/>
            <w:vAlign w:val="bottom"/>
          </w:tcPr>
          <w:p>
            <w:pPr>
              <w:ind w:left="20"/>
              <w:spacing w:after="0"/>
              <w:rPr>
                <w:sz w:val="20"/>
                <w:szCs w:val="20"/>
                <w:color w:val="auto"/>
              </w:rPr>
            </w:pPr>
            <w:r>
              <w:rPr>
                <w:rFonts w:ascii="Arial" w:cs="Arial" w:eastAsia="Arial" w:hAnsi="Arial"/>
                <w:sz w:val="16"/>
                <w:szCs w:val="16"/>
                <w:color w:val="auto"/>
              </w:rPr>
              <w:t>Property taxes</w:t>
            </w:r>
          </w:p>
        </w:tc>
        <w:tc>
          <w:tcPr>
            <w:tcW w:w="1760" w:type="dxa"/>
            <w:vAlign w:val="bottom"/>
            <w:gridSpan w:val="2"/>
          </w:tcPr>
          <w:p>
            <w:pPr>
              <w:jc w:val="right"/>
              <w:ind w:right="559"/>
              <w:spacing w:after="0"/>
              <w:rPr>
                <w:sz w:val="20"/>
                <w:szCs w:val="20"/>
                <w:color w:val="auto"/>
              </w:rPr>
            </w:pPr>
            <w:r>
              <w:rPr>
                <w:rFonts w:ascii="Arial" w:cs="Arial" w:eastAsia="Arial" w:hAnsi="Arial"/>
                <w:sz w:val="16"/>
                <w:szCs w:val="16"/>
                <w:b w:val="1"/>
                <w:bCs w:val="1"/>
                <w:color w:val="auto"/>
              </w:rPr>
              <w:t>224</w:t>
            </w:r>
          </w:p>
        </w:tc>
        <w:tc>
          <w:tcPr>
            <w:tcW w:w="580" w:type="dxa"/>
            <w:vAlign w:val="bottom"/>
          </w:tcPr>
          <w:p>
            <w:pPr>
              <w:jc w:val="right"/>
              <w:spacing w:after="0"/>
              <w:rPr>
                <w:sz w:val="20"/>
                <w:szCs w:val="20"/>
                <w:color w:val="auto"/>
              </w:rPr>
            </w:pPr>
            <w:r>
              <w:rPr>
                <w:rFonts w:ascii="Arial" w:cs="Arial" w:eastAsia="Arial" w:hAnsi="Arial"/>
                <w:sz w:val="16"/>
                <w:szCs w:val="16"/>
                <w:color w:val="auto"/>
              </w:rPr>
              <w:t>207</w:t>
            </w:r>
          </w:p>
        </w:tc>
        <w:tc>
          <w:tcPr>
            <w:tcW w:w="120" w:type="dxa"/>
            <w:vAlign w:val="bottom"/>
          </w:tcPr>
          <w:p>
            <w:pPr>
              <w:spacing w:after="0"/>
              <w:rPr>
                <w:sz w:val="19"/>
                <w:szCs w:val="19"/>
                <w:color w:val="auto"/>
              </w:rPr>
            </w:pPr>
          </w:p>
        </w:tc>
        <w:tc>
          <w:tcPr>
            <w:tcW w:w="1640" w:type="dxa"/>
            <w:vAlign w:val="bottom"/>
          </w:tcPr>
          <w:p>
            <w:pPr>
              <w:jc w:val="right"/>
              <w:ind w:right="579"/>
              <w:spacing w:after="0"/>
              <w:rPr>
                <w:sz w:val="20"/>
                <w:szCs w:val="20"/>
                <w:color w:val="auto"/>
              </w:rPr>
            </w:pPr>
            <w:r>
              <w:rPr>
                <w:rFonts w:ascii="Arial" w:cs="Arial" w:eastAsia="Arial" w:hAnsi="Arial"/>
                <w:sz w:val="16"/>
                <w:szCs w:val="16"/>
                <w:b w:val="1"/>
                <w:bCs w:val="1"/>
                <w:color w:val="auto"/>
              </w:rPr>
              <w:t>881</w:t>
            </w:r>
          </w:p>
        </w:tc>
        <w:tc>
          <w:tcPr>
            <w:tcW w:w="580" w:type="dxa"/>
            <w:vAlign w:val="bottom"/>
          </w:tcPr>
          <w:p>
            <w:pPr>
              <w:jc w:val="right"/>
              <w:spacing w:after="0"/>
              <w:rPr>
                <w:sz w:val="20"/>
                <w:szCs w:val="20"/>
                <w:color w:val="auto"/>
              </w:rPr>
            </w:pPr>
            <w:r>
              <w:rPr>
                <w:rFonts w:ascii="Arial" w:cs="Arial" w:eastAsia="Arial" w:hAnsi="Arial"/>
                <w:sz w:val="16"/>
                <w:szCs w:val="16"/>
                <w:color w:val="auto"/>
              </w:rPr>
              <w:t>820</w:t>
            </w:r>
          </w:p>
        </w:tc>
      </w:tr>
      <w:tr>
        <w:trPr>
          <w:trHeight w:val="233"/>
        </w:trPr>
        <w:tc>
          <w:tcPr>
            <w:tcW w:w="65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Depreciation and amortization</w:t>
            </w:r>
          </w:p>
        </w:tc>
        <w:tc>
          <w:tcPr>
            <w:tcW w:w="1760" w:type="dxa"/>
            <w:vAlign w:val="bottom"/>
            <w:tcBorders>
              <w:bottom w:val="single" w:sz="8" w:color="auto"/>
            </w:tcBorders>
            <w:gridSpan w:val="2"/>
          </w:tcPr>
          <w:p>
            <w:pPr>
              <w:jc w:val="right"/>
              <w:ind w:right="559"/>
              <w:spacing w:after="0"/>
              <w:rPr>
                <w:sz w:val="20"/>
                <w:szCs w:val="20"/>
                <w:color w:val="auto"/>
              </w:rPr>
            </w:pPr>
            <w:r>
              <w:rPr>
                <w:rFonts w:ascii="Arial" w:cs="Arial" w:eastAsia="Arial" w:hAnsi="Arial"/>
                <w:sz w:val="16"/>
                <w:szCs w:val="16"/>
                <w:b w:val="1"/>
                <w:bCs w:val="1"/>
                <w:color w:val="auto"/>
              </w:rPr>
              <w:t>719</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639</w:t>
            </w:r>
          </w:p>
        </w:tc>
        <w:tc>
          <w:tcPr>
            <w:tcW w:w="12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2,769</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2,535</w:t>
            </w:r>
          </w:p>
        </w:tc>
      </w:tr>
      <w:tr>
        <w:trPr>
          <w:trHeight w:val="220"/>
        </w:trPr>
        <w:tc>
          <w:tcPr>
            <w:tcW w:w="6560" w:type="dxa"/>
            <w:vAlign w:val="bottom"/>
          </w:tcPr>
          <w:p>
            <w:pPr>
              <w:spacing w:after="0"/>
              <w:rPr>
                <w:sz w:val="19"/>
                <w:szCs w:val="19"/>
                <w:color w:val="auto"/>
              </w:rPr>
            </w:pPr>
          </w:p>
        </w:tc>
        <w:tc>
          <w:tcPr>
            <w:tcW w:w="1760" w:type="dxa"/>
            <w:vAlign w:val="bottom"/>
            <w:gridSpan w:val="2"/>
          </w:tcPr>
          <w:p>
            <w:pPr>
              <w:jc w:val="right"/>
              <w:ind w:right="559"/>
              <w:spacing w:after="0"/>
              <w:rPr>
                <w:sz w:val="20"/>
                <w:szCs w:val="20"/>
                <w:color w:val="auto"/>
              </w:rPr>
            </w:pPr>
            <w:r>
              <w:rPr>
                <w:rFonts w:ascii="Arial" w:cs="Arial" w:eastAsia="Arial" w:hAnsi="Arial"/>
                <w:sz w:val="16"/>
                <w:szCs w:val="16"/>
                <w:b w:val="1"/>
                <w:bCs w:val="1"/>
                <w:color w:val="auto"/>
              </w:rPr>
              <w:t>2,274</w:t>
            </w:r>
          </w:p>
        </w:tc>
        <w:tc>
          <w:tcPr>
            <w:tcW w:w="580" w:type="dxa"/>
            <w:vAlign w:val="bottom"/>
          </w:tcPr>
          <w:p>
            <w:pPr>
              <w:jc w:val="right"/>
              <w:spacing w:after="0"/>
              <w:rPr>
                <w:sz w:val="20"/>
                <w:szCs w:val="20"/>
                <w:color w:val="auto"/>
              </w:rPr>
            </w:pPr>
            <w:r>
              <w:rPr>
                <w:rFonts w:ascii="Arial" w:cs="Arial" w:eastAsia="Arial" w:hAnsi="Arial"/>
                <w:sz w:val="16"/>
                <w:szCs w:val="16"/>
                <w:color w:val="auto"/>
              </w:rPr>
              <w:t>2,129</w:t>
            </w:r>
          </w:p>
        </w:tc>
        <w:tc>
          <w:tcPr>
            <w:tcW w:w="120" w:type="dxa"/>
            <w:vAlign w:val="bottom"/>
          </w:tcPr>
          <w:p>
            <w:pPr>
              <w:spacing w:after="0"/>
              <w:rPr>
                <w:sz w:val="19"/>
                <w:szCs w:val="19"/>
                <w:color w:val="auto"/>
              </w:rPr>
            </w:pPr>
          </w:p>
        </w:tc>
        <w:tc>
          <w:tcPr>
            <w:tcW w:w="1640" w:type="dxa"/>
            <w:vAlign w:val="bottom"/>
          </w:tcPr>
          <w:p>
            <w:pPr>
              <w:jc w:val="right"/>
              <w:ind w:right="579"/>
              <w:spacing w:after="0"/>
              <w:rPr>
                <w:sz w:val="20"/>
                <w:szCs w:val="20"/>
                <w:color w:val="auto"/>
              </w:rPr>
            </w:pPr>
            <w:r>
              <w:rPr>
                <w:rFonts w:ascii="Arial" w:cs="Arial" w:eastAsia="Arial" w:hAnsi="Arial"/>
                <w:sz w:val="16"/>
                <w:szCs w:val="16"/>
                <w:b w:val="1"/>
                <w:bCs w:val="1"/>
                <w:color w:val="auto"/>
              </w:rPr>
              <w:t>8,477</w:t>
            </w:r>
          </w:p>
        </w:tc>
        <w:tc>
          <w:tcPr>
            <w:tcW w:w="580" w:type="dxa"/>
            <w:vAlign w:val="bottom"/>
          </w:tcPr>
          <w:p>
            <w:pPr>
              <w:jc w:val="right"/>
              <w:spacing w:after="0"/>
              <w:rPr>
                <w:sz w:val="20"/>
                <w:szCs w:val="20"/>
                <w:color w:val="auto"/>
              </w:rPr>
            </w:pPr>
            <w:r>
              <w:rPr>
                <w:rFonts w:ascii="Arial" w:cs="Arial" w:eastAsia="Arial" w:hAnsi="Arial"/>
                <w:sz w:val="16"/>
                <w:szCs w:val="16"/>
                <w:color w:val="auto"/>
              </w:rPr>
              <w:t>7,985</w:t>
            </w:r>
          </w:p>
        </w:tc>
      </w:tr>
      <w:tr>
        <w:trPr>
          <w:trHeight w:val="229"/>
        </w:trPr>
        <w:tc>
          <w:tcPr>
            <w:tcW w:w="6560" w:type="dxa"/>
            <w:vAlign w:val="bottom"/>
          </w:tcPr>
          <w:p>
            <w:pPr>
              <w:ind w:left="20"/>
              <w:spacing w:after="0"/>
              <w:rPr>
                <w:sz w:val="20"/>
                <w:szCs w:val="20"/>
                <w:color w:val="auto"/>
              </w:rPr>
            </w:pPr>
            <w:r>
              <w:rPr>
                <w:rFonts w:ascii="Arial" w:cs="Arial" w:eastAsia="Arial" w:hAnsi="Arial"/>
                <w:sz w:val="16"/>
                <w:szCs w:val="16"/>
                <w:b w:val="1"/>
                <w:bCs w:val="1"/>
                <w:color w:val="0D64EF"/>
              </w:rPr>
              <w:t>Net Gain (Loss) on Sale of Assets</w:t>
            </w:r>
          </w:p>
        </w:tc>
        <w:tc>
          <w:tcPr>
            <w:tcW w:w="120" w:type="dxa"/>
            <w:vAlign w:val="bottom"/>
          </w:tcPr>
          <w:p>
            <w:pPr>
              <w:spacing w:after="0"/>
              <w:rPr>
                <w:sz w:val="19"/>
                <w:szCs w:val="19"/>
                <w:color w:val="auto"/>
              </w:rPr>
            </w:pPr>
          </w:p>
        </w:tc>
        <w:tc>
          <w:tcPr>
            <w:tcW w:w="1640" w:type="dxa"/>
            <w:vAlign w:val="bottom"/>
          </w:tcPr>
          <w:p>
            <w:pPr>
              <w:jc w:val="right"/>
              <w:ind w:right="559"/>
              <w:spacing w:after="0"/>
              <w:rPr>
                <w:sz w:val="20"/>
                <w:szCs w:val="20"/>
                <w:color w:val="auto"/>
              </w:rPr>
            </w:pPr>
            <w:r>
              <w:rPr>
                <w:rFonts w:ascii="Arial" w:cs="Arial" w:eastAsia="Arial" w:hAnsi="Arial"/>
                <w:sz w:val="16"/>
                <w:szCs w:val="16"/>
                <w:b w:val="1"/>
                <w:bCs w:val="1"/>
                <w:color w:val="auto"/>
              </w:rPr>
              <w:t>—</w:t>
            </w:r>
          </w:p>
        </w:tc>
        <w:tc>
          <w:tcPr>
            <w:tcW w:w="7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40" w:type="dxa"/>
            <w:vAlign w:val="bottom"/>
          </w:tcPr>
          <w:p>
            <w:pPr>
              <w:jc w:val="right"/>
              <w:ind w:right="579"/>
              <w:spacing w:after="0"/>
              <w:rPr>
                <w:sz w:val="20"/>
                <w:szCs w:val="20"/>
                <w:color w:val="auto"/>
              </w:rPr>
            </w:pPr>
            <w:r>
              <w:rPr>
                <w:rFonts w:ascii="Arial" w:cs="Arial" w:eastAsia="Arial" w:hAnsi="Arial"/>
                <w:sz w:val="16"/>
                <w:szCs w:val="16"/>
                <w:b w:val="1"/>
                <w:bCs w:val="1"/>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620</w:t>
            </w:r>
          </w:p>
        </w:tc>
      </w:tr>
      <w:tr>
        <w:trPr>
          <w:trHeight w:val="230"/>
        </w:trPr>
        <w:tc>
          <w:tcPr>
            <w:tcW w:w="6560" w:type="dxa"/>
            <w:vAlign w:val="bottom"/>
          </w:tcPr>
          <w:p>
            <w:pPr>
              <w:ind w:left="20"/>
              <w:spacing w:after="0"/>
              <w:rPr>
                <w:sz w:val="20"/>
                <w:szCs w:val="20"/>
                <w:color w:val="auto"/>
              </w:rPr>
            </w:pPr>
            <w:r>
              <w:rPr>
                <w:rFonts w:ascii="Arial" w:cs="Arial" w:eastAsia="Arial" w:hAnsi="Arial"/>
                <w:sz w:val="16"/>
                <w:szCs w:val="16"/>
                <w:b w:val="1"/>
                <w:bCs w:val="1"/>
                <w:color w:val="0D64EF"/>
              </w:rPr>
              <w:t>Financial Charges</w:t>
            </w:r>
          </w:p>
        </w:tc>
        <w:tc>
          <w:tcPr>
            <w:tcW w:w="1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29"/>
        </w:trPr>
        <w:tc>
          <w:tcPr>
            <w:tcW w:w="656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1760" w:type="dxa"/>
            <w:vAlign w:val="bottom"/>
            <w:gridSpan w:val="2"/>
          </w:tcPr>
          <w:p>
            <w:pPr>
              <w:jc w:val="right"/>
              <w:ind w:right="559"/>
              <w:spacing w:after="0"/>
              <w:rPr>
                <w:sz w:val="20"/>
                <w:szCs w:val="20"/>
                <w:color w:val="auto"/>
              </w:rPr>
            </w:pPr>
            <w:r>
              <w:rPr>
                <w:rFonts w:ascii="Arial" w:cs="Arial" w:eastAsia="Arial" w:hAnsi="Arial"/>
                <w:sz w:val="16"/>
                <w:szCs w:val="16"/>
                <w:b w:val="1"/>
                <w:bCs w:val="1"/>
                <w:color w:val="auto"/>
              </w:rPr>
              <w:t>873</w:t>
            </w:r>
          </w:p>
        </w:tc>
        <w:tc>
          <w:tcPr>
            <w:tcW w:w="580" w:type="dxa"/>
            <w:vAlign w:val="bottom"/>
          </w:tcPr>
          <w:p>
            <w:pPr>
              <w:jc w:val="right"/>
              <w:spacing w:after="0"/>
              <w:rPr>
                <w:sz w:val="20"/>
                <w:szCs w:val="20"/>
                <w:color w:val="auto"/>
              </w:rPr>
            </w:pPr>
            <w:r>
              <w:rPr>
                <w:rFonts w:ascii="Arial" w:cs="Arial" w:eastAsia="Arial" w:hAnsi="Arial"/>
                <w:sz w:val="16"/>
                <w:szCs w:val="16"/>
                <w:color w:val="auto"/>
              </w:rPr>
              <w:t>679</w:t>
            </w:r>
          </w:p>
        </w:tc>
        <w:tc>
          <w:tcPr>
            <w:tcW w:w="120" w:type="dxa"/>
            <w:vAlign w:val="bottom"/>
          </w:tcPr>
          <w:p>
            <w:pPr>
              <w:spacing w:after="0"/>
              <w:rPr>
                <w:sz w:val="19"/>
                <w:szCs w:val="19"/>
                <w:color w:val="auto"/>
              </w:rPr>
            </w:pPr>
          </w:p>
        </w:tc>
        <w:tc>
          <w:tcPr>
            <w:tcW w:w="1640" w:type="dxa"/>
            <w:vAlign w:val="bottom"/>
          </w:tcPr>
          <w:p>
            <w:pPr>
              <w:jc w:val="right"/>
              <w:ind w:right="579"/>
              <w:spacing w:after="0"/>
              <w:rPr>
                <w:sz w:val="20"/>
                <w:szCs w:val="20"/>
                <w:color w:val="auto"/>
              </w:rPr>
            </w:pPr>
            <w:r>
              <w:rPr>
                <w:rFonts w:ascii="Arial" w:cs="Arial" w:eastAsia="Arial" w:hAnsi="Arial"/>
                <w:sz w:val="16"/>
                <w:szCs w:val="16"/>
                <w:b w:val="1"/>
                <w:bCs w:val="1"/>
                <w:color w:val="auto"/>
              </w:rPr>
              <w:t>3,407</w:t>
            </w:r>
          </w:p>
        </w:tc>
        <w:tc>
          <w:tcPr>
            <w:tcW w:w="580" w:type="dxa"/>
            <w:vAlign w:val="bottom"/>
          </w:tcPr>
          <w:p>
            <w:pPr>
              <w:jc w:val="right"/>
              <w:spacing w:after="0"/>
              <w:rPr>
                <w:sz w:val="20"/>
                <w:szCs w:val="20"/>
                <w:color w:val="auto"/>
              </w:rPr>
            </w:pPr>
            <w:r>
              <w:rPr>
                <w:rFonts w:ascii="Arial" w:cs="Arial" w:eastAsia="Arial" w:hAnsi="Arial"/>
                <w:sz w:val="16"/>
                <w:szCs w:val="16"/>
                <w:color w:val="auto"/>
              </w:rPr>
              <w:t>3,019</w:t>
            </w:r>
          </w:p>
        </w:tc>
      </w:tr>
      <w:tr>
        <w:trPr>
          <w:trHeight w:val="230"/>
        </w:trPr>
        <w:tc>
          <w:tcPr>
            <w:tcW w:w="6560" w:type="dxa"/>
            <w:vAlign w:val="bottom"/>
          </w:tcPr>
          <w:p>
            <w:pPr>
              <w:ind w:left="20"/>
              <w:spacing w:after="0"/>
              <w:rPr>
                <w:sz w:val="20"/>
                <w:szCs w:val="20"/>
                <w:color w:val="auto"/>
              </w:rPr>
            </w:pPr>
            <w:r>
              <w:rPr>
                <w:rFonts w:ascii="Arial" w:cs="Arial" w:eastAsia="Arial" w:hAnsi="Arial"/>
                <w:sz w:val="16"/>
                <w:szCs w:val="16"/>
                <w:color w:val="auto"/>
              </w:rPr>
              <w:t>Allowance for funds used during construction</w:t>
            </w:r>
          </w:p>
        </w:tc>
        <w:tc>
          <w:tcPr>
            <w:tcW w:w="1760" w:type="dxa"/>
            <w:vAlign w:val="bottom"/>
            <w:gridSpan w:val="2"/>
          </w:tcPr>
          <w:p>
            <w:pPr>
              <w:jc w:val="right"/>
              <w:ind w:right="519"/>
              <w:spacing w:after="0"/>
              <w:rPr>
                <w:sz w:val="20"/>
                <w:szCs w:val="20"/>
                <w:color w:val="auto"/>
              </w:rPr>
            </w:pPr>
            <w:r>
              <w:rPr>
                <w:rFonts w:ascii="Arial" w:cs="Arial" w:eastAsia="Arial" w:hAnsi="Arial"/>
                <w:sz w:val="16"/>
                <w:szCs w:val="16"/>
                <w:b w:val="1"/>
                <w:bCs w:val="1"/>
                <w:color w:val="auto"/>
              </w:rPr>
              <w:t>(36)</w:t>
            </w:r>
          </w:p>
        </w:tc>
        <w:tc>
          <w:tcPr>
            <w:tcW w:w="580" w:type="dxa"/>
            <w:vAlign w:val="bottom"/>
          </w:tcPr>
          <w:p>
            <w:pPr>
              <w:jc w:val="right"/>
              <w:spacing w:after="0"/>
              <w:rPr>
                <w:sz w:val="20"/>
                <w:szCs w:val="20"/>
                <w:color w:val="auto"/>
              </w:rPr>
            </w:pPr>
            <w:r>
              <w:rPr>
                <w:rFonts w:ascii="Arial" w:cs="Arial" w:eastAsia="Arial" w:hAnsi="Arial"/>
                <w:sz w:val="16"/>
                <w:szCs w:val="16"/>
                <w:color w:val="auto"/>
              </w:rPr>
              <w:t>(233)</w:t>
            </w:r>
          </w:p>
        </w:tc>
        <w:tc>
          <w:tcPr>
            <w:tcW w:w="120" w:type="dxa"/>
            <w:vAlign w:val="bottom"/>
          </w:tcPr>
          <w:p>
            <w:pPr>
              <w:spacing w:after="0"/>
              <w:rPr>
                <w:sz w:val="19"/>
                <w:szCs w:val="19"/>
                <w:color w:val="auto"/>
              </w:rPr>
            </w:pPr>
          </w:p>
        </w:tc>
        <w:tc>
          <w:tcPr>
            <w:tcW w:w="1640" w:type="dxa"/>
            <w:vAlign w:val="bottom"/>
          </w:tcPr>
          <w:p>
            <w:pPr>
              <w:jc w:val="right"/>
              <w:ind w:right="519"/>
              <w:spacing w:after="0"/>
              <w:rPr>
                <w:sz w:val="20"/>
                <w:szCs w:val="20"/>
                <w:color w:val="auto"/>
              </w:rPr>
            </w:pPr>
            <w:r>
              <w:rPr>
                <w:rFonts w:ascii="Arial" w:cs="Arial" w:eastAsia="Arial" w:hAnsi="Arial"/>
                <w:sz w:val="16"/>
                <w:szCs w:val="16"/>
                <w:b w:val="1"/>
                <w:bCs w:val="1"/>
                <w:color w:val="auto"/>
              </w:rPr>
              <w:t>(453)</w:t>
            </w:r>
          </w:p>
        </w:tc>
        <w:tc>
          <w:tcPr>
            <w:tcW w:w="580" w:type="dxa"/>
            <w:vAlign w:val="bottom"/>
          </w:tcPr>
          <w:p>
            <w:pPr>
              <w:jc w:val="right"/>
              <w:spacing w:after="0"/>
              <w:rPr>
                <w:sz w:val="20"/>
                <w:szCs w:val="20"/>
                <w:color w:val="auto"/>
              </w:rPr>
            </w:pPr>
            <w:r>
              <w:rPr>
                <w:rFonts w:ascii="Arial" w:cs="Arial" w:eastAsia="Arial" w:hAnsi="Arial"/>
                <w:sz w:val="16"/>
                <w:szCs w:val="16"/>
                <w:color w:val="auto"/>
              </w:rPr>
              <w:t>(784)</w:t>
            </w:r>
          </w:p>
        </w:tc>
      </w:tr>
      <w:tr>
        <w:trPr>
          <w:trHeight w:val="229"/>
        </w:trPr>
        <w:tc>
          <w:tcPr>
            <w:tcW w:w="6560" w:type="dxa"/>
            <w:vAlign w:val="bottom"/>
          </w:tcPr>
          <w:p>
            <w:pPr>
              <w:ind w:left="20"/>
              <w:spacing w:after="0"/>
              <w:rPr>
                <w:sz w:val="20"/>
                <w:szCs w:val="20"/>
                <w:color w:val="auto"/>
              </w:rPr>
            </w:pPr>
            <w:r>
              <w:rPr>
                <w:rFonts w:ascii="Arial" w:cs="Arial" w:eastAsia="Arial" w:hAnsi="Arial"/>
                <w:sz w:val="16"/>
                <w:szCs w:val="16"/>
                <w:color w:val="auto"/>
              </w:rPr>
              <w:t>Foreign exchange (gains) losses, net</w:t>
            </w:r>
          </w:p>
        </w:tc>
        <w:tc>
          <w:tcPr>
            <w:tcW w:w="1760" w:type="dxa"/>
            <w:vAlign w:val="bottom"/>
            <w:gridSpan w:val="2"/>
          </w:tcPr>
          <w:p>
            <w:pPr>
              <w:jc w:val="right"/>
              <w:ind w:right="519"/>
              <w:spacing w:after="0"/>
              <w:rPr>
                <w:sz w:val="20"/>
                <w:szCs w:val="20"/>
                <w:color w:val="auto"/>
              </w:rPr>
            </w:pPr>
            <w:r>
              <w:rPr>
                <w:rFonts w:ascii="Arial" w:cs="Arial" w:eastAsia="Arial" w:hAnsi="Arial"/>
                <w:sz w:val="16"/>
                <w:szCs w:val="16"/>
                <w:b w:val="1"/>
                <w:bCs w:val="1"/>
                <w:color w:val="auto"/>
              </w:rPr>
              <w:t>(15)</w:t>
            </w:r>
          </w:p>
        </w:tc>
        <w:tc>
          <w:tcPr>
            <w:tcW w:w="580" w:type="dxa"/>
            <w:vAlign w:val="bottom"/>
          </w:tcPr>
          <w:p>
            <w:pPr>
              <w:jc w:val="right"/>
              <w:spacing w:after="0"/>
              <w:rPr>
                <w:sz w:val="20"/>
                <w:szCs w:val="20"/>
                <w:color w:val="auto"/>
              </w:rPr>
            </w:pPr>
            <w:r>
              <w:rPr>
                <w:rFonts w:ascii="Arial" w:cs="Arial" w:eastAsia="Arial" w:hAnsi="Arial"/>
                <w:sz w:val="16"/>
                <w:szCs w:val="16"/>
                <w:color w:val="auto"/>
              </w:rPr>
              <w:t>69</w:t>
            </w:r>
          </w:p>
        </w:tc>
        <w:tc>
          <w:tcPr>
            <w:tcW w:w="120" w:type="dxa"/>
            <w:vAlign w:val="bottom"/>
          </w:tcPr>
          <w:p>
            <w:pPr>
              <w:spacing w:after="0"/>
              <w:rPr>
                <w:sz w:val="19"/>
                <w:szCs w:val="19"/>
                <w:color w:val="auto"/>
              </w:rPr>
            </w:pPr>
          </w:p>
        </w:tc>
        <w:tc>
          <w:tcPr>
            <w:tcW w:w="1640" w:type="dxa"/>
            <w:vAlign w:val="bottom"/>
          </w:tcPr>
          <w:p>
            <w:pPr>
              <w:jc w:val="right"/>
              <w:ind w:right="519"/>
              <w:spacing w:after="0"/>
              <w:rPr>
                <w:sz w:val="20"/>
                <w:szCs w:val="20"/>
                <w:color w:val="auto"/>
              </w:rPr>
            </w:pPr>
            <w:r>
              <w:rPr>
                <w:rFonts w:ascii="Arial" w:cs="Arial" w:eastAsia="Arial" w:hAnsi="Arial"/>
                <w:sz w:val="16"/>
                <w:szCs w:val="16"/>
                <w:b w:val="1"/>
                <w:bCs w:val="1"/>
                <w:color w:val="auto"/>
              </w:rPr>
              <w:t>(157)</w:t>
            </w:r>
          </w:p>
        </w:tc>
        <w:tc>
          <w:tcPr>
            <w:tcW w:w="580" w:type="dxa"/>
            <w:vAlign w:val="bottom"/>
          </w:tcPr>
          <w:p>
            <w:pPr>
              <w:jc w:val="right"/>
              <w:spacing w:after="0"/>
              <w:rPr>
                <w:sz w:val="20"/>
                <w:szCs w:val="20"/>
                <w:color w:val="auto"/>
              </w:rPr>
            </w:pPr>
            <w:r>
              <w:rPr>
                <w:rFonts w:ascii="Arial" w:cs="Arial" w:eastAsia="Arial" w:hAnsi="Arial"/>
                <w:sz w:val="16"/>
                <w:szCs w:val="16"/>
                <w:color w:val="auto"/>
              </w:rPr>
              <w:t>147</w:t>
            </w:r>
          </w:p>
        </w:tc>
      </w:tr>
      <w:tr>
        <w:trPr>
          <w:trHeight w:val="233"/>
        </w:trPr>
        <w:tc>
          <w:tcPr>
            <w:tcW w:w="65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Interest income and other</w:t>
            </w:r>
          </w:p>
        </w:tc>
        <w:tc>
          <w:tcPr>
            <w:tcW w:w="1760" w:type="dxa"/>
            <w:vAlign w:val="bottom"/>
            <w:tcBorders>
              <w:bottom w:val="single" w:sz="8" w:color="auto"/>
            </w:tcBorders>
            <w:gridSpan w:val="2"/>
          </w:tcPr>
          <w:p>
            <w:pPr>
              <w:jc w:val="right"/>
              <w:ind w:right="519"/>
              <w:spacing w:after="0"/>
              <w:rPr>
                <w:sz w:val="20"/>
                <w:szCs w:val="20"/>
                <w:color w:val="auto"/>
              </w:rPr>
            </w:pPr>
            <w:r>
              <w:rPr>
                <w:rFonts w:ascii="Arial" w:cs="Arial" w:eastAsia="Arial" w:hAnsi="Arial"/>
                <w:sz w:val="16"/>
                <w:szCs w:val="16"/>
                <w:b w:val="1"/>
                <w:bCs w:val="1"/>
                <w:color w:val="auto"/>
              </w:rPr>
              <w:t>(58)</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w:t>
            </w:r>
          </w:p>
        </w:tc>
        <w:tc>
          <w:tcPr>
            <w:tcW w:w="12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(205)</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(324)</w:t>
            </w:r>
          </w:p>
        </w:tc>
      </w:tr>
      <w:tr>
        <w:trPr>
          <w:trHeight w:val="223"/>
        </w:trPr>
        <w:tc>
          <w:tcPr>
            <w:tcW w:w="656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gridSpan w:val="2"/>
          </w:tcPr>
          <w:p>
            <w:pPr>
              <w:jc w:val="right"/>
              <w:ind w:right="559"/>
              <w:spacing w:after="0"/>
              <w:rPr>
                <w:sz w:val="20"/>
                <w:szCs w:val="20"/>
                <w:color w:val="auto"/>
              </w:rPr>
            </w:pPr>
            <w:r>
              <w:rPr>
                <w:rFonts w:ascii="Arial" w:cs="Arial" w:eastAsia="Arial" w:hAnsi="Arial"/>
                <w:sz w:val="16"/>
                <w:szCs w:val="16"/>
                <w:b w:val="1"/>
                <w:bCs w:val="1"/>
                <w:color w:val="auto"/>
              </w:rPr>
              <w:t>764</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395</w:t>
            </w:r>
          </w:p>
        </w:tc>
        <w:tc>
          <w:tcPr>
            <w:tcW w:w="1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2,592</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2,058</w:t>
            </w:r>
          </w:p>
        </w:tc>
      </w:tr>
      <w:tr>
        <w:trPr>
          <w:trHeight w:val="223"/>
        </w:trPr>
        <w:tc>
          <w:tcPr>
            <w:tcW w:w="65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0D64EF"/>
              </w:rPr>
              <w:t>Income (Loss) from Continuing Operations before Income Taxes</w:t>
            </w:r>
          </w:p>
        </w:tc>
        <w:tc>
          <w:tcPr>
            <w:tcW w:w="1760" w:type="dxa"/>
            <w:vAlign w:val="bottom"/>
            <w:tcBorders>
              <w:bottom w:val="single" w:sz="8" w:color="auto"/>
            </w:tcBorders>
            <w:gridSpan w:val="2"/>
          </w:tcPr>
          <w:p>
            <w:pPr>
              <w:jc w:val="right"/>
              <w:ind w:right="559"/>
              <w:spacing w:after="0"/>
              <w:rPr>
                <w:sz w:val="20"/>
                <w:szCs w:val="20"/>
                <w:color w:val="auto"/>
              </w:rPr>
            </w:pPr>
            <w:r>
              <w:rPr>
                <w:rFonts w:ascii="Arial" w:cs="Arial" w:eastAsia="Arial" w:hAnsi="Arial"/>
                <w:sz w:val="16"/>
                <w:szCs w:val="16"/>
                <w:b w:val="1"/>
                <w:bCs w:val="1"/>
                <w:color w:val="auto"/>
              </w:rPr>
              <w:t>1,424</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1,503</w:t>
            </w:r>
          </w:p>
        </w:tc>
        <w:tc>
          <w:tcPr>
            <w:tcW w:w="1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5,444</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5,906</w:t>
            </w:r>
          </w:p>
        </w:tc>
      </w:tr>
      <w:tr>
        <w:trPr>
          <w:trHeight w:val="220"/>
        </w:trPr>
        <w:tc>
          <w:tcPr>
            <w:tcW w:w="6560" w:type="dxa"/>
            <w:vAlign w:val="bottom"/>
          </w:tcPr>
          <w:p>
            <w:pPr>
              <w:ind w:left="20"/>
              <w:spacing w:after="0"/>
              <w:rPr>
                <w:sz w:val="20"/>
                <w:szCs w:val="20"/>
                <w:color w:val="auto"/>
              </w:rPr>
            </w:pPr>
            <w:r>
              <w:rPr>
                <w:rFonts w:ascii="Arial" w:cs="Arial" w:eastAsia="Arial" w:hAnsi="Arial"/>
                <w:sz w:val="16"/>
                <w:szCs w:val="16"/>
                <w:b w:val="1"/>
                <w:bCs w:val="1"/>
                <w:color w:val="0D64EF"/>
              </w:rPr>
              <w:t>Income Tax Expense (Recovery) from Continuing Operations</w:t>
            </w:r>
          </w:p>
        </w:tc>
        <w:tc>
          <w:tcPr>
            <w:tcW w:w="1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29"/>
        </w:trPr>
        <w:tc>
          <w:tcPr>
            <w:tcW w:w="6560" w:type="dxa"/>
            <w:vAlign w:val="bottom"/>
          </w:tcPr>
          <w:p>
            <w:pPr>
              <w:ind w:left="20"/>
              <w:spacing w:after="0"/>
              <w:rPr>
                <w:sz w:val="20"/>
                <w:szCs w:val="20"/>
                <w:color w:val="auto"/>
              </w:rPr>
            </w:pPr>
            <w:r>
              <w:rPr>
                <w:rFonts w:ascii="Arial" w:cs="Arial" w:eastAsia="Arial" w:hAnsi="Arial"/>
                <w:sz w:val="16"/>
                <w:szCs w:val="16"/>
                <w:color w:val="auto"/>
              </w:rPr>
              <w:t>Current</w:t>
            </w:r>
          </w:p>
        </w:tc>
        <w:tc>
          <w:tcPr>
            <w:tcW w:w="1760" w:type="dxa"/>
            <w:vAlign w:val="bottom"/>
            <w:gridSpan w:val="2"/>
          </w:tcPr>
          <w:p>
            <w:pPr>
              <w:jc w:val="right"/>
              <w:ind w:right="559"/>
              <w:spacing w:after="0"/>
              <w:rPr>
                <w:sz w:val="20"/>
                <w:szCs w:val="20"/>
                <w:color w:val="auto"/>
              </w:rPr>
            </w:pPr>
            <w:r>
              <w:rPr>
                <w:rFonts w:ascii="Arial" w:cs="Arial" w:eastAsia="Arial" w:hAnsi="Arial"/>
                <w:sz w:val="16"/>
                <w:szCs w:val="16"/>
                <w:b w:val="1"/>
                <w:bCs w:val="1"/>
                <w:color w:val="auto"/>
              </w:rPr>
              <w:t>143</w:t>
            </w:r>
          </w:p>
        </w:tc>
        <w:tc>
          <w:tcPr>
            <w:tcW w:w="580" w:type="dxa"/>
            <w:vAlign w:val="bottom"/>
          </w:tcPr>
          <w:p>
            <w:pPr>
              <w:jc w:val="right"/>
              <w:spacing w:after="0"/>
              <w:rPr>
                <w:sz w:val="20"/>
                <w:szCs w:val="20"/>
                <w:color w:val="auto"/>
              </w:rPr>
            </w:pPr>
            <w:r>
              <w:rPr>
                <w:rFonts w:ascii="Arial" w:cs="Arial" w:eastAsia="Arial" w:hAnsi="Arial"/>
                <w:sz w:val="16"/>
                <w:szCs w:val="16"/>
                <w:color w:val="auto"/>
              </w:rPr>
              <w:t>176</w:t>
            </w:r>
          </w:p>
        </w:tc>
        <w:tc>
          <w:tcPr>
            <w:tcW w:w="120" w:type="dxa"/>
            <w:vAlign w:val="bottom"/>
          </w:tcPr>
          <w:p>
            <w:pPr>
              <w:spacing w:after="0"/>
              <w:rPr>
                <w:sz w:val="19"/>
                <w:szCs w:val="19"/>
                <w:color w:val="auto"/>
              </w:rPr>
            </w:pPr>
          </w:p>
        </w:tc>
        <w:tc>
          <w:tcPr>
            <w:tcW w:w="1640" w:type="dxa"/>
            <w:vAlign w:val="bottom"/>
          </w:tcPr>
          <w:p>
            <w:pPr>
              <w:jc w:val="right"/>
              <w:ind w:right="579"/>
              <w:spacing w:after="0"/>
              <w:rPr>
                <w:sz w:val="20"/>
                <w:szCs w:val="20"/>
                <w:color w:val="auto"/>
              </w:rPr>
            </w:pPr>
            <w:r>
              <w:rPr>
                <w:rFonts w:ascii="Arial" w:cs="Arial" w:eastAsia="Arial" w:hAnsi="Arial"/>
                <w:sz w:val="16"/>
                <w:szCs w:val="16"/>
                <w:b w:val="1"/>
                <w:bCs w:val="1"/>
                <w:color w:val="auto"/>
              </w:rPr>
              <w:t>367</w:t>
            </w:r>
          </w:p>
        </w:tc>
        <w:tc>
          <w:tcPr>
            <w:tcW w:w="580" w:type="dxa"/>
            <w:vAlign w:val="bottom"/>
          </w:tcPr>
          <w:p>
            <w:pPr>
              <w:jc w:val="right"/>
              <w:spacing w:after="0"/>
              <w:rPr>
                <w:sz w:val="20"/>
                <w:szCs w:val="20"/>
                <w:color w:val="auto"/>
              </w:rPr>
            </w:pPr>
            <w:r>
              <w:rPr>
                <w:rFonts w:ascii="Arial" w:cs="Arial" w:eastAsia="Arial" w:hAnsi="Arial"/>
                <w:sz w:val="16"/>
                <w:szCs w:val="16"/>
                <w:color w:val="auto"/>
              </w:rPr>
              <w:t>495</w:t>
            </w:r>
          </w:p>
        </w:tc>
      </w:tr>
      <w:tr>
        <w:trPr>
          <w:trHeight w:val="233"/>
        </w:trPr>
        <w:tc>
          <w:tcPr>
            <w:tcW w:w="65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Deferred</w:t>
            </w:r>
          </w:p>
        </w:tc>
        <w:tc>
          <w:tcPr>
            <w:tcW w:w="1760" w:type="dxa"/>
            <w:vAlign w:val="bottom"/>
            <w:tcBorders>
              <w:bottom w:val="single" w:sz="8" w:color="auto"/>
            </w:tcBorders>
            <w:gridSpan w:val="2"/>
          </w:tcPr>
          <w:p>
            <w:pPr>
              <w:jc w:val="right"/>
              <w:ind w:right="559"/>
              <w:spacing w:after="0"/>
              <w:rPr>
                <w:sz w:val="20"/>
                <w:szCs w:val="20"/>
                <w:color w:val="auto"/>
              </w:rPr>
            </w:pPr>
            <w:r>
              <w:rPr>
                <w:rFonts w:ascii="Arial" w:cs="Arial" w:eastAsia="Arial" w:hAnsi="Arial"/>
                <w:sz w:val="16"/>
                <w:szCs w:val="16"/>
                <w:b w:val="1"/>
                <w:bCs w:val="1"/>
                <w:color w:val="auto"/>
              </w:rPr>
              <w:t>120</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w:t>
            </w:r>
          </w:p>
        </w:tc>
        <w:tc>
          <w:tcPr>
            <w:tcW w:w="12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771</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427</w:t>
            </w:r>
          </w:p>
        </w:tc>
      </w:tr>
      <w:tr>
        <w:trPr>
          <w:trHeight w:val="223"/>
        </w:trPr>
        <w:tc>
          <w:tcPr>
            <w:tcW w:w="656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gridSpan w:val="2"/>
          </w:tcPr>
          <w:p>
            <w:pPr>
              <w:jc w:val="right"/>
              <w:ind w:right="559"/>
              <w:spacing w:after="0"/>
              <w:rPr>
                <w:sz w:val="20"/>
                <w:szCs w:val="20"/>
                <w:color w:val="auto"/>
              </w:rPr>
            </w:pPr>
            <w:r>
              <w:rPr>
                <w:rFonts w:ascii="Arial" w:cs="Arial" w:eastAsia="Arial" w:hAnsi="Arial"/>
                <w:sz w:val="16"/>
                <w:szCs w:val="16"/>
                <w:b w:val="1"/>
                <w:bCs w:val="1"/>
                <w:color w:val="auto"/>
              </w:rPr>
              <w:t>263</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223</w:t>
            </w:r>
          </w:p>
        </w:tc>
        <w:tc>
          <w:tcPr>
            <w:tcW w:w="1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1,138</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922</w:t>
            </w:r>
          </w:p>
        </w:tc>
      </w:tr>
      <w:tr>
        <w:trPr>
          <w:trHeight w:val="220"/>
        </w:trPr>
        <w:tc>
          <w:tcPr>
            <w:tcW w:w="6560" w:type="dxa"/>
            <w:vAlign w:val="bottom"/>
          </w:tcPr>
          <w:p>
            <w:pPr>
              <w:ind w:left="20"/>
              <w:spacing w:after="0"/>
              <w:rPr>
                <w:sz w:val="20"/>
                <w:szCs w:val="20"/>
                <w:color w:val="auto"/>
              </w:rPr>
            </w:pPr>
            <w:r>
              <w:rPr>
                <w:rFonts w:ascii="Arial" w:cs="Arial" w:eastAsia="Arial" w:hAnsi="Arial"/>
                <w:sz w:val="16"/>
                <w:szCs w:val="16"/>
                <w:b w:val="1"/>
                <w:bCs w:val="1"/>
                <w:color w:val="0D64EF"/>
              </w:rPr>
              <w:t>Net Income (Loss) from Continuing Operations</w:t>
            </w:r>
          </w:p>
        </w:tc>
        <w:tc>
          <w:tcPr>
            <w:tcW w:w="1760" w:type="dxa"/>
            <w:vAlign w:val="bottom"/>
            <w:gridSpan w:val="2"/>
          </w:tcPr>
          <w:p>
            <w:pPr>
              <w:jc w:val="right"/>
              <w:ind w:right="559"/>
              <w:spacing w:after="0"/>
              <w:rPr>
                <w:sz w:val="20"/>
                <w:szCs w:val="20"/>
                <w:color w:val="auto"/>
              </w:rPr>
            </w:pPr>
            <w:r>
              <w:rPr>
                <w:rFonts w:ascii="Arial" w:cs="Arial" w:eastAsia="Arial" w:hAnsi="Arial"/>
                <w:sz w:val="16"/>
                <w:szCs w:val="16"/>
                <w:b w:val="1"/>
                <w:bCs w:val="1"/>
                <w:color w:val="auto"/>
              </w:rPr>
              <w:t>1,161</w:t>
            </w:r>
          </w:p>
        </w:tc>
        <w:tc>
          <w:tcPr>
            <w:tcW w:w="580" w:type="dxa"/>
            <w:vAlign w:val="bottom"/>
          </w:tcPr>
          <w:p>
            <w:pPr>
              <w:jc w:val="right"/>
              <w:spacing w:after="0"/>
              <w:rPr>
                <w:sz w:val="20"/>
                <w:szCs w:val="20"/>
                <w:color w:val="auto"/>
              </w:rPr>
            </w:pPr>
            <w:r>
              <w:rPr>
                <w:rFonts w:ascii="Arial" w:cs="Arial" w:eastAsia="Arial" w:hAnsi="Arial"/>
                <w:sz w:val="16"/>
                <w:szCs w:val="16"/>
                <w:color w:val="auto"/>
              </w:rPr>
              <w:t>1,280</w:t>
            </w:r>
          </w:p>
        </w:tc>
        <w:tc>
          <w:tcPr>
            <w:tcW w:w="120" w:type="dxa"/>
            <w:vAlign w:val="bottom"/>
          </w:tcPr>
          <w:p>
            <w:pPr>
              <w:spacing w:after="0"/>
              <w:rPr>
                <w:sz w:val="19"/>
                <w:szCs w:val="19"/>
                <w:color w:val="auto"/>
              </w:rPr>
            </w:pPr>
          </w:p>
        </w:tc>
        <w:tc>
          <w:tcPr>
            <w:tcW w:w="1640" w:type="dxa"/>
            <w:vAlign w:val="bottom"/>
          </w:tcPr>
          <w:p>
            <w:pPr>
              <w:jc w:val="right"/>
              <w:ind w:right="579"/>
              <w:spacing w:after="0"/>
              <w:rPr>
                <w:sz w:val="20"/>
                <w:szCs w:val="20"/>
                <w:color w:val="auto"/>
              </w:rPr>
            </w:pPr>
            <w:r>
              <w:rPr>
                <w:rFonts w:ascii="Arial" w:cs="Arial" w:eastAsia="Arial" w:hAnsi="Arial"/>
                <w:sz w:val="16"/>
                <w:szCs w:val="16"/>
                <w:b w:val="1"/>
                <w:bCs w:val="1"/>
                <w:color w:val="auto"/>
              </w:rPr>
              <w:t>4,306</w:t>
            </w:r>
          </w:p>
        </w:tc>
        <w:tc>
          <w:tcPr>
            <w:tcW w:w="580" w:type="dxa"/>
            <w:vAlign w:val="bottom"/>
          </w:tcPr>
          <w:p>
            <w:pPr>
              <w:jc w:val="right"/>
              <w:spacing w:after="0"/>
              <w:rPr>
                <w:sz w:val="20"/>
                <w:szCs w:val="20"/>
                <w:color w:val="auto"/>
              </w:rPr>
            </w:pPr>
            <w:r>
              <w:rPr>
                <w:rFonts w:ascii="Arial" w:cs="Arial" w:eastAsia="Arial" w:hAnsi="Arial"/>
                <w:sz w:val="16"/>
                <w:szCs w:val="16"/>
                <w:color w:val="auto"/>
              </w:rPr>
              <w:t>4,984</w:t>
            </w:r>
          </w:p>
        </w:tc>
      </w:tr>
      <w:tr>
        <w:trPr>
          <w:trHeight w:val="233"/>
        </w:trPr>
        <w:tc>
          <w:tcPr>
            <w:tcW w:w="65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0D64EF"/>
              </w:rPr>
              <w:t>Net Income (Loss) from Discontinued Operations, Net of Tax</w:t>
            </w:r>
          </w:p>
        </w:tc>
        <w:tc>
          <w:tcPr>
            <w:tcW w:w="1760" w:type="dxa"/>
            <w:vAlign w:val="bottom"/>
            <w:tcBorders>
              <w:bottom w:val="single" w:sz="8" w:color="auto"/>
            </w:tcBorders>
            <w:gridSpan w:val="2"/>
          </w:tcPr>
          <w:p>
            <w:pPr>
              <w:jc w:val="right"/>
              <w:ind w:right="559"/>
              <w:spacing w:after="0"/>
              <w:rPr>
                <w:sz w:val="20"/>
                <w:szCs w:val="20"/>
                <w:color w:val="auto"/>
              </w:rPr>
            </w:pPr>
            <w:r>
              <w:rPr>
                <w:rFonts w:ascii="Arial" w:cs="Arial" w:eastAsia="Arial" w:hAnsi="Arial"/>
                <w:sz w:val="16"/>
                <w:szCs w:val="16"/>
                <w:b w:val="1"/>
                <w:bCs w:val="1"/>
                <w:color w:val="auto"/>
              </w:rPr>
              <w:t>21</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w:t>
            </w:r>
          </w:p>
        </w:tc>
        <w:tc>
          <w:tcPr>
            <w:tcW w:w="12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(212)</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395</w:t>
            </w:r>
          </w:p>
        </w:tc>
      </w:tr>
      <w:tr>
        <w:trPr>
          <w:trHeight w:val="220"/>
        </w:trPr>
        <w:tc>
          <w:tcPr>
            <w:tcW w:w="6560" w:type="dxa"/>
            <w:vAlign w:val="bottom"/>
          </w:tcPr>
          <w:p>
            <w:pPr>
              <w:ind w:left="20"/>
              <w:spacing w:after="0"/>
              <w:rPr>
                <w:sz w:val="20"/>
                <w:szCs w:val="20"/>
                <w:color w:val="auto"/>
              </w:rPr>
            </w:pPr>
            <w:r>
              <w:rPr>
                <w:rFonts w:ascii="Arial" w:cs="Arial" w:eastAsia="Arial" w:hAnsi="Arial"/>
                <w:sz w:val="16"/>
                <w:szCs w:val="16"/>
                <w:b w:val="1"/>
                <w:bCs w:val="1"/>
                <w:color w:val="0D64EF"/>
              </w:rPr>
              <w:t>Net Income (Loss)</w:t>
            </w:r>
          </w:p>
        </w:tc>
        <w:tc>
          <w:tcPr>
            <w:tcW w:w="1760" w:type="dxa"/>
            <w:vAlign w:val="bottom"/>
            <w:gridSpan w:val="2"/>
          </w:tcPr>
          <w:p>
            <w:pPr>
              <w:jc w:val="right"/>
              <w:ind w:right="559"/>
              <w:spacing w:after="0"/>
              <w:rPr>
                <w:sz w:val="20"/>
                <w:szCs w:val="20"/>
                <w:color w:val="auto"/>
              </w:rPr>
            </w:pPr>
            <w:r>
              <w:rPr>
                <w:rFonts w:ascii="Arial" w:cs="Arial" w:eastAsia="Arial" w:hAnsi="Arial"/>
                <w:sz w:val="16"/>
                <w:szCs w:val="16"/>
                <w:b w:val="1"/>
                <w:bCs w:val="1"/>
                <w:color w:val="auto"/>
              </w:rPr>
              <w:t>1,182</w:t>
            </w:r>
          </w:p>
        </w:tc>
        <w:tc>
          <w:tcPr>
            <w:tcW w:w="580" w:type="dxa"/>
            <w:vAlign w:val="bottom"/>
          </w:tcPr>
          <w:p>
            <w:pPr>
              <w:jc w:val="right"/>
              <w:spacing w:after="0"/>
              <w:rPr>
                <w:sz w:val="20"/>
                <w:szCs w:val="20"/>
                <w:color w:val="auto"/>
              </w:rPr>
            </w:pPr>
            <w:r>
              <w:rPr>
                <w:rFonts w:ascii="Arial" w:cs="Arial" w:eastAsia="Arial" w:hAnsi="Arial"/>
                <w:sz w:val="16"/>
                <w:szCs w:val="16"/>
                <w:color w:val="auto"/>
              </w:rPr>
              <w:t>1,182</w:t>
            </w:r>
          </w:p>
        </w:tc>
        <w:tc>
          <w:tcPr>
            <w:tcW w:w="120" w:type="dxa"/>
            <w:vAlign w:val="bottom"/>
          </w:tcPr>
          <w:p>
            <w:pPr>
              <w:spacing w:after="0"/>
              <w:rPr>
                <w:sz w:val="19"/>
                <w:szCs w:val="19"/>
                <w:color w:val="auto"/>
              </w:rPr>
            </w:pPr>
          </w:p>
        </w:tc>
        <w:tc>
          <w:tcPr>
            <w:tcW w:w="1640" w:type="dxa"/>
            <w:vAlign w:val="bottom"/>
          </w:tcPr>
          <w:p>
            <w:pPr>
              <w:jc w:val="right"/>
              <w:ind w:right="579"/>
              <w:spacing w:after="0"/>
              <w:rPr>
                <w:sz w:val="20"/>
                <w:szCs w:val="20"/>
                <w:color w:val="auto"/>
              </w:rPr>
            </w:pPr>
            <w:r>
              <w:rPr>
                <w:rFonts w:ascii="Arial" w:cs="Arial" w:eastAsia="Arial" w:hAnsi="Arial"/>
                <w:sz w:val="16"/>
                <w:szCs w:val="16"/>
                <w:b w:val="1"/>
                <w:bCs w:val="1"/>
                <w:color w:val="auto"/>
              </w:rPr>
              <w:t>4,094</w:t>
            </w:r>
          </w:p>
        </w:tc>
        <w:tc>
          <w:tcPr>
            <w:tcW w:w="580" w:type="dxa"/>
            <w:vAlign w:val="bottom"/>
          </w:tcPr>
          <w:p>
            <w:pPr>
              <w:jc w:val="right"/>
              <w:spacing w:after="0"/>
              <w:rPr>
                <w:sz w:val="20"/>
                <w:szCs w:val="20"/>
                <w:color w:val="auto"/>
              </w:rPr>
            </w:pPr>
            <w:r>
              <w:rPr>
                <w:rFonts w:ascii="Arial" w:cs="Arial" w:eastAsia="Arial" w:hAnsi="Arial"/>
                <w:sz w:val="16"/>
                <w:szCs w:val="16"/>
                <w:color w:val="auto"/>
              </w:rPr>
              <w:t>5,379</w:t>
            </w:r>
          </w:p>
        </w:tc>
      </w:tr>
      <w:tr>
        <w:trPr>
          <w:trHeight w:val="233"/>
        </w:trPr>
        <w:tc>
          <w:tcPr>
            <w:tcW w:w="65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Net income (loss) attributable to non-controlling interests</w:t>
            </w:r>
          </w:p>
        </w:tc>
        <w:tc>
          <w:tcPr>
            <w:tcW w:w="1760" w:type="dxa"/>
            <w:vAlign w:val="bottom"/>
            <w:tcBorders>
              <w:bottom w:val="single" w:sz="8" w:color="auto"/>
            </w:tcBorders>
            <w:gridSpan w:val="2"/>
          </w:tcPr>
          <w:p>
            <w:pPr>
              <w:jc w:val="right"/>
              <w:ind w:right="559"/>
              <w:spacing w:after="0"/>
              <w:rPr>
                <w:sz w:val="20"/>
                <w:szCs w:val="20"/>
                <w:color w:val="auto"/>
              </w:rPr>
            </w:pPr>
            <w:r>
              <w:rPr>
                <w:rFonts w:ascii="Arial" w:cs="Arial" w:eastAsia="Arial" w:hAnsi="Arial"/>
                <w:sz w:val="16"/>
                <w:szCs w:val="16"/>
                <w:b w:val="1"/>
                <w:bCs w:val="1"/>
                <w:color w:val="auto"/>
              </w:rPr>
              <w:t>167</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183</w:t>
            </w:r>
          </w:p>
        </w:tc>
        <w:tc>
          <w:tcPr>
            <w:tcW w:w="12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575</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681</w:t>
            </w:r>
          </w:p>
        </w:tc>
      </w:tr>
      <w:tr>
        <w:trPr>
          <w:trHeight w:val="220"/>
        </w:trPr>
        <w:tc>
          <w:tcPr>
            <w:tcW w:w="6560" w:type="dxa"/>
            <w:vAlign w:val="bottom"/>
          </w:tcPr>
          <w:p>
            <w:pPr>
              <w:ind w:left="20"/>
              <w:spacing w:after="0"/>
              <w:rPr>
                <w:sz w:val="20"/>
                <w:szCs w:val="20"/>
                <w:color w:val="auto"/>
              </w:rPr>
            </w:pPr>
            <w:r>
              <w:rPr>
                <w:rFonts w:ascii="Arial" w:cs="Arial" w:eastAsia="Arial" w:hAnsi="Arial"/>
                <w:sz w:val="16"/>
                <w:szCs w:val="16"/>
                <w:b w:val="1"/>
                <w:bCs w:val="1"/>
                <w:color w:val="0D64EF"/>
              </w:rPr>
              <w:t>Net Income (Loss) Attributable to Controlling Interests</w:t>
            </w:r>
          </w:p>
        </w:tc>
        <w:tc>
          <w:tcPr>
            <w:tcW w:w="1760" w:type="dxa"/>
            <w:vAlign w:val="bottom"/>
            <w:gridSpan w:val="2"/>
          </w:tcPr>
          <w:p>
            <w:pPr>
              <w:jc w:val="right"/>
              <w:ind w:right="559"/>
              <w:spacing w:after="0"/>
              <w:rPr>
                <w:sz w:val="20"/>
                <w:szCs w:val="20"/>
                <w:color w:val="auto"/>
              </w:rPr>
            </w:pPr>
            <w:r>
              <w:rPr>
                <w:rFonts w:ascii="Arial" w:cs="Arial" w:eastAsia="Arial" w:hAnsi="Arial"/>
                <w:sz w:val="16"/>
                <w:szCs w:val="16"/>
                <w:b w:val="1"/>
                <w:bCs w:val="1"/>
                <w:color w:val="auto"/>
              </w:rPr>
              <w:t>1,015</w:t>
            </w:r>
          </w:p>
        </w:tc>
        <w:tc>
          <w:tcPr>
            <w:tcW w:w="580" w:type="dxa"/>
            <w:vAlign w:val="bottom"/>
          </w:tcPr>
          <w:p>
            <w:pPr>
              <w:jc w:val="right"/>
              <w:spacing w:after="0"/>
              <w:rPr>
                <w:sz w:val="20"/>
                <w:szCs w:val="20"/>
                <w:color w:val="auto"/>
              </w:rPr>
            </w:pPr>
            <w:r>
              <w:rPr>
                <w:rFonts w:ascii="Arial" w:cs="Arial" w:eastAsia="Arial" w:hAnsi="Arial"/>
                <w:sz w:val="16"/>
                <w:szCs w:val="16"/>
                <w:color w:val="auto"/>
              </w:rPr>
              <w:t>999</w:t>
            </w:r>
          </w:p>
        </w:tc>
        <w:tc>
          <w:tcPr>
            <w:tcW w:w="120" w:type="dxa"/>
            <w:vAlign w:val="bottom"/>
          </w:tcPr>
          <w:p>
            <w:pPr>
              <w:spacing w:after="0"/>
              <w:rPr>
                <w:sz w:val="19"/>
                <w:szCs w:val="19"/>
                <w:color w:val="auto"/>
              </w:rPr>
            </w:pPr>
          </w:p>
        </w:tc>
        <w:tc>
          <w:tcPr>
            <w:tcW w:w="1640" w:type="dxa"/>
            <w:vAlign w:val="bottom"/>
          </w:tcPr>
          <w:p>
            <w:pPr>
              <w:jc w:val="right"/>
              <w:ind w:right="579"/>
              <w:spacing w:after="0"/>
              <w:rPr>
                <w:sz w:val="20"/>
                <w:szCs w:val="20"/>
                <w:color w:val="auto"/>
              </w:rPr>
            </w:pPr>
            <w:r>
              <w:rPr>
                <w:rFonts w:ascii="Arial" w:cs="Arial" w:eastAsia="Arial" w:hAnsi="Arial"/>
                <w:sz w:val="16"/>
                <w:szCs w:val="16"/>
                <w:b w:val="1"/>
                <w:bCs w:val="1"/>
                <w:color w:val="auto"/>
              </w:rPr>
              <w:t>3,519</w:t>
            </w:r>
          </w:p>
        </w:tc>
        <w:tc>
          <w:tcPr>
            <w:tcW w:w="580" w:type="dxa"/>
            <w:vAlign w:val="bottom"/>
          </w:tcPr>
          <w:p>
            <w:pPr>
              <w:jc w:val="right"/>
              <w:spacing w:after="0"/>
              <w:rPr>
                <w:sz w:val="20"/>
                <w:szCs w:val="20"/>
                <w:color w:val="auto"/>
              </w:rPr>
            </w:pPr>
            <w:r>
              <w:rPr>
                <w:rFonts w:ascii="Arial" w:cs="Arial" w:eastAsia="Arial" w:hAnsi="Arial"/>
                <w:sz w:val="16"/>
                <w:szCs w:val="16"/>
                <w:color w:val="auto"/>
              </w:rPr>
              <w:t>4,698</w:t>
            </w:r>
          </w:p>
        </w:tc>
      </w:tr>
      <w:tr>
        <w:trPr>
          <w:trHeight w:val="233"/>
        </w:trPr>
        <w:tc>
          <w:tcPr>
            <w:tcW w:w="65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Preferred share dividends</w:t>
            </w:r>
          </w:p>
        </w:tc>
        <w:tc>
          <w:tcPr>
            <w:tcW w:w="1760" w:type="dxa"/>
            <w:vAlign w:val="bottom"/>
            <w:tcBorders>
              <w:bottom w:val="single" w:sz="8" w:color="auto"/>
            </w:tcBorders>
            <w:gridSpan w:val="2"/>
          </w:tcPr>
          <w:p>
            <w:pPr>
              <w:jc w:val="right"/>
              <w:ind w:right="559"/>
              <w:spacing w:after="0"/>
              <w:rPr>
                <w:sz w:val="20"/>
                <w:szCs w:val="20"/>
                <w:color w:val="auto"/>
              </w:rPr>
            </w:pPr>
            <w:r>
              <w:rPr>
                <w:rFonts w:ascii="Arial" w:cs="Arial" w:eastAsia="Arial" w:hAnsi="Arial"/>
                <w:sz w:val="16"/>
                <w:szCs w:val="16"/>
                <w:b w:val="1"/>
                <w:bCs w:val="1"/>
                <w:color w:val="auto"/>
              </w:rPr>
              <w:t>35</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w:t>
            </w:r>
          </w:p>
        </w:tc>
        <w:tc>
          <w:tcPr>
            <w:tcW w:w="12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119</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w:t>
            </w:r>
          </w:p>
        </w:tc>
      </w:tr>
      <w:tr>
        <w:trPr>
          <w:trHeight w:val="223"/>
        </w:trPr>
        <w:tc>
          <w:tcPr>
            <w:tcW w:w="65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0D64EF"/>
              </w:rPr>
              <w:t>Net Income (Loss) Attributable to Common Shares</w:t>
            </w:r>
          </w:p>
        </w:tc>
        <w:tc>
          <w:tcPr>
            <w:tcW w:w="1760" w:type="dxa"/>
            <w:vAlign w:val="bottom"/>
            <w:tcBorders>
              <w:bottom w:val="single" w:sz="8" w:color="auto"/>
            </w:tcBorders>
            <w:gridSpan w:val="2"/>
          </w:tcPr>
          <w:p>
            <w:pPr>
              <w:jc w:val="right"/>
              <w:ind w:right="559"/>
              <w:spacing w:after="0"/>
              <w:rPr>
                <w:sz w:val="20"/>
                <w:szCs w:val="20"/>
                <w:color w:val="auto"/>
              </w:rPr>
            </w:pPr>
            <w:r>
              <w:rPr>
                <w:rFonts w:ascii="Arial" w:cs="Arial" w:eastAsia="Arial" w:hAnsi="Arial"/>
                <w:sz w:val="16"/>
                <w:szCs w:val="16"/>
                <w:b w:val="1"/>
                <w:bCs w:val="1"/>
                <w:color w:val="auto"/>
              </w:rPr>
              <w:t>980</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971</w:t>
            </w:r>
          </w:p>
        </w:tc>
        <w:tc>
          <w:tcPr>
            <w:tcW w:w="1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3,400</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4,594</w:t>
            </w:r>
          </w:p>
        </w:tc>
      </w:tr>
      <w:tr>
        <w:trPr>
          <w:trHeight w:val="421"/>
        </w:trPr>
        <w:tc>
          <w:tcPr>
            <w:tcW w:w="6560" w:type="dxa"/>
            <w:vAlign w:val="bottom"/>
          </w:tcPr>
          <w:p>
            <w:pPr>
              <w:ind w:left="20"/>
              <w:spacing w:after="0"/>
              <w:rPr>
                <w:sz w:val="20"/>
                <w:szCs w:val="20"/>
                <w:color w:val="auto"/>
              </w:rPr>
            </w:pPr>
            <w:r>
              <w:rPr>
                <w:rFonts w:ascii="Arial" w:cs="Arial" w:eastAsia="Arial" w:hAnsi="Arial"/>
                <w:sz w:val="16"/>
                <w:szCs w:val="16"/>
                <w:b w:val="1"/>
                <w:bCs w:val="1"/>
                <w:color w:val="0D64EF"/>
              </w:rPr>
              <w:t>Amounts Attributable to Common Shares</w:t>
            </w:r>
          </w:p>
        </w:tc>
        <w:tc>
          <w:tcPr>
            <w:tcW w:w="1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30"/>
        </w:trPr>
        <w:tc>
          <w:tcPr>
            <w:tcW w:w="6560" w:type="dxa"/>
            <w:vAlign w:val="bottom"/>
          </w:tcPr>
          <w:p>
            <w:pPr>
              <w:ind w:left="20"/>
              <w:spacing w:after="0"/>
              <w:rPr>
                <w:sz w:val="20"/>
                <w:szCs w:val="20"/>
                <w:color w:val="auto"/>
              </w:rPr>
            </w:pPr>
            <w:r>
              <w:rPr>
                <w:rFonts w:ascii="Arial" w:cs="Arial" w:eastAsia="Arial" w:hAnsi="Arial"/>
                <w:sz w:val="16"/>
                <w:szCs w:val="16"/>
                <w:color w:val="auto"/>
              </w:rPr>
              <w:t>Net income (loss) from continuing operations</w:t>
            </w:r>
          </w:p>
        </w:tc>
        <w:tc>
          <w:tcPr>
            <w:tcW w:w="1760" w:type="dxa"/>
            <w:vAlign w:val="bottom"/>
            <w:gridSpan w:val="2"/>
          </w:tcPr>
          <w:p>
            <w:pPr>
              <w:jc w:val="right"/>
              <w:ind w:right="559"/>
              <w:spacing w:after="0"/>
              <w:rPr>
                <w:sz w:val="20"/>
                <w:szCs w:val="20"/>
                <w:color w:val="auto"/>
              </w:rPr>
            </w:pPr>
            <w:r>
              <w:rPr>
                <w:rFonts w:ascii="Arial" w:cs="Arial" w:eastAsia="Arial" w:hAnsi="Arial"/>
                <w:sz w:val="16"/>
                <w:szCs w:val="16"/>
                <w:b w:val="1"/>
                <w:bCs w:val="1"/>
                <w:color w:val="auto"/>
              </w:rPr>
              <w:t>1,161</w:t>
            </w:r>
          </w:p>
        </w:tc>
        <w:tc>
          <w:tcPr>
            <w:tcW w:w="580" w:type="dxa"/>
            <w:vAlign w:val="bottom"/>
          </w:tcPr>
          <w:p>
            <w:pPr>
              <w:jc w:val="right"/>
              <w:spacing w:after="0"/>
              <w:rPr>
                <w:sz w:val="20"/>
                <w:szCs w:val="20"/>
                <w:color w:val="auto"/>
              </w:rPr>
            </w:pPr>
            <w:r>
              <w:rPr>
                <w:rFonts w:ascii="Arial" w:cs="Arial" w:eastAsia="Arial" w:hAnsi="Arial"/>
                <w:sz w:val="16"/>
                <w:szCs w:val="16"/>
                <w:color w:val="auto"/>
              </w:rPr>
              <w:t>1,280</w:t>
            </w:r>
          </w:p>
        </w:tc>
        <w:tc>
          <w:tcPr>
            <w:tcW w:w="120" w:type="dxa"/>
            <w:vAlign w:val="bottom"/>
          </w:tcPr>
          <w:p>
            <w:pPr>
              <w:spacing w:after="0"/>
              <w:rPr>
                <w:sz w:val="19"/>
                <w:szCs w:val="19"/>
                <w:color w:val="auto"/>
              </w:rPr>
            </w:pPr>
          </w:p>
        </w:tc>
        <w:tc>
          <w:tcPr>
            <w:tcW w:w="1640" w:type="dxa"/>
            <w:vAlign w:val="bottom"/>
          </w:tcPr>
          <w:p>
            <w:pPr>
              <w:jc w:val="right"/>
              <w:ind w:right="579"/>
              <w:spacing w:after="0"/>
              <w:rPr>
                <w:sz w:val="20"/>
                <w:szCs w:val="20"/>
                <w:color w:val="auto"/>
              </w:rPr>
            </w:pPr>
            <w:r>
              <w:rPr>
                <w:rFonts w:ascii="Arial" w:cs="Arial" w:eastAsia="Arial" w:hAnsi="Arial"/>
                <w:sz w:val="16"/>
                <w:szCs w:val="16"/>
                <w:b w:val="1"/>
                <w:bCs w:val="1"/>
                <w:color w:val="auto"/>
              </w:rPr>
              <w:t>4,306</w:t>
            </w:r>
          </w:p>
        </w:tc>
        <w:tc>
          <w:tcPr>
            <w:tcW w:w="580" w:type="dxa"/>
            <w:vAlign w:val="bottom"/>
          </w:tcPr>
          <w:p>
            <w:pPr>
              <w:jc w:val="right"/>
              <w:spacing w:after="0"/>
              <w:rPr>
                <w:sz w:val="20"/>
                <w:szCs w:val="20"/>
                <w:color w:val="auto"/>
              </w:rPr>
            </w:pPr>
            <w:r>
              <w:rPr>
                <w:rFonts w:ascii="Arial" w:cs="Arial" w:eastAsia="Arial" w:hAnsi="Arial"/>
                <w:sz w:val="16"/>
                <w:szCs w:val="16"/>
                <w:color w:val="auto"/>
              </w:rPr>
              <w:t>4,984</w:t>
            </w:r>
          </w:p>
        </w:tc>
      </w:tr>
      <w:tr>
        <w:trPr>
          <w:trHeight w:val="233"/>
        </w:trPr>
        <w:tc>
          <w:tcPr>
            <w:tcW w:w="65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Net income (loss) attributable to non-controlling interests</w:t>
            </w:r>
          </w:p>
        </w:tc>
        <w:tc>
          <w:tcPr>
            <w:tcW w:w="1760" w:type="dxa"/>
            <w:vAlign w:val="bottom"/>
            <w:tcBorders>
              <w:bottom w:val="single" w:sz="8" w:color="auto"/>
            </w:tcBorders>
            <w:gridSpan w:val="2"/>
          </w:tcPr>
          <w:p>
            <w:pPr>
              <w:jc w:val="right"/>
              <w:ind w:right="559"/>
              <w:spacing w:after="0"/>
              <w:rPr>
                <w:sz w:val="20"/>
                <w:szCs w:val="20"/>
                <w:color w:val="auto"/>
              </w:rPr>
            </w:pPr>
            <w:r>
              <w:rPr>
                <w:rFonts w:ascii="Arial" w:cs="Arial" w:eastAsia="Arial" w:hAnsi="Arial"/>
                <w:sz w:val="16"/>
                <w:szCs w:val="16"/>
                <w:b w:val="1"/>
                <w:bCs w:val="1"/>
                <w:color w:val="auto"/>
              </w:rPr>
              <w:t>167</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183</w:t>
            </w:r>
          </w:p>
        </w:tc>
        <w:tc>
          <w:tcPr>
            <w:tcW w:w="12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575</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681</w:t>
            </w:r>
          </w:p>
        </w:tc>
      </w:tr>
      <w:tr>
        <w:trPr>
          <w:trHeight w:val="220"/>
        </w:trPr>
        <w:tc>
          <w:tcPr>
            <w:tcW w:w="6560" w:type="dxa"/>
            <w:vAlign w:val="bottom"/>
          </w:tcPr>
          <w:p>
            <w:pPr>
              <w:ind w:left="20"/>
              <w:spacing w:after="0"/>
              <w:rPr>
                <w:sz w:val="20"/>
                <w:szCs w:val="20"/>
                <w:color w:val="auto"/>
              </w:rPr>
            </w:pPr>
            <w:r>
              <w:rPr>
                <w:rFonts w:ascii="Arial" w:cs="Arial" w:eastAsia="Arial" w:hAnsi="Arial"/>
                <w:sz w:val="16"/>
                <w:szCs w:val="16"/>
                <w:color w:val="auto"/>
              </w:rPr>
              <w:t>Net income (loss) attributable to controlling interests from continuing operations</w:t>
            </w:r>
          </w:p>
        </w:tc>
        <w:tc>
          <w:tcPr>
            <w:tcW w:w="1760" w:type="dxa"/>
            <w:vAlign w:val="bottom"/>
            <w:gridSpan w:val="2"/>
          </w:tcPr>
          <w:p>
            <w:pPr>
              <w:jc w:val="right"/>
              <w:ind w:right="559"/>
              <w:spacing w:after="0"/>
              <w:rPr>
                <w:sz w:val="20"/>
                <w:szCs w:val="20"/>
                <w:color w:val="auto"/>
              </w:rPr>
            </w:pPr>
            <w:r>
              <w:rPr>
                <w:rFonts w:ascii="Arial" w:cs="Arial" w:eastAsia="Arial" w:hAnsi="Arial"/>
                <w:sz w:val="16"/>
                <w:szCs w:val="16"/>
                <w:b w:val="1"/>
                <w:bCs w:val="1"/>
                <w:color w:val="auto"/>
              </w:rPr>
              <w:t>994</w:t>
            </w:r>
          </w:p>
        </w:tc>
        <w:tc>
          <w:tcPr>
            <w:tcW w:w="580" w:type="dxa"/>
            <w:vAlign w:val="bottom"/>
          </w:tcPr>
          <w:p>
            <w:pPr>
              <w:jc w:val="right"/>
              <w:spacing w:after="0"/>
              <w:rPr>
                <w:sz w:val="20"/>
                <w:szCs w:val="20"/>
                <w:color w:val="auto"/>
              </w:rPr>
            </w:pPr>
            <w:r>
              <w:rPr>
                <w:rFonts w:ascii="Arial" w:cs="Arial" w:eastAsia="Arial" w:hAnsi="Arial"/>
                <w:sz w:val="16"/>
                <w:szCs w:val="16"/>
                <w:color w:val="auto"/>
              </w:rPr>
              <w:t>1,097</w:t>
            </w:r>
          </w:p>
        </w:tc>
        <w:tc>
          <w:tcPr>
            <w:tcW w:w="120" w:type="dxa"/>
            <w:vAlign w:val="bottom"/>
          </w:tcPr>
          <w:p>
            <w:pPr>
              <w:spacing w:after="0"/>
              <w:rPr>
                <w:sz w:val="19"/>
                <w:szCs w:val="19"/>
                <w:color w:val="auto"/>
              </w:rPr>
            </w:pPr>
          </w:p>
        </w:tc>
        <w:tc>
          <w:tcPr>
            <w:tcW w:w="1640" w:type="dxa"/>
            <w:vAlign w:val="bottom"/>
          </w:tcPr>
          <w:p>
            <w:pPr>
              <w:jc w:val="right"/>
              <w:ind w:right="579"/>
              <w:spacing w:after="0"/>
              <w:rPr>
                <w:sz w:val="20"/>
                <w:szCs w:val="20"/>
                <w:color w:val="auto"/>
              </w:rPr>
            </w:pPr>
            <w:r>
              <w:rPr>
                <w:rFonts w:ascii="Arial" w:cs="Arial" w:eastAsia="Arial" w:hAnsi="Arial"/>
                <w:sz w:val="16"/>
                <w:szCs w:val="16"/>
                <w:b w:val="1"/>
                <w:bCs w:val="1"/>
                <w:color w:val="auto"/>
              </w:rPr>
              <w:t>3,731</w:t>
            </w:r>
          </w:p>
        </w:tc>
        <w:tc>
          <w:tcPr>
            <w:tcW w:w="580" w:type="dxa"/>
            <w:vAlign w:val="bottom"/>
          </w:tcPr>
          <w:p>
            <w:pPr>
              <w:jc w:val="right"/>
              <w:spacing w:after="0"/>
              <w:rPr>
                <w:sz w:val="20"/>
                <w:szCs w:val="20"/>
                <w:color w:val="auto"/>
              </w:rPr>
            </w:pPr>
            <w:r>
              <w:rPr>
                <w:rFonts w:ascii="Arial" w:cs="Arial" w:eastAsia="Arial" w:hAnsi="Arial"/>
                <w:sz w:val="16"/>
                <w:szCs w:val="16"/>
                <w:color w:val="auto"/>
              </w:rPr>
              <w:t>4,303</w:t>
            </w:r>
          </w:p>
        </w:tc>
      </w:tr>
      <w:tr>
        <w:trPr>
          <w:trHeight w:val="233"/>
        </w:trPr>
        <w:tc>
          <w:tcPr>
            <w:tcW w:w="65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Preferred share dividends</w:t>
            </w:r>
          </w:p>
        </w:tc>
        <w:tc>
          <w:tcPr>
            <w:tcW w:w="1760" w:type="dxa"/>
            <w:vAlign w:val="bottom"/>
            <w:tcBorders>
              <w:bottom w:val="single" w:sz="8" w:color="auto"/>
            </w:tcBorders>
            <w:gridSpan w:val="2"/>
          </w:tcPr>
          <w:p>
            <w:pPr>
              <w:jc w:val="right"/>
              <w:ind w:right="559"/>
              <w:spacing w:after="0"/>
              <w:rPr>
                <w:sz w:val="20"/>
                <w:szCs w:val="20"/>
                <w:color w:val="auto"/>
              </w:rPr>
            </w:pPr>
            <w:r>
              <w:rPr>
                <w:rFonts w:ascii="Arial" w:cs="Arial" w:eastAsia="Arial" w:hAnsi="Arial"/>
                <w:sz w:val="16"/>
                <w:szCs w:val="16"/>
                <w:b w:val="1"/>
                <w:bCs w:val="1"/>
                <w:color w:val="auto"/>
              </w:rPr>
              <w:t>35</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w:t>
            </w:r>
          </w:p>
        </w:tc>
        <w:tc>
          <w:tcPr>
            <w:tcW w:w="12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119</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w:t>
            </w:r>
          </w:p>
        </w:tc>
      </w:tr>
      <w:tr>
        <w:trPr>
          <w:trHeight w:val="220"/>
        </w:trPr>
        <w:tc>
          <w:tcPr>
            <w:tcW w:w="6560" w:type="dxa"/>
            <w:vAlign w:val="bottom"/>
          </w:tcPr>
          <w:p>
            <w:pPr>
              <w:ind w:left="20"/>
              <w:spacing w:after="0"/>
              <w:rPr>
                <w:sz w:val="20"/>
                <w:szCs w:val="20"/>
                <w:color w:val="auto"/>
              </w:rPr>
            </w:pPr>
            <w:r>
              <w:rPr>
                <w:rFonts w:ascii="Arial" w:cs="Arial" w:eastAsia="Arial" w:hAnsi="Arial"/>
                <w:sz w:val="16"/>
                <w:szCs w:val="16"/>
                <w:color w:val="auto"/>
              </w:rPr>
              <w:t>Net income (loss) attributable to common shares from continuing operations</w:t>
            </w:r>
          </w:p>
        </w:tc>
        <w:tc>
          <w:tcPr>
            <w:tcW w:w="1760" w:type="dxa"/>
            <w:vAlign w:val="bottom"/>
            <w:gridSpan w:val="2"/>
          </w:tcPr>
          <w:p>
            <w:pPr>
              <w:jc w:val="right"/>
              <w:ind w:right="559"/>
              <w:spacing w:after="0"/>
              <w:rPr>
                <w:sz w:val="20"/>
                <w:szCs w:val="20"/>
                <w:color w:val="auto"/>
              </w:rPr>
            </w:pPr>
            <w:r>
              <w:rPr>
                <w:rFonts w:ascii="Arial" w:cs="Arial" w:eastAsia="Arial" w:hAnsi="Arial"/>
                <w:sz w:val="16"/>
                <w:szCs w:val="16"/>
                <w:b w:val="1"/>
                <w:bCs w:val="1"/>
                <w:color w:val="auto"/>
              </w:rPr>
              <w:t>959</w:t>
            </w:r>
          </w:p>
        </w:tc>
        <w:tc>
          <w:tcPr>
            <w:tcW w:w="580" w:type="dxa"/>
            <w:vAlign w:val="bottom"/>
          </w:tcPr>
          <w:p>
            <w:pPr>
              <w:jc w:val="right"/>
              <w:spacing w:after="0"/>
              <w:rPr>
                <w:sz w:val="20"/>
                <w:szCs w:val="20"/>
                <w:color w:val="auto"/>
              </w:rPr>
            </w:pPr>
            <w:r>
              <w:rPr>
                <w:rFonts w:ascii="Arial" w:cs="Arial" w:eastAsia="Arial" w:hAnsi="Arial"/>
                <w:sz w:val="16"/>
                <w:szCs w:val="16"/>
                <w:color w:val="auto"/>
              </w:rPr>
              <w:t>1,069</w:t>
            </w:r>
          </w:p>
        </w:tc>
        <w:tc>
          <w:tcPr>
            <w:tcW w:w="120" w:type="dxa"/>
            <w:vAlign w:val="bottom"/>
          </w:tcPr>
          <w:p>
            <w:pPr>
              <w:spacing w:after="0"/>
              <w:rPr>
                <w:sz w:val="19"/>
                <w:szCs w:val="19"/>
                <w:color w:val="auto"/>
              </w:rPr>
            </w:pPr>
          </w:p>
        </w:tc>
        <w:tc>
          <w:tcPr>
            <w:tcW w:w="1640" w:type="dxa"/>
            <w:vAlign w:val="bottom"/>
          </w:tcPr>
          <w:p>
            <w:pPr>
              <w:jc w:val="right"/>
              <w:ind w:right="579"/>
              <w:spacing w:after="0"/>
              <w:rPr>
                <w:sz w:val="20"/>
                <w:szCs w:val="20"/>
                <w:color w:val="auto"/>
              </w:rPr>
            </w:pPr>
            <w:r>
              <w:rPr>
                <w:rFonts w:ascii="Arial" w:cs="Arial" w:eastAsia="Arial" w:hAnsi="Arial"/>
                <w:sz w:val="16"/>
                <w:szCs w:val="16"/>
                <w:b w:val="1"/>
                <w:bCs w:val="1"/>
                <w:color w:val="auto"/>
              </w:rPr>
              <w:t>3,612</w:t>
            </w:r>
          </w:p>
        </w:tc>
        <w:tc>
          <w:tcPr>
            <w:tcW w:w="580" w:type="dxa"/>
            <w:vAlign w:val="bottom"/>
          </w:tcPr>
          <w:p>
            <w:pPr>
              <w:jc w:val="right"/>
              <w:spacing w:after="0"/>
              <w:rPr>
                <w:sz w:val="20"/>
                <w:szCs w:val="20"/>
                <w:color w:val="auto"/>
              </w:rPr>
            </w:pPr>
            <w:r>
              <w:rPr>
                <w:rFonts w:ascii="Arial" w:cs="Arial" w:eastAsia="Arial" w:hAnsi="Arial"/>
                <w:sz w:val="16"/>
                <w:szCs w:val="16"/>
                <w:color w:val="auto"/>
              </w:rPr>
              <w:t>4,199</w:t>
            </w:r>
          </w:p>
        </w:tc>
      </w:tr>
      <w:tr>
        <w:trPr>
          <w:trHeight w:val="233"/>
        </w:trPr>
        <w:tc>
          <w:tcPr>
            <w:tcW w:w="65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Net income (loss) from discontinued operations, net of tax</w:t>
            </w:r>
          </w:p>
        </w:tc>
        <w:tc>
          <w:tcPr>
            <w:tcW w:w="1760" w:type="dxa"/>
            <w:vAlign w:val="bottom"/>
            <w:tcBorders>
              <w:bottom w:val="single" w:sz="8" w:color="auto"/>
            </w:tcBorders>
            <w:gridSpan w:val="2"/>
          </w:tcPr>
          <w:p>
            <w:pPr>
              <w:jc w:val="right"/>
              <w:ind w:right="559"/>
              <w:spacing w:after="0"/>
              <w:rPr>
                <w:sz w:val="20"/>
                <w:szCs w:val="20"/>
                <w:color w:val="auto"/>
              </w:rPr>
            </w:pPr>
            <w:r>
              <w:rPr>
                <w:rFonts w:ascii="Arial" w:cs="Arial" w:eastAsia="Arial" w:hAnsi="Arial"/>
                <w:sz w:val="16"/>
                <w:szCs w:val="16"/>
                <w:b w:val="1"/>
                <w:bCs w:val="1"/>
                <w:color w:val="auto"/>
              </w:rPr>
              <w:t>21</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w:t>
            </w:r>
          </w:p>
        </w:tc>
        <w:tc>
          <w:tcPr>
            <w:tcW w:w="12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(212)</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395</w:t>
            </w:r>
          </w:p>
        </w:tc>
      </w:tr>
      <w:tr>
        <w:trPr>
          <w:trHeight w:val="223"/>
        </w:trPr>
        <w:tc>
          <w:tcPr>
            <w:tcW w:w="65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0D64EF"/>
              </w:rPr>
              <w:t>Net Income (Loss) Attributable to Common Shares</w:t>
            </w:r>
          </w:p>
        </w:tc>
        <w:tc>
          <w:tcPr>
            <w:tcW w:w="1760" w:type="dxa"/>
            <w:vAlign w:val="bottom"/>
            <w:tcBorders>
              <w:bottom w:val="single" w:sz="8" w:color="auto"/>
            </w:tcBorders>
            <w:gridSpan w:val="2"/>
          </w:tcPr>
          <w:p>
            <w:pPr>
              <w:jc w:val="right"/>
              <w:ind w:right="559"/>
              <w:spacing w:after="0"/>
              <w:rPr>
                <w:sz w:val="20"/>
                <w:szCs w:val="20"/>
                <w:color w:val="auto"/>
              </w:rPr>
            </w:pPr>
            <w:r>
              <w:rPr>
                <w:rFonts w:ascii="Arial" w:cs="Arial" w:eastAsia="Arial" w:hAnsi="Arial"/>
                <w:sz w:val="16"/>
                <w:szCs w:val="16"/>
                <w:b w:val="1"/>
                <w:bCs w:val="1"/>
                <w:color w:val="auto"/>
              </w:rPr>
              <w:t>980</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971</w:t>
            </w:r>
          </w:p>
        </w:tc>
        <w:tc>
          <w:tcPr>
            <w:tcW w:w="1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3,400</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4,594</w:t>
            </w:r>
          </w:p>
        </w:tc>
      </w:tr>
      <w:tr>
        <w:trPr>
          <w:trHeight w:val="421"/>
        </w:trPr>
        <w:tc>
          <w:tcPr>
            <w:tcW w:w="6560" w:type="dxa"/>
            <w:vAlign w:val="bottom"/>
          </w:tcPr>
          <w:p>
            <w:pPr>
              <w:ind w:left="20"/>
              <w:spacing w:after="0"/>
              <w:rPr>
                <w:sz w:val="20"/>
                <w:szCs w:val="20"/>
                <w:color w:val="auto"/>
              </w:rPr>
            </w:pPr>
            <w:r>
              <w:rPr>
                <w:rFonts w:ascii="Arial" w:cs="Arial" w:eastAsia="Arial" w:hAnsi="Arial"/>
                <w:sz w:val="16"/>
                <w:szCs w:val="16"/>
                <w:b w:val="1"/>
                <w:bCs w:val="1"/>
                <w:color w:val="0D64EF"/>
              </w:rPr>
              <w:t>Net Income (Loss) per Common Share - Basic and Diluted</w:t>
            </w:r>
          </w:p>
        </w:tc>
        <w:tc>
          <w:tcPr>
            <w:tcW w:w="1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29"/>
        </w:trPr>
        <w:tc>
          <w:tcPr>
            <w:tcW w:w="6560" w:type="dxa"/>
            <w:vAlign w:val="bottom"/>
          </w:tcPr>
          <w:p>
            <w:pPr>
              <w:ind w:left="20"/>
              <w:spacing w:after="0"/>
              <w:rPr>
                <w:sz w:val="20"/>
                <w:szCs w:val="20"/>
                <w:color w:val="auto"/>
              </w:rPr>
            </w:pPr>
            <w:r>
              <w:rPr>
                <w:rFonts w:ascii="Arial" w:cs="Arial" w:eastAsia="Arial" w:hAnsi="Arial"/>
                <w:sz w:val="16"/>
                <w:szCs w:val="16"/>
                <w:color w:val="auto"/>
              </w:rPr>
              <w:t>Continuing operations</w:t>
            </w:r>
          </w:p>
        </w:tc>
        <w:tc>
          <w:tcPr>
            <w:tcW w:w="1760" w:type="dxa"/>
            <w:vAlign w:val="bottom"/>
            <w:gridSpan w:val="2"/>
          </w:tcPr>
          <w:p>
            <w:pPr>
              <w:jc w:val="right"/>
              <w:ind w:right="559"/>
              <w:spacing w:after="0"/>
              <w:rPr>
                <w:sz w:val="20"/>
                <w:szCs w:val="20"/>
                <w:color w:val="auto"/>
              </w:rPr>
            </w:pPr>
            <w:r>
              <w:rPr>
                <w:rFonts w:ascii="Arial" w:cs="Arial" w:eastAsia="Arial" w:hAnsi="Arial"/>
                <w:sz w:val="16"/>
                <w:szCs w:val="16"/>
                <w:b w:val="1"/>
                <w:bCs w:val="1"/>
                <w:color w:val="auto"/>
              </w:rPr>
              <w:t>$0.92</w:t>
            </w:r>
          </w:p>
        </w:tc>
        <w:tc>
          <w:tcPr>
            <w:tcW w:w="580" w:type="dxa"/>
            <w:vAlign w:val="bottom"/>
          </w:tcPr>
          <w:p>
            <w:pPr>
              <w:jc w:val="right"/>
              <w:spacing w:after="0"/>
              <w:rPr>
                <w:sz w:val="20"/>
                <w:szCs w:val="20"/>
                <w:color w:val="auto"/>
              </w:rPr>
            </w:pPr>
            <w:r>
              <w:rPr>
                <w:rFonts w:ascii="Arial" w:cs="Arial" w:eastAsia="Arial" w:hAnsi="Arial"/>
                <w:sz w:val="16"/>
                <w:szCs w:val="16"/>
                <w:color w:val="auto"/>
              </w:rPr>
              <w:t>$1.03</w:t>
            </w:r>
          </w:p>
        </w:tc>
        <w:tc>
          <w:tcPr>
            <w:tcW w:w="120" w:type="dxa"/>
            <w:vAlign w:val="bottom"/>
          </w:tcPr>
          <w:p>
            <w:pPr>
              <w:spacing w:after="0"/>
              <w:rPr>
                <w:sz w:val="19"/>
                <w:szCs w:val="19"/>
                <w:color w:val="auto"/>
              </w:rPr>
            </w:pPr>
          </w:p>
        </w:tc>
        <w:tc>
          <w:tcPr>
            <w:tcW w:w="1640" w:type="dxa"/>
            <w:vAlign w:val="bottom"/>
          </w:tcPr>
          <w:p>
            <w:pPr>
              <w:jc w:val="right"/>
              <w:ind w:right="579"/>
              <w:spacing w:after="0"/>
              <w:rPr>
                <w:sz w:val="20"/>
                <w:szCs w:val="20"/>
                <w:color w:val="auto"/>
              </w:rPr>
            </w:pPr>
            <w:r>
              <w:rPr>
                <w:rFonts w:ascii="Arial" w:cs="Arial" w:eastAsia="Arial" w:hAnsi="Arial"/>
                <w:sz w:val="16"/>
                <w:szCs w:val="16"/>
                <w:b w:val="1"/>
                <w:bCs w:val="1"/>
                <w:color w:val="auto"/>
              </w:rPr>
              <w:t>$3.47</w:t>
            </w:r>
          </w:p>
        </w:tc>
        <w:tc>
          <w:tcPr>
            <w:tcW w:w="580" w:type="dxa"/>
            <w:vAlign w:val="bottom"/>
          </w:tcPr>
          <w:p>
            <w:pPr>
              <w:jc w:val="right"/>
              <w:spacing w:after="0"/>
              <w:rPr>
                <w:sz w:val="20"/>
                <w:szCs w:val="20"/>
                <w:color w:val="auto"/>
              </w:rPr>
            </w:pPr>
            <w:r>
              <w:rPr>
                <w:rFonts w:ascii="Arial" w:cs="Arial" w:eastAsia="Arial" w:hAnsi="Arial"/>
                <w:sz w:val="16"/>
                <w:szCs w:val="16"/>
                <w:color w:val="auto"/>
              </w:rPr>
              <w:t>$4.05</w:t>
            </w:r>
          </w:p>
        </w:tc>
      </w:tr>
      <w:tr>
        <w:trPr>
          <w:trHeight w:val="233"/>
        </w:trPr>
        <w:tc>
          <w:tcPr>
            <w:tcW w:w="65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Discontinued operations</w:t>
            </w:r>
          </w:p>
        </w:tc>
        <w:tc>
          <w:tcPr>
            <w:tcW w:w="1760" w:type="dxa"/>
            <w:vAlign w:val="bottom"/>
            <w:tcBorders>
              <w:bottom w:val="single" w:sz="8" w:color="auto"/>
            </w:tcBorders>
            <w:gridSpan w:val="2"/>
          </w:tcPr>
          <w:p>
            <w:pPr>
              <w:jc w:val="right"/>
              <w:ind w:right="559"/>
              <w:spacing w:after="0"/>
              <w:rPr>
                <w:sz w:val="20"/>
                <w:szCs w:val="20"/>
                <w:color w:val="auto"/>
              </w:rPr>
            </w:pPr>
            <w:r>
              <w:rPr>
                <w:rFonts w:ascii="Arial" w:cs="Arial" w:eastAsia="Arial" w:hAnsi="Arial"/>
                <w:sz w:val="16"/>
                <w:szCs w:val="16"/>
                <w:b w:val="1"/>
                <w:bCs w:val="1"/>
                <w:color w:val="auto"/>
              </w:rPr>
              <w:t>$0.02</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($0.09)</w:t>
            </w:r>
          </w:p>
        </w:tc>
        <w:tc>
          <w:tcPr>
            <w:tcW w:w="12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($0.20)</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$0.38</w:t>
            </w:r>
          </w:p>
        </w:tc>
      </w:tr>
      <w:tr>
        <w:trPr>
          <w:trHeight w:val="220"/>
        </w:trPr>
        <w:tc>
          <w:tcPr>
            <w:tcW w:w="6560" w:type="dxa"/>
            <w:vAlign w:val="bottom"/>
          </w:tcPr>
          <w:p>
            <w:pPr>
              <w:spacing w:after="0"/>
              <w:rPr>
                <w:sz w:val="19"/>
                <w:szCs w:val="19"/>
                <w:color w:val="auto"/>
              </w:rPr>
            </w:pPr>
          </w:p>
        </w:tc>
        <w:tc>
          <w:tcPr>
            <w:tcW w:w="1760" w:type="dxa"/>
            <w:vAlign w:val="bottom"/>
            <w:gridSpan w:val="2"/>
          </w:tcPr>
          <w:p>
            <w:pPr>
              <w:jc w:val="right"/>
              <w:ind w:right="559"/>
              <w:spacing w:after="0"/>
              <w:rPr>
                <w:sz w:val="20"/>
                <w:szCs w:val="20"/>
                <w:color w:val="auto"/>
              </w:rPr>
            </w:pPr>
            <w:r>
              <w:rPr>
                <w:rFonts w:ascii="Arial" w:cs="Arial" w:eastAsia="Arial" w:hAnsi="Arial"/>
                <w:sz w:val="16"/>
                <w:szCs w:val="16"/>
                <w:b w:val="1"/>
                <w:bCs w:val="1"/>
                <w:color w:val="auto"/>
              </w:rPr>
              <w:t>$0.94</w:t>
            </w:r>
          </w:p>
        </w:tc>
        <w:tc>
          <w:tcPr>
            <w:tcW w:w="580" w:type="dxa"/>
            <w:vAlign w:val="bottom"/>
          </w:tcPr>
          <w:p>
            <w:pPr>
              <w:jc w:val="right"/>
              <w:spacing w:after="0"/>
              <w:rPr>
                <w:sz w:val="20"/>
                <w:szCs w:val="20"/>
                <w:color w:val="auto"/>
              </w:rPr>
            </w:pPr>
            <w:r>
              <w:rPr>
                <w:rFonts w:ascii="Arial" w:cs="Arial" w:eastAsia="Arial" w:hAnsi="Arial"/>
                <w:sz w:val="16"/>
                <w:szCs w:val="16"/>
                <w:color w:val="auto"/>
              </w:rPr>
              <w:t>$0.94</w:t>
            </w:r>
          </w:p>
        </w:tc>
        <w:tc>
          <w:tcPr>
            <w:tcW w:w="120" w:type="dxa"/>
            <w:vAlign w:val="bottom"/>
          </w:tcPr>
          <w:p>
            <w:pPr>
              <w:spacing w:after="0"/>
              <w:rPr>
                <w:sz w:val="19"/>
                <w:szCs w:val="19"/>
                <w:color w:val="auto"/>
              </w:rPr>
            </w:pPr>
          </w:p>
        </w:tc>
        <w:tc>
          <w:tcPr>
            <w:tcW w:w="1640" w:type="dxa"/>
            <w:vAlign w:val="bottom"/>
          </w:tcPr>
          <w:p>
            <w:pPr>
              <w:jc w:val="right"/>
              <w:ind w:right="579"/>
              <w:spacing w:after="0"/>
              <w:rPr>
                <w:sz w:val="20"/>
                <w:szCs w:val="20"/>
                <w:color w:val="auto"/>
              </w:rPr>
            </w:pPr>
            <w:r>
              <w:rPr>
                <w:rFonts w:ascii="Arial" w:cs="Arial" w:eastAsia="Arial" w:hAnsi="Arial"/>
                <w:sz w:val="16"/>
                <w:szCs w:val="16"/>
                <w:b w:val="1"/>
                <w:bCs w:val="1"/>
                <w:color w:val="auto"/>
              </w:rPr>
              <w:t>$3.27</w:t>
            </w:r>
          </w:p>
        </w:tc>
        <w:tc>
          <w:tcPr>
            <w:tcW w:w="580" w:type="dxa"/>
            <w:vAlign w:val="bottom"/>
          </w:tcPr>
          <w:p>
            <w:pPr>
              <w:jc w:val="right"/>
              <w:spacing w:after="0"/>
              <w:rPr>
                <w:sz w:val="20"/>
                <w:szCs w:val="20"/>
                <w:color w:val="auto"/>
              </w:rPr>
            </w:pPr>
            <w:r>
              <w:rPr>
                <w:rFonts w:ascii="Arial" w:cs="Arial" w:eastAsia="Arial" w:hAnsi="Arial"/>
                <w:sz w:val="16"/>
                <w:szCs w:val="16"/>
                <w:color w:val="auto"/>
              </w:rPr>
              <w:t>$4.43</w:t>
            </w:r>
          </w:p>
        </w:tc>
      </w:tr>
      <w:tr>
        <w:trPr>
          <w:trHeight w:val="229"/>
        </w:trPr>
        <w:tc>
          <w:tcPr>
            <w:tcW w:w="6560" w:type="dxa"/>
            <w:vAlign w:val="bottom"/>
          </w:tcPr>
          <w:p>
            <w:pPr>
              <w:ind w:left="20"/>
              <w:spacing w:after="0"/>
              <w:rPr>
                <w:sz w:val="20"/>
                <w:szCs w:val="20"/>
                <w:color w:val="auto"/>
              </w:rPr>
            </w:pPr>
            <w:r>
              <w:rPr>
                <w:rFonts w:ascii="Arial" w:cs="Arial" w:eastAsia="Arial" w:hAnsi="Arial"/>
                <w:sz w:val="16"/>
                <w:szCs w:val="16"/>
                <w:b w:val="1"/>
                <w:bCs w:val="1"/>
                <w:color w:val="0D64EF"/>
              </w:rPr>
              <w:t xml:space="preserve">Weighted Average Number of Common Shares </w:t>
            </w:r>
            <w:r>
              <w:rPr>
                <w:rFonts w:ascii="Arial" w:cs="Arial" w:eastAsia="Arial" w:hAnsi="Arial"/>
                <w:sz w:val="16"/>
                <w:szCs w:val="16"/>
                <w:color w:val="000000"/>
              </w:rPr>
              <w:t>(millions)</w:t>
            </w:r>
          </w:p>
        </w:tc>
        <w:tc>
          <w:tcPr>
            <w:tcW w:w="1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29"/>
        </w:trPr>
        <w:tc>
          <w:tcPr>
            <w:tcW w:w="6560" w:type="dxa"/>
            <w:vAlign w:val="bottom"/>
          </w:tcPr>
          <w:p>
            <w:pPr>
              <w:ind w:left="20"/>
              <w:spacing w:after="0"/>
              <w:rPr>
                <w:sz w:val="20"/>
                <w:szCs w:val="20"/>
                <w:color w:val="auto"/>
              </w:rPr>
            </w:pPr>
            <w:r>
              <w:rPr>
                <w:rFonts w:ascii="Arial" w:cs="Arial" w:eastAsia="Arial" w:hAnsi="Arial"/>
                <w:sz w:val="16"/>
                <w:szCs w:val="16"/>
                <w:color w:val="auto"/>
              </w:rPr>
              <w:t>Basic</w:t>
            </w:r>
          </w:p>
        </w:tc>
        <w:tc>
          <w:tcPr>
            <w:tcW w:w="1760" w:type="dxa"/>
            <w:vAlign w:val="bottom"/>
            <w:gridSpan w:val="2"/>
          </w:tcPr>
          <w:p>
            <w:pPr>
              <w:jc w:val="right"/>
              <w:ind w:right="559"/>
              <w:spacing w:after="0"/>
              <w:rPr>
                <w:sz w:val="20"/>
                <w:szCs w:val="20"/>
                <w:color w:val="auto"/>
              </w:rPr>
            </w:pPr>
            <w:r>
              <w:rPr>
                <w:rFonts w:ascii="Arial" w:cs="Arial" w:eastAsia="Arial" w:hAnsi="Arial"/>
                <w:sz w:val="16"/>
                <w:szCs w:val="16"/>
                <w:b w:val="1"/>
                <w:bCs w:val="1"/>
                <w:color w:val="auto"/>
              </w:rPr>
              <w:t>1,041</w:t>
            </w:r>
          </w:p>
        </w:tc>
        <w:tc>
          <w:tcPr>
            <w:tcW w:w="580" w:type="dxa"/>
            <w:vAlign w:val="bottom"/>
          </w:tcPr>
          <w:p>
            <w:pPr>
              <w:jc w:val="right"/>
              <w:spacing w:after="0"/>
              <w:rPr>
                <w:sz w:val="20"/>
                <w:szCs w:val="20"/>
                <w:color w:val="auto"/>
              </w:rPr>
            </w:pPr>
            <w:r>
              <w:rPr>
                <w:rFonts w:ascii="Arial" w:cs="Arial" w:eastAsia="Arial" w:hAnsi="Arial"/>
                <w:sz w:val="16"/>
                <w:szCs w:val="16"/>
                <w:color w:val="auto"/>
              </w:rPr>
              <w:t>1,038</w:t>
            </w:r>
          </w:p>
        </w:tc>
        <w:tc>
          <w:tcPr>
            <w:tcW w:w="120" w:type="dxa"/>
            <w:vAlign w:val="bottom"/>
          </w:tcPr>
          <w:p>
            <w:pPr>
              <w:spacing w:after="0"/>
              <w:rPr>
                <w:sz w:val="19"/>
                <w:szCs w:val="19"/>
                <w:color w:val="auto"/>
              </w:rPr>
            </w:pPr>
          </w:p>
        </w:tc>
        <w:tc>
          <w:tcPr>
            <w:tcW w:w="1640" w:type="dxa"/>
            <w:vAlign w:val="bottom"/>
          </w:tcPr>
          <w:p>
            <w:pPr>
              <w:jc w:val="right"/>
              <w:ind w:right="579"/>
              <w:spacing w:after="0"/>
              <w:rPr>
                <w:sz w:val="20"/>
                <w:szCs w:val="20"/>
                <w:color w:val="auto"/>
              </w:rPr>
            </w:pPr>
            <w:r>
              <w:rPr>
                <w:rFonts w:ascii="Arial" w:cs="Arial" w:eastAsia="Arial" w:hAnsi="Arial"/>
                <w:sz w:val="16"/>
                <w:szCs w:val="16"/>
                <w:b w:val="1"/>
                <w:bCs w:val="1"/>
                <w:color w:val="auto"/>
              </w:rPr>
              <w:t>1,040</w:t>
            </w:r>
          </w:p>
        </w:tc>
        <w:tc>
          <w:tcPr>
            <w:tcW w:w="580" w:type="dxa"/>
            <w:vAlign w:val="bottom"/>
          </w:tcPr>
          <w:p>
            <w:pPr>
              <w:jc w:val="right"/>
              <w:spacing w:after="0"/>
              <w:rPr>
                <w:sz w:val="20"/>
                <w:szCs w:val="20"/>
                <w:color w:val="auto"/>
              </w:rPr>
            </w:pPr>
            <w:r>
              <w:rPr>
                <w:rFonts w:ascii="Arial" w:cs="Arial" w:eastAsia="Arial" w:hAnsi="Arial"/>
                <w:sz w:val="16"/>
                <w:szCs w:val="16"/>
                <w:color w:val="auto"/>
              </w:rPr>
              <w:t>1,038</w:t>
            </w:r>
          </w:p>
        </w:tc>
      </w:tr>
      <w:tr>
        <w:trPr>
          <w:trHeight w:val="233"/>
        </w:trPr>
        <w:tc>
          <w:tcPr>
            <w:tcW w:w="65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Diluted</w:t>
            </w:r>
          </w:p>
        </w:tc>
        <w:tc>
          <w:tcPr>
            <w:tcW w:w="1760" w:type="dxa"/>
            <w:vAlign w:val="bottom"/>
            <w:tcBorders>
              <w:bottom w:val="single" w:sz="8" w:color="auto"/>
            </w:tcBorders>
            <w:gridSpan w:val="2"/>
          </w:tcPr>
          <w:p>
            <w:pPr>
              <w:jc w:val="right"/>
              <w:ind w:right="559"/>
              <w:spacing w:after="0"/>
              <w:rPr>
                <w:sz w:val="20"/>
                <w:szCs w:val="20"/>
                <w:color w:val="auto"/>
              </w:rPr>
            </w:pPr>
            <w:r>
              <w:rPr>
                <w:rFonts w:ascii="Arial" w:cs="Arial" w:eastAsia="Arial" w:hAnsi="Arial"/>
                <w:sz w:val="16"/>
                <w:szCs w:val="16"/>
                <w:b w:val="1"/>
                <w:bCs w:val="1"/>
                <w:color w:val="auto"/>
              </w:rPr>
              <w:t>1,041</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1,038</w:t>
            </w:r>
          </w:p>
        </w:tc>
        <w:tc>
          <w:tcPr>
            <w:tcW w:w="12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1,040</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1,038</w:t>
            </w:r>
          </w:p>
        </w:tc>
      </w:tr>
    </w:tbl>
    <w:p>
      <w:pPr>
        <w:spacing w:after="0" w:line="200" w:lineRule="exact"/>
        <w:rPr>
          <w:sz w:val="20"/>
          <w:szCs w:val="20"/>
          <w:color w:val="auto"/>
        </w:rPr>
      </w:pPr>
    </w:p>
    <w:p>
      <w:pPr>
        <w:sectPr>
          <w:pgSz w:w="11900" w:h="16838" w:orient="portrait"/>
          <w:cols w:equalWidth="0" w:num="1">
            <w:col w:w="11240"/>
          </w:cols>
          <w:pgMar w:left="320" w:top="1359" w:right="339" w:bottom="88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32 | TC Energy </w:t>
      </w:r>
      <w:r>
        <w:rPr>
          <w:rFonts w:ascii="Arial" w:cs="Arial" w:eastAsia="Arial" w:hAnsi="Arial"/>
          <w:sz w:val="18"/>
          <w:szCs w:val="18"/>
          <w:b w:val="1"/>
          <w:bCs w:val="1"/>
          <w:color w:val="0D64EF"/>
        </w:rPr>
        <w:t>Fourth Quarter</w:t>
      </w:r>
      <w:r>
        <w:rPr>
          <w:rFonts w:ascii="Arial" w:cs="Arial" w:eastAsia="Arial" w:hAnsi="Arial"/>
          <w:sz w:val="18"/>
          <w:szCs w:val="18"/>
          <w:color w:val="auto"/>
        </w:rPr>
        <w:t xml:space="preserve"> News Release 2025</w:t>
      </w:r>
    </w:p>
    <w:p>
      <w:pPr>
        <w:sectPr>
          <w:pgSz w:w="11900" w:h="16838" w:orient="portrait"/>
          <w:cols w:equalWidth="0" w:num="1">
            <w:col w:w="11240"/>
          </w:cols>
          <w:pgMar w:left="320" w:top="1359" w:right="339" w:bottom="880" w:gutter="0" w:footer="0" w:header="0"/>
          <w:type w:val="continuous"/>
        </w:sectPr>
      </w:pPr>
    </w:p>
    <w:bookmarkStart w:id="45" w:name="page46"/>
    <w:bookmarkEnd w:id="45"/>
    <w:p>
      <w:pPr>
        <w:jc w:val="center"/>
        <w:spacing w:after="0"/>
        <w:rPr>
          <w:sz w:val="20"/>
          <w:szCs w:val="20"/>
          <w:color w:val="auto"/>
        </w:rPr>
      </w:pPr>
      <w:r>
        <w:rPr>
          <w:rFonts w:ascii="Arial" w:cs="Arial" w:eastAsia="Arial" w:hAnsi="Arial"/>
          <w:sz w:val="25"/>
          <w:szCs w:val="25"/>
          <w:color w:val="0D64EF"/>
        </w:rPr>
        <w:t>Condensed consolidated statement of cash flows</w:t>
      </w:r>
    </w:p>
    <w:p>
      <w:pPr>
        <w:spacing w:after="0" w:line="147" w:lineRule="exact"/>
        <w:rPr>
          <w:sz w:val="20"/>
          <w:szCs w:val="20"/>
          <w:color w:val="auto"/>
        </w:rPr>
      </w:pPr>
    </w:p>
    <w:tbl>
      <w:tblPr>
        <w:tblLayout w:type="fixed"/>
        <w:tblInd w:w="40" w:type="dxa"/>
        <w:tblCellMar>
          <w:top w:w="0" w:type="dxa"/>
          <w:left w:w="0" w:type="dxa"/>
          <w:bottom w:w="0" w:type="dxa"/>
          <w:right w:w="0" w:type="dxa"/>
        </w:tblCellMar>
      </w:tblPr>
      <w:tr>
        <w:trPr>
          <w:trHeight w:val="202"/>
        </w:trPr>
        <w:tc>
          <w:tcPr>
            <w:tcW w:w="6480" w:type="dxa"/>
            <w:vAlign w:val="bottom"/>
            <w:tcBorders>
              <w:top w:val="single" w:sz="8" w:color="0D64EF"/>
            </w:tcBorders>
            <w:shd w:val="clear" w:color="auto" w:fill="D1D0CF"/>
          </w:tcPr>
          <w:p>
            <w:pPr>
              <w:spacing w:after="0"/>
              <w:rPr>
                <w:sz w:val="17"/>
                <w:szCs w:val="17"/>
                <w:color w:val="auto"/>
              </w:rPr>
            </w:pPr>
          </w:p>
        </w:tc>
        <w:tc>
          <w:tcPr>
            <w:tcW w:w="120" w:type="dxa"/>
            <w:vAlign w:val="bottom"/>
            <w:tcBorders>
              <w:top w:val="single" w:sz="8" w:color="0D64EF"/>
            </w:tcBorders>
            <w:shd w:val="clear" w:color="auto" w:fill="D1D0CF"/>
          </w:tcPr>
          <w:p>
            <w:pPr>
              <w:spacing w:after="0"/>
              <w:rPr>
                <w:sz w:val="17"/>
                <w:szCs w:val="17"/>
                <w:color w:val="auto"/>
              </w:rPr>
            </w:pPr>
          </w:p>
        </w:tc>
        <w:tc>
          <w:tcPr>
            <w:tcW w:w="2340" w:type="dxa"/>
            <w:vAlign w:val="bottom"/>
            <w:tcBorders>
              <w:top w:val="single" w:sz="8" w:color="0D64EF"/>
            </w:tcBorders>
            <w:gridSpan w:val="3"/>
            <w:shd w:val="clear" w:color="auto" w:fill="D1D0CF"/>
          </w:tcPr>
          <w:p>
            <w:pPr>
              <w:ind w:left="340"/>
              <w:spacing w:after="0"/>
              <w:rPr>
                <w:sz w:val="20"/>
                <w:szCs w:val="20"/>
                <w:color w:val="auto"/>
              </w:rPr>
            </w:pPr>
            <w:r>
              <w:rPr>
                <w:rFonts w:ascii="Arial" w:cs="Arial" w:eastAsia="Arial" w:hAnsi="Arial"/>
                <w:sz w:val="16"/>
                <w:szCs w:val="16"/>
                <w:b w:val="1"/>
                <w:bCs w:val="1"/>
                <w:color w:val="auto"/>
              </w:rPr>
              <w:t>three months ended</w:t>
            </w:r>
          </w:p>
        </w:tc>
        <w:tc>
          <w:tcPr>
            <w:tcW w:w="2240" w:type="dxa"/>
            <w:vAlign w:val="bottom"/>
            <w:tcBorders>
              <w:top w:val="single" w:sz="8" w:color="0D64EF"/>
            </w:tcBorders>
            <w:gridSpan w:val="2"/>
            <w:shd w:val="clear" w:color="auto" w:fill="D1D0CF"/>
          </w:tcPr>
          <w:p>
            <w:pPr>
              <w:jc w:val="right"/>
              <w:ind w:right="379"/>
              <w:spacing w:after="0"/>
              <w:rPr>
                <w:sz w:val="20"/>
                <w:szCs w:val="20"/>
                <w:color w:val="auto"/>
              </w:rPr>
            </w:pPr>
            <w:r>
              <w:rPr>
                <w:rFonts w:ascii="Arial" w:cs="Arial" w:eastAsia="Arial" w:hAnsi="Arial"/>
                <w:sz w:val="16"/>
                <w:szCs w:val="16"/>
                <w:b w:val="1"/>
                <w:bCs w:val="1"/>
                <w:color w:val="auto"/>
              </w:rPr>
              <w:t>year ended</w:t>
            </w:r>
          </w:p>
        </w:tc>
      </w:tr>
      <w:tr>
        <w:trPr>
          <w:trHeight w:val="217"/>
        </w:trPr>
        <w:tc>
          <w:tcPr>
            <w:tcW w:w="6480" w:type="dxa"/>
            <w:vAlign w:val="bottom"/>
            <w:tcBorders>
              <w:bottom w:val="single" w:sz="8" w:color="D1D0CF"/>
            </w:tcBorders>
            <w:shd w:val="clear" w:color="auto" w:fill="D1D0CF"/>
          </w:tcPr>
          <w:p>
            <w:pPr>
              <w:spacing w:after="0"/>
              <w:rPr>
                <w:sz w:val="18"/>
                <w:szCs w:val="18"/>
                <w:color w:val="auto"/>
              </w:rPr>
            </w:pPr>
          </w:p>
        </w:tc>
        <w:tc>
          <w:tcPr>
            <w:tcW w:w="120" w:type="dxa"/>
            <w:vAlign w:val="bottom"/>
            <w:tcBorders>
              <w:bottom w:val="single" w:sz="8" w:color="D1D0CF"/>
            </w:tcBorders>
            <w:shd w:val="clear" w:color="auto" w:fill="D1D0CF"/>
          </w:tcPr>
          <w:p>
            <w:pPr>
              <w:spacing w:after="0"/>
              <w:rPr>
                <w:sz w:val="18"/>
                <w:szCs w:val="18"/>
                <w:color w:val="auto"/>
              </w:rPr>
            </w:pPr>
          </w:p>
        </w:tc>
        <w:tc>
          <w:tcPr>
            <w:tcW w:w="1660" w:type="dxa"/>
            <w:vAlign w:val="bottom"/>
            <w:tcBorders>
              <w:bottom w:val="single" w:sz="8" w:color="0D64EF"/>
            </w:tcBorders>
            <w:shd w:val="clear" w:color="auto" w:fill="D1D0CF"/>
          </w:tcPr>
          <w:p>
            <w:pPr>
              <w:jc w:val="right"/>
              <w:spacing w:after="0"/>
              <w:rPr>
                <w:sz w:val="20"/>
                <w:szCs w:val="20"/>
                <w:color w:val="auto"/>
              </w:rPr>
            </w:pPr>
            <w:r>
              <w:rPr>
                <w:rFonts w:ascii="Arial" w:cs="Arial" w:eastAsia="Arial" w:hAnsi="Arial"/>
                <w:sz w:val="16"/>
                <w:szCs w:val="16"/>
                <w:b w:val="1"/>
                <w:bCs w:val="1"/>
                <w:color w:val="auto"/>
              </w:rPr>
              <w:t>December 31</w:t>
            </w:r>
          </w:p>
        </w:tc>
        <w:tc>
          <w:tcPr>
            <w:tcW w:w="580" w:type="dxa"/>
            <w:vAlign w:val="bottom"/>
            <w:tcBorders>
              <w:bottom w:val="single" w:sz="8" w:color="0D64EF"/>
            </w:tcBorders>
            <w:shd w:val="clear" w:color="auto" w:fill="D1D0CF"/>
          </w:tcPr>
          <w:p>
            <w:pPr>
              <w:spacing w:after="0"/>
              <w:rPr>
                <w:sz w:val="18"/>
                <w:szCs w:val="18"/>
                <w:color w:val="auto"/>
              </w:rPr>
            </w:pPr>
          </w:p>
        </w:tc>
        <w:tc>
          <w:tcPr>
            <w:tcW w:w="100" w:type="dxa"/>
            <w:vAlign w:val="bottom"/>
            <w:tcBorders>
              <w:bottom w:val="single" w:sz="8" w:color="D1D0CF"/>
            </w:tcBorders>
            <w:shd w:val="clear" w:color="auto" w:fill="D1D0CF"/>
          </w:tcPr>
          <w:p>
            <w:pPr>
              <w:spacing w:after="0"/>
              <w:rPr>
                <w:sz w:val="18"/>
                <w:szCs w:val="18"/>
                <w:color w:val="auto"/>
              </w:rPr>
            </w:pPr>
          </w:p>
        </w:tc>
        <w:tc>
          <w:tcPr>
            <w:tcW w:w="2240" w:type="dxa"/>
            <w:vAlign w:val="bottom"/>
            <w:tcBorders>
              <w:bottom w:val="single" w:sz="8" w:color="0D64EF"/>
            </w:tcBorders>
            <w:gridSpan w:val="2"/>
            <w:shd w:val="clear" w:color="auto" w:fill="D1D0CF"/>
          </w:tcPr>
          <w:p>
            <w:pPr>
              <w:jc w:val="right"/>
              <w:ind w:right="299"/>
              <w:spacing w:after="0"/>
              <w:rPr>
                <w:sz w:val="20"/>
                <w:szCs w:val="20"/>
                <w:color w:val="auto"/>
              </w:rPr>
            </w:pPr>
            <w:r>
              <w:rPr>
                <w:rFonts w:ascii="Arial" w:cs="Arial" w:eastAsia="Arial" w:hAnsi="Arial"/>
                <w:sz w:val="16"/>
                <w:szCs w:val="16"/>
                <w:b w:val="1"/>
                <w:bCs w:val="1"/>
                <w:color w:val="auto"/>
              </w:rPr>
              <w:t>December 31</w:t>
            </w:r>
          </w:p>
        </w:tc>
      </w:tr>
      <w:tr>
        <w:trPr>
          <w:trHeight w:val="220"/>
        </w:trPr>
        <w:tc>
          <w:tcPr>
            <w:tcW w:w="6480" w:type="dxa"/>
            <w:vAlign w:val="bottom"/>
            <w:tcBorders>
              <w:bottom w:val="single" w:sz="8" w:color="0D64EF"/>
            </w:tcBorders>
            <w:shd w:val="clear" w:color="auto" w:fill="D1D0CF"/>
          </w:tcPr>
          <w:p>
            <w:pPr>
              <w:spacing w:after="0"/>
              <w:rPr>
                <w:sz w:val="20"/>
                <w:szCs w:val="20"/>
                <w:color w:val="auto"/>
              </w:rPr>
            </w:pPr>
            <w:r>
              <w:rPr>
                <w:rFonts w:ascii="Arial" w:cs="Arial" w:eastAsia="Arial" w:hAnsi="Arial"/>
                <w:sz w:val="16"/>
                <w:szCs w:val="16"/>
                <w:color w:val="auto"/>
              </w:rPr>
              <w:t>(unaudited - millions of Canadian $)</w:t>
            </w:r>
          </w:p>
        </w:tc>
        <w:tc>
          <w:tcPr>
            <w:tcW w:w="120" w:type="dxa"/>
            <w:vAlign w:val="bottom"/>
            <w:tcBorders>
              <w:bottom w:val="single" w:sz="8" w:color="0D64EF"/>
            </w:tcBorders>
            <w:shd w:val="clear" w:color="auto" w:fill="D1D0CF"/>
          </w:tcPr>
          <w:p>
            <w:pPr>
              <w:spacing w:after="0"/>
              <w:rPr>
                <w:sz w:val="19"/>
                <w:szCs w:val="19"/>
                <w:color w:val="auto"/>
              </w:rPr>
            </w:pPr>
          </w:p>
        </w:tc>
        <w:tc>
          <w:tcPr>
            <w:tcW w:w="1660" w:type="dxa"/>
            <w:vAlign w:val="bottom"/>
            <w:tcBorders>
              <w:bottom w:val="single" w:sz="8" w:color="0D64EF"/>
            </w:tcBorders>
            <w:shd w:val="clear" w:color="auto" w:fill="D1D0CF"/>
          </w:tcPr>
          <w:p>
            <w:pPr>
              <w:jc w:val="right"/>
              <w:ind w:right="539"/>
              <w:spacing w:after="0"/>
              <w:rPr>
                <w:sz w:val="20"/>
                <w:szCs w:val="20"/>
                <w:color w:val="auto"/>
              </w:rPr>
            </w:pPr>
            <w:r>
              <w:rPr>
                <w:rFonts w:ascii="Arial" w:cs="Arial" w:eastAsia="Arial" w:hAnsi="Arial"/>
                <w:sz w:val="16"/>
                <w:szCs w:val="16"/>
                <w:b w:val="1"/>
                <w:bCs w:val="1"/>
                <w:color w:val="auto"/>
              </w:rPr>
              <w:t>2025</w:t>
            </w:r>
          </w:p>
        </w:tc>
        <w:tc>
          <w:tcPr>
            <w:tcW w:w="580" w:type="dxa"/>
            <w:vAlign w:val="bottom"/>
            <w:tcBorders>
              <w:bottom w:val="single" w:sz="8" w:color="0D64EF"/>
            </w:tcBorders>
            <w:shd w:val="clear" w:color="auto" w:fill="D1D0CF"/>
          </w:tcPr>
          <w:p>
            <w:pPr>
              <w:jc w:val="right"/>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bottom w:val="single" w:sz="8" w:color="0D64EF"/>
            </w:tcBorders>
            <w:shd w:val="clear" w:color="auto" w:fill="D1D0CF"/>
          </w:tcPr>
          <w:p>
            <w:pPr>
              <w:spacing w:after="0"/>
              <w:rPr>
                <w:sz w:val="19"/>
                <w:szCs w:val="19"/>
                <w:color w:val="auto"/>
              </w:rPr>
            </w:pPr>
          </w:p>
        </w:tc>
        <w:tc>
          <w:tcPr>
            <w:tcW w:w="1380" w:type="dxa"/>
            <w:vAlign w:val="bottom"/>
            <w:tcBorders>
              <w:bottom w:val="single" w:sz="8" w:color="0D64EF"/>
            </w:tcBorders>
            <w:shd w:val="clear" w:color="auto" w:fill="D1D0CF"/>
          </w:tcPr>
          <w:p>
            <w:pPr>
              <w:jc w:val="right"/>
              <w:ind w:right="259"/>
              <w:spacing w:after="0"/>
              <w:rPr>
                <w:sz w:val="20"/>
                <w:szCs w:val="20"/>
                <w:color w:val="auto"/>
              </w:rPr>
            </w:pPr>
            <w:r>
              <w:rPr>
                <w:rFonts w:ascii="Arial" w:cs="Arial" w:eastAsia="Arial" w:hAnsi="Arial"/>
                <w:sz w:val="16"/>
                <w:szCs w:val="16"/>
                <w:b w:val="1"/>
                <w:bCs w:val="1"/>
                <w:color w:val="auto"/>
              </w:rPr>
              <w:t>2025</w:t>
            </w:r>
          </w:p>
        </w:tc>
        <w:tc>
          <w:tcPr>
            <w:tcW w:w="860" w:type="dxa"/>
            <w:vAlign w:val="bottom"/>
            <w:tcBorders>
              <w:bottom w:val="single" w:sz="8" w:color="0D64EF"/>
            </w:tcBorders>
            <w:shd w:val="clear" w:color="auto" w:fill="D1D0CF"/>
          </w:tcPr>
          <w:p>
            <w:pPr>
              <w:jc w:val="right"/>
              <w:spacing w:after="0"/>
              <w:rPr>
                <w:sz w:val="20"/>
                <w:szCs w:val="20"/>
                <w:color w:val="auto"/>
              </w:rPr>
            </w:pPr>
            <w:r>
              <w:rPr>
                <w:rFonts w:ascii="Arial" w:cs="Arial" w:eastAsia="Arial" w:hAnsi="Arial"/>
                <w:sz w:val="16"/>
                <w:szCs w:val="16"/>
                <w:b w:val="1"/>
                <w:bCs w:val="1"/>
                <w:color w:val="auto"/>
              </w:rPr>
              <w:t>2024</w:t>
            </w:r>
          </w:p>
        </w:tc>
      </w:tr>
      <w:tr>
        <w:trPr>
          <w:trHeight w:val="259"/>
        </w:trPr>
        <w:tc>
          <w:tcPr>
            <w:tcW w:w="6480" w:type="dxa"/>
            <w:vAlign w:val="bottom"/>
          </w:tcPr>
          <w:p>
            <w:pPr>
              <w:spacing w:after="0"/>
              <w:rPr>
                <w:sz w:val="20"/>
                <w:szCs w:val="20"/>
                <w:color w:val="auto"/>
              </w:rPr>
            </w:pPr>
            <w:r>
              <w:rPr>
                <w:rFonts w:ascii="Arial" w:cs="Arial" w:eastAsia="Arial" w:hAnsi="Arial"/>
                <w:sz w:val="16"/>
                <w:szCs w:val="16"/>
                <w:b w:val="1"/>
                <w:bCs w:val="1"/>
                <w:color w:val="0D64EF"/>
              </w:rPr>
              <w:t>Cash Generated from Operations</w:t>
            </w:r>
          </w:p>
        </w:tc>
        <w:tc>
          <w:tcPr>
            <w:tcW w:w="12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229"/>
        </w:trPr>
        <w:tc>
          <w:tcPr>
            <w:tcW w:w="6480" w:type="dxa"/>
            <w:vAlign w:val="bottom"/>
          </w:tcPr>
          <w:p>
            <w:pPr>
              <w:spacing w:after="0"/>
              <w:rPr>
                <w:sz w:val="20"/>
                <w:szCs w:val="20"/>
                <w:color w:val="auto"/>
              </w:rPr>
            </w:pPr>
            <w:r>
              <w:rPr>
                <w:rFonts w:ascii="Arial" w:cs="Arial" w:eastAsia="Arial" w:hAnsi="Arial"/>
                <w:sz w:val="16"/>
                <w:szCs w:val="16"/>
                <w:color w:val="auto"/>
              </w:rPr>
              <w:t>Net income (loss)</w:t>
            </w:r>
          </w:p>
        </w:tc>
        <w:tc>
          <w:tcPr>
            <w:tcW w:w="1780" w:type="dxa"/>
            <w:vAlign w:val="bottom"/>
            <w:gridSpan w:val="2"/>
          </w:tcPr>
          <w:p>
            <w:pPr>
              <w:jc w:val="right"/>
              <w:ind w:right="599"/>
              <w:spacing w:after="0"/>
              <w:rPr>
                <w:sz w:val="20"/>
                <w:szCs w:val="20"/>
                <w:color w:val="auto"/>
              </w:rPr>
            </w:pPr>
            <w:r>
              <w:rPr>
                <w:rFonts w:ascii="Arial" w:cs="Arial" w:eastAsia="Arial" w:hAnsi="Arial"/>
                <w:sz w:val="16"/>
                <w:szCs w:val="16"/>
                <w:b w:val="1"/>
                <w:bCs w:val="1"/>
                <w:color w:val="auto"/>
              </w:rPr>
              <w:t>1,182</w:t>
            </w:r>
          </w:p>
        </w:tc>
        <w:tc>
          <w:tcPr>
            <w:tcW w:w="580" w:type="dxa"/>
            <w:vAlign w:val="bottom"/>
          </w:tcPr>
          <w:p>
            <w:pPr>
              <w:jc w:val="right"/>
              <w:spacing w:after="0"/>
              <w:rPr>
                <w:sz w:val="20"/>
                <w:szCs w:val="20"/>
                <w:color w:val="auto"/>
              </w:rPr>
            </w:pPr>
            <w:r>
              <w:rPr>
                <w:rFonts w:ascii="Arial" w:cs="Arial" w:eastAsia="Arial" w:hAnsi="Arial"/>
                <w:sz w:val="16"/>
                <w:szCs w:val="16"/>
                <w:color w:val="auto"/>
              </w:rPr>
              <w:t>1,182</w:t>
            </w:r>
          </w:p>
        </w:tc>
        <w:tc>
          <w:tcPr>
            <w:tcW w:w="100" w:type="dxa"/>
            <w:vAlign w:val="bottom"/>
          </w:tcPr>
          <w:p>
            <w:pPr>
              <w:spacing w:after="0"/>
              <w:rPr>
                <w:sz w:val="19"/>
                <w:szCs w:val="19"/>
                <w:color w:val="auto"/>
              </w:rPr>
            </w:pPr>
          </w:p>
        </w:tc>
        <w:tc>
          <w:tcPr>
            <w:tcW w:w="1380" w:type="dxa"/>
            <w:vAlign w:val="bottom"/>
          </w:tcPr>
          <w:p>
            <w:pPr>
              <w:jc w:val="right"/>
              <w:ind w:right="299"/>
              <w:spacing w:after="0"/>
              <w:rPr>
                <w:sz w:val="20"/>
                <w:szCs w:val="20"/>
                <w:color w:val="auto"/>
              </w:rPr>
            </w:pPr>
            <w:r>
              <w:rPr>
                <w:rFonts w:ascii="Arial" w:cs="Arial" w:eastAsia="Arial" w:hAnsi="Arial"/>
                <w:sz w:val="16"/>
                <w:szCs w:val="16"/>
                <w:b w:val="1"/>
                <w:bCs w:val="1"/>
                <w:color w:val="auto"/>
              </w:rPr>
              <w:t>4,094</w:t>
            </w:r>
          </w:p>
        </w:tc>
        <w:tc>
          <w:tcPr>
            <w:tcW w:w="860" w:type="dxa"/>
            <w:vAlign w:val="bottom"/>
          </w:tcPr>
          <w:p>
            <w:pPr>
              <w:jc w:val="right"/>
              <w:spacing w:after="0"/>
              <w:rPr>
                <w:sz w:val="20"/>
                <w:szCs w:val="20"/>
                <w:color w:val="auto"/>
              </w:rPr>
            </w:pPr>
            <w:r>
              <w:rPr>
                <w:rFonts w:ascii="Arial" w:cs="Arial" w:eastAsia="Arial" w:hAnsi="Arial"/>
                <w:sz w:val="16"/>
                <w:szCs w:val="16"/>
                <w:color w:val="auto"/>
              </w:rPr>
              <w:t>5,379</w:t>
            </w:r>
          </w:p>
        </w:tc>
      </w:tr>
      <w:tr>
        <w:trPr>
          <w:trHeight w:val="230"/>
        </w:trPr>
        <w:tc>
          <w:tcPr>
            <w:tcW w:w="6480" w:type="dxa"/>
            <w:vAlign w:val="bottom"/>
          </w:tcPr>
          <w:p>
            <w:pPr>
              <w:spacing w:after="0"/>
              <w:rPr>
                <w:sz w:val="20"/>
                <w:szCs w:val="20"/>
                <w:color w:val="auto"/>
              </w:rPr>
            </w:pPr>
            <w:r>
              <w:rPr>
                <w:rFonts w:ascii="Arial" w:cs="Arial" w:eastAsia="Arial" w:hAnsi="Arial"/>
                <w:sz w:val="16"/>
                <w:szCs w:val="16"/>
                <w:color w:val="auto"/>
              </w:rPr>
              <w:t>Depreciation and amortization</w:t>
            </w:r>
          </w:p>
        </w:tc>
        <w:tc>
          <w:tcPr>
            <w:tcW w:w="1780" w:type="dxa"/>
            <w:vAlign w:val="bottom"/>
            <w:gridSpan w:val="2"/>
          </w:tcPr>
          <w:p>
            <w:pPr>
              <w:jc w:val="right"/>
              <w:ind w:right="599"/>
              <w:spacing w:after="0"/>
              <w:rPr>
                <w:sz w:val="20"/>
                <w:szCs w:val="20"/>
                <w:color w:val="auto"/>
              </w:rPr>
            </w:pPr>
            <w:r>
              <w:rPr>
                <w:rFonts w:ascii="Arial" w:cs="Arial" w:eastAsia="Arial" w:hAnsi="Arial"/>
                <w:sz w:val="16"/>
                <w:szCs w:val="16"/>
                <w:b w:val="1"/>
                <w:bCs w:val="1"/>
                <w:color w:val="auto"/>
              </w:rPr>
              <w:t>719</w:t>
            </w:r>
          </w:p>
        </w:tc>
        <w:tc>
          <w:tcPr>
            <w:tcW w:w="580" w:type="dxa"/>
            <w:vAlign w:val="bottom"/>
          </w:tcPr>
          <w:p>
            <w:pPr>
              <w:jc w:val="right"/>
              <w:spacing w:after="0"/>
              <w:rPr>
                <w:sz w:val="20"/>
                <w:szCs w:val="20"/>
                <w:color w:val="auto"/>
              </w:rPr>
            </w:pPr>
            <w:r>
              <w:rPr>
                <w:rFonts w:ascii="Arial" w:cs="Arial" w:eastAsia="Arial" w:hAnsi="Arial"/>
                <w:sz w:val="16"/>
                <w:szCs w:val="16"/>
                <w:color w:val="auto"/>
              </w:rPr>
              <w:t>639</w:t>
            </w:r>
          </w:p>
        </w:tc>
        <w:tc>
          <w:tcPr>
            <w:tcW w:w="100" w:type="dxa"/>
            <w:vAlign w:val="bottom"/>
          </w:tcPr>
          <w:p>
            <w:pPr>
              <w:spacing w:after="0"/>
              <w:rPr>
                <w:sz w:val="19"/>
                <w:szCs w:val="19"/>
                <w:color w:val="auto"/>
              </w:rPr>
            </w:pPr>
          </w:p>
        </w:tc>
        <w:tc>
          <w:tcPr>
            <w:tcW w:w="1380" w:type="dxa"/>
            <w:vAlign w:val="bottom"/>
          </w:tcPr>
          <w:p>
            <w:pPr>
              <w:jc w:val="right"/>
              <w:ind w:right="299"/>
              <w:spacing w:after="0"/>
              <w:rPr>
                <w:sz w:val="20"/>
                <w:szCs w:val="20"/>
                <w:color w:val="auto"/>
              </w:rPr>
            </w:pPr>
            <w:r>
              <w:rPr>
                <w:rFonts w:ascii="Arial" w:cs="Arial" w:eastAsia="Arial" w:hAnsi="Arial"/>
                <w:sz w:val="16"/>
                <w:szCs w:val="16"/>
                <w:b w:val="1"/>
                <w:bCs w:val="1"/>
                <w:color w:val="auto"/>
              </w:rPr>
              <w:t>2,769</w:t>
            </w:r>
          </w:p>
        </w:tc>
        <w:tc>
          <w:tcPr>
            <w:tcW w:w="860" w:type="dxa"/>
            <w:vAlign w:val="bottom"/>
          </w:tcPr>
          <w:p>
            <w:pPr>
              <w:jc w:val="right"/>
              <w:spacing w:after="0"/>
              <w:rPr>
                <w:sz w:val="20"/>
                <w:szCs w:val="20"/>
                <w:color w:val="auto"/>
              </w:rPr>
            </w:pPr>
            <w:r>
              <w:rPr>
                <w:rFonts w:ascii="Arial" w:cs="Arial" w:eastAsia="Arial" w:hAnsi="Arial"/>
                <w:sz w:val="16"/>
                <w:szCs w:val="16"/>
                <w:color w:val="auto"/>
              </w:rPr>
              <w:t>2,788</w:t>
            </w:r>
          </w:p>
        </w:tc>
      </w:tr>
      <w:tr>
        <w:trPr>
          <w:trHeight w:val="229"/>
        </w:trPr>
        <w:tc>
          <w:tcPr>
            <w:tcW w:w="6480" w:type="dxa"/>
            <w:vAlign w:val="bottom"/>
          </w:tcPr>
          <w:p>
            <w:pPr>
              <w:spacing w:after="0"/>
              <w:rPr>
                <w:sz w:val="20"/>
                <w:szCs w:val="20"/>
                <w:color w:val="auto"/>
              </w:rPr>
            </w:pPr>
            <w:r>
              <w:rPr>
                <w:rFonts w:ascii="Arial" w:cs="Arial" w:eastAsia="Arial" w:hAnsi="Arial"/>
                <w:sz w:val="16"/>
                <w:szCs w:val="16"/>
                <w:color w:val="auto"/>
              </w:rPr>
              <w:t>Deferred income taxes</w:t>
            </w:r>
          </w:p>
        </w:tc>
        <w:tc>
          <w:tcPr>
            <w:tcW w:w="1780" w:type="dxa"/>
            <w:vAlign w:val="bottom"/>
            <w:gridSpan w:val="2"/>
          </w:tcPr>
          <w:p>
            <w:pPr>
              <w:jc w:val="right"/>
              <w:ind w:right="599"/>
              <w:spacing w:after="0"/>
              <w:rPr>
                <w:sz w:val="20"/>
                <w:szCs w:val="20"/>
                <w:color w:val="auto"/>
              </w:rPr>
            </w:pPr>
            <w:r>
              <w:rPr>
                <w:rFonts w:ascii="Arial" w:cs="Arial" w:eastAsia="Arial" w:hAnsi="Arial"/>
                <w:sz w:val="16"/>
                <w:szCs w:val="16"/>
                <w:b w:val="1"/>
                <w:bCs w:val="1"/>
                <w:color w:val="auto"/>
              </w:rPr>
              <w:t>107</w:t>
            </w:r>
          </w:p>
        </w:tc>
        <w:tc>
          <w:tcPr>
            <w:tcW w:w="580" w:type="dxa"/>
            <w:vAlign w:val="bottom"/>
          </w:tcPr>
          <w:p>
            <w:pPr>
              <w:jc w:val="right"/>
              <w:spacing w:after="0"/>
              <w:rPr>
                <w:sz w:val="20"/>
                <w:szCs w:val="20"/>
                <w:color w:val="auto"/>
              </w:rPr>
            </w:pPr>
            <w:r>
              <w:rPr>
                <w:rFonts w:ascii="Arial" w:cs="Arial" w:eastAsia="Arial" w:hAnsi="Arial"/>
                <w:sz w:val="16"/>
                <w:szCs w:val="16"/>
                <w:color w:val="auto"/>
              </w:rPr>
              <w:t>96</w:t>
            </w:r>
          </w:p>
        </w:tc>
        <w:tc>
          <w:tcPr>
            <w:tcW w:w="100" w:type="dxa"/>
            <w:vAlign w:val="bottom"/>
          </w:tcPr>
          <w:p>
            <w:pPr>
              <w:spacing w:after="0"/>
              <w:rPr>
                <w:sz w:val="19"/>
                <w:szCs w:val="19"/>
                <w:color w:val="auto"/>
              </w:rPr>
            </w:pPr>
          </w:p>
        </w:tc>
        <w:tc>
          <w:tcPr>
            <w:tcW w:w="1380" w:type="dxa"/>
            <w:vAlign w:val="bottom"/>
          </w:tcPr>
          <w:p>
            <w:pPr>
              <w:jc w:val="right"/>
              <w:ind w:right="299"/>
              <w:spacing w:after="0"/>
              <w:rPr>
                <w:sz w:val="20"/>
                <w:szCs w:val="20"/>
                <w:color w:val="auto"/>
              </w:rPr>
            </w:pPr>
            <w:r>
              <w:rPr>
                <w:rFonts w:ascii="Arial" w:cs="Arial" w:eastAsia="Arial" w:hAnsi="Arial"/>
                <w:sz w:val="16"/>
                <w:szCs w:val="16"/>
                <w:b w:val="1"/>
                <w:bCs w:val="1"/>
                <w:color w:val="auto"/>
              </w:rPr>
              <w:t>766</w:t>
            </w:r>
          </w:p>
        </w:tc>
        <w:tc>
          <w:tcPr>
            <w:tcW w:w="860" w:type="dxa"/>
            <w:vAlign w:val="bottom"/>
          </w:tcPr>
          <w:p>
            <w:pPr>
              <w:jc w:val="right"/>
              <w:spacing w:after="0"/>
              <w:rPr>
                <w:sz w:val="20"/>
                <w:szCs w:val="20"/>
                <w:color w:val="auto"/>
              </w:rPr>
            </w:pPr>
            <w:r>
              <w:rPr>
                <w:rFonts w:ascii="Arial" w:cs="Arial" w:eastAsia="Arial" w:hAnsi="Arial"/>
                <w:sz w:val="16"/>
                <w:szCs w:val="16"/>
                <w:color w:val="auto"/>
              </w:rPr>
              <w:t>493</w:t>
            </w:r>
          </w:p>
        </w:tc>
      </w:tr>
      <w:tr>
        <w:trPr>
          <w:trHeight w:val="230"/>
        </w:trPr>
        <w:tc>
          <w:tcPr>
            <w:tcW w:w="6480" w:type="dxa"/>
            <w:vAlign w:val="bottom"/>
          </w:tcPr>
          <w:p>
            <w:pPr>
              <w:spacing w:after="0"/>
              <w:rPr>
                <w:sz w:val="20"/>
                <w:szCs w:val="20"/>
                <w:color w:val="auto"/>
              </w:rPr>
            </w:pPr>
            <w:r>
              <w:rPr>
                <w:rFonts w:ascii="Arial" w:cs="Arial" w:eastAsia="Arial" w:hAnsi="Arial"/>
                <w:sz w:val="16"/>
                <w:szCs w:val="16"/>
                <w:color w:val="auto"/>
              </w:rPr>
              <w:t>(Income) loss from equity investments</w:t>
            </w:r>
          </w:p>
        </w:tc>
        <w:tc>
          <w:tcPr>
            <w:tcW w:w="1780" w:type="dxa"/>
            <w:vAlign w:val="bottom"/>
            <w:gridSpan w:val="2"/>
          </w:tcPr>
          <w:p>
            <w:pPr>
              <w:jc w:val="right"/>
              <w:ind w:right="559"/>
              <w:spacing w:after="0"/>
              <w:rPr>
                <w:sz w:val="20"/>
                <w:szCs w:val="20"/>
                <w:color w:val="auto"/>
              </w:rPr>
            </w:pPr>
            <w:r>
              <w:rPr>
                <w:rFonts w:ascii="Arial" w:cs="Arial" w:eastAsia="Arial" w:hAnsi="Arial"/>
                <w:sz w:val="16"/>
                <w:szCs w:val="16"/>
                <w:b w:val="1"/>
                <w:bCs w:val="1"/>
                <w:color w:val="auto"/>
              </w:rPr>
              <w:t>(294)</w:t>
            </w:r>
          </w:p>
        </w:tc>
        <w:tc>
          <w:tcPr>
            <w:tcW w:w="580" w:type="dxa"/>
            <w:vAlign w:val="bottom"/>
          </w:tcPr>
          <w:p>
            <w:pPr>
              <w:jc w:val="right"/>
              <w:spacing w:after="0"/>
              <w:rPr>
                <w:sz w:val="20"/>
                <w:szCs w:val="20"/>
                <w:color w:val="auto"/>
              </w:rPr>
            </w:pPr>
            <w:r>
              <w:rPr>
                <w:rFonts w:ascii="Arial" w:cs="Arial" w:eastAsia="Arial" w:hAnsi="Arial"/>
                <w:sz w:val="16"/>
                <w:szCs w:val="16"/>
                <w:color w:val="auto"/>
              </w:rPr>
              <w:t>(450)</w:t>
            </w:r>
          </w:p>
        </w:tc>
        <w:tc>
          <w:tcPr>
            <w:tcW w:w="100" w:type="dxa"/>
            <w:vAlign w:val="bottom"/>
          </w:tcPr>
          <w:p>
            <w:pPr>
              <w:spacing w:after="0"/>
              <w:rPr>
                <w:sz w:val="19"/>
                <w:szCs w:val="19"/>
                <w:color w:val="auto"/>
              </w:rPr>
            </w:pPr>
          </w:p>
        </w:tc>
        <w:tc>
          <w:tcPr>
            <w:tcW w:w="1380" w:type="dxa"/>
            <w:vAlign w:val="bottom"/>
          </w:tcPr>
          <w:p>
            <w:pPr>
              <w:jc w:val="right"/>
              <w:ind w:right="259"/>
              <w:spacing w:after="0"/>
              <w:rPr>
                <w:sz w:val="20"/>
                <w:szCs w:val="20"/>
                <w:color w:val="auto"/>
              </w:rPr>
            </w:pPr>
            <w:r>
              <w:rPr>
                <w:rFonts w:ascii="Arial" w:cs="Arial" w:eastAsia="Arial" w:hAnsi="Arial"/>
                <w:sz w:val="16"/>
                <w:szCs w:val="16"/>
                <w:b w:val="1"/>
                <w:bCs w:val="1"/>
                <w:color w:val="auto"/>
              </w:rPr>
              <w:t>(1,274)</w:t>
            </w:r>
          </w:p>
        </w:tc>
        <w:tc>
          <w:tcPr>
            <w:tcW w:w="860" w:type="dxa"/>
            <w:vAlign w:val="bottom"/>
          </w:tcPr>
          <w:p>
            <w:pPr>
              <w:jc w:val="right"/>
              <w:spacing w:after="0"/>
              <w:rPr>
                <w:sz w:val="20"/>
                <w:szCs w:val="20"/>
                <w:color w:val="auto"/>
              </w:rPr>
            </w:pPr>
            <w:r>
              <w:rPr>
                <w:rFonts w:ascii="Arial" w:cs="Arial" w:eastAsia="Arial" w:hAnsi="Arial"/>
                <w:sz w:val="16"/>
                <w:szCs w:val="16"/>
                <w:color w:val="auto"/>
              </w:rPr>
              <w:t>(1,608)</w:t>
            </w:r>
          </w:p>
        </w:tc>
      </w:tr>
      <w:tr>
        <w:trPr>
          <w:trHeight w:val="229"/>
        </w:trPr>
        <w:tc>
          <w:tcPr>
            <w:tcW w:w="6480" w:type="dxa"/>
            <w:vAlign w:val="bottom"/>
          </w:tcPr>
          <w:p>
            <w:pPr>
              <w:spacing w:after="0"/>
              <w:rPr>
                <w:sz w:val="20"/>
                <w:szCs w:val="20"/>
                <w:color w:val="auto"/>
              </w:rPr>
            </w:pPr>
            <w:r>
              <w:rPr>
                <w:rFonts w:ascii="Arial" w:cs="Arial" w:eastAsia="Arial" w:hAnsi="Arial"/>
                <w:sz w:val="16"/>
                <w:szCs w:val="16"/>
                <w:color w:val="auto"/>
              </w:rPr>
              <w:t>Distributions received from operating activities of equity investments</w:t>
            </w:r>
          </w:p>
        </w:tc>
        <w:tc>
          <w:tcPr>
            <w:tcW w:w="1780" w:type="dxa"/>
            <w:vAlign w:val="bottom"/>
            <w:gridSpan w:val="2"/>
          </w:tcPr>
          <w:p>
            <w:pPr>
              <w:jc w:val="right"/>
              <w:ind w:right="599"/>
              <w:spacing w:after="0"/>
              <w:rPr>
                <w:sz w:val="20"/>
                <w:szCs w:val="20"/>
                <w:color w:val="auto"/>
              </w:rPr>
            </w:pPr>
            <w:r>
              <w:rPr>
                <w:rFonts w:ascii="Arial" w:cs="Arial" w:eastAsia="Arial" w:hAnsi="Arial"/>
                <w:sz w:val="16"/>
                <w:szCs w:val="16"/>
                <w:b w:val="1"/>
                <w:bCs w:val="1"/>
                <w:color w:val="auto"/>
              </w:rPr>
              <w:t>525</w:t>
            </w:r>
          </w:p>
        </w:tc>
        <w:tc>
          <w:tcPr>
            <w:tcW w:w="580" w:type="dxa"/>
            <w:vAlign w:val="bottom"/>
          </w:tcPr>
          <w:p>
            <w:pPr>
              <w:jc w:val="right"/>
              <w:spacing w:after="0"/>
              <w:rPr>
                <w:sz w:val="20"/>
                <w:szCs w:val="20"/>
                <w:color w:val="auto"/>
              </w:rPr>
            </w:pPr>
            <w:r>
              <w:rPr>
                <w:rFonts w:ascii="Arial" w:cs="Arial" w:eastAsia="Arial" w:hAnsi="Arial"/>
                <w:sz w:val="16"/>
                <w:szCs w:val="16"/>
                <w:color w:val="auto"/>
              </w:rPr>
              <w:t>332</w:t>
            </w:r>
          </w:p>
        </w:tc>
        <w:tc>
          <w:tcPr>
            <w:tcW w:w="100" w:type="dxa"/>
            <w:vAlign w:val="bottom"/>
          </w:tcPr>
          <w:p>
            <w:pPr>
              <w:spacing w:after="0"/>
              <w:rPr>
                <w:sz w:val="19"/>
                <w:szCs w:val="19"/>
                <w:color w:val="auto"/>
              </w:rPr>
            </w:pPr>
          </w:p>
        </w:tc>
        <w:tc>
          <w:tcPr>
            <w:tcW w:w="1380" w:type="dxa"/>
            <w:vAlign w:val="bottom"/>
          </w:tcPr>
          <w:p>
            <w:pPr>
              <w:jc w:val="right"/>
              <w:ind w:right="299"/>
              <w:spacing w:after="0"/>
              <w:rPr>
                <w:sz w:val="20"/>
                <w:szCs w:val="20"/>
                <w:color w:val="auto"/>
              </w:rPr>
            </w:pPr>
            <w:r>
              <w:rPr>
                <w:rFonts w:ascii="Arial" w:cs="Arial" w:eastAsia="Arial" w:hAnsi="Arial"/>
                <w:sz w:val="16"/>
                <w:szCs w:val="16"/>
                <w:b w:val="1"/>
                <w:bCs w:val="1"/>
                <w:color w:val="auto"/>
              </w:rPr>
              <w:t>1,616</w:t>
            </w:r>
          </w:p>
        </w:tc>
        <w:tc>
          <w:tcPr>
            <w:tcW w:w="860" w:type="dxa"/>
            <w:vAlign w:val="bottom"/>
          </w:tcPr>
          <w:p>
            <w:pPr>
              <w:jc w:val="right"/>
              <w:spacing w:after="0"/>
              <w:rPr>
                <w:sz w:val="20"/>
                <w:szCs w:val="20"/>
                <w:color w:val="auto"/>
              </w:rPr>
            </w:pPr>
            <w:r>
              <w:rPr>
                <w:rFonts w:ascii="Arial" w:cs="Arial" w:eastAsia="Arial" w:hAnsi="Arial"/>
                <w:sz w:val="16"/>
                <w:szCs w:val="16"/>
                <w:color w:val="auto"/>
              </w:rPr>
              <w:t>1,675</w:t>
            </w:r>
          </w:p>
        </w:tc>
      </w:tr>
      <w:tr>
        <w:trPr>
          <w:trHeight w:val="229"/>
        </w:trPr>
        <w:tc>
          <w:tcPr>
            <w:tcW w:w="6480" w:type="dxa"/>
            <w:vAlign w:val="bottom"/>
          </w:tcPr>
          <w:p>
            <w:pPr>
              <w:spacing w:after="0"/>
              <w:rPr>
                <w:sz w:val="20"/>
                <w:szCs w:val="20"/>
                <w:color w:val="auto"/>
              </w:rPr>
            </w:pPr>
            <w:r>
              <w:rPr>
                <w:rFonts w:ascii="Arial" w:cs="Arial" w:eastAsia="Arial" w:hAnsi="Arial"/>
                <w:sz w:val="16"/>
                <w:szCs w:val="16"/>
                <w:color w:val="auto"/>
              </w:rPr>
              <w:t>Employee post-retirement benefits funding, net of expense</w:t>
            </w:r>
          </w:p>
        </w:tc>
        <w:tc>
          <w:tcPr>
            <w:tcW w:w="120" w:type="dxa"/>
            <w:vAlign w:val="bottom"/>
          </w:tcPr>
          <w:p>
            <w:pPr>
              <w:spacing w:after="0"/>
              <w:rPr>
                <w:sz w:val="19"/>
                <w:szCs w:val="19"/>
                <w:color w:val="auto"/>
              </w:rPr>
            </w:pPr>
          </w:p>
        </w:tc>
        <w:tc>
          <w:tcPr>
            <w:tcW w:w="1660" w:type="dxa"/>
            <w:vAlign w:val="bottom"/>
          </w:tcPr>
          <w:p>
            <w:pPr>
              <w:jc w:val="right"/>
              <w:ind w:right="599"/>
              <w:spacing w:after="0"/>
              <w:rPr>
                <w:sz w:val="20"/>
                <w:szCs w:val="20"/>
                <w:color w:val="auto"/>
              </w:rPr>
            </w:pPr>
            <w:r>
              <w:rPr>
                <w:rFonts w:ascii="Arial" w:cs="Arial" w:eastAsia="Arial" w:hAnsi="Arial"/>
                <w:sz w:val="16"/>
                <w:szCs w:val="16"/>
                <w:b w:val="1"/>
                <w:bCs w:val="1"/>
                <w:color w:val="auto"/>
              </w:rPr>
              <w:t>—</w:t>
            </w:r>
          </w:p>
        </w:tc>
        <w:tc>
          <w:tcPr>
            <w:tcW w:w="6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299"/>
              <w:spacing w:after="0"/>
              <w:rPr>
                <w:sz w:val="20"/>
                <w:szCs w:val="20"/>
                <w:color w:val="auto"/>
              </w:rPr>
            </w:pPr>
            <w:r>
              <w:rPr>
                <w:rFonts w:ascii="Arial" w:cs="Arial" w:eastAsia="Arial" w:hAnsi="Arial"/>
                <w:sz w:val="16"/>
                <w:szCs w:val="16"/>
                <w:b w:val="1"/>
                <w:bCs w:val="1"/>
                <w:color w:val="auto"/>
              </w:rPr>
              <w:t>3</w:t>
            </w:r>
          </w:p>
        </w:tc>
        <w:tc>
          <w:tcPr>
            <w:tcW w:w="86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230"/>
        </w:trPr>
        <w:tc>
          <w:tcPr>
            <w:tcW w:w="6480" w:type="dxa"/>
            <w:vAlign w:val="bottom"/>
          </w:tcPr>
          <w:p>
            <w:pPr>
              <w:spacing w:after="0"/>
              <w:rPr>
                <w:sz w:val="20"/>
                <w:szCs w:val="20"/>
                <w:color w:val="auto"/>
              </w:rPr>
            </w:pPr>
            <w:r>
              <w:rPr>
                <w:rFonts w:ascii="Arial" w:cs="Arial" w:eastAsia="Arial" w:hAnsi="Arial"/>
                <w:sz w:val="16"/>
                <w:szCs w:val="16"/>
                <w:color w:val="auto"/>
              </w:rPr>
              <w:t>Equity allowance for funds used during construction</w:t>
            </w:r>
          </w:p>
        </w:tc>
        <w:tc>
          <w:tcPr>
            <w:tcW w:w="1780" w:type="dxa"/>
            <w:vAlign w:val="bottom"/>
            <w:gridSpan w:val="2"/>
          </w:tcPr>
          <w:p>
            <w:pPr>
              <w:jc w:val="right"/>
              <w:ind w:right="559"/>
              <w:spacing w:after="0"/>
              <w:rPr>
                <w:sz w:val="20"/>
                <w:szCs w:val="20"/>
                <w:color w:val="auto"/>
              </w:rPr>
            </w:pPr>
            <w:r>
              <w:rPr>
                <w:rFonts w:ascii="Arial" w:cs="Arial" w:eastAsia="Arial" w:hAnsi="Arial"/>
                <w:sz w:val="16"/>
                <w:szCs w:val="16"/>
                <w:b w:val="1"/>
                <w:bCs w:val="1"/>
                <w:color w:val="auto"/>
              </w:rPr>
              <w:t>(29)</w:t>
            </w:r>
          </w:p>
        </w:tc>
        <w:tc>
          <w:tcPr>
            <w:tcW w:w="580" w:type="dxa"/>
            <w:vAlign w:val="bottom"/>
          </w:tcPr>
          <w:p>
            <w:pPr>
              <w:jc w:val="right"/>
              <w:spacing w:after="0"/>
              <w:rPr>
                <w:sz w:val="20"/>
                <w:szCs w:val="20"/>
                <w:color w:val="auto"/>
              </w:rPr>
            </w:pPr>
            <w:r>
              <w:rPr>
                <w:rFonts w:ascii="Arial" w:cs="Arial" w:eastAsia="Arial" w:hAnsi="Arial"/>
                <w:sz w:val="16"/>
                <w:szCs w:val="16"/>
                <w:color w:val="auto"/>
              </w:rPr>
              <w:t>(153)</w:t>
            </w:r>
          </w:p>
        </w:tc>
        <w:tc>
          <w:tcPr>
            <w:tcW w:w="100" w:type="dxa"/>
            <w:vAlign w:val="bottom"/>
          </w:tcPr>
          <w:p>
            <w:pPr>
              <w:spacing w:after="0"/>
              <w:rPr>
                <w:sz w:val="19"/>
                <w:szCs w:val="19"/>
                <w:color w:val="auto"/>
              </w:rPr>
            </w:pPr>
          </w:p>
        </w:tc>
        <w:tc>
          <w:tcPr>
            <w:tcW w:w="1380" w:type="dxa"/>
            <w:vAlign w:val="bottom"/>
          </w:tcPr>
          <w:p>
            <w:pPr>
              <w:jc w:val="right"/>
              <w:ind w:right="259"/>
              <w:spacing w:after="0"/>
              <w:rPr>
                <w:sz w:val="20"/>
                <w:szCs w:val="20"/>
                <w:color w:val="auto"/>
              </w:rPr>
            </w:pPr>
            <w:r>
              <w:rPr>
                <w:rFonts w:ascii="Arial" w:cs="Arial" w:eastAsia="Arial" w:hAnsi="Arial"/>
                <w:sz w:val="16"/>
                <w:szCs w:val="16"/>
                <w:b w:val="1"/>
                <w:bCs w:val="1"/>
                <w:color w:val="auto"/>
              </w:rPr>
              <w:t>(320)</w:t>
            </w:r>
          </w:p>
        </w:tc>
        <w:tc>
          <w:tcPr>
            <w:tcW w:w="860" w:type="dxa"/>
            <w:vAlign w:val="bottom"/>
          </w:tcPr>
          <w:p>
            <w:pPr>
              <w:jc w:val="right"/>
              <w:spacing w:after="0"/>
              <w:rPr>
                <w:sz w:val="20"/>
                <w:szCs w:val="20"/>
                <w:color w:val="auto"/>
              </w:rPr>
            </w:pPr>
            <w:r>
              <w:rPr>
                <w:rFonts w:ascii="Arial" w:cs="Arial" w:eastAsia="Arial" w:hAnsi="Arial"/>
                <w:sz w:val="16"/>
                <w:szCs w:val="16"/>
                <w:color w:val="auto"/>
              </w:rPr>
              <w:t>(512)</w:t>
            </w:r>
          </w:p>
        </w:tc>
      </w:tr>
      <w:tr>
        <w:trPr>
          <w:trHeight w:val="229"/>
        </w:trPr>
        <w:tc>
          <w:tcPr>
            <w:tcW w:w="6480" w:type="dxa"/>
            <w:vAlign w:val="bottom"/>
          </w:tcPr>
          <w:p>
            <w:pPr>
              <w:spacing w:after="0"/>
              <w:rPr>
                <w:sz w:val="20"/>
                <w:szCs w:val="20"/>
                <w:color w:val="auto"/>
              </w:rPr>
            </w:pPr>
            <w:r>
              <w:rPr>
                <w:rFonts w:ascii="Arial" w:cs="Arial" w:eastAsia="Arial" w:hAnsi="Arial"/>
                <w:sz w:val="16"/>
                <w:szCs w:val="16"/>
                <w:color w:val="auto"/>
              </w:rPr>
              <w:t>Unrealized (gains) losses on financial instruments</w:t>
            </w:r>
          </w:p>
        </w:tc>
        <w:tc>
          <w:tcPr>
            <w:tcW w:w="1780" w:type="dxa"/>
            <w:vAlign w:val="bottom"/>
            <w:gridSpan w:val="2"/>
          </w:tcPr>
          <w:p>
            <w:pPr>
              <w:jc w:val="right"/>
              <w:ind w:right="559"/>
              <w:spacing w:after="0"/>
              <w:rPr>
                <w:sz w:val="20"/>
                <w:szCs w:val="20"/>
                <w:color w:val="auto"/>
              </w:rPr>
            </w:pPr>
            <w:r>
              <w:rPr>
                <w:rFonts w:ascii="Arial" w:cs="Arial" w:eastAsia="Arial" w:hAnsi="Arial"/>
                <w:sz w:val="16"/>
                <w:szCs w:val="16"/>
                <w:b w:val="1"/>
                <w:bCs w:val="1"/>
                <w:color w:val="auto"/>
              </w:rPr>
              <w:t>(102)</w:t>
            </w:r>
          </w:p>
        </w:tc>
        <w:tc>
          <w:tcPr>
            <w:tcW w:w="580" w:type="dxa"/>
            <w:vAlign w:val="bottom"/>
          </w:tcPr>
          <w:p>
            <w:pPr>
              <w:jc w:val="right"/>
              <w:spacing w:after="0"/>
              <w:rPr>
                <w:sz w:val="20"/>
                <w:szCs w:val="20"/>
                <w:color w:val="auto"/>
              </w:rPr>
            </w:pPr>
            <w:r>
              <w:rPr>
                <w:rFonts w:ascii="Arial" w:cs="Arial" w:eastAsia="Arial" w:hAnsi="Arial"/>
                <w:sz w:val="16"/>
                <w:szCs w:val="16"/>
                <w:color w:val="auto"/>
              </w:rPr>
              <w:t>294</w:t>
            </w:r>
          </w:p>
        </w:tc>
        <w:tc>
          <w:tcPr>
            <w:tcW w:w="100" w:type="dxa"/>
            <w:vAlign w:val="bottom"/>
          </w:tcPr>
          <w:p>
            <w:pPr>
              <w:spacing w:after="0"/>
              <w:rPr>
                <w:sz w:val="19"/>
                <w:szCs w:val="19"/>
                <w:color w:val="auto"/>
              </w:rPr>
            </w:pPr>
          </w:p>
        </w:tc>
        <w:tc>
          <w:tcPr>
            <w:tcW w:w="1380" w:type="dxa"/>
            <w:vAlign w:val="bottom"/>
          </w:tcPr>
          <w:p>
            <w:pPr>
              <w:jc w:val="right"/>
              <w:ind w:right="259"/>
              <w:spacing w:after="0"/>
              <w:rPr>
                <w:sz w:val="20"/>
                <w:szCs w:val="20"/>
                <w:color w:val="auto"/>
              </w:rPr>
            </w:pPr>
            <w:r>
              <w:rPr>
                <w:rFonts w:ascii="Arial" w:cs="Arial" w:eastAsia="Arial" w:hAnsi="Arial"/>
                <w:sz w:val="16"/>
                <w:szCs w:val="16"/>
                <w:b w:val="1"/>
                <w:bCs w:val="1"/>
                <w:color w:val="auto"/>
              </w:rPr>
              <w:t>(235)</w:t>
            </w:r>
          </w:p>
        </w:tc>
        <w:tc>
          <w:tcPr>
            <w:tcW w:w="860" w:type="dxa"/>
            <w:vAlign w:val="bottom"/>
          </w:tcPr>
          <w:p>
            <w:pPr>
              <w:jc w:val="right"/>
              <w:spacing w:after="0"/>
              <w:rPr>
                <w:sz w:val="20"/>
                <w:szCs w:val="20"/>
                <w:color w:val="auto"/>
              </w:rPr>
            </w:pPr>
            <w:r>
              <w:rPr>
                <w:rFonts w:ascii="Arial" w:cs="Arial" w:eastAsia="Arial" w:hAnsi="Arial"/>
                <w:sz w:val="16"/>
                <w:szCs w:val="16"/>
                <w:color w:val="auto"/>
              </w:rPr>
              <w:t>340</w:t>
            </w:r>
          </w:p>
        </w:tc>
      </w:tr>
      <w:tr>
        <w:trPr>
          <w:trHeight w:val="230"/>
        </w:trPr>
        <w:tc>
          <w:tcPr>
            <w:tcW w:w="6480" w:type="dxa"/>
            <w:vAlign w:val="bottom"/>
          </w:tcPr>
          <w:p>
            <w:pPr>
              <w:spacing w:after="0"/>
              <w:rPr>
                <w:sz w:val="20"/>
                <w:szCs w:val="20"/>
                <w:color w:val="auto"/>
              </w:rPr>
            </w:pPr>
            <w:r>
              <w:rPr>
                <w:rFonts w:ascii="Arial" w:cs="Arial" w:eastAsia="Arial" w:hAnsi="Arial"/>
                <w:sz w:val="16"/>
                <w:szCs w:val="16"/>
                <w:color w:val="auto"/>
              </w:rPr>
              <w:t>Expected credit loss provision</w:t>
            </w:r>
          </w:p>
        </w:tc>
        <w:tc>
          <w:tcPr>
            <w:tcW w:w="1780" w:type="dxa"/>
            <w:vAlign w:val="bottom"/>
            <w:gridSpan w:val="2"/>
          </w:tcPr>
          <w:p>
            <w:pPr>
              <w:jc w:val="right"/>
              <w:ind w:right="559"/>
              <w:spacing w:after="0"/>
              <w:rPr>
                <w:sz w:val="20"/>
                <w:szCs w:val="20"/>
                <w:color w:val="auto"/>
              </w:rPr>
            </w:pPr>
            <w:r>
              <w:rPr>
                <w:rFonts w:ascii="Arial" w:cs="Arial" w:eastAsia="Arial" w:hAnsi="Arial"/>
                <w:sz w:val="16"/>
                <w:szCs w:val="16"/>
                <w:b w:val="1"/>
                <w:bCs w:val="1"/>
                <w:color w:val="auto"/>
              </w:rPr>
              <w:t>(5)</w:t>
            </w:r>
          </w:p>
        </w:tc>
        <w:tc>
          <w:tcPr>
            <w:tcW w:w="58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9"/>
                <w:szCs w:val="19"/>
                <w:color w:val="auto"/>
              </w:rPr>
            </w:pPr>
          </w:p>
        </w:tc>
        <w:tc>
          <w:tcPr>
            <w:tcW w:w="1380" w:type="dxa"/>
            <w:vAlign w:val="bottom"/>
          </w:tcPr>
          <w:p>
            <w:pPr>
              <w:jc w:val="right"/>
              <w:ind w:right="299"/>
              <w:spacing w:after="0"/>
              <w:rPr>
                <w:sz w:val="20"/>
                <w:szCs w:val="20"/>
                <w:color w:val="auto"/>
              </w:rPr>
            </w:pPr>
            <w:r>
              <w:rPr>
                <w:rFonts w:ascii="Arial" w:cs="Arial" w:eastAsia="Arial" w:hAnsi="Arial"/>
                <w:sz w:val="16"/>
                <w:szCs w:val="16"/>
                <w:b w:val="1"/>
                <w:bCs w:val="1"/>
                <w:color w:val="auto"/>
              </w:rPr>
              <w:t>83</w:t>
            </w:r>
          </w:p>
        </w:tc>
        <w:tc>
          <w:tcPr>
            <w:tcW w:w="860" w:type="dxa"/>
            <w:vAlign w:val="bottom"/>
          </w:tcPr>
          <w:p>
            <w:pPr>
              <w:jc w:val="right"/>
              <w:spacing w:after="0"/>
              <w:rPr>
                <w:sz w:val="20"/>
                <w:szCs w:val="20"/>
                <w:color w:val="auto"/>
              </w:rPr>
            </w:pPr>
            <w:r>
              <w:rPr>
                <w:rFonts w:ascii="Arial" w:cs="Arial" w:eastAsia="Arial" w:hAnsi="Arial"/>
                <w:sz w:val="16"/>
                <w:szCs w:val="16"/>
                <w:color w:val="auto"/>
              </w:rPr>
              <w:t>(22)</w:t>
            </w:r>
          </w:p>
        </w:tc>
      </w:tr>
      <w:tr>
        <w:trPr>
          <w:trHeight w:val="229"/>
        </w:trPr>
        <w:tc>
          <w:tcPr>
            <w:tcW w:w="6480" w:type="dxa"/>
            <w:vAlign w:val="bottom"/>
          </w:tcPr>
          <w:p>
            <w:pPr>
              <w:spacing w:after="0"/>
              <w:rPr>
                <w:sz w:val="20"/>
                <w:szCs w:val="20"/>
                <w:color w:val="auto"/>
              </w:rPr>
            </w:pPr>
            <w:r>
              <w:rPr>
                <w:rFonts w:ascii="Arial" w:cs="Arial" w:eastAsia="Arial" w:hAnsi="Arial"/>
                <w:sz w:val="16"/>
                <w:szCs w:val="16"/>
                <w:color w:val="auto"/>
              </w:rPr>
              <w:t>Foreign exchange (gains) losses, net – intercompany loan</w:t>
            </w:r>
          </w:p>
        </w:tc>
        <w:tc>
          <w:tcPr>
            <w:tcW w:w="1780" w:type="dxa"/>
            <w:vAlign w:val="bottom"/>
            <w:gridSpan w:val="2"/>
          </w:tcPr>
          <w:p>
            <w:pPr>
              <w:jc w:val="right"/>
              <w:ind w:right="599"/>
              <w:spacing w:after="0"/>
              <w:rPr>
                <w:sz w:val="20"/>
                <w:szCs w:val="20"/>
                <w:color w:val="auto"/>
              </w:rPr>
            </w:pPr>
            <w:r>
              <w:rPr>
                <w:rFonts w:ascii="Arial" w:cs="Arial" w:eastAsia="Arial" w:hAnsi="Arial"/>
                <w:sz w:val="16"/>
                <w:szCs w:val="16"/>
                <w:b w:val="1"/>
                <w:bCs w:val="1"/>
                <w:color w:val="auto"/>
              </w:rPr>
              <w:t>55</w:t>
            </w:r>
          </w:p>
        </w:tc>
        <w:tc>
          <w:tcPr>
            <w:tcW w:w="580" w:type="dxa"/>
            <w:vAlign w:val="bottom"/>
          </w:tcPr>
          <w:p>
            <w:pPr>
              <w:jc w:val="right"/>
              <w:spacing w:after="0"/>
              <w:rPr>
                <w:sz w:val="20"/>
                <w:szCs w:val="20"/>
                <w:color w:val="auto"/>
              </w:rPr>
            </w:pPr>
            <w:r>
              <w:rPr>
                <w:rFonts w:ascii="Arial" w:cs="Arial" w:eastAsia="Arial" w:hAnsi="Arial"/>
                <w:sz w:val="16"/>
                <w:szCs w:val="16"/>
                <w:color w:val="auto"/>
              </w:rPr>
              <w:t>(163)</w:t>
            </w:r>
          </w:p>
        </w:tc>
        <w:tc>
          <w:tcPr>
            <w:tcW w:w="100" w:type="dxa"/>
            <w:vAlign w:val="bottom"/>
          </w:tcPr>
          <w:p>
            <w:pPr>
              <w:spacing w:after="0"/>
              <w:rPr>
                <w:sz w:val="19"/>
                <w:szCs w:val="19"/>
                <w:color w:val="auto"/>
              </w:rPr>
            </w:pPr>
          </w:p>
        </w:tc>
        <w:tc>
          <w:tcPr>
            <w:tcW w:w="1380" w:type="dxa"/>
            <w:vAlign w:val="bottom"/>
          </w:tcPr>
          <w:p>
            <w:pPr>
              <w:jc w:val="right"/>
              <w:ind w:right="299"/>
              <w:spacing w:after="0"/>
              <w:rPr>
                <w:sz w:val="20"/>
                <w:szCs w:val="20"/>
                <w:color w:val="auto"/>
              </w:rPr>
            </w:pPr>
            <w:r>
              <w:rPr>
                <w:rFonts w:ascii="Arial" w:cs="Arial" w:eastAsia="Arial" w:hAnsi="Arial"/>
                <w:sz w:val="16"/>
                <w:szCs w:val="16"/>
                <w:b w:val="1"/>
                <w:bCs w:val="1"/>
                <w:color w:val="auto"/>
              </w:rPr>
              <w:t>149</w:t>
            </w:r>
          </w:p>
        </w:tc>
        <w:tc>
          <w:tcPr>
            <w:tcW w:w="860" w:type="dxa"/>
            <w:vAlign w:val="bottom"/>
          </w:tcPr>
          <w:p>
            <w:pPr>
              <w:jc w:val="right"/>
              <w:spacing w:after="0"/>
              <w:rPr>
                <w:sz w:val="20"/>
                <w:szCs w:val="20"/>
                <w:color w:val="auto"/>
              </w:rPr>
            </w:pPr>
            <w:r>
              <w:rPr>
                <w:rFonts w:ascii="Arial" w:cs="Arial" w:eastAsia="Arial" w:hAnsi="Arial"/>
                <w:sz w:val="16"/>
                <w:szCs w:val="16"/>
                <w:color w:val="auto"/>
              </w:rPr>
              <w:t>(216)</w:t>
            </w:r>
          </w:p>
        </w:tc>
      </w:tr>
      <w:tr>
        <w:trPr>
          <w:trHeight w:val="229"/>
        </w:trPr>
        <w:tc>
          <w:tcPr>
            <w:tcW w:w="6480" w:type="dxa"/>
            <w:vAlign w:val="bottom"/>
          </w:tcPr>
          <w:p>
            <w:pPr>
              <w:spacing w:after="0"/>
              <w:rPr>
                <w:sz w:val="20"/>
                <w:szCs w:val="20"/>
                <w:color w:val="auto"/>
              </w:rPr>
            </w:pPr>
            <w:r>
              <w:rPr>
                <w:rFonts w:ascii="Arial" w:cs="Arial" w:eastAsia="Arial" w:hAnsi="Arial"/>
                <w:sz w:val="16"/>
                <w:szCs w:val="16"/>
                <w:color w:val="auto"/>
              </w:rPr>
              <w:t>Net (gain) loss on sale of assets</w:t>
            </w:r>
          </w:p>
        </w:tc>
        <w:tc>
          <w:tcPr>
            <w:tcW w:w="120" w:type="dxa"/>
            <w:vAlign w:val="bottom"/>
          </w:tcPr>
          <w:p>
            <w:pPr>
              <w:spacing w:after="0"/>
              <w:rPr>
                <w:sz w:val="19"/>
                <w:szCs w:val="19"/>
                <w:color w:val="auto"/>
              </w:rPr>
            </w:pPr>
          </w:p>
        </w:tc>
        <w:tc>
          <w:tcPr>
            <w:tcW w:w="1660" w:type="dxa"/>
            <w:vAlign w:val="bottom"/>
          </w:tcPr>
          <w:p>
            <w:pPr>
              <w:jc w:val="right"/>
              <w:ind w:right="599"/>
              <w:spacing w:after="0"/>
              <w:rPr>
                <w:sz w:val="20"/>
                <w:szCs w:val="20"/>
                <w:color w:val="auto"/>
              </w:rPr>
            </w:pPr>
            <w:r>
              <w:rPr>
                <w:rFonts w:ascii="Arial" w:cs="Arial" w:eastAsia="Arial" w:hAnsi="Arial"/>
                <w:sz w:val="16"/>
                <w:szCs w:val="16"/>
                <w:b w:val="1"/>
                <w:bCs w:val="1"/>
                <w:color w:val="auto"/>
              </w:rPr>
              <w:t>—</w:t>
            </w:r>
          </w:p>
        </w:tc>
        <w:tc>
          <w:tcPr>
            <w:tcW w:w="6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299"/>
              <w:spacing w:after="0"/>
              <w:rPr>
                <w:sz w:val="20"/>
                <w:szCs w:val="20"/>
                <w:color w:val="auto"/>
              </w:rPr>
            </w:pPr>
            <w:r>
              <w:rPr>
                <w:rFonts w:ascii="Arial" w:cs="Arial" w:eastAsia="Arial" w:hAnsi="Arial"/>
                <w:sz w:val="16"/>
                <w:szCs w:val="16"/>
                <w:b w:val="1"/>
                <w:bCs w:val="1"/>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(620)</w:t>
            </w:r>
          </w:p>
        </w:tc>
      </w:tr>
      <w:tr>
        <w:trPr>
          <w:trHeight w:val="230"/>
        </w:trPr>
        <w:tc>
          <w:tcPr>
            <w:tcW w:w="6480" w:type="dxa"/>
            <w:vAlign w:val="bottom"/>
          </w:tcPr>
          <w:p>
            <w:pPr>
              <w:spacing w:after="0"/>
              <w:rPr>
                <w:sz w:val="20"/>
                <w:szCs w:val="20"/>
                <w:color w:val="auto"/>
              </w:rPr>
            </w:pPr>
            <w:r>
              <w:rPr>
                <w:rFonts w:ascii="Arial" w:cs="Arial" w:eastAsia="Arial" w:hAnsi="Arial"/>
                <w:sz w:val="16"/>
                <w:szCs w:val="16"/>
                <w:color w:val="auto"/>
              </w:rPr>
              <w:t>Asset impairment charges and other</w:t>
            </w:r>
          </w:p>
        </w:tc>
        <w:tc>
          <w:tcPr>
            <w:tcW w:w="120" w:type="dxa"/>
            <w:vAlign w:val="bottom"/>
          </w:tcPr>
          <w:p>
            <w:pPr>
              <w:spacing w:after="0"/>
              <w:rPr>
                <w:sz w:val="19"/>
                <w:szCs w:val="19"/>
                <w:color w:val="auto"/>
              </w:rPr>
            </w:pPr>
          </w:p>
        </w:tc>
        <w:tc>
          <w:tcPr>
            <w:tcW w:w="1660" w:type="dxa"/>
            <w:vAlign w:val="bottom"/>
          </w:tcPr>
          <w:p>
            <w:pPr>
              <w:jc w:val="right"/>
              <w:ind w:right="599"/>
              <w:spacing w:after="0"/>
              <w:rPr>
                <w:sz w:val="20"/>
                <w:szCs w:val="20"/>
                <w:color w:val="auto"/>
              </w:rPr>
            </w:pPr>
            <w:r>
              <w:rPr>
                <w:rFonts w:ascii="Arial" w:cs="Arial" w:eastAsia="Arial" w:hAnsi="Arial"/>
                <w:sz w:val="16"/>
                <w:szCs w:val="16"/>
                <w:b w:val="1"/>
                <w:bCs w:val="1"/>
                <w:color w:val="auto"/>
              </w:rPr>
              <w:t>—</w:t>
            </w:r>
          </w:p>
        </w:tc>
        <w:tc>
          <w:tcPr>
            <w:tcW w:w="6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299"/>
              <w:spacing w:after="0"/>
              <w:rPr>
                <w:sz w:val="20"/>
                <w:szCs w:val="20"/>
                <w:color w:val="auto"/>
              </w:rPr>
            </w:pPr>
            <w:r>
              <w:rPr>
                <w:rFonts w:ascii="Arial" w:cs="Arial" w:eastAsia="Arial" w:hAnsi="Arial"/>
                <w:sz w:val="16"/>
                <w:szCs w:val="16"/>
                <w:b w:val="1"/>
                <w:bCs w:val="1"/>
                <w:color w:val="auto"/>
              </w:rPr>
              <w:t>29</w:t>
            </w:r>
          </w:p>
        </w:tc>
        <w:tc>
          <w:tcPr>
            <w:tcW w:w="860" w:type="dxa"/>
            <w:vAlign w:val="bottom"/>
          </w:tcPr>
          <w:p>
            <w:pPr>
              <w:jc w:val="right"/>
              <w:spacing w:after="0"/>
              <w:rPr>
                <w:sz w:val="20"/>
                <w:szCs w:val="20"/>
                <w:color w:val="auto"/>
              </w:rPr>
            </w:pPr>
            <w:r>
              <w:rPr>
                <w:rFonts w:ascii="Arial" w:cs="Arial" w:eastAsia="Arial" w:hAnsi="Arial"/>
                <w:sz w:val="16"/>
                <w:szCs w:val="16"/>
                <w:color w:val="auto"/>
              </w:rPr>
              <w:t>21</w:t>
            </w:r>
          </w:p>
        </w:tc>
      </w:tr>
      <w:tr>
        <w:trPr>
          <w:trHeight w:val="229"/>
        </w:trPr>
        <w:tc>
          <w:tcPr>
            <w:tcW w:w="6480" w:type="dxa"/>
            <w:vAlign w:val="bottom"/>
          </w:tcPr>
          <w:p>
            <w:pPr>
              <w:spacing w:after="0"/>
              <w:rPr>
                <w:sz w:val="20"/>
                <w:szCs w:val="20"/>
                <w:color w:val="auto"/>
              </w:rPr>
            </w:pPr>
            <w:r>
              <w:rPr>
                <w:rFonts w:ascii="Arial" w:cs="Arial" w:eastAsia="Arial" w:hAnsi="Arial"/>
                <w:sz w:val="16"/>
                <w:szCs w:val="16"/>
                <w:color w:val="auto"/>
              </w:rPr>
              <w:t>Other</w:t>
            </w:r>
          </w:p>
        </w:tc>
        <w:tc>
          <w:tcPr>
            <w:tcW w:w="1780" w:type="dxa"/>
            <w:vAlign w:val="bottom"/>
            <w:gridSpan w:val="2"/>
          </w:tcPr>
          <w:p>
            <w:pPr>
              <w:jc w:val="right"/>
              <w:ind w:right="559"/>
              <w:spacing w:after="0"/>
              <w:rPr>
                <w:sz w:val="20"/>
                <w:szCs w:val="20"/>
                <w:color w:val="auto"/>
              </w:rPr>
            </w:pPr>
            <w:r>
              <w:rPr>
                <w:rFonts w:ascii="Arial" w:cs="Arial" w:eastAsia="Arial" w:hAnsi="Arial"/>
                <w:sz w:val="16"/>
                <w:szCs w:val="16"/>
                <w:b w:val="1"/>
                <w:bCs w:val="1"/>
                <w:color w:val="auto"/>
              </w:rPr>
              <w:t>(12)</w:t>
            </w:r>
          </w:p>
        </w:tc>
        <w:tc>
          <w:tcPr>
            <w:tcW w:w="580" w:type="dxa"/>
            <w:vAlign w:val="bottom"/>
          </w:tcPr>
          <w:p>
            <w:pPr>
              <w:jc w:val="right"/>
              <w:spacing w:after="0"/>
              <w:rPr>
                <w:sz w:val="20"/>
                <w:szCs w:val="20"/>
                <w:color w:val="auto"/>
              </w:rPr>
            </w:pPr>
            <w:r>
              <w:rPr>
                <w:rFonts w:ascii="Arial" w:cs="Arial" w:eastAsia="Arial" w:hAnsi="Arial"/>
                <w:sz w:val="16"/>
                <w:szCs w:val="16"/>
                <w:color w:val="auto"/>
              </w:rPr>
              <w:t>(202)</w:t>
            </w:r>
          </w:p>
        </w:tc>
        <w:tc>
          <w:tcPr>
            <w:tcW w:w="100" w:type="dxa"/>
            <w:vAlign w:val="bottom"/>
          </w:tcPr>
          <w:p>
            <w:pPr>
              <w:spacing w:after="0"/>
              <w:rPr>
                <w:sz w:val="19"/>
                <w:szCs w:val="19"/>
                <w:color w:val="auto"/>
              </w:rPr>
            </w:pPr>
          </w:p>
        </w:tc>
        <w:tc>
          <w:tcPr>
            <w:tcW w:w="1380" w:type="dxa"/>
            <w:vAlign w:val="bottom"/>
          </w:tcPr>
          <w:p>
            <w:pPr>
              <w:jc w:val="right"/>
              <w:ind w:right="299"/>
              <w:spacing w:after="0"/>
              <w:rPr>
                <w:sz w:val="20"/>
                <w:szCs w:val="20"/>
                <w:color w:val="auto"/>
              </w:rPr>
            </w:pPr>
            <w:r>
              <w:rPr>
                <w:rFonts w:ascii="Arial" w:cs="Arial" w:eastAsia="Arial" w:hAnsi="Arial"/>
                <w:sz w:val="16"/>
                <w:szCs w:val="16"/>
                <w:b w:val="1"/>
                <w:bCs w:val="1"/>
                <w:color w:val="auto"/>
              </w:rPr>
              <w:t>169</w:t>
            </w:r>
          </w:p>
        </w:tc>
        <w:tc>
          <w:tcPr>
            <w:tcW w:w="860" w:type="dxa"/>
            <w:vAlign w:val="bottom"/>
          </w:tcPr>
          <w:p>
            <w:pPr>
              <w:jc w:val="right"/>
              <w:spacing w:after="0"/>
              <w:rPr>
                <w:sz w:val="20"/>
                <w:szCs w:val="20"/>
                <w:color w:val="auto"/>
              </w:rPr>
            </w:pPr>
            <w:r>
              <w:rPr>
                <w:rFonts w:ascii="Arial" w:cs="Arial" w:eastAsia="Arial" w:hAnsi="Arial"/>
                <w:sz w:val="16"/>
                <w:szCs w:val="16"/>
                <w:color w:val="auto"/>
              </w:rPr>
              <w:t>(232)</w:t>
            </w:r>
          </w:p>
        </w:tc>
      </w:tr>
      <w:tr>
        <w:trPr>
          <w:trHeight w:val="233"/>
        </w:trPr>
        <w:tc>
          <w:tcPr>
            <w:tcW w:w="64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(Increase) decrease in operating working capital</w:t>
            </w:r>
          </w:p>
        </w:tc>
        <w:tc>
          <w:tcPr>
            <w:tcW w:w="1780" w:type="dxa"/>
            <w:vAlign w:val="bottom"/>
            <w:tcBorders>
              <w:bottom w:val="single" w:sz="8" w:color="auto"/>
            </w:tcBorders>
            <w:gridSpan w:val="2"/>
          </w:tcPr>
          <w:p>
            <w:pPr>
              <w:jc w:val="right"/>
              <w:ind w:right="559"/>
              <w:spacing w:after="0"/>
              <w:rPr>
                <w:sz w:val="20"/>
                <w:szCs w:val="20"/>
                <w:color w:val="auto"/>
              </w:rPr>
            </w:pPr>
            <w:r>
              <w:rPr>
                <w:rFonts w:ascii="Arial" w:cs="Arial" w:eastAsia="Arial" w:hAnsi="Arial"/>
                <w:sz w:val="16"/>
                <w:szCs w:val="16"/>
                <w:b w:val="1"/>
                <w:bCs w:val="1"/>
                <w:color w:val="auto"/>
              </w:rPr>
              <w:t>(252)</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512</w:t>
            </w:r>
          </w:p>
        </w:tc>
        <w:tc>
          <w:tcPr>
            <w:tcW w:w="1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(503)</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199</w:t>
            </w:r>
          </w:p>
        </w:tc>
      </w:tr>
      <w:tr>
        <w:trPr>
          <w:trHeight w:val="223"/>
        </w:trPr>
        <w:tc>
          <w:tcPr>
            <w:tcW w:w="64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Net cash provided by operations</w:t>
            </w:r>
          </w:p>
        </w:tc>
        <w:tc>
          <w:tcPr>
            <w:tcW w:w="1780" w:type="dxa"/>
            <w:vAlign w:val="bottom"/>
            <w:tcBorders>
              <w:bottom w:val="single" w:sz="8" w:color="auto"/>
            </w:tcBorders>
            <w:gridSpan w:val="2"/>
          </w:tcPr>
          <w:p>
            <w:pPr>
              <w:jc w:val="right"/>
              <w:ind w:right="599"/>
              <w:spacing w:after="0"/>
              <w:rPr>
                <w:sz w:val="20"/>
                <w:szCs w:val="20"/>
                <w:color w:val="auto"/>
              </w:rPr>
            </w:pPr>
            <w:r>
              <w:rPr>
                <w:rFonts w:ascii="Arial" w:cs="Arial" w:eastAsia="Arial" w:hAnsi="Arial"/>
                <w:sz w:val="16"/>
                <w:szCs w:val="16"/>
                <w:b w:val="1"/>
                <w:bCs w:val="1"/>
                <w:color w:val="auto"/>
              </w:rPr>
              <w:t>1,894</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2,084</w:t>
            </w:r>
          </w:p>
        </w:tc>
        <w:tc>
          <w:tcPr>
            <w:tcW w:w="1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7,346</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7,696</w:t>
            </w:r>
          </w:p>
        </w:tc>
      </w:tr>
      <w:tr>
        <w:trPr>
          <w:trHeight w:val="220"/>
        </w:trPr>
        <w:tc>
          <w:tcPr>
            <w:tcW w:w="6480" w:type="dxa"/>
            <w:vAlign w:val="bottom"/>
          </w:tcPr>
          <w:p>
            <w:pPr>
              <w:spacing w:after="0"/>
              <w:rPr>
                <w:sz w:val="20"/>
                <w:szCs w:val="20"/>
                <w:color w:val="auto"/>
              </w:rPr>
            </w:pPr>
            <w:r>
              <w:rPr>
                <w:rFonts w:ascii="Arial" w:cs="Arial" w:eastAsia="Arial" w:hAnsi="Arial"/>
                <w:sz w:val="16"/>
                <w:szCs w:val="16"/>
                <w:b w:val="1"/>
                <w:bCs w:val="1"/>
                <w:color w:val="0D64EF"/>
              </w:rPr>
              <w:t>Investing Activities</w:t>
            </w:r>
          </w:p>
        </w:tc>
        <w:tc>
          <w:tcPr>
            <w:tcW w:w="1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29"/>
        </w:trPr>
        <w:tc>
          <w:tcPr>
            <w:tcW w:w="6480" w:type="dxa"/>
            <w:vAlign w:val="bottom"/>
          </w:tcPr>
          <w:p>
            <w:pPr>
              <w:spacing w:after="0"/>
              <w:rPr>
                <w:sz w:val="20"/>
                <w:szCs w:val="20"/>
                <w:color w:val="auto"/>
              </w:rPr>
            </w:pPr>
            <w:r>
              <w:rPr>
                <w:rFonts w:ascii="Arial" w:cs="Arial" w:eastAsia="Arial" w:hAnsi="Arial"/>
                <w:sz w:val="16"/>
                <w:szCs w:val="16"/>
                <w:color w:val="auto"/>
              </w:rPr>
              <w:t>Capital expenditures</w:t>
            </w:r>
          </w:p>
        </w:tc>
        <w:tc>
          <w:tcPr>
            <w:tcW w:w="1780" w:type="dxa"/>
            <w:vAlign w:val="bottom"/>
            <w:gridSpan w:val="2"/>
          </w:tcPr>
          <w:p>
            <w:pPr>
              <w:jc w:val="right"/>
              <w:ind w:right="559"/>
              <w:spacing w:after="0"/>
              <w:rPr>
                <w:sz w:val="20"/>
                <w:szCs w:val="20"/>
                <w:color w:val="auto"/>
              </w:rPr>
            </w:pPr>
            <w:r>
              <w:rPr>
                <w:rFonts w:ascii="Arial" w:cs="Arial" w:eastAsia="Arial" w:hAnsi="Arial"/>
                <w:sz w:val="16"/>
                <w:szCs w:val="16"/>
                <w:b w:val="1"/>
                <w:bCs w:val="1"/>
                <w:color w:val="auto"/>
              </w:rPr>
              <w:t>(1,346)</w:t>
            </w:r>
          </w:p>
        </w:tc>
        <w:tc>
          <w:tcPr>
            <w:tcW w:w="580" w:type="dxa"/>
            <w:vAlign w:val="bottom"/>
          </w:tcPr>
          <w:p>
            <w:pPr>
              <w:jc w:val="right"/>
              <w:spacing w:after="0"/>
              <w:rPr>
                <w:sz w:val="20"/>
                <w:szCs w:val="20"/>
                <w:color w:val="auto"/>
              </w:rPr>
            </w:pPr>
            <w:r>
              <w:rPr>
                <w:rFonts w:ascii="Arial" w:cs="Arial" w:eastAsia="Arial" w:hAnsi="Arial"/>
                <w:sz w:val="16"/>
                <w:szCs w:val="16"/>
                <w:color w:val="auto"/>
              </w:rPr>
              <w:t>(1,640)</w:t>
            </w:r>
          </w:p>
        </w:tc>
        <w:tc>
          <w:tcPr>
            <w:tcW w:w="100" w:type="dxa"/>
            <w:vAlign w:val="bottom"/>
          </w:tcPr>
          <w:p>
            <w:pPr>
              <w:spacing w:after="0"/>
              <w:rPr>
                <w:sz w:val="19"/>
                <w:szCs w:val="19"/>
                <w:color w:val="auto"/>
              </w:rPr>
            </w:pPr>
          </w:p>
        </w:tc>
        <w:tc>
          <w:tcPr>
            <w:tcW w:w="1380" w:type="dxa"/>
            <w:vAlign w:val="bottom"/>
          </w:tcPr>
          <w:p>
            <w:pPr>
              <w:jc w:val="right"/>
              <w:ind w:right="259"/>
              <w:spacing w:after="0"/>
              <w:rPr>
                <w:sz w:val="20"/>
                <w:szCs w:val="20"/>
                <w:color w:val="auto"/>
              </w:rPr>
            </w:pPr>
            <w:r>
              <w:rPr>
                <w:rFonts w:ascii="Arial" w:cs="Arial" w:eastAsia="Arial" w:hAnsi="Arial"/>
                <w:sz w:val="16"/>
                <w:szCs w:val="16"/>
                <w:b w:val="1"/>
                <w:bCs w:val="1"/>
                <w:color w:val="auto"/>
              </w:rPr>
              <w:t>(5,270)</w:t>
            </w:r>
          </w:p>
        </w:tc>
        <w:tc>
          <w:tcPr>
            <w:tcW w:w="860" w:type="dxa"/>
            <w:vAlign w:val="bottom"/>
          </w:tcPr>
          <w:p>
            <w:pPr>
              <w:jc w:val="right"/>
              <w:spacing w:after="0"/>
              <w:rPr>
                <w:sz w:val="20"/>
                <w:szCs w:val="20"/>
                <w:color w:val="auto"/>
              </w:rPr>
            </w:pPr>
            <w:r>
              <w:rPr>
                <w:rFonts w:ascii="Arial" w:cs="Arial" w:eastAsia="Arial" w:hAnsi="Arial"/>
                <w:sz w:val="16"/>
                <w:szCs w:val="16"/>
                <w:color w:val="auto"/>
              </w:rPr>
              <w:t>(6,308)</w:t>
            </w:r>
          </w:p>
        </w:tc>
      </w:tr>
      <w:tr>
        <w:trPr>
          <w:trHeight w:val="230"/>
        </w:trPr>
        <w:tc>
          <w:tcPr>
            <w:tcW w:w="6480" w:type="dxa"/>
            <w:vAlign w:val="bottom"/>
          </w:tcPr>
          <w:p>
            <w:pPr>
              <w:spacing w:after="0"/>
              <w:rPr>
                <w:sz w:val="20"/>
                <w:szCs w:val="20"/>
                <w:color w:val="auto"/>
              </w:rPr>
            </w:pPr>
            <w:r>
              <w:rPr>
                <w:rFonts w:ascii="Arial" w:cs="Arial" w:eastAsia="Arial" w:hAnsi="Arial"/>
                <w:sz w:val="16"/>
                <w:szCs w:val="16"/>
                <w:color w:val="auto"/>
              </w:rPr>
              <w:t>Capital projects in development</w:t>
            </w:r>
          </w:p>
        </w:tc>
        <w:tc>
          <w:tcPr>
            <w:tcW w:w="1780" w:type="dxa"/>
            <w:vAlign w:val="bottom"/>
            <w:gridSpan w:val="2"/>
          </w:tcPr>
          <w:p>
            <w:pPr>
              <w:jc w:val="right"/>
              <w:ind w:right="559"/>
              <w:spacing w:after="0"/>
              <w:rPr>
                <w:sz w:val="20"/>
                <w:szCs w:val="20"/>
                <w:color w:val="auto"/>
              </w:rPr>
            </w:pPr>
            <w:r>
              <w:rPr>
                <w:rFonts w:ascii="Arial" w:cs="Arial" w:eastAsia="Arial" w:hAnsi="Arial"/>
                <w:sz w:val="16"/>
                <w:szCs w:val="16"/>
                <w:b w:val="1"/>
                <w:bCs w:val="1"/>
                <w:color w:val="auto"/>
              </w:rPr>
              <w:t>(4)</w:t>
            </w:r>
          </w:p>
        </w:tc>
        <w:tc>
          <w:tcPr>
            <w:tcW w:w="580" w:type="dxa"/>
            <w:vAlign w:val="bottom"/>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9"/>
                <w:szCs w:val="19"/>
                <w:color w:val="auto"/>
              </w:rPr>
            </w:pPr>
          </w:p>
        </w:tc>
        <w:tc>
          <w:tcPr>
            <w:tcW w:w="1380" w:type="dxa"/>
            <w:vAlign w:val="bottom"/>
          </w:tcPr>
          <w:p>
            <w:pPr>
              <w:jc w:val="right"/>
              <w:ind w:right="259"/>
              <w:spacing w:after="0"/>
              <w:rPr>
                <w:sz w:val="20"/>
                <w:szCs w:val="20"/>
                <w:color w:val="auto"/>
              </w:rPr>
            </w:pPr>
            <w:r>
              <w:rPr>
                <w:rFonts w:ascii="Arial" w:cs="Arial" w:eastAsia="Arial" w:hAnsi="Arial"/>
                <w:sz w:val="16"/>
                <w:szCs w:val="16"/>
                <w:b w:val="1"/>
                <w:bCs w:val="1"/>
                <w:color w:val="auto"/>
              </w:rPr>
              <w:t>(16)</w:t>
            </w:r>
          </w:p>
        </w:tc>
        <w:tc>
          <w:tcPr>
            <w:tcW w:w="860" w:type="dxa"/>
            <w:vAlign w:val="bottom"/>
          </w:tcPr>
          <w:p>
            <w:pPr>
              <w:jc w:val="right"/>
              <w:spacing w:after="0"/>
              <w:rPr>
                <w:sz w:val="20"/>
                <w:szCs w:val="20"/>
                <w:color w:val="auto"/>
              </w:rPr>
            </w:pPr>
            <w:r>
              <w:rPr>
                <w:rFonts w:ascii="Arial" w:cs="Arial" w:eastAsia="Arial" w:hAnsi="Arial"/>
                <w:sz w:val="16"/>
                <w:szCs w:val="16"/>
                <w:color w:val="auto"/>
              </w:rPr>
              <w:t>(50)</w:t>
            </w:r>
          </w:p>
        </w:tc>
      </w:tr>
      <w:tr>
        <w:trPr>
          <w:trHeight w:val="229"/>
        </w:trPr>
        <w:tc>
          <w:tcPr>
            <w:tcW w:w="6480" w:type="dxa"/>
            <w:vAlign w:val="bottom"/>
          </w:tcPr>
          <w:p>
            <w:pPr>
              <w:spacing w:after="0"/>
              <w:rPr>
                <w:sz w:val="20"/>
                <w:szCs w:val="20"/>
                <w:color w:val="auto"/>
              </w:rPr>
            </w:pPr>
            <w:r>
              <w:rPr>
                <w:rFonts w:ascii="Arial" w:cs="Arial" w:eastAsia="Arial" w:hAnsi="Arial"/>
                <w:sz w:val="16"/>
                <w:szCs w:val="16"/>
                <w:color w:val="auto"/>
              </w:rPr>
              <w:t>Contributions to equity investments</w:t>
            </w:r>
          </w:p>
        </w:tc>
        <w:tc>
          <w:tcPr>
            <w:tcW w:w="1780" w:type="dxa"/>
            <w:vAlign w:val="bottom"/>
            <w:gridSpan w:val="2"/>
          </w:tcPr>
          <w:p>
            <w:pPr>
              <w:jc w:val="right"/>
              <w:ind w:right="559"/>
              <w:spacing w:after="0"/>
              <w:rPr>
                <w:sz w:val="20"/>
                <w:szCs w:val="20"/>
                <w:color w:val="auto"/>
              </w:rPr>
            </w:pPr>
            <w:r>
              <w:rPr>
                <w:rFonts w:ascii="Arial" w:cs="Arial" w:eastAsia="Arial" w:hAnsi="Arial"/>
                <w:sz w:val="16"/>
                <w:szCs w:val="16"/>
                <w:b w:val="1"/>
                <w:bCs w:val="1"/>
                <w:color w:val="auto"/>
              </w:rPr>
              <w:t>(293)</w:t>
            </w:r>
          </w:p>
        </w:tc>
        <w:tc>
          <w:tcPr>
            <w:tcW w:w="580" w:type="dxa"/>
            <w:vAlign w:val="bottom"/>
          </w:tcPr>
          <w:p>
            <w:pPr>
              <w:jc w:val="right"/>
              <w:spacing w:after="0"/>
              <w:rPr>
                <w:sz w:val="20"/>
                <w:szCs w:val="20"/>
                <w:color w:val="auto"/>
              </w:rPr>
            </w:pPr>
            <w:r>
              <w:rPr>
                <w:rFonts w:ascii="Arial" w:cs="Arial" w:eastAsia="Arial" w:hAnsi="Arial"/>
                <w:sz w:val="16"/>
                <w:szCs w:val="16"/>
                <w:color w:val="auto"/>
              </w:rPr>
              <w:t>(3,795)</w:t>
            </w:r>
          </w:p>
        </w:tc>
        <w:tc>
          <w:tcPr>
            <w:tcW w:w="100" w:type="dxa"/>
            <w:vAlign w:val="bottom"/>
          </w:tcPr>
          <w:p>
            <w:pPr>
              <w:spacing w:after="0"/>
              <w:rPr>
                <w:sz w:val="19"/>
                <w:szCs w:val="19"/>
                <w:color w:val="auto"/>
              </w:rPr>
            </w:pPr>
          </w:p>
        </w:tc>
        <w:tc>
          <w:tcPr>
            <w:tcW w:w="1380" w:type="dxa"/>
            <w:vAlign w:val="bottom"/>
          </w:tcPr>
          <w:p>
            <w:pPr>
              <w:jc w:val="right"/>
              <w:ind w:right="259"/>
              <w:spacing w:after="0"/>
              <w:rPr>
                <w:sz w:val="20"/>
                <w:szCs w:val="20"/>
                <w:color w:val="auto"/>
              </w:rPr>
            </w:pPr>
            <w:r>
              <w:rPr>
                <w:rFonts w:ascii="Arial" w:cs="Arial" w:eastAsia="Arial" w:hAnsi="Arial"/>
                <w:sz w:val="16"/>
                <w:szCs w:val="16"/>
                <w:b w:val="1"/>
                <w:bCs w:val="1"/>
                <w:color w:val="auto"/>
              </w:rPr>
              <w:t>(1,051)</w:t>
            </w:r>
          </w:p>
        </w:tc>
        <w:tc>
          <w:tcPr>
            <w:tcW w:w="860" w:type="dxa"/>
            <w:vAlign w:val="bottom"/>
          </w:tcPr>
          <w:p>
            <w:pPr>
              <w:jc w:val="right"/>
              <w:spacing w:after="0"/>
              <w:rPr>
                <w:sz w:val="20"/>
                <w:szCs w:val="20"/>
                <w:color w:val="auto"/>
              </w:rPr>
            </w:pPr>
            <w:r>
              <w:rPr>
                <w:rFonts w:ascii="Arial" w:cs="Arial" w:eastAsia="Arial" w:hAnsi="Arial"/>
                <w:sz w:val="16"/>
                <w:szCs w:val="16"/>
                <w:color w:val="auto"/>
              </w:rPr>
              <w:t>(4,683)</w:t>
            </w:r>
          </w:p>
        </w:tc>
      </w:tr>
      <w:tr>
        <w:trPr>
          <w:trHeight w:val="230"/>
        </w:trPr>
        <w:tc>
          <w:tcPr>
            <w:tcW w:w="6480" w:type="dxa"/>
            <w:vAlign w:val="bottom"/>
          </w:tcPr>
          <w:p>
            <w:pPr>
              <w:spacing w:after="0"/>
              <w:rPr>
                <w:sz w:val="20"/>
                <w:szCs w:val="20"/>
                <w:color w:val="auto"/>
              </w:rPr>
            </w:pPr>
            <w:r>
              <w:rPr>
                <w:rFonts w:ascii="Arial" w:cs="Arial" w:eastAsia="Arial" w:hAnsi="Arial"/>
                <w:sz w:val="16"/>
                <w:szCs w:val="16"/>
                <w:color w:val="auto"/>
              </w:rPr>
              <w:t>Other distributions from equity investments</w:t>
            </w:r>
          </w:p>
        </w:tc>
        <w:tc>
          <w:tcPr>
            <w:tcW w:w="120" w:type="dxa"/>
            <w:vAlign w:val="bottom"/>
          </w:tcPr>
          <w:p>
            <w:pPr>
              <w:spacing w:after="0"/>
              <w:rPr>
                <w:sz w:val="19"/>
                <w:szCs w:val="19"/>
                <w:color w:val="auto"/>
              </w:rPr>
            </w:pPr>
          </w:p>
        </w:tc>
        <w:tc>
          <w:tcPr>
            <w:tcW w:w="1660" w:type="dxa"/>
            <w:vAlign w:val="bottom"/>
          </w:tcPr>
          <w:p>
            <w:pPr>
              <w:jc w:val="right"/>
              <w:ind w:right="599"/>
              <w:spacing w:after="0"/>
              <w:rPr>
                <w:sz w:val="20"/>
                <w:szCs w:val="20"/>
                <w:color w:val="auto"/>
              </w:rPr>
            </w:pPr>
            <w:r>
              <w:rPr>
                <w:rFonts w:ascii="Arial" w:cs="Arial" w:eastAsia="Arial" w:hAnsi="Arial"/>
                <w:sz w:val="16"/>
                <w:szCs w:val="16"/>
                <w:b w:val="1"/>
                <w:bCs w:val="1"/>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3,147</w:t>
            </w:r>
          </w:p>
        </w:tc>
        <w:tc>
          <w:tcPr>
            <w:tcW w:w="100" w:type="dxa"/>
            <w:vAlign w:val="bottom"/>
          </w:tcPr>
          <w:p>
            <w:pPr>
              <w:spacing w:after="0"/>
              <w:rPr>
                <w:sz w:val="19"/>
                <w:szCs w:val="19"/>
                <w:color w:val="auto"/>
              </w:rPr>
            </w:pPr>
          </w:p>
        </w:tc>
        <w:tc>
          <w:tcPr>
            <w:tcW w:w="1380" w:type="dxa"/>
            <w:vAlign w:val="bottom"/>
          </w:tcPr>
          <w:p>
            <w:pPr>
              <w:jc w:val="right"/>
              <w:ind w:right="299"/>
              <w:spacing w:after="0"/>
              <w:rPr>
                <w:sz w:val="20"/>
                <w:szCs w:val="20"/>
                <w:color w:val="auto"/>
              </w:rPr>
            </w:pPr>
            <w:r>
              <w:rPr>
                <w:rFonts w:ascii="Arial" w:cs="Arial" w:eastAsia="Arial" w:hAnsi="Arial"/>
                <w:sz w:val="16"/>
                <w:szCs w:val="16"/>
                <w:b w:val="1"/>
                <w:bCs w:val="1"/>
                <w:color w:val="auto"/>
              </w:rPr>
              <w:t>5</w:t>
            </w:r>
          </w:p>
        </w:tc>
        <w:tc>
          <w:tcPr>
            <w:tcW w:w="860" w:type="dxa"/>
            <w:vAlign w:val="bottom"/>
          </w:tcPr>
          <w:p>
            <w:pPr>
              <w:jc w:val="right"/>
              <w:spacing w:after="0"/>
              <w:rPr>
                <w:sz w:val="20"/>
                <w:szCs w:val="20"/>
                <w:color w:val="auto"/>
              </w:rPr>
            </w:pPr>
            <w:r>
              <w:rPr>
                <w:rFonts w:ascii="Arial" w:cs="Arial" w:eastAsia="Arial" w:hAnsi="Arial"/>
                <w:sz w:val="16"/>
                <w:szCs w:val="16"/>
                <w:color w:val="auto"/>
              </w:rPr>
              <w:t>3,686</w:t>
            </w:r>
          </w:p>
        </w:tc>
      </w:tr>
      <w:tr>
        <w:trPr>
          <w:trHeight w:val="230"/>
        </w:trPr>
        <w:tc>
          <w:tcPr>
            <w:tcW w:w="6480" w:type="dxa"/>
            <w:vAlign w:val="bottom"/>
          </w:tcPr>
          <w:p>
            <w:pPr>
              <w:spacing w:after="0"/>
              <w:rPr>
                <w:sz w:val="20"/>
                <w:szCs w:val="20"/>
                <w:color w:val="auto"/>
              </w:rPr>
            </w:pPr>
            <w:r>
              <w:rPr>
                <w:rFonts w:ascii="Arial" w:cs="Arial" w:eastAsia="Arial" w:hAnsi="Arial"/>
                <w:sz w:val="16"/>
                <w:szCs w:val="16"/>
                <w:color w:val="auto"/>
              </w:rPr>
              <w:t>Proceeds from sale of assets, net of transaction costs</w:t>
            </w:r>
          </w:p>
        </w:tc>
        <w:tc>
          <w:tcPr>
            <w:tcW w:w="120" w:type="dxa"/>
            <w:vAlign w:val="bottom"/>
          </w:tcPr>
          <w:p>
            <w:pPr>
              <w:spacing w:after="0"/>
              <w:rPr>
                <w:sz w:val="19"/>
                <w:szCs w:val="19"/>
                <w:color w:val="auto"/>
              </w:rPr>
            </w:pPr>
          </w:p>
        </w:tc>
        <w:tc>
          <w:tcPr>
            <w:tcW w:w="1660" w:type="dxa"/>
            <w:vAlign w:val="bottom"/>
          </w:tcPr>
          <w:p>
            <w:pPr>
              <w:jc w:val="right"/>
              <w:ind w:right="599"/>
              <w:spacing w:after="0"/>
              <w:rPr>
                <w:sz w:val="20"/>
                <w:szCs w:val="20"/>
                <w:color w:val="auto"/>
              </w:rPr>
            </w:pPr>
            <w:r>
              <w:rPr>
                <w:rFonts w:ascii="Arial" w:cs="Arial" w:eastAsia="Arial" w:hAnsi="Arial"/>
                <w:sz w:val="16"/>
                <w:szCs w:val="16"/>
                <w:b w:val="1"/>
                <w:bCs w:val="1"/>
                <w:color w:val="auto"/>
              </w:rPr>
              <w:t>—</w:t>
            </w:r>
          </w:p>
        </w:tc>
        <w:tc>
          <w:tcPr>
            <w:tcW w:w="6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299"/>
              <w:spacing w:after="0"/>
              <w:rPr>
                <w:sz w:val="20"/>
                <w:szCs w:val="20"/>
                <w:color w:val="auto"/>
              </w:rPr>
            </w:pPr>
            <w:r>
              <w:rPr>
                <w:rFonts w:ascii="Arial" w:cs="Arial" w:eastAsia="Arial" w:hAnsi="Arial"/>
                <w:sz w:val="16"/>
                <w:szCs w:val="16"/>
                <w:b w:val="1"/>
                <w:bCs w:val="1"/>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791</w:t>
            </w:r>
          </w:p>
        </w:tc>
      </w:tr>
      <w:tr>
        <w:trPr>
          <w:trHeight w:val="233"/>
        </w:trPr>
        <w:tc>
          <w:tcPr>
            <w:tcW w:w="64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Deferred amounts and other</w:t>
            </w:r>
          </w:p>
        </w:tc>
        <w:tc>
          <w:tcPr>
            <w:tcW w:w="12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(219)</w:t>
            </w:r>
          </w:p>
        </w:tc>
        <w:tc>
          <w:tcPr>
            <w:tcW w:w="1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(126)</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(345)</w:t>
            </w:r>
          </w:p>
        </w:tc>
      </w:tr>
      <w:tr>
        <w:trPr>
          <w:trHeight w:val="223"/>
        </w:trPr>
        <w:tc>
          <w:tcPr>
            <w:tcW w:w="64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Net cash (used in) provided by investing activities</w:t>
            </w:r>
          </w:p>
        </w:tc>
        <w:tc>
          <w:tcPr>
            <w:tcW w:w="1780" w:type="dxa"/>
            <w:vAlign w:val="bottom"/>
            <w:tcBorders>
              <w:bottom w:val="single" w:sz="8" w:color="auto"/>
            </w:tcBorders>
            <w:gridSpan w:val="2"/>
          </w:tcPr>
          <w:p>
            <w:pPr>
              <w:jc w:val="right"/>
              <w:ind w:right="559"/>
              <w:spacing w:after="0"/>
              <w:rPr>
                <w:sz w:val="20"/>
                <w:szCs w:val="20"/>
                <w:color w:val="auto"/>
              </w:rPr>
            </w:pPr>
            <w:r>
              <w:rPr>
                <w:rFonts w:ascii="Arial" w:cs="Arial" w:eastAsia="Arial" w:hAnsi="Arial"/>
                <w:sz w:val="16"/>
                <w:szCs w:val="16"/>
                <w:b w:val="1"/>
                <w:bCs w:val="1"/>
                <w:color w:val="auto"/>
              </w:rPr>
              <w:t>(1,643)</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(2,516)</w:t>
            </w:r>
          </w:p>
        </w:tc>
        <w:tc>
          <w:tcPr>
            <w:tcW w:w="1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(6,458)</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(6,909)</w:t>
            </w:r>
          </w:p>
        </w:tc>
      </w:tr>
      <w:tr>
        <w:trPr>
          <w:trHeight w:val="220"/>
        </w:trPr>
        <w:tc>
          <w:tcPr>
            <w:tcW w:w="6480" w:type="dxa"/>
            <w:vAlign w:val="bottom"/>
          </w:tcPr>
          <w:p>
            <w:pPr>
              <w:spacing w:after="0"/>
              <w:rPr>
                <w:sz w:val="20"/>
                <w:szCs w:val="20"/>
                <w:color w:val="auto"/>
              </w:rPr>
            </w:pPr>
            <w:r>
              <w:rPr>
                <w:rFonts w:ascii="Arial" w:cs="Arial" w:eastAsia="Arial" w:hAnsi="Arial"/>
                <w:sz w:val="16"/>
                <w:szCs w:val="16"/>
                <w:b w:val="1"/>
                <w:bCs w:val="1"/>
                <w:color w:val="0D64EF"/>
              </w:rPr>
              <w:t>Financing Activities</w:t>
            </w:r>
          </w:p>
        </w:tc>
        <w:tc>
          <w:tcPr>
            <w:tcW w:w="1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29"/>
        </w:trPr>
        <w:tc>
          <w:tcPr>
            <w:tcW w:w="6480" w:type="dxa"/>
            <w:vAlign w:val="bottom"/>
          </w:tcPr>
          <w:p>
            <w:pPr>
              <w:spacing w:after="0"/>
              <w:rPr>
                <w:sz w:val="20"/>
                <w:szCs w:val="20"/>
                <w:color w:val="auto"/>
              </w:rPr>
            </w:pPr>
            <w:r>
              <w:rPr>
                <w:rFonts w:ascii="Arial" w:cs="Arial" w:eastAsia="Arial" w:hAnsi="Arial"/>
                <w:sz w:val="16"/>
                <w:szCs w:val="16"/>
                <w:color w:val="auto"/>
              </w:rPr>
              <w:t>Notes payable issued (repaid), net</w:t>
            </w:r>
          </w:p>
        </w:tc>
        <w:tc>
          <w:tcPr>
            <w:tcW w:w="1780" w:type="dxa"/>
            <w:vAlign w:val="bottom"/>
            <w:gridSpan w:val="2"/>
          </w:tcPr>
          <w:p>
            <w:pPr>
              <w:jc w:val="right"/>
              <w:ind w:right="559"/>
              <w:spacing w:after="0"/>
              <w:rPr>
                <w:sz w:val="20"/>
                <w:szCs w:val="20"/>
                <w:color w:val="auto"/>
              </w:rPr>
            </w:pPr>
            <w:r>
              <w:rPr>
                <w:rFonts w:ascii="Arial" w:cs="Arial" w:eastAsia="Arial" w:hAnsi="Arial"/>
                <w:sz w:val="16"/>
                <w:szCs w:val="16"/>
                <w:b w:val="1"/>
                <w:bCs w:val="1"/>
                <w:color w:val="auto"/>
              </w:rPr>
              <w:t>(1,161)</w:t>
            </w:r>
          </w:p>
        </w:tc>
        <w:tc>
          <w:tcPr>
            <w:tcW w:w="580" w:type="dxa"/>
            <w:vAlign w:val="bottom"/>
          </w:tcPr>
          <w:p>
            <w:pPr>
              <w:jc w:val="right"/>
              <w:spacing w:after="0"/>
              <w:rPr>
                <w:sz w:val="20"/>
                <w:szCs w:val="20"/>
                <w:color w:val="auto"/>
              </w:rPr>
            </w:pPr>
            <w:r>
              <w:rPr>
                <w:rFonts w:ascii="Arial" w:cs="Arial" w:eastAsia="Arial" w:hAnsi="Arial"/>
                <w:sz w:val="16"/>
                <w:szCs w:val="16"/>
                <w:color w:val="auto"/>
              </w:rPr>
              <w:t>(80)</w:t>
            </w:r>
          </w:p>
        </w:tc>
        <w:tc>
          <w:tcPr>
            <w:tcW w:w="100" w:type="dxa"/>
            <w:vAlign w:val="bottom"/>
          </w:tcPr>
          <w:p>
            <w:pPr>
              <w:spacing w:after="0"/>
              <w:rPr>
                <w:sz w:val="19"/>
                <w:szCs w:val="19"/>
                <w:color w:val="auto"/>
              </w:rPr>
            </w:pPr>
          </w:p>
        </w:tc>
        <w:tc>
          <w:tcPr>
            <w:tcW w:w="1380" w:type="dxa"/>
            <w:vAlign w:val="bottom"/>
          </w:tcPr>
          <w:p>
            <w:pPr>
              <w:jc w:val="right"/>
              <w:ind w:right="299"/>
              <w:spacing w:after="0"/>
              <w:rPr>
                <w:sz w:val="20"/>
                <w:szCs w:val="20"/>
                <w:color w:val="auto"/>
              </w:rPr>
            </w:pPr>
            <w:r>
              <w:rPr>
                <w:rFonts w:ascii="Arial" w:cs="Arial" w:eastAsia="Arial" w:hAnsi="Arial"/>
                <w:sz w:val="16"/>
                <w:szCs w:val="16"/>
                <w:b w:val="1"/>
                <w:bCs w:val="1"/>
                <w:color w:val="auto"/>
              </w:rPr>
              <w:t>876</w:t>
            </w:r>
          </w:p>
        </w:tc>
        <w:tc>
          <w:tcPr>
            <w:tcW w:w="860" w:type="dxa"/>
            <w:vAlign w:val="bottom"/>
          </w:tcPr>
          <w:p>
            <w:pPr>
              <w:jc w:val="right"/>
              <w:spacing w:after="0"/>
              <w:rPr>
                <w:sz w:val="20"/>
                <w:szCs w:val="20"/>
                <w:color w:val="auto"/>
              </w:rPr>
            </w:pPr>
            <w:r>
              <w:rPr>
                <w:rFonts w:ascii="Arial" w:cs="Arial" w:eastAsia="Arial" w:hAnsi="Arial"/>
                <w:sz w:val="16"/>
                <w:szCs w:val="16"/>
                <w:color w:val="auto"/>
              </w:rPr>
              <w:t>341</w:t>
            </w:r>
          </w:p>
        </w:tc>
      </w:tr>
      <w:tr>
        <w:trPr>
          <w:trHeight w:val="229"/>
        </w:trPr>
        <w:tc>
          <w:tcPr>
            <w:tcW w:w="6480" w:type="dxa"/>
            <w:vAlign w:val="bottom"/>
          </w:tcPr>
          <w:p>
            <w:pPr>
              <w:spacing w:after="0"/>
              <w:rPr>
                <w:sz w:val="20"/>
                <w:szCs w:val="20"/>
                <w:color w:val="auto"/>
              </w:rPr>
            </w:pPr>
            <w:r>
              <w:rPr>
                <w:rFonts w:ascii="Arial" w:cs="Arial" w:eastAsia="Arial" w:hAnsi="Arial"/>
                <w:sz w:val="16"/>
                <w:szCs w:val="16"/>
                <w:color w:val="auto"/>
              </w:rPr>
              <w:t>Long-term debt issued, net of issue costs</w:t>
            </w:r>
          </w:p>
        </w:tc>
        <w:tc>
          <w:tcPr>
            <w:tcW w:w="1780" w:type="dxa"/>
            <w:vAlign w:val="bottom"/>
            <w:gridSpan w:val="2"/>
          </w:tcPr>
          <w:p>
            <w:pPr>
              <w:jc w:val="right"/>
              <w:ind w:right="599"/>
              <w:spacing w:after="0"/>
              <w:rPr>
                <w:sz w:val="20"/>
                <w:szCs w:val="20"/>
                <w:color w:val="auto"/>
              </w:rPr>
            </w:pPr>
            <w:r>
              <w:rPr>
                <w:rFonts w:ascii="Arial" w:cs="Arial" w:eastAsia="Arial" w:hAnsi="Arial"/>
                <w:sz w:val="16"/>
                <w:szCs w:val="16"/>
                <w:b w:val="1"/>
                <w:bCs w:val="1"/>
                <w:color w:val="auto"/>
              </w:rPr>
              <w:t>2,161</w:t>
            </w:r>
          </w:p>
        </w:tc>
        <w:tc>
          <w:tcPr>
            <w:tcW w:w="6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299"/>
              <w:spacing w:after="0"/>
              <w:rPr>
                <w:sz w:val="20"/>
                <w:szCs w:val="20"/>
                <w:color w:val="auto"/>
              </w:rPr>
            </w:pPr>
            <w:r>
              <w:rPr>
                <w:rFonts w:ascii="Arial" w:cs="Arial" w:eastAsia="Arial" w:hAnsi="Arial"/>
                <w:sz w:val="16"/>
                <w:szCs w:val="16"/>
                <w:b w:val="1"/>
                <w:bCs w:val="1"/>
                <w:color w:val="auto"/>
              </w:rPr>
              <w:t>5,413</w:t>
            </w:r>
          </w:p>
        </w:tc>
        <w:tc>
          <w:tcPr>
            <w:tcW w:w="860" w:type="dxa"/>
            <w:vAlign w:val="bottom"/>
          </w:tcPr>
          <w:p>
            <w:pPr>
              <w:jc w:val="right"/>
              <w:spacing w:after="0"/>
              <w:rPr>
                <w:sz w:val="20"/>
                <w:szCs w:val="20"/>
                <w:color w:val="auto"/>
              </w:rPr>
            </w:pPr>
            <w:r>
              <w:rPr>
                <w:rFonts w:ascii="Arial" w:cs="Arial" w:eastAsia="Arial" w:hAnsi="Arial"/>
                <w:sz w:val="16"/>
                <w:szCs w:val="16"/>
                <w:color w:val="auto"/>
              </w:rPr>
              <w:t>8,089</w:t>
            </w:r>
          </w:p>
        </w:tc>
      </w:tr>
      <w:tr>
        <w:trPr>
          <w:trHeight w:val="230"/>
        </w:trPr>
        <w:tc>
          <w:tcPr>
            <w:tcW w:w="6480" w:type="dxa"/>
            <w:vAlign w:val="bottom"/>
          </w:tcPr>
          <w:p>
            <w:pPr>
              <w:spacing w:after="0"/>
              <w:rPr>
                <w:sz w:val="20"/>
                <w:szCs w:val="20"/>
                <w:color w:val="auto"/>
              </w:rPr>
            </w:pPr>
            <w:r>
              <w:rPr>
                <w:rFonts w:ascii="Arial" w:cs="Arial" w:eastAsia="Arial" w:hAnsi="Arial"/>
                <w:sz w:val="16"/>
                <w:szCs w:val="16"/>
                <w:color w:val="auto"/>
              </w:rPr>
              <w:t>Long-term debt repaid</w:t>
            </w:r>
          </w:p>
        </w:tc>
        <w:tc>
          <w:tcPr>
            <w:tcW w:w="1780" w:type="dxa"/>
            <w:vAlign w:val="bottom"/>
            <w:gridSpan w:val="2"/>
          </w:tcPr>
          <w:p>
            <w:pPr>
              <w:jc w:val="right"/>
              <w:ind w:right="559"/>
              <w:spacing w:after="0"/>
              <w:rPr>
                <w:sz w:val="20"/>
                <w:szCs w:val="20"/>
                <w:color w:val="auto"/>
              </w:rPr>
            </w:pPr>
            <w:r>
              <w:rPr>
                <w:rFonts w:ascii="Arial" w:cs="Arial" w:eastAsia="Arial" w:hAnsi="Arial"/>
                <w:sz w:val="16"/>
                <w:szCs w:val="16"/>
                <w:b w:val="1"/>
                <w:bCs w:val="1"/>
                <w:color w:val="auto"/>
              </w:rPr>
              <w:t>(2,087)</w:t>
            </w:r>
          </w:p>
        </w:tc>
        <w:tc>
          <w:tcPr>
            <w:tcW w:w="580" w:type="dxa"/>
            <w:vAlign w:val="bottom"/>
          </w:tcPr>
          <w:p>
            <w:pPr>
              <w:jc w:val="right"/>
              <w:spacing w:after="0"/>
              <w:rPr>
                <w:sz w:val="20"/>
                <w:szCs w:val="20"/>
                <w:color w:val="auto"/>
              </w:rPr>
            </w:pPr>
            <w:r>
              <w:rPr>
                <w:rFonts w:ascii="Arial" w:cs="Arial" w:eastAsia="Arial" w:hAnsi="Arial"/>
                <w:sz w:val="16"/>
                <w:szCs w:val="16"/>
                <w:color w:val="auto"/>
              </w:rPr>
              <w:t>(7,611)</w:t>
            </w:r>
          </w:p>
        </w:tc>
        <w:tc>
          <w:tcPr>
            <w:tcW w:w="100" w:type="dxa"/>
            <w:vAlign w:val="bottom"/>
          </w:tcPr>
          <w:p>
            <w:pPr>
              <w:spacing w:after="0"/>
              <w:rPr>
                <w:sz w:val="19"/>
                <w:szCs w:val="19"/>
                <w:color w:val="auto"/>
              </w:rPr>
            </w:pPr>
          </w:p>
        </w:tc>
        <w:tc>
          <w:tcPr>
            <w:tcW w:w="1380" w:type="dxa"/>
            <w:vAlign w:val="bottom"/>
          </w:tcPr>
          <w:p>
            <w:pPr>
              <w:jc w:val="right"/>
              <w:ind w:right="259"/>
              <w:spacing w:after="0"/>
              <w:rPr>
                <w:sz w:val="20"/>
                <w:szCs w:val="20"/>
                <w:color w:val="auto"/>
              </w:rPr>
            </w:pPr>
            <w:r>
              <w:rPr>
                <w:rFonts w:ascii="Arial" w:cs="Arial" w:eastAsia="Arial" w:hAnsi="Arial"/>
                <w:sz w:val="16"/>
                <w:szCs w:val="16"/>
                <w:b w:val="1"/>
                <w:bCs w:val="1"/>
                <w:color w:val="auto"/>
              </w:rPr>
              <w:t>(6,116)</w:t>
            </w:r>
          </w:p>
        </w:tc>
        <w:tc>
          <w:tcPr>
            <w:tcW w:w="860" w:type="dxa"/>
            <w:vAlign w:val="bottom"/>
          </w:tcPr>
          <w:p>
            <w:pPr>
              <w:jc w:val="right"/>
              <w:spacing w:after="0"/>
              <w:rPr>
                <w:sz w:val="20"/>
                <w:szCs w:val="20"/>
                <w:color w:val="auto"/>
              </w:rPr>
            </w:pPr>
            <w:r>
              <w:rPr>
                <w:rFonts w:ascii="Arial" w:cs="Arial" w:eastAsia="Arial" w:hAnsi="Arial"/>
                <w:sz w:val="16"/>
                <w:szCs w:val="16"/>
                <w:color w:val="auto"/>
              </w:rPr>
              <w:t>(9,273)</w:t>
            </w:r>
          </w:p>
        </w:tc>
      </w:tr>
      <w:tr>
        <w:trPr>
          <w:trHeight w:val="230"/>
        </w:trPr>
        <w:tc>
          <w:tcPr>
            <w:tcW w:w="6480" w:type="dxa"/>
            <w:vAlign w:val="bottom"/>
          </w:tcPr>
          <w:p>
            <w:pPr>
              <w:spacing w:after="0"/>
              <w:rPr>
                <w:sz w:val="20"/>
                <w:szCs w:val="20"/>
                <w:color w:val="auto"/>
              </w:rPr>
            </w:pPr>
            <w:r>
              <w:rPr>
                <w:rFonts w:ascii="Arial" w:cs="Arial" w:eastAsia="Arial" w:hAnsi="Arial"/>
                <w:sz w:val="16"/>
                <w:szCs w:val="16"/>
                <w:color w:val="auto"/>
              </w:rPr>
              <w:t>Junior subordinated notes issued, net of issue costs</w:t>
            </w:r>
          </w:p>
        </w:tc>
        <w:tc>
          <w:tcPr>
            <w:tcW w:w="1780" w:type="dxa"/>
            <w:vAlign w:val="bottom"/>
            <w:gridSpan w:val="2"/>
          </w:tcPr>
          <w:p>
            <w:pPr>
              <w:jc w:val="right"/>
              <w:ind w:right="599"/>
              <w:spacing w:after="0"/>
              <w:rPr>
                <w:sz w:val="20"/>
                <w:szCs w:val="20"/>
                <w:color w:val="auto"/>
              </w:rPr>
            </w:pPr>
            <w:r>
              <w:rPr>
                <w:rFonts w:ascii="Arial" w:cs="Arial" w:eastAsia="Arial" w:hAnsi="Arial"/>
                <w:sz w:val="16"/>
                <w:szCs w:val="16"/>
                <w:b w:val="1"/>
                <w:bCs w:val="1"/>
                <w:color w:val="auto"/>
              </w:rPr>
              <w:t>502</w:t>
            </w:r>
          </w:p>
        </w:tc>
        <w:tc>
          <w:tcPr>
            <w:tcW w:w="6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299"/>
              <w:spacing w:after="0"/>
              <w:rPr>
                <w:sz w:val="20"/>
                <w:szCs w:val="20"/>
                <w:color w:val="auto"/>
              </w:rPr>
            </w:pPr>
            <w:r>
              <w:rPr>
                <w:rFonts w:ascii="Arial" w:cs="Arial" w:eastAsia="Arial" w:hAnsi="Arial"/>
                <w:sz w:val="16"/>
                <w:szCs w:val="16"/>
                <w:b w:val="1"/>
                <w:bCs w:val="1"/>
                <w:color w:val="auto"/>
              </w:rPr>
              <w:t>2,545</w:t>
            </w:r>
          </w:p>
        </w:tc>
        <w:tc>
          <w:tcPr>
            <w:tcW w:w="860" w:type="dxa"/>
            <w:vAlign w:val="bottom"/>
          </w:tcPr>
          <w:p>
            <w:pPr>
              <w:jc w:val="right"/>
              <w:spacing w:after="0"/>
              <w:rPr>
                <w:sz w:val="20"/>
                <w:szCs w:val="20"/>
                <w:color w:val="auto"/>
              </w:rPr>
            </w:pPr>
            <w:r>
              <w:rPr>
                <w:rFonts w:ascii="Arial" w:cs="Arial" w:eastAsia="Arial" w:hAnsi="Arial"/>
                <w:sz w:val="16"/>
                <w:szCs w:val="16"/>
                <w:color w:val="auto"/>
              </w:rPr>
              <w:t>1,465</w:t>
            </w:r>
          </w:p>
        </w:tc>
      </w:tr>
      <w:tr>
        <w:trPr>
          <w:trHeight w:val="230"/>
        </w:trPr>
        <w:tc>
          <w:tcPr>
            <w:tcW w:w="6480" w:type="dxa"/>
            <w:vAlign w:val="bottom"/>
          </w:tcPr>
          <w:p>
            <w:pPr>
              <w:spacing w:after="0"/>
              <w:rPr>
                <w:sz w:val="20"/>
                <w:szCs w:val="20"/>
                <w:color w:val="auto"/>
              </w:rPr>
            </w:pPr>
            <w:r>
              <w:rPr>
                <w:rFonts w:ascii="Arial" w:cs="Arial" w:eastAsia="Arial" w:hAnsi="Arial"/>
                <w:sz w:val="16"/>
                <w:szCs w:val="16"/>
                <w:color w:val="auto"/>
              </w:rPr>
              <w:t>Dividends on common shares</w:t>
            </w:r>
          </w:p>
        </w:tc>
        <w:tc>
          <w:tcPr>
            <w:tcW w:w="1780" w:type="dxa"/>
            <w:vAlign w:val="bottom"/>
            <w:gridSpan w:val="2"/>
          </w:tcPr>
          <w:p>
            <w:pPr>
              <w:jc w:val="right"/>
              <w:ind w:right="559"/>
              <w:spacing w:after="0"/>
              <w:rPr>
                <w:sz w:val="20"/>
                <w:szCs w:val="20"/>
                <w:color w:val="auto"/>
              </w:rPr>
            </w:pPr>
            <w:r>
              <w:rPr>
                <w:rFonts w:ascii="Arial" w:cs="Arial" w:eastAsia="Arial" w:hAnsi="Arial"/>
                <w:sz w:val="16"/>
                <w:szCs w:val="16"/>
                <w:b w:val="1"/>
                <w:bCs w:val="1"/>
                <w:color w:val="auto"/>
              </w:rPr>
              <w:t>(884)</w:t>
            </w:r>
          </w:p>
        </w:tc>
        <w:tc>
          <w:tcPr>
            <w:tcW w:w="580" w:type="dxa"/>
            <w:vAlign w:val="bottom"/>
          </w:tcPr>
          <w:p>
            <w:pPr>
              <w:jc w:val="right"/>
              <w:spacing w:after="0"/>
              <w:rPr>
                <w:sz w:val="20"/>
                <w:szCs w:val="20"/>
                <w:color w:val="auto"/>
              </w:rPr>
            </w:pPr>
            <w:r>
              <w:rPr>
                <w:rFonts w:ascii="Arial" w:cs="Arial" w:eastAsia="Arial" w:hAnsi="Arial"/>
                <w:sz w:val="16"/>
                <w:szCs w:val="16"/>
                <w:color w:val="auto"/>
              </w:rPr>
              <w:t>(996)</w:t>
            </w:r>
          </w:p>
        </w:tc>
        <w:tc>
          <w:tcPr>
            <w:tcW w:w="100" w:type="dxa"/>
            <w:vAlign w:val="bottom"/>
          </w:tcPr>
          <w:p>
            <w:pPr>
              <w:spacing w:after="0"/>
              <w:rPr>
                <w:sz w:val="19"/>
                <w:szCs w:val="19"/>
                <w:color w:val="auto"/>
              </w:rPr>
            </w:pPr>
          </w:p>
        </w:tc>
        <w:tc>
          <w:tcPr>
            <w:tcW w:w="1380" w:type="dxa"/>
            <w:vAlign w:val="bottom"/>
          </w:tcPr>
          <w:p>
            <w:pPr>
              <w:jc w:val="right"/>
              <w:ind w:right="259"/>
              <w:spacing w:after="0"/>
              <w:rPr>
                <w:sz w:val="20"/>
                <w:szCs w:val="20"/>
                <w:color w:val="auto"/>
              </w:rPr>
            </w:pPr>
            <w:r>
              <w:rPr>
                <w:rFonts w:ascii="Arial" w:cs="Arial" w:eastAsia="Arial" w:hAnsi="Arial"/>
                <w:sz w:val="16"/>
                <w:szCs w:val="16"/>
                <w:b w:val="1"/>
                <w:bCs w:val="1"/>
                <w:color w:val="auto"/>
              </w:rPr>
              <w:t>(3,507)</w:t>
            </w:r>
          </w:p>
        </w:tc>
        <w:tc>
          <w:tcPr>
            <w:tcW w:w="860" w:type="dxa"/>
            <w:vAlign w:val="bottom"/>
          </w:tcPr>
          <w:p>
            <w:pPr>
              <w:jc w:val="right"/>
              <w:spacing w:after="0"/>
              <w:rPr>
                <w:sz w:val="20"/>
                <w:szCs w:val="20"/>
                <w:color w:val="auto"/>
              </w:rPr>
            </w:pPr>
            <w:r>
              <w:rPr>
                <w:rFonts w:ascii="Arial" w:cs="Arial" w:eastAsia="Arial" w:hAnsi="Arial"/>
                <w:sz w:val="16"/>
                <w:szCs w:val="16"/>
                <w:color w:val="auto"/>
              </w:rPr>
              <w:t>(3,953)</w:t>
            </w:r>
          </w:p>
        </w:tc>
      </w:tr>
      <w:tr>
        <w:trPr>
          <w:trHeight w:val="230"/>
        </w:trPr>
        <w:tc>
          <w:tcPr>
            <w:tcW w:w="6480" w:type="dxa"/>
            <w:vAlign w:val="bottom"/>
          </w:tcPr>
          <w:p>
            <w:pPr>
              <w:spacing w:after="0"/>
              <w:rPr>
                <w:sz w:val="20"/>
                <w:szCs w:val="20"/>
                <w:color w:val="auto"/>
              </w:rPr>
            </w:pPr>
            <w:r>
              <w:rPr>
                <w:rFonts w:ascii="Arial" w:cs="Arial" w:eastAsia="Arial" w:hAnsi="Arial"/>
                <w:sz w:val="16"/>
                <w:szCs w:val="16"/>
                <w:color w:val="auto"/>
              </w:rPr>
              <w:t>Dividends on preferred shares</w:t>
            </w:r>
          </w:p>
        </w:tc>
        <w:tc>
          <w:tcPr>
            <w:tcW w:w="1780" w:type="dxa"/>
            <w:vAlign w:val="bottom"/>
            <w:gridSpan w:val="2"/>
          </w:tcPr>
          <w:p>
            <w:pPr>
              <w:jc w:val="right"/>
              <w:ind w:right="559"/>
              <w:spacing w:after="0"/>
              <w:rPr>
                <w:sz w:val="20"/>
                <w:szCs w:val="20"/>
                <w:color w:val="auto"/>
              </w:rPr>
            </w:pPr>
            <w:r>
              <w:rPr>
                <w:rFonts w:ascii="Arial" w:cs="Arial" w:eastAsia="Arial" w:hAnsi="Arial"/>
                <w:sz w:val="16"/>
                <w:szCs w:val="16"/>
                <w:b w:val="1"/>
                <w:bCs w:val="1"/>
                <w:color w:val="auto"/>
              </w:rPr>
              <w:t>(29)</w:t>
            </w:r>
          </w:p>
        </w:tc>
        <w:tc>
          <w:tcPr>
            <w:tcW w:w="580" w:type="dxa"/>
            <w:vAlign w:val="bottom"/>
          </w:tcPr>
          <w:p>
            <w:pPr>
              <w:jc w:val="right"/>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19"/>
                <w:szCs w:val="19"/>
                <w:color w:val="auto"/>
              </w:rPr>
            </w:pPr>
          </w:p>
        </w:tc>
        <w:tc>
          <w:tcPr>
            <w:tcW w:w="1380" w:type="dxa"/>
            <w:vAlign w:val="bottom"/>
          </w:tcPr>
          <w:p>
            <w:pPr>
              <w:jc w:val="right"/>
              <w:ind w:right="259"/>
              <w:spacing w:after="0"/>
              <w:rPr>
                <w:sz w:val="20"/>
                <w:szCs w:val="20"/>
                <w:color w:val="auto"/>
              </w:rPr>
            </w:pPr>
            <w:r>
              <w:rPr>
                <w:rFonts w:ascii="Arial" w:cs="Arial" w:eastAsia="Arial" w:hAnsi="Arial"/>
                <w:sz w:val="16"/>
                <w:szCs w:val="16"/>
                <w:b w:val="1"/>
                <w:bCs w:val="1"/>
                <w:color w:val="auto"/>
              </w:rPr>
              <w:t>(114)</w:t>
            </w:r>
          </w:p>
        </w:tc>
        <w:tc>
          <w:tcPr>
            <w:tcW w:w="860" w:type="dxa"/>
            <w:vAlign w:val="bottom"/>
          </w:tcPr>
          <w:p>
            <w:pPr>
              <w:jc w:val="right"/>
              <w:spacing w:after="0"/>
              <w:rPr>
                <w:sz w:val="20"/>
                <w:szCs w:val="20"/>
                <w:color w:val="auto"/>
              </w:rPr>
            </w:pPr>
            <w:r>
              <w:rPr>
                <w:rFonts w:ascii="Arial" w:cs="Arial" w:eastAsia="Arial" w:hAnsi="Arial"/>
                <w:sz w:val="16"/>
                <w:szCs w:val="16"/>
                <w:color w:val="auto"/>
              </w:rPr>
              <w:t>(99)</w:t>
            </w:r>
          </w:p>
        </w:tc>
      </w:tr>
      <w:tr>
        <w:trPr>
          <w:trHeight w:val="229"/>
        </w:trPr>
        <w:tc>
          <w:tcPr>
            <w:tcW w:w="6480" w:type="dxa"/>
            <w:vAlign w:val="bottom"/>
          </w:tcPr>
          <w:p>
            <w:pPr>
              <w:spacing w:after="0"/>
              <w:rPr>
                <w:sz w:val="20"/>
                <w:szCs w:val="20"/>
                <w:color w:val="auto"/>
              </w:rPr>
            </w:pPr>
            <w:r>
              <w:rPr>
                <w:rFonts w:ascii="Arial" w:cs="Arial" w:eastAsia="Arial" w:hAnsi="Arial"/>
                <w:sz w:val="16"/>
                <w:szCs w:val="16"/>
                <w:color w:val="auto"/>
              </w:rPr>
              <w:t>Common shares issued, net of issue costs</w:t>
            </w:r>
          </w:p>
        </w:tc>
        <w:tc>
          <w:tcPr>
            <w:tcW w:w="1780" w:type="dxa"/>
            <w:vAlign w:val="bottom"/>
            <w:gridSpan w:val="2"/>
          </w:tcPr>
          <w:p>
            <w:pPr>
              <w:jc w:val="right"/>
              <w:ind w:right="599"/>
              <w:spacing w:after="0"/>
              <w:rPr>
                <w:sz w:val="20"/>
                <w:szCs w:val="20"/>
                <w:color w:val="auto"/>
              </w:rPr>
            </w:pPr>
            <w:r>
              <w:rPr>
                <w:rFonts w:ascii="Arial" w:cs="Arial" w:eastAsia="Arial" w:hAnsi="Arial"/>
                <w:sz w:val="16"/>
                <w:szCs w:val="16"/>
                <w:b w:val="1"/>
                <w:bCs w:val="1"/>
                <w:color w:val="auto"/>
              </w:rPr>
              <w:t>17</w:t>
            </w:r>
          </w:p>
        </w:tc>
        <w:tc>
          <w:tcPr>
            <w:tcW w:w="580" w:type="dxa"/>
            <w:vAlign w:val="bottom"/>
          </w:tcPr>
          <w:p>
            <w:pPr>
              <w:jc w:val="right"/>
              <w:spacing w:after="0"/>
              <w:rPr>
                <w:sz w:val="20"/>
                <w:szCs w:val="20"/>
                <w:color w:val="auto"/>
              </w:rPr>
            </w:pPr>
            <w:r>
              <w:rPr>
                <w:rFonts w:ascii="Arial" w:cs="Arial" w:eastAsia="Arial" w:hAnsi="Arial"/>
                <w:sz w:val="16"/>
                <w:szCs w:val="16"/>
                <w:color w:val="auto"/>
              </w:rPr>
              <w:t>67</w:t>
            </w:r>
          </w:p>
        </w:tc>
        <w:tc>
          <w:tcPr>
            <w:tcW w:w="100" w:type="dxa"/>
            <w:vAlign w:val="bottom"/>
          </w:tcPr>
          <w:p>
            <w:pPr>
              <w:spacing w:after="0"/>
              <w:rPr>
                <w:sz w:val="19"/>
                <w:szCs w:val="19"/>
                <w:color w:val="auto"/>
              </w:rPr>
            </w:pPr>
          </w:p>
        </w:tc>
        <w:tc>
          <w:tcPr>
            <w:tcW w:w="1380" w:type="dxa"/>
            <w:vAlign w:val="bottom"/>
          </w:tcPr>
          <w:p>
            <w:pPr>
              <w:jc w:val="right"/>
              <w:ind w:right="299"/>
              <w:spacing w:after="0"/>
              <w:rPr>
                <w:sz w:val="20"/>
                <w:szCs w:val="20"/>
                <w:color w:val="auto"/>
              </w:rPr>
            </w:pPr>
            <w:r>
              <w:rPr>
                <w:rFonts w:ascii="Arial" w:cs="Arial" w:eastAsia="Arial" w:hAnsi="Arial"/>
                <w:sz w:val="16"/>
                <w:szCs w:val="16"/>
                <w:b w:val="1"/>
                <w:bCs w:val="1"/>
                <w:color w:val="auto"/>
              </w:rPr>
              <w:t>104</w:t>
            </w:r>
          </w:p>
        </w:tc>
        <w:tc>
          <w:tcPr>
            <w:tcW w:w="860" w:type="dxa"/>
            <w:vAlign w:val="bottom"/>
          </w:tcPr>
          <w:p>
            <w:pPr>
              <w:jc w:val="right"/>
              <w:spacing w:after="0"/>
              <w:rPr>
                <w:sz w:val="20"/>
                <w:szCs w:val="20"/>
                <w:color w:val="auto"/>
              </w:rPr>
            </w:pPr>
            <w:r>
              <w:rPr>
                <w:rFonts w:ascii="Arial" w:cs="Arial" w:eastAsia="Arial" w:hAnsi="Arial"/>
                <w:sz w:val="16"/>
                <w:szCs w:val="16"/>
                <w:color w:val="auto"/>
              </w:rPr>
              <w:t>88</w:t>
            </w:r>
          </w:p>
        </w:tc>
      </w:tr>
      <w:tr>
        <w:trPr>
          <w:trHeight w:val="230"/>
        </w:trPr>
        <w:tc>
          <w:tcPr>
            <w:tcW w:w="6480" w:type="dxa"/>
            <w:vAlign w:val="bottom"/>
          </w:tcPr>
          <w:p>
            <w:pPr>
              <w:spacing w:after="0"/>
              <w:rPr>
                <w:sz w:val="20"/>
                <w:szCs w:val="20"/>
                <w:color w:val="auto"/>
              </w:rPr>
            </w:pPr>
            <w:r>
              <w:rPr>
                <w:rFonts w:ascii="Arial" w:cs="Arial" w:eastAsia="Arial" w:hAnsi="Arial"/>
                <w:sz w:val="16"/>
                <w:szCs w:val="16"/>
                <w:color w:val="auto"/>
              </w:rPr>
              <w:t>Preferred shares redeemed</w:t>
            </w:r>
          </w:p>
        </w:tc>
        <w:tc>
          <w:tcPr>
            <w:tcW w:w="1780" w:type="dxa"/>
            <w:vAlign w:val="bottom"/>
            <w:gridSpan w:val="2"/>
          </w:tcPr>
          <w:p>
            <w:pPr>
              <w:jc w:val="right"/>
              <w:ind w:right="559"/>
              <w:spacing w:after="0"/>
              <w:rPr>
                <w:sz w:val="20"/>
                <w:szCs w:val="20"/>
                <w:color w:val="auto"/>
              </w:rPr>
            </w:pPr>
            <w:r>
              <w:rPr>
                <w:rFonts w:ascii="Arial" w:cs="Arial" w:eastAsia="Arial" w:hAnsi="Arial"/>
                <w:sz w:val="16"/>
                <w:szCs w:val="16"/>
                <w:b w:val="1"/>
                <w:bCs w:val="1"/>
                <w:color w:val="auto"/>
              </w:rPr>
              <w:t>(250)</w:t>
            </w:r>
          </w:p>
        </w:tc>
        <w:tc>
          <w:tcPr>
            <w:tcW w:w="6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259"/>
              <w:spacing w:after="0"/>
              <w:rPr>
                <w:sz w:val="20"/>
                <w:szCs w:val="20"/>
                <w:color w:val="auto"/>
              </w:rPr>
            </w:pPr>
            <w:r>
              <w:rPr>
                <w:rFonts w:ascii="Arial" w:cs="Arial" w:eastAsia="Arial" w:hAnsi="Arial"/>
                <w:sz w:val="16"/>
                <w:szCs w:val="16"/>
                <w:b w:val="1"/>
                <w:bCs w:val="1"/>
                <w:color w:val="auto"/>
              </w:rPr>
              <w:t>(250)</w:t>
            </w: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0"/>
        </w:trPr>
        <w:tc>
          <w:tcPr>
            <w:tcW w:w="6480" w:type="dxa"/>
            <w:vAlign w:val="bottom"/>
          </w:tcPr>
          <w:p>
            <w:pPr>
              <w:spacing w:after="0"/>
              <w:rPr>
                <w:sz w:val="20"/>
                <w:szCs w:val="20"/>
                <w:color w:val="auto"/>
              </w:rPr>
            </w:pPr>
            <w:r>
              <w:rPr>
                <w:rFonts w:ascii="Arial" w:cs="Arial" w:eastAsia="Arial" w:hAnsi="Arial"/>
                <w:sz w:val="16"/>
                <w:szCs w:val="16"/>
                <w:color w:val="auto"/>
              </w:rPr>
              <w:t>Distributions to non-controlling interests and other</w:t>
            </w:r>
          </w:p>
        </w:tc>
        <w:tc>
          <w:tcPr>
            <w:tcW w:w="1780" w:type="dxa"/>
            <w:vAlign w:val="bottom"/>
            <w:gridSpan w:val="2"/>
          </w:tcPr>
          <w:p>
            <w:pPr>
              <w:jc w:val="right"/>
              <w:ind w:right="559"/>
              <w:spacing w:after="0"/>
              <w:rPr>
                <w:sz w:val="20"/>
                <w:szCs w:val="20"/>
                <w:color w:val="auto"/>
              </w:rPr>
            </w:pPr>
            <w:r>
              <w:rPr>
                <w:rFonts w:ascii="Arial" w:cs="Arial" w:eastAsia="Arial" w:hAnsi="Arial"/>
                <w:sz w:val="16"/>
                <w:szCs w:val="16"/>
                <w:b w:val="1"/>
                <w:bCs w:val="1"/>
                <w:color w:val="auto"/>
              </w:rPr>
              <w:t>(515)</w:t>
            </w:r>
          </w:p>
        </w:tc>
        <w:tc>
          <w:tcPr>
            <w:tcW w:w="580" w:type="dxa"/>
            <w:vAlign w:val="bottom"/>
          </w:tcPr>
          <w:p>
            <w:pPr>
              <w:jc w:val="right"/>
              <w:spacing w:after="0"/>
              <w:rPr>
                <w:sz w:val="20"/>
                <w:szCs w:val="20"/>
                <w:color w:val="auto"/>
              </w:rPr>
            </w:pPr>
            <w:r>
              <w:rPr>
                <w:rFonts w:ascii="Arial" w:cs="Arial" w:eastAsia="Arial" w:hAnsi="Arial"/>
                <w:sz w:val="16"/>
                <w:szCs w:val="16"/>
                <w:color w:val="auto"/>
              </w:rPr>
              <w:t>(86)</w:t>
            </w:r>
          </w:p>
        </w:tc>
        <w:tc>
          <w:tcPr>
            <w:tcW w:w="100" w:type="dxa"/>
            <w:vAlign w:val="bottom"/>
          </w:tcPr>
          <w:p>
            <w:pPr>
              <w:spacing w:after="0"/>
              <w:rPr>
                <w:sz w:val="19"/>
                <w:szCs w:val="19"/>
                <w:color w:val="auto"/>
              </w:rPr>
            </w:pPr>
          </w:p>
        </w:tc>
        <w:tc>
          <w:tcPr>
            <w:tcW w:w="1380" w:type="dxa"/>
            <w:vAlign w:val="bottom"/>
          </w:tcPr>
          <w:p>
            <w:pPr>
              <w:jc w:val="right"/>
              <w:ind w:right="259"/>
              <w:spacing w:after="0"/>
              <w:rPr>
                <w:sz w:val="20"/>
                <w:szCs w:val="20"/>
                <w:color w:val="auto"/>
              </w:rPr>
            </w:pPr>
            <w:r>
              <w:rPr>
                <w:rFonts w:ascii="Arial" w:cs="Arial" w:eastAsia="Arial" w:hAnsi="Arial"/>
                <w:sz w:val="16"/>
                <w:szCs w:val="16"/>
                <w:b w:val="1"/>
                <w:bCs w:val="1"/>
                <w:color w:val="auto"/>
              </w:rPr>
              <w:t>(929)</w:t>
            </w:r>
          </w:p>
        </w:tc>
        <w:tc>
          <w:tcPr>
            <w:tcW w:w="860" w:type="dxa"/>
            <w:vAlign w:val="bottom"/>
          </w:tcPr>
          <w:p>
            <w:pPr>
              <w:jc w:val="right"/>
              <w:spacing w:after="0"/>
              <w:rPr>
                <w:sz w:val="20"/>
                <w:szCs w:val="20"/>
                <w:color w:val="auto"/>
              </w:rPr>
            </w:pPr>
            <w:r>
              <w:rPr>
                <w:rFonts w:ascii="Arial" w:cs="Arial" w:eastAsia="Arial" w:hAnsi="Arial"/>
                <w:sz w:val="16"/>
                <w:szCs w:val="16"/>
                <w:color w:val="auto"/>
              </w:rPr>
              <w:t>(755)</w:t>
            </w:r>
          </w:p>
        </w:tc>
      </w:tr>
      <w:tr>
        <w:trPr>
          <w:trHeight w:val="230"/>
        </w:trPr>
        <w:tc>
          <w:tcPr>
            <w:tcW w:w="6480" w:type="dxa"/>
            <w:vAlign w:val="bottom"/>
          </w:tcPr>
          <w:p>
            <w:pPr>
              <w:spacing w:after="0"/>
              <w:rPr>
                <w:sz w:val="20"/>
                <w:szCs w:val="20"/>
                <w:color w:val="auto"/>
              </w:rPr>
            </w:pPr>
            <w:r>
              <w:rPr>
                <w:rFonts w:ascii="Arial" w:cs="Arial" w:eastAsia="Arial" w:hAnsi="Arial"/>
                <w:sz w:val="16"/>
                <w:szCs w:val="16"/>
                <w:color w:val="auto"/>
              </w:rPr>
              <w:t>Contributions from non-controlling interests</w:t>
            </w:r>
          </w:p>
        </w:tc>
        <w:tc>
          <w:tcPr>
            <w:tcW w:w="120" w:type="dxa"/>
            <w:vAlign w:val="bottom"/>
          </w:tcPr>
          <w:p>
            <w:pPr>
              <w:spacing w:after="0"/>
              <w:rPr>
                <w:sz w:val="19"/>
                <w:szCs w:val="19"/>
                <w:color w:val="auto"/>
              </w:rPr>
            </w:pPr>
          </w:p>
        </w:tc>
        <w:tc>
          <w:tcPr>
            <w:tcW w:w="1660" w:type="dxa"/>
            <w:vAlign w:val="bottom"/>
          </w:tcPr>
          <w:p>
            <w:pPr>
              <w:jc w:val="right"/>
              <w:ind w:right="599"/>
              <w:spacing w:after="0"/>
              <w:rPr>
                <w:sz w:val="20"/>
                <w:szCs w:val="20"/>
                <w:color w:val="auto"/>
              </w:rPr>
            </w:pPr>
            <w:r>
              <w:rPr>
                <w:rFonts w:ascii="Arial" w:cs="Arial" w:eastAsia="Arial" w:hAnsi="Arial"/>
                <w:sz w:val="16"/>
                <w:szCs w:val="16"/>
                <w:b w:val="1"/>
                <w:bCs w:val="1"/>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9"/>
                <w:szCs w:val="19"/>
                <w:color w:val="auto"/>
              </w:rPr>
            </w:pPr>
          </w:p>
        </w:tc>
        <w:tc>
          <w:tcPr>
            <w:tcW w:w="1380" w:type="dxa"/>
            <w:vAlign w:val="bottom"/>
          </w:tcPr>
          <w:p>
            <w:pPr>
              <w:jc w:val="right"/>
              <w:ind w:right="299"/>
              <w:spacing w:after="0"/>
              <w:rPr>
                <w:sz w:val="20"/>
                <w:szCs w:val="20"/>
                <w:color w:val="auto"/>
              </w:rPr>
            </w:pPr>
            <w:r>
              <w:rPr>
                <w:rFonts w:ascii="Arial" w:cs="Arial" w:eastAsia="Arial" w:hAnsi="Arial"/>
                <w:sz w:val="16"/>
                <w:szCs w:val="16"/>
                <w:b w:val="1"/>
                <w:bCs w:val="1"/>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21</w:t>
            </w:r>
          </w:p>
        </w:tc>
      </w:tr>
      <w:tr>
        <w:trPr>
          <w:trHeight w:val="229"/>
        </w:trPr>
        <w:tc>
          <w:tcPr>
            <w:tcW w:w="6480" w:type="dxa"/>
            <w:vAlign w:val="bottom"/>
          </w:tcPr>
          <w:p>
            <w:pPr>
              <w:spacing w:after="0"/>
              <w:rPr>
                <w:sz w:val="20"/>
                <w:szCs w:val="20"/>
                <w:color w:val="auto"/>
              </w:rPr>
            </w:pPr>
            <w:r>
              <w:rPr>
                <w:rFonts w:ascii="Arial" w:cs="Arial" w:eastAsia="Arial" w:hAnsi="Arial"/>
                <w:sz w:val="16"/>
                <w:szCs w:val="16"/>
                <w:color w:val="auto"/>
              </w:rPr>
              <w:t>Cash received from factoring arrangement</w:t>
            </w:r>
          </w:p>
        </w:tc>
        <w:tc>
          <w:tcPr>
            <w:tcW w:w="1780" w:type="dxa"/>
            <w:vAlign w:val="bottom"/>
            <w:gridSpan w:val="2"/>
          </w:tcPr>
          <w:p>
            <w:pPr>
              <w:jc w:val="right"/>
              <w:ind w:right="599"/>
              <w:spacing w:after="0"/>
              <w:rPr>
                <w:sz w:val="20"/>
                <w:szCs w:val="20"/>
                <w:color w:val="auto"/>
              </w:rPr>
            </w:pPr>
            <w:r>
              <w:rPr>
                <w:rFonts w:ascii="Arial" w:cs="Arial" w:eastAsia="Arial" w:hAnsi="Arial"/>
                <w:sz w:val="16"/>
                <w:szCs w:val="16"/>
                <w:b w:val="1"/>
                <w:bCs w:val="1"/>
                <w:color w:val="auto"/>
              </w:rPr>
              <w:t>250</w:t>
            </w:r>
          </w:p>
        </w:tc>
        <w:tc>
          <w:tcPr>
            <w:tcW w:w="6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299"/>
              <w:spacing w:after="0"/>
              <w:rPr>
                <w:sz w:val="20"/>
                <w:szCs w:val="20"/>
                <w:color w:val="auto"/>
              </w:rPr>
            </w:pPr>
            <w:r>
              <w:rPr>
                <w:rFonts w:ascii="Arial" w:cs="Arial" w:eastAsia="Arial" w:hAnsi="Arial"/>
                <w:sz w:val="16"/>
                <w:szCs w:val="16"/>
                <w:b w:val="1"/>
                <w:bCs w:val="1"/>
                <w:color w:val="auto"/>
              </w:rPr>
              <w:t>351</w:t>
            </w: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0"/>
        </w:trPr>
        <w:tc>
          <w:tcPr>
            <w:tcW w:w="6480" w:type="dxa"/>
            <w:vAlign w:val="bottom"/>
          </w:tcPr>
          <w:p>
            <w:pPr>
              <w:spacing w:after="0"/>
              <w:rPr>
                <w:sz w:val="20"/>
                <w:szCs w:val="20"/>
                <w:color w:val="auto"/>
              </w:rPr>
            </w:pPr>
            <w:r>
              <w:rPr>
                <w:rFonts w:ascii="Arial" w:cs="Arial" w:eastAsia="Arial" w:hAnsi="Arial"/>
                <w:sz w:val="16"/>
                <w:szCs w:val="16"/>
                <w:color w:val="auto"/>
              </w:rPr>
              <w:t>Loan from affiliate</w:t>
            </w:r>
          </w:p>
        </w:tc>
        <w:tc>
          <w:tcPr>
            <w:tcW w:w="1780" w:type="dxa"/>
            <w:vAlign w:val="bottom"/>
            <w:gridSpan w:val="2"/>
          </w:tcPr>
          <w:p>
            <w:pPr>
              <w:jc w:val="right"/>
              <w:ind w:right="599"/>
              <w:spacing w:after="0"/>
              <w:rPr>
                <w:sz w:val="20"/>
                <w:szCs w:val="20"/>
                <w:color w:val="auto"/>
              </w:rPr>
            </w:pPr>
            <w:r>
              <w:rPr>
                <w:rFonts w:ascii="Arial" w:cs="Arial" w:eastAsia="Arial" w:hAnsi="Arial"/>
                <w:sz w:val="16"/>
                <w:szCs w:val="16"/>
                <w:b w:val="1"/>
                <w:bCs w:val="1"/>
                <w:color w:val="auto"/>
              </w:rPr>
              <w:t>111</w:t>
            </w:r>
          </w:p>
        </w:tc>
        <w:tc>
          <w:tcPr>
            <w:tcW w:w="6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299"/>
              <w:spacing w:after="0"/>
              <w:rPr>
                <w:sz w:val="20"/>
                <w:szCs w:val="20"/>
                <w:color w:val="auto"/>
              </w:rPr>
            </w:pPr>
            <w:r>
              <w:rPr>
                <w:rFonts w:ascii="Arial" w:cs="Arial" w:eastAsia="Arial" w:hAnsi="Arial"/>
                <w:sz w:val="16"/>
                <w:szCs w:val="16"/>
                <w:b w:val="1"/>
                <w:bCs w:val="1"/>
                <w:color w:val="auto"/>
              </w:rPr>
              <w:t>111</w:t>
            </w: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0"/>
        </w:trPr>
        <w:tc>
          <w:tcPr>
            <w:tcW w:w="6480" w:type="dxa"/>
            <w:vAlign w:val="bottom"/>
          </w:tcPr>
          <w:p>
            <w:pPr>
              <w:spacing w:after="0"/>
              <w:rPr>
                <w:sz w:val="20"/>
                <w:szCs w:val="20"/>
                <w:color w:val="auto"/>
              </w:rPr>
            </w:pPr>
            <w:r>
              <w:rPr>
                <w:rFonts w:ascii="Arial" w:cs="Arial" w:eastAsia="Arial" w:hAnsi="Arial"/>
                <w:sz w:val="16"/>
                <w:szCs w:val="16"/>
                <w:color w:val="auto"/>
              </w:rPr>
              <w:t>Disposition of equity interest, net of transaction costs</w:t>
            </w:r>
          </w:p>
        </w:tc>
        <w:tc>
          <w:tcPr>
            <w:tcW w:w="120" w:type="dxa"/>
            <w:vAlign w:val="bottom"/>
          </w:tcPr>
          <w:p>
            <w:pPr>
              <w:spacing w:after="0"/>
              <w:rPr>
                <w:sz w:val="19"/>
                <w:szCs w:val="19"/>
                <w:color w:val="auto"/>
              </w:rPr>
            </w:pPr>
          </w:p>
        </w:tc>
        <w:tc>
          <w:tcPr>
            <w:tcW w:w="1660" w:type="dxa"/>
            <w:vAlign w:val="bottom"/>
          </w:tcPr>
          <w:p>
            <w:pPr>
              <w:jc w:val="right"/>
              <w:ind w:right="599"/>
              <w:spacing w:after="0"/>
              <w:rPr>
                <w:sz w:val="20"/>
                <w:szCs w:val="20"/>
                <w:color w:val="auto"/>
              </w:rPr>
            </w:pPr>
            <w:r>
              <w:rPr>
                <w:rFonts w:ascii="Arial" w:cs="Arial" w:eastAsia="Arial" w:hAnsi="Arial"/>
                <w:sz w:val="16"/>
                <w:szCs w:val="16"/>
                <w:b w:val="1"/>
                <w:bCs w:val="1"/>
                <w:color w:val="auto"/>
              </w:rPr>
              <w:t>—</w:t>
            </w:r>
          </w:p>
        </w:tc>
        <w:tc>
          <w:tcPr>
            <w:tcW w:w="6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299"/>
              <w:spacing w:after="0"/>
              <w:rPr>
                <w:sz w:val="20"/>
                <w:szCs w:val="20"/>
                <w:color w:val="auto"/>
              </w:rPr>
            </w:pPr>
            <w:r>
              <w:rPr>
                <w:rFonts w:ascii="Arial" w:cs="Arial" w:eastAsia="Arial" w:hAnsi="Arial"/>
                <w:sz w:val="16"/>
                <w:szCs w:val="16"/>
                <w:b w:val="1"/>
                <w:bCs w:val="1"/>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419</w:t>
            </w:r>
          </w:p>
        </w:tc>
      </w:tr>
      <w:tr>
        <w:trPr>
          <w:trHeight w:val="230"/>
        </w:trPr>
        <w:tc>
          <w:tcPr>
            <w:tcW w:w="6480" w:type="dxa"/>
            <w:vAlign w:val="bottom"/>
          </w:tcPr>
          <w:p>
            <w:pPr>
              <w:spacing w:after="0"/>
              <w:rPr>
                <w:sz w:val="20"/>
                <w:szCs w:val="20"/>
                <w:color w:val="auto"/>
              </w:rPr>
            </w:pPr>
            <w:r>
              <w:rPr>
                <w:rFonts w:ascii="Arial" w:cs="Arial" w:eastAsia="Arial" w:hAnsi="Arial"/>
                <w:sz w:val="16"/>
                <w:szCs w:val="16"/>
                <w:color w:val="auto"/>
              </w:rPr>
              <w:t>Cash transferred to South Bow, net of debt settlements</w:t>
            </w:r>
          </w:p>
        </w:tc>
        <w:tc>
          <w:tcPr>
            <w:tcW w:w="120" w:type="dxa"/>
            <w:vAlign w:val="bottom"/>
          </w:tcPr>
          <w:p>
            <w:pPr>
              <w:spacing w:after="0"/>
              <w:rPr>
                <w:sz w:val="19"/>
                <w:szCs w:val="19"/>
                <w:color w:val="auto"/>
              </w:rPr>
            </w:pPr>
          </w:p>
        </w:tc>
        <w:tc>
          <w:tcPr>
            <w:tcW w:w="1660" w:type="dxa"/>
            <w:vAlign w:val="bottom"/>
          </w:tcPr>
          <w:p>
            <w:pPr>
              <w:jc w:val="right"/>
              <w:ind w:right="599"/>
              <w:spacing w:after="0"/>
              <w:rPr>
                <w:sz w:val="20"/>
                <w:szCs w:val="20"/>
                <w:color w:val="auto"/>
              </w:rPr>
            </w:pPr>
            <w:r>
              <w:rPr>
                <w:rFonts w:ascii="Arial" w:cs="Arial" w:eastAsia="Arial" w:hAnsi="Arial"/>
                <w:sz w:val="16"/>
                <w:szCs w:val="16"/>
                <w:b w:val="1"/>
                <w:bCs w:val="1"/>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(244)</w:t>
            </w:r>
          </w:p>
        </w:tc>
        <w:tc>
          <w:tcPr>
            <w:tcW w:w="100" w:type="dxa"/>
            <w:vAlign w:val="bottom"/>
          </w:tcPr>
          <w:p>
            <w:pPr>
              <w:spacing w:after="0"/>
              <w:rPr>
                <w:sz w:val="19"/>
                <w:szCs w:val="19"/>
                <w:color w:val="auto"/>
              </w:rPr>
            </w:pPr>
          </w:p>
        </w:tc>
        <w:tc>
          <w:tcPr>
            <w:tcW w:w="1380" w:type="dxa"/>
            <w:vAlign w:val="bottom"/>
          </w:tcPr>
          <w:p>
            <w:pPr>
              <w:jc w:val="right"/>
              <w:ind w:right="299"/>
              <w:spacing w:after="0"/>
              <w:rPr>
                <w:sz w:val="20"/>
                <w:szCs w:val="20"/>
                <w:color w:val="auto"/>
              </w:rPr>
            </w:pPr>
            <w:r>
              <w:rPr>
                <w:rFonts w:ascii="Arial" w:cs="Arial" w:eastAsia="Arial" w:hAnsi="Arial"/>
                <w:sz w:val="16"/>
                <w:szCs w:val="16"/>
                <w:b w:val="1"/>
                <w:bCs w:val="1"/>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(244)</w:t>
            </w:r>
          </w:p>
        </w:tc>
      </w:tr>
      <w:tr>
        <w:trPr>
          <w:trHeight w:val="233"/>
        </w:trPr>
        <w:tc>
          <w:tcPr>
            <w:tcW w:w="64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Gains (losses) on settlement of financial instruments</w:t>
            </w:r>
          </w:p>
        </w:tc>
        <w:tc>
          <w:tcPr>
            <w:tcW w:w="12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w:t>
            </w:r>
          </w:p>
        </w:tc>
        <w:tc>
          <w:tcPr>
            <w:tcW w:w="1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w:t>
            </w:r>
          </w:p>
        </w:tc>
      </w:tr>
      <w:tr>
        <w:trPr>
          <w:trHeight w:val="223"/>
        </w:trPr>
        <w:tc>
          <w:tcPr>
            <w:tcW w:w="64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Net cash (used in) provided by financing activities</w:t>
            </w:r>
          </w:p>
        </w:tc>
        <w:tc>
          <w:tcPr>
            <w:tcW w:w="1780" w:type="dxa"/>
            <w:vAlign w:val="bottom"/>
            <w:tcBorders>
              <w:bottom w:val="single" w:sz="8" w:color="auto"/>
            </w:tcBorders>
            <w:gridSpan w:val="2"/>
          </w:tcPr>
          <w:p>
            <w:pPr>
              <w:jc w:val="right"/>
              <w:ind w:right="559"/>
              <w:spacing w:after="0"/>
              <w:rPr>
                <w:sz w:val="20"/>
                <w:szCs w:val="20"/>
                <w:color w:val="auto"/>
              </w:rPr>
            </w:pPr>
            <w:r>
              <w:rPr>
                <w:rFonts w:ascii="Arial" w:cs="Arial" w:eastAsia="Arial" w:hAnsi="Arial"/>
                <w:sz w:val="16"/>
                <w:szCs w:val="16"/>
                <w:b w:val="1"/>
                <w:bCs w:val="1"/>
                <w:color w:val="auto"/>
              </w:rPr>
              <w:t>(1,885)</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(8,944)</w:t>
            </w:r>
          </w:p>
        </w:tc>
        <w:tc>
          <w:tcPr>
            <w:tcW w:w="1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(1,516)</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(3,874)</w:t>
            </w:r>
          </w:p>
        </w:tc>
      </w:tr>
      <w:tr>
        <w:trPr>
          <w:trHeight w:val="220"/>
        </w:trPr>
        <w:tc>
          <w:tcPr>
            <w:tcW w:w="6480" w:type="dxa"/>
            <w:vAlign w:val="bottom"/>
          </w:tcPr>
          <w:p>
            <w:pPr>
              <w:spacing w:after="0"/>
              <w:rPr>
                <w:sz w:val="20"/>
                <w:szCs w:val="20"/>
                <w:color w:val="auto"/>
              </w:rPr>
            </w:pPr>
            <w:r>
              <w:rPr>
                <w:rFonts w:ascii="Arial" w:cs="Arial" w:eastAsia="Arial" w:hAnsi="Arial"/>
                <w:sz w:val="16"/>
                <w:szCs w:val="16"/>
                <w:b w:val="1"/>
                <w:bCs w:val="1"/>
                <w:color w:val="0D64EF"/>
              </w:rPr>
              <w:t>Effect of Foreign Exchange Rate Changes on Cash and Cash Equivalents</w:t>
            </w:r>
          </w:p>
        </w:tc>
        <w:tc>
          <w:tcPr>
            <w:tcW w:w="120" w:type="dxa"/>
            <w:vAlign w:val="bottom"/>
          </w:tcPr>
          <w:p>
            <w:pPr>
              <w:spacing w:after="0"/>
              <w:rPr>
                <w:sz w:val="19"/>
                <w:szCs w:val="19"/>
                <w:color w:val="auto"/>
              </w:rPr>
            </w:pPr>
          </w:p>
        </w:tc>
        <w:tc>
          <w:tcPr>
            <w:tcW w:w="1660" w:type="dxa"/>
            <w:vAlign w:val="bottom"/>
          </w:tcPr>
          <w:p>
            <w:pPr>
              <w:jc w:val="right"/>
              <w:ind w:right="599"/>
              <w:spacing w:after="0"/>
              <w:rPr>
                <w:sz w:val="20"/>
                <w:szCs w:val="20"/>
                <w:color w:val="auto"/>
              </w:rPr>
            </w:pPr>
            <w:r>
              <w:rPr>
                <w:rFonts w:ascii="Arial" w:cs="Arial" w:eastAsia="Arial" w:hAnsi="Arial"/>
                <w:sz w:val="16"/>
                <w:szCs w:val="16"/>
                <w:b w:val="1"/>
                <w:bCs w:val="1"/>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189</w:t>
            </w:r>
          </w:p>
        </w:tc>
        <w:tc>
          <w:tcPr>
            <w:tcW w:w="100" w:type="dxa"/>
            <w:vAlign w:val="bottom"/>
          </w:tcPr>
          <w:p>
            <w:pPr>
              <w:spacing w:after="0"/>
              <w:rPr>
                <w:sz w:val="19"/>
                <w:szCs w:val="19"/>
                <w:color w:val="auto"/>
              </w:rPr>
            </w:pPr>
          </w:p>
        </w:tc>
        <w:tc>
          <w:tcPr>
            <w:tcW w:w="1380" w:type="dxa"/>
            <w:vAlign w:val="bottom"/>
          </w:tcPr>
          <w:p>
            <w:pPr>
              <w:jc w:val="right"/>
              <w:ind w:right="259"/>
              <w:spacing w:after="0"/>
              <w:rPr>
                <w:sz w:val="20"/>
                <w:szCs w:val="20"/>
                <w:color w:val="auto"/>
              </w:rPr>
            </w:pPr>
            <w:r>
              <w:rPr>
                <w:rFonts w:ascii="Arial" w:cs="Arial" w:eastAsia="Arial" w:hAnsi="Arial"/>
                <w:sz w:val="16"/>
                <w:szCs w:val="16"/>
                <w:b w:val="1"/>
                <w:bCs w:val="1"/>
                <w:color w:val="auto"/>
              </w:rPr>
              <w:t>(5)</w:t>
            </w:r>
          </w:p>
        </w:tc>
        <w:tc>
          <w:tcPr>
            <w:tcW w:w="860" w:type="dxa"/>
            <w:vAlign w:val="bottom"/>
          </w:tcPr>
          <w:p>
            <w:pPr>
              <w:jc w:val="right"/>
              <w:spacing w:after="0"/>
              <w:rPr>
                <w:sz w:val="20"/>
                <w:szCs w:val="20"/>
                <w:color w:val="auto"/>
              </w:rPr>
            </w:pPr>
            <w:r>
              <w:rPr>
                <w:rFonts w:ascii="Arial" w:cs="Arial" w:eastAsia="Arial" w:hAnsi="Arial"/>
                <w:sz w:val="16"/>
                <w:szCs w:val="16"/>
                <w:color w:val="auto"/>
              </w:rPr>
              <w:t>210</w:t>
            </w:r>
          </w:p>
        </w:tc>
      </w:tr>
      <w:tr>
        <w:trPr>
          <w:trHeight w:val="229"/>
        </w:trPr>
        <w:tc>
          <w:tcPr>
            <w:tcW w:w="6480" w:type="dxa"/>
            <w:vAlign w:val="bottom"/>
          </w:tcPr>
          <w:p>
            <w:pPr>
              <w:spacing w:after="0"/>
              <w:rPr>
                <w:sz w:val="20"/>
                <w:szCs w:val="20"/>
                <w:color w:val="auto"/>
              </w:rPr>
            </w:pPr>
            <w:r>
              <w:rPr>
                <w:rFonts w:ascii="Arial" w:cs="Arial" w:eastAsia="Arial" w:hAnsi="Arial"/>
                <w:sz w:val="16"/>
                <w:szCs w:val="16"/>
                <w:b w:val="1"/>
                <w:bCs w:val="1"/>
                <w:color w:val="0D64EF"/>
              </w:rPr>
              <w:t>Increase (Decrease) in Cash and Cash Equivalents</w:t>
            </w:r>
          </w:p>
        </w:tc>
        <w:tc>
          <w:tcPr>
            <w:tcW w:w="1780" w:type="dxa"/>
            <w:vAlign w:val="bottom"/>
            <w:gridSpan w:val="2"/>
          </w:tcPr>
          <w:p>
            <w:pPr>
              <w:jc w:val="right"/>
              <w:ind w:right="559"/>
              <w:spacing w:after="0"/>
              <w:rPr>
                <w:sz w:val="20"/>
                <w:szCs w:val="20"/>
                <w:color w:val="auto"/>
              </w:rPr>
            </w:pPr>
            <w:r>
              <w:rPr>
                <w:rFonts w:ascii="Arial" w:cs="Arial" w:eastAsia="Arial" w:hAnsi="Arial"/>
                <w:sz w:val="16"/>
                <w:szCs w:val="16"/>
                <w:b w:val="1"/>
                <w:bCs w:val="1"/>
                <w:color w:val="auto"/>
              </w:rPr>
              <w:t>(1,634)</w:t>
            </w:r>
          </w:p>
        </w:tc>
        <w:tc>
          <w:tcPr>
            <w:tcW w:w="580" w:type="dxa"/>
            <w:vAlign w:val="bottom"/>
          </w:tcPr>
          <w:p>
            <w:pPr>
              <w:jc w:val="right"/>
              <w:spacing w:after="0"/>
              <w:rPr>
                <w:sz w:val="20"/>
                <w:szCs w:val="20"/>
                <w:color w:val="auto"/>
              </w:rPr>
            </w:pPr>
            <w:r>
              <w:rPr>
                <w:rFonts w:ascii="Arial" w:cs="Arial" w:eastAsia="Arial" w:hAnsi="Arial"/>
                <w:sz w:val="16"/>
                <w:szCs w:val="16"/>
                <w:color w:val="auto"/>
              </w:rPr>
              <w:t>(9,187)</w:t>
            </w:r>
          </w:p>
        </w:tc>
        <w:tc>
          <w:tcPr>
            <w:tcW w:w="100" w:type="dxa"/>
            <w:vAlign w:val="bottom"/>
          </w:tcPr>
          <w:p>
            <w:pPr>
              <w:spacing w:after="0"/>
              <w:rPr>
                <w:sz w:val="19"/>
                <w:szCs w:val="19"/>
                <w:color w:val="auto"/>
              </w:rPr>
            </w:pPr>
          </w:p>
        </w:tc>
        <w:tc>
          <w:tcPr>
            <w:tcW w:w="1380" w:type="dxa"/>
            <w:vAlign w:val="bottom"/>
          </w:tcPr>
          <w:p>
            <w:pPr>
              <w:jc w:val="right"/>
              <w:ind w:right="259"/>
              <w:spacing w:after="0"/>
              <w:rPr>
                <w:sz w:val="20"/>
                <w:szCs w:val="20"/>
                <w:color w:val="auto"/>
              </w:rPr>
            </w:pPr>
            <w:r>
              <w:rPr>
                <w:rFonts w:ascii="Arial" w:cs="Arial" w:eastAsia="Arial" w:hAnsi="Arial"/>
                <w:sz w:val="16"/>
                <w:szCs w:val="16"/>
                <w:b w:val="1"/>
                <w:bCs w:val="1"/>
                <w:color w:val="auto"/>
              </w:rPr>
              <w:t>(633)</w:t>
            </w:r>
          </w:p>
        </w:tc>
        <w:tc>
          <w:tcPr>
            <w:tcW w:w="860" w:type="dxa"/>
            <w:vAlign w:val="bottom"/>
          </w:tcPr>
          <w:p>
            <w:pPr>
              <w:jc w:val="right"/>
              <w:spacing w:after="0"/>
              <w:rPr>
                <w:sz w:val="20"/>
                <w:szCs w:val="20"/>
                <w:color w:val="auto"/>
              </w:rPr>
            </w:pPr>
            <w:r>
              <w:rPr>
                <w:rFonts w:ascii="Arial" w:cs="Arial" w:eastAsia="Arial" w:hAnsi="Arial"/>
                <w:sz w:val="16"/>
                <w:szCs w:val="16"/>
                <w:color w:val="auto"/>
              </w:rPr>
              <w:t>(2,877)</w:t>
            </w:r>
          </w:p>
        </w:tc>
      </w:tr>
      <w:tr>
        <w:trPr>
          <w:trHeight w:val="233"/>
        </w:trPr>
        <w:tc>
          <w:tcPr>
            <w:tcW w:w="648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0D64EF"/>
              </w:rPr>
              <w:t>Cash and Cash Equivalents - Beginning of period</w:t>
            </w:r>
          </w:p>
        </w:tc>
        <w:tc>
          <w:tcPr>
            <w:tcW w:w="1780" w:type="dxa"/>
            <w:vAlign w:val="bottom"/>
            <w:tcBorders>
              <w:bottom w:val="single" w:sz="8" w:color="auto"/>
            </w:tcBorders>
            <w:gridSpan w:val="2"/>
          </w:tcPr>
          <w:p>
            <w:pPr>
              <w:jc w:val="right"/>
              <w:ind w:right="599"/>
              <w:spacing w:after="0"/>
              <w:rPr>
                <w:sz w:val="20"/>
                <w:szCs w:val="20"/>
                <w:color w:val="auto"/>
              </w:rPr>
            </w:pPr>
            <w:r>
              <w:rPr>
                <w:rFonts w:ascii="Arial" w:cs="Arial" w:eastAsia="Arial" w:hAnsi="Arial"/>
                <w:sz w:val="16"/>
                <w:szCs w:val="16"/>
                <w:b w:val="1"/>
                <w:bCs w:val="1"/>
                <w:color w:val="auto"/>
              </w:rPr>
              <w:t>1,802</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9,988</w:t>
            </w:r>
          </w:p>
        </w:tc>
        <w:tc>
          <w:tcPr>
            <w:tcW w:w="1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801</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3,678</w:t>
            </w:r>
          </w:p>
        </w:tc>
      </w:tr>
      <w:tr>
        <w:trPr>
          <w:trHeight w:val="223"/>
        </w:trPr>
        <w:tc>
          <w:tcPr>
            <w:tcW w:w="648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0D64EF"/>
              </w:rPr>
              <w:t>Cash and Cash Equivalents - End of period</w:t>
            </w:r>
          </w:p>
        </w:tc>
        <w:tc>
          <w:tcPr>
            <w:tcW w:w="1780" w:type="dxa"/>
            <w:vAlign w:val="bottom"/>
            <w:tcBorders>
              <w:bottom w:val="single" w:sz="8" w:color="auto"/>
            </w:tcBorders>
            <w:gridSpan w:val="2"/>
          </w:tcPr>
          <w:p>
            <w:pPr>
              <w:jc w:val="right"/>
              <w:ind w:right="599"/>
              <w:spacing w:after="0"/>
              <w:rPr>
                <w:sz w:val="20"/>
                <w:szCs w:val="20"/>
                <w:color w:val="auto"/>
              </w:rPr>
            </w:pPr>
            <w:r>
              <w:rPr>
                <w:rFonts w:ascii="Arial" w:cs="Arial" w:eastAsia="Arial" w:hAnsi="Arial"/>
                <w:sz w:val="16"/>
                <w:szCs w:val="16"/>
                <w:b w:val="1"/>
                <w:bCs w:val="1"/>
                <w:color w:val="auto"/>
              </w:rPr>
              <w:t>168</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801</w:t>
            </w:r>
          </w:p>
        </w:tc>
        <w:tc>
          <w:tcPr>
            <w:tcW w:w="1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168</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801</w:t>
            </w:r>
          </w:p>
        </w:tc>
      </w:tr>
    </w:tbl>
    <w:p>
      <w:pPr>
        <w:spacing w:after="0" w:line="197" w:lineRule="exact"/>
        <w:rPr>
          <w:sz w:val="20"/>
          <w:szCs w:val="20"/>
          <w:color w:val="auto"/>
        </w:rPr>
      </w:pPr>
    </w:p>
    <w:p>
      <w:pPr>
        <w:ind w:right="240"/>
        <w:spacing w:after="0" w:line="334" w:lineRule="auto"/>
        <w:rPr>
          <w:sz w:val="20"/>
          <w:szCs w:val="20"/>
          <w:color w:val="auto"/>
        </w:rPr>
      </w:pPr>
      <w:r>
        <w:rPr>
          <w:rFonts w:ascii="Arial" w:cs="Arial" w:eastAsia="Arial" w:hAnsi="Arial"/>
          <w:sz w:val="18"/>
          <w:szCs w:val="18"/>
          <w:color w:val="auto"/>
        </w:rPr>
        <w:t>Includes continuing and discontinued operations. Refer to Note 4, Discontinued operations, in the Consolidated financial statements of our 2025 Annual Report, for additional information related to cash flows from discontinued operations.</w:t>
      </w:r>
    </w:p>
    <w:p>
      <w:pPr>
        <w:sectPr>
          <w:pgSz w:w="11900" w:h="16838" w:orient="portrait"/>
          <w:cols w:equalWidth="0" w:num="1">
            <w:col w:w="11240"/>
          </w:cols>
          <w:pgMar w:left="320" w:top="135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7060"/>
        <w:spacing w:after="0"/>
        <w:rPr>
          <w:sz w:val="20"/>
          <w:szCs w:val="20"/>
          <w:color w:val="auto"/>
        </w:rPr>
      </w:pPr>
      <w:r>
        <w:rPr>
          <w:rFonts w:ascii="Arial" w:cs="Arial" w:eastAsia="Arial" w:hAnsi="Arial"/>
          <w:sz w:val="17"/>
          <w:szCs w:val="17"/>
          <w:color w:val="auto"/>
        </w:rPr>
        <w:t xml:space="preserve">TC Energy </w:t>
      </w:r>
      <w:r>
        <w:rPr>
          <w:rFonts w:ascii="Arial" w:cs="Arial" w:eastAsia="Arial" w:hAnsi="Arial"/>
          <w:sz w:val="17"/>
          <w:szCs w:val="17"/>
          <w:b w:val="1"/>
          <w:bCs w:val="1"/>
          <w:color w:val="0D64EF"/>
        </w:rPr>
        <w:t>Fourth Quarter</w:t>
      </w:r>
      <w:r>
        <w:rPr>
          <w:rFonts w:ascii="Arial" w:cs="Arial" w:eastAsia="Arial" w:hAnsi="Arial"/>
          <w:sz w:val="17"/>
          <w:szCs w:val="17"/>
          <w:color w:val="auto"/>
        </w:rPr>
        <w:t xml:space="preserve"> News Release 2025 | 33</w:t>
      </w:r>
    </w:p>
    <w:p>
      <w:pPr>
        <w:sectPr>
          <w:pgSz w:w="11900" w:h="16838" w:orient="portrait"/>
          <w:cols w:equalWidth="0" w:num="1">
            <w:col w:w="11240"/>
          </w:cols>
          <w:pgMar w:left="320" w:top="1359" w:right="339" w:bottom="1440" w:gutter="0" w:footer="0" w:header="0"/>
          <w:type w:val="continuous"/>
        </w:sectPr>
      </w:pPr>
    </w:p>
    <w:bookmarkStart w:id="46" w:name="page47"/>
    <w:bookmarkEnd w:id="46"/>
    <w:p>
      <w:pPr>
        <w:jc w:val="center"/>
        <w:spacing w:after="0"/>
        <w:rPr>
          <w:sz w:val="20"/>
          <w:szCs w:val="20"/>
          <w:color w:val="auto"/>
        </w:rPr>
      </w:pPr>
      <w:r>
        <w:rPr>
          <w:rFonts w:ascii="Arial" w:cs="Arial" w:eastAsia="Arial" w:hAnsi="Arial"/>
          <w:sz w:val="25"/>
          <w:szCs w:val="25"/>
          <w:color w:val="0D64EF"/>
        </w:rPr>
        <w:t>Condensed consolidated balance sheet</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3640" w:type="dxa"/>
            <w:vAlign w:val="bottom"/>
            <w:tcBorders>
              <w:top w:val="single" w:sz="8" w:color="0D64EF"/>
              <w:bottom w:val="single" w:sz="8" w:color="0D64EF"/>
            </w:tcBorders>
            <w:shd w:val="clear" w:color="auto" w:fill="D1D0CF"/>
          </w:tcPr>
          <w:p>
            <w:pPr>
              <w:ind w:left="20"/>
              <w:spacing w:after="0"/>
              <w:rPr>
                <w:sz w:val="20"/>
                <w:szCs w:val="20"/>
                <w:color w:val="auto"/>
              </w:rPr>
            </w:pPr>
            <w:r>
              <w:rPr>
                <w:rFonts w:ascii="Arial" w:cs="Arial" w:eastAsia="Arial" w:hAnsi="Arial"/>
                <w:sz w:val="16"/>
                <w:szCs w:val="16"/>
                <w:color w:val="auto"/>
              </w:rPr>
              <w:t>(unaudited - millions of Canadian $)</w:t>
            </w:r>
          </w:p>
        </w:tc>
        <w:tc>
          <w:tcPr>
            <w:tcW w:w="3600" w:type="dxa"/>
            <w:vAlign w:val="bottom"/>
            <w:tcBorders>
              <w:top w:val="single" w:sz="8" w:color="0D64EF"/>
              <w:bottom w:val="single" w:sz="8" w:color="0D64EF"/>
            </w:tcBorders>
            <w:shd w:val="clear" w:color="auto" w:fill="D1D0CF"/>
          </w:tcPr>
          <w:p>
            <w:pPr>
              <w:spacing w:after="0"/>
              <w:rPr>
                <w:sz w:val="20"/>
                <w:szCs w:val="20"/>
                <w:color w:val="auto"/>
              </w:rPr>
            </w:pPr>
          </w:p>
        </w:tc>
        <w:tc>
          <w:tcPr>
            <w:tcW w:w="2260" w:type="dxa"/>
            <w:vAlign w:val="bottom"/>
            <w:tcBorders>
              <w:top w:val="single" w:sz="8" w:color="0D64EF"/>
              <w:bottom w:val="single" w:sz="8" w:color="0D64EF"/>
            </w:tcBorders>
            <w:shd w:val="clear" w:color="auto" w:fill="D1D0CF"/>
          </w:tcPr>
          <w:p>
            <w:pPr>
              <w:jc w:val="right"/>
              <w:ind w:right="179"/>
              <w:spacing w:after="0"/>
              <w:rPr>
                <w:sz w:val="20"/>
                <w:szCs w:val="20"/>
                <w:color w:val="auto"/>
              </w:rPr>
            </w:pPr>
            <w:r>
              <w:rPr>
                <w:rFonts w:ascii="Arial" w:cs="Arial" w:eastAsia="Arial" w:hAnsi="Arial"/>
                <w:sz w:val="16"/>
                <w:szCs w:val="16"/>
                <w:b w:val="1"/>
                <w:bCs w:val="1"/>
                <w:color w:val="auto"/>
              </w:rPr>
              <w:t>December 31, 2025</w:t>
            </w:r>
          </w:p>
        </w:tc>
        <w:tc>
          <w:tcPr>
            <w:tcW w:w="1740" w:type="dxa"/>
            <w:vAlign w:val="bottom"/>
            <w:tcBorders>
              <w:top w:val="single" w:sz="8" w:color="0D64EF"/>
              <w:bottom w:val="single" w:sz="8" w:color="0D64EF"/>
            </w:tcBorders>
            <w:shd w:val="clear" w:color="auto" w:fill="D1D0CF"/>
          </w:tcPr>
          <w:p>
            <w:pPr>
              <w:jc w:val="right"/>
              <w:spacing w:after="0"/>
              <w:rPr>
                <w:sz w:val="20"/>
                <w:szCs w:val="20"/>
                <w:color w:val="auto"/>
              </w:rPr>
            </w:pPr>
            <w:r>
              <w:rPr>
                <w:rFonts w:ascii="Arial" w:cs="Arial" w:eastAsia="Arial" w:hAnsi="Arial"/>
                <w:sz w:val="16"/>
                <w:szCs w:val="16"/>
                <w:b w:val="1"/>
                <w:bCs w:val="1"/>
                <w:color w:val="auto"/>
              </w:rPr>
              <w:t>December 31, 2024</w:t>
            </w:r>
          </w:p>
        </w:tc>
        <w:tc>
          <w:tcPr>
            <w:tcW w:w="0" w:type="dxa"/>
            <w:vAlign w:val="bottom"/>
          </w:tcPr>
          <w:p>
            <w:pPr>
              <w:spacing w:after="0"/>
              <w:rPr>
                <w:sz w:val="1"/>
                <w:szCs w:val="1"/>
                <w:color w:val="auto"/>
              </w:rPr>
            </w:pPr>
          </w:p>
        </w:tc>
      </w:tr>
      <w:tr>
        <w:trPr>
          <w:trHeight w:val="259"/>
        </w:trPr>
        <w:tc>
          <w:tcPr>
            <w:tcW w:w="3640" w:type="dxa"/>
            <w:vAlign w:val="bottom"/>
          </w:tcPr>
          <w:p>
            <w:pPr>
              <w:ind w:left="20"/>
              <w:spacing w:after="0"/>
              <w:rPr>
                <w:sz w:val="20"/>
                <w:szCs w:val="20"/>
                <w:color w:val="auto"/>
              </w:rPr>
            </w:pPr>
            <w:r>
              <w:rPr>
                <w:rFonts w:ascii="Arial" w:cs="Arial" w:eastAsia="Arial" w:hAnsi="Arial"/>
                <w:sz w:val="16"/>
                <w:szCs w:val="16"/>
                <w:b w:val="1"/>
                <w:bCs w:val="1"/>
                <w:color w:val="0D64EF"/>
              </w:rPr>
              <w:t>ASSETS</w:t>
            </w:r>
          </w:p>
        </w:tc>
        <w:tc>
          <w:tcPr>
            <w:tcW w:w="3600" w:type="dxa"/>
            <w:vAlign w:val="bottom"/>
          </w:tcPr>
          <w:p>
            <w:pPr>
              <w:spacing w:after="0"/>
              <w:rPr>
                <w:sz w:val="22"/>
                <w:szCs w:val="22"/>
                <w:color w:val="auto"/>
              </w:rPr>
            </w:pPr>
          </w:p>
        </w:tc>
        <w:tc>
          <w:tcPr>
            <w:tcW w:w="226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3640" w:type="dxa"/>
            <w:vAlign w:val="bottom"/>
          </w:tcPr>
          <w:p>
            <w:pPr>
              <w:ind w:left="20"/>
              <w:spacing w:after="0"/>
              <w:rPr>
                <w:sz w:val="20"/>
                <w:szCs w:val="20"/>
                <w:color w:val="auto"/>
              </w:rPr>
            </w:pPr>
            <w:r>
              <w:rPr>
                <w:rFonts w:ascii="Arial" w:cs="Arial" w:eastAsia="Arial" w:hAnsi="Arial"/>
                <w:sz w:val="16"/>
                <w:szCs w:val="16"/>
                <w:b w:val="1"/>
                <w:bCs w:val="1"/>
                <w:color w:val="0D64EF"/>
              </w:rPr>
              <w:t>Current Assets</w:t>
            </w:r>
          </w:p>
        </w:tc>
        <w:tc>
          <w:tcPr>
            <w:tcW w:w="360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40" w:type="dxa"/>
            <w:vAlign w:val="bottom"/>
          </w:tcPr>
          <w:p>
            <w:pPr>
              <w:ind w:left="20"/>
              <w:spacing w:after="0"/>
              <w:rPr>
                <w:sz w:val="20"/>
                <w:szCs w:val="20"/>
                <w:color w:val="auto"/>
              </w:rPr>
            </w:pPr>
            <w:r>
              <w:rPr>
                <w:rFonts w:ascii="Arial" w:cs="Arial" w:eastAsia="Arial" w:hAnsi="Arial"/>
                <w:sz w:val="16"/>
                <w:szCs w:val="16"/>
                <w:color w:val="auto"/>
              </w:rPr>
              <w:t>Cash and cash equivalents</w:t>
            </w:r>
          </w:p>
        </w:tc>
        <w:tc>
          <w:tcPr>
            <w:tcW w:w="3600" w:type="dxa"/>
            <w:vAlign w:val="bottom"/>
          </w:tcPr>
          <w:p>
            <w:pPr>
              <w:spacing w:after="0"/>
              <w:rPr>
                <w:sz w:val="19"/>
                <w:szCs w:val="19"/>
                <w:color w:val="auto"/>
              </w:rPr>
            </w:pPr>
          </w:p>
        </w:tc>
        <w:tc>
          <w:tcPr>
            <w:tcW w:w="2260" w:type="dxa"/>
            <w:vAlign w:val="bottom"/>
          </w:tcPr>
          <w:p>
            <w:pPr>
              <w:jc w:val="right"/>
              <w:ind w:right="239"/>
              <w:spacing w:after="0"/>
              <w:rPr>
                <w:sz w:val="20"/>
                <w:szCs w:val="20"/>
                <w:color w:val="auto"/>
              </w:rPr>
            </w:pPr>
            <w:r>
              <w:rPr>
                <w:rFonts w:ascii="Arial" w:cs="Arial" w:eastAsia="Arial" w:hAnsi="Arial"/>
                <w:sz w:val="16"/>
                <w:szCs w:val="16"/>
                <w:b w:val="1"/>
                <w:bCs w:val="1"/>
                <w:color w:val="auto"/>
              </w:rPr>
              <w:t>168</w:t>
            </w:r>
          </w:p>
        </w:tc>
        <w:tc>
          <w:tcPr>
            <w:tcW w:w="1740" w:type="dxa"/>
            <w:vAlign w:val="bottom"/>
          </w:tcPr>
          <w:p>
            <w:pPr>
              <w:jc w:val="right"/>
              <w:spacing w:after="0"/>
              <w:rPr>
                <w:sz w:val="20"/>
                <w:szCs w:val="20"/>
                <w:color w:val="auto"/>
              </w:rPr>
            </w:pPr>
            <w:r>
              <w:rPr>
                <w:rFonts w:ascii="Arial" w:cs="Arial" w:eastAsia="Arial" w:hAnsi="Arial"/>
                <w:sz w:val="16"/>
                <w:szCs w:val="16"/>
                <w:color w:val="auto"/>
              </w:rPr>
              <w:t>801</w:t>
            </w:r>
          </w:p>
        </w:tc>
        <w:tc>
          <w:tcPr>
            <w:tcW w:w="0" w:type="dxa"/>
            <w:vAlign w:val="bottom"/>
          </w:tcPr>
          <w:p>
            <w:pPr>
              <w:spacing w:after="0"/>
              <w:rPr>
                <w:sz w:val="1"/>
                <w:szCs w:val="1"/>
                <w:color w:val="auto"/>
              </w:rPr>
            </w:pPr>
          </w:p>
        </w:tc>
      </w:tr>
      <w:tr>
        <w:trPr>
          <w:trHeight w:val="229"/>
        </w:trPr>
        <w:tc>
          <w:tcPr>
            <w:tcW w:w="3640" w:type="dxa"/>
            <w:vAlign w:val="bottom"/>
          </w:tcPr>
          <w:p>
            <w:pPr>
              <w:ind w:left="20"/>
              <w:spacing w:after="0"/>
              <w:rPr>
                <w:sz w:val="20"/>
                <w:szCs w:val="20"/>
                <w:color w:val="auto"/>
              </w:rPr>
            </w:pPr>
            <w:r>
              <w:rPr>
                <w:rFonts w:ascii="Arial" w:cs="Arial" w:eastAsia="Arial" w:hAnsi="Arial"/>
                <w:sz w:val="16"/>
                <w:szCs w:val="16"/>
                <w:color w:val="auto"/>
              </w:rPr>
              <w:t>Accounts receivable</w:t>
            </w:r>
          </w:p>
        </w:tc>
        <w:tc>
          <w:tcPr>
            <w:tcW w:w="3600" w:type="dxa"/>
            <w:vAlign w:val="bottom"/>
          </w:tcPr>
          <w:p>
            <w:pPr>
              <w:spacing w:after="0"/>
              <w:rPr>
                <w:sz w:val="19"/>
                <w:szCs w:val="19"/>
                <w:color w:val="auto"/>
              </w:rPr>
            </w:pPr>
          </w:p>
        </w:tc>
        <w:tc>
          <w:tcPr>
            <w:tcW w:w="2260" w:type="dxa"/>
            <w:vAlign w:val="bottom"/>
          </w:tcPr>
          <w:p>
            <w:pPr>
              <w:jc w:val="right"/>
              <w:ind w:right="239"/>
              <w:spacing w:after="0"/>
              <w:rPr>
                <w:sz w:val="20"/>
                <w:szCs w:val="20"/>
                <w:color w:val="auto"/>
              </w:rPr>
            </w:pPr>
            <w:r>
              <w:rPr>
                <w:rFonts w:ascii="Arial" w:cs="Arial" w:eastAsia="Arial" w:hAnsi="Arial"/>
                <w:sz w:val="16"/>
                <w:szCs w:val="16"/>
                <w:b w:val="1"/>
                <w:bCs w:val="1"/>
                <w:color w:val="auto"/>
              </w:rPr>
              <w:t>2,794</w:t>
            </w:r>
          </w:p>
        </w:tc>
        <w:tc>
          <w:tcPr>
            <w:tcW w:w="1740" w:type="dxa"/>
            <w:vAlign w:val="bottom"/>
          </w:tcPr>
          <w:p>
            <w:pPr>
              <w:jc w:val="right"/>
              <w:spacing w:after="0"/>
              <w:rPr>
                <w:sz w:val="20"/>
                <w:szCs w:val="20"/>
                <w:color w:val="auto"/>
              </w:rPr>
            </w:pPr>
            <w:r>
              <w:rPr>
                <w:rFonts w:ascii="Arial" w:cs="Arial" w:eastAsia="Arial" w:hAnsi="Arial"/>
                <w:sz w:val="16"/>
                <w:szCs w:val="16"/>
                <w:color w:val="auto"/>
              </w:rPr>
              <w:t>2,611</w:t>
            </w:r>
          </w:p>
        </w:tc>
        <w:tc>
          <w:tcPr>
            <w:tcW w:w="0" w:type="dxa"/>
            <w:vAlign w:val="bottom"/>
          </w:tcPr>
          <w:p>
            <w:pPr>
              <w:spacing w:after="0"/>
              <w:rPr>
                <w:sz w:val="1"/>
                <w:szCs w:val="1"/>
                <w:color w:val="auto"/>
              </w:rPr>
            </w:pPr>
          </w:p>
        </w:tc>
      </w:tr>
      <w:tr>
        <w:trPr>
          <w:trHeight w:val="229"/>
        </w:trPr>
        <w:tc>
          <w:tcPr>
            <w:tcW w:w="3640" w:type="dxa"/>
            <w:vAlign w:val="bottom"/>
          </w:tcPr>
          <w:p>
            <w:pPr>
              <w:ind w:left="20"/>
              <w:spacing w:after="0"/>
              <w:rPr>
                <w:sz w:val="20"/>
                <w:szCs w:val="20"/>
                <w:color w:val="auto"/>
              </w:rPr>
            </w:pPr>
            <w:r>
              <w:rPr>
                <w:rFonts w:ascii="Arial" w:cs="Arial" w:eastAsia="Arial" w:hAnsi="Arial"/>
                <w:sz w:val="16"/>
                <w:szCs w:val="16"/>
                <w:color w:val="auto"/>
              </w:rPr>
              <w:t>Inventories</w:t>
            </w:r>
          </w:p>
        </w:tc>
        <w:tc>
          <w:tcPr>
            <w:tcW w:w="3600" w:type="dxa"/>
            <w:vAlign w:val="bottom"/>
          </w:tcPr>
          <w:p>
            <w:pPr>
              <w:spacing w:after="0"/>
              <w:rPr>
                <w:sz w:val="19"/>
                <w:szCs w:val="19"/>
                <w:color w:val="auto"/>
              </w:rPr>
            </w:pPr>
          </w:p>
        </w:tc>
        <w:tc>
          <w:tcPr>
            <w:tcW w:w="2260" w:type="dxa"/>
            <w:vAlign w:val="bottom"/>
          </w:tcPr>
          <w:p>
            <w:pPr>
              <w:jc w:val="right"/>
              <w:ind w:right="239"/>
              <w:spacing w:after="0"/>
              <w:rPr>
                <w:sz w:val="20"/>
                <w:szCs w:val="20"/>
                <w:color w:val="auto"/>
              </w:rPr>
            </w:pPr>
            <w:r>
              <w:rPr>
                <w:rFonts w:ascii="Arial" w:cs="Arial" w:eastAsia="Arial" w:hAnsi="Arial"/>
                <w:sz w:val="16"/>
                <w:szCs w:val="16"/>
                <w:b w:val="1"/>
                <w:bCs w:val="1"/>
                <w:color w:val="auto"/>
              </w:rPr>
              <w:t>782</w:t>
            </w:r>
          </w:p>
        </w:tc>
        <w:tc>
          <w:tcPr>
            <w:tcW w:w="1740" w:type="dxa"/>
            <w:vAlign w:val="bottom"/>
          </w:tcPr>
          <w:p>
            <w:pPr>
              <w:jc w:val="right"/>
              <w:spacing w:after="0"/>
              <w:rPr>
                <w:sz w:val="20"/>
                <w:szCs w:val="20"/>
                <w:color w:val="auto"/>
              </w:rPr>
            </w:pPr>
            <w:r>
              <w:rPr>
                <w:rFonts w:ascii="Arial" w:cs="Arial" w:eastAsia="Arial" w:hAnsi="Arial"/>
                <w:sz w:val="16"/>
                <w:szCs w:val="16"/>
                <w:color w:val="auto"/>
              </w:rPr>
              <w:t>747</w:t>
            </w:r>
          </w:p>
        </w:tc>
        <w:tc>
          <w:tcPr>
            <w:tcW w:w="0" w:type="dxa"/>
            <w:vAlign w:val="bottom"/>
          </w:tcPr>
          <w:p>
            <w:pPr>
              <w:spacing w:after="0"/>
              <w:rPr>
                <w:sz w:val="1"/>
                <w:szCs w:val="1"/>
                <w:color w:val="auto"/>
              </w:rPr>
            </w:pPr>
          </w:p>
        </w:tc>
      </w:tr>
      <w:tr>
        <w:trPr>
          <w:trHeight w:val="230"/>
        </w:trPr>
        <w:tc>
          <w:tcPr>
            <w:tcW w:w="3640" w:type="dxa"/>
            <w:vAlign w:val="bottom"/>
          </w:tcPr>
          <w:p>
            <w:pPr>
              <w:ind w:left="20"/>
              <w:spacing w:after="0"/>
              <w:rPr>
                <w:sz w:val="20"/>
                <w:szCs w:val="20"/>
                <w:color w:val="auto"/>
              </w:rPr>
            </w:pPr>
            <w:r>
              <w:rPr>
                <w:rFonts w:ascii="Arial" w:cs="Arial" w:eastAsia="Arial" w:hAnsi="Arial"/>
                <w:sz w:val="16"/>
                <w:szCs w:val="16"/>
                <w:color w:val="auto"/>
              </w:rPr>
              <w:t>Other current assets</w:t>
            </w:r>
          </w:p>
        </w:tc>
        <w:tc>
          <w:tcPr>
            <w:tcW w:w="3600" w:type="dxa"/>
            <w:vAlign w:val="bottom"/>
          </w:tcPr>
          <w:p>
            <w:pPr>
              <w:spacing w:after="0"/>
              <w:rPr>
                <w:sz w:val="19"/>
                <w:szCs w:val="19"/>
                <w:color w:val="auto"/>
              </w:rPr>
            </w:pPr>
          </w:p>
        </w:tc>
        <w:tc>
          <w:tcPr>
            <w:tcW w:w="2260" w:type="dxa"/>
            <w:vAlign w:val="bottom"/>
          </w:tcPr>
          <w:p>
            <w:pPr>
              <w:jc w:val="right"/>
              <w:ind w:right="239"/>
              <w:spacing w:after="0"/>
              <w:rPr>
                <w:sz w:val="20"/>
                <w:szCs w:val="20"/>
                <w:color w:val="auto"/>
              </w:rPr>
            </w:pPr>
            <w:r>
              <w:rPr>
                <w:rFonts w:ascii="Arial" w:cs="Arial" w:eastAsia="Arial" w:hAnsi="Arial"/>
                <w:sz w:val="16"/>
                <w:szCs w:val="16"/>
                <w:b w:val="1"/>
                <w:bCs w:val="1"/>
                <w:color w:val="auto"/>
              </w:rPr>
              <w:t>2,375</w:t>
            </w:r>
          </w:p>
        </w:tc>
        <w:tc>
          <w:tcPr>
            <w:tcW w:w="1740" w:type="dxa"/>
            <w:vAlign w:val="bottom"/>
          </w:tcPr>
          <w:p>
            <w:pPr>
              <w:jc w:val="right"/>
              <w:spacing w:after="0"/>
              <w:rPr>
                <w:sz w:val="20"/>
                <w:szCs w:val="20"/>
                <w:color w:val="auto"/>
              </w:rPr>
            </w:pPr>
            <w:r>
              <w:rPr>
                <w:rFonts w:ascii="Arial" w:cs="Arial" w:eastAsia="Arial" w:hAnsi="Arial"/>
                <w:sz w:val="16"/>
                <w:szCs w:val="16"/>
                <w:color w:val="auto"/>
              </w:rPr>
              <w:t>1,339</w:t>
            </w:r>
          </w:p>
        </w:tc>
        <w:tc>
          <w:tcPr>
            <w:tcW w:w="0" w:type="dxa"/>
            <w:vAlign w:val="bottom"/>
          </w:tcPr>
          <w:p>
            <w:pPr>
              <w:spacing w:after="0"/>
              <w:rPr>
                <w:sz w:val="1"/>
                <w:szCs w:val="1"/>
                <w:color w:val="auto"/>
              </w:rPr>
            </w:pPr>
          </w:p>
        </w:tc>
      </w:tr>
      <w:tr>
        <w:trPr>
          <w:trHeight w:val="233"/>
        </w:trPr>
        <w:tc>
          <w:tcPr>
            <w:tcW w:w="36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Current assets of discontinued operations</w:t>
            </w:r>
          </w:p>
        </w:tc>
        <w:tc>
          <w:tcPr>
            <w:tcW w:w="360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197</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235</w:t>
            </w:r>
          </w:p>
        </w:tc>
        <w:tc>
          <w:tcPr>
            <w:tcW w:w="0" w:type="dxa"/>
            <w:vAlign w:val="bottom"/>
          </w:tcPr>
          <w:p>
            <w:pPr>
              <w:spacing w:after="0"/>
              <w:rPr>
                <w:sz w:val="1"/>
                <w:szCs w:val="1"/>
                <w:color w:val="auto"/>
              </w:rPr>
            </w:pPr>
          </w:p>
        </w:tc>
      </w:tr>
      <w:tr>
        <w:trPr>
          <w:trHeight w:val="220"/>
        </w:trPr>
        <w:tc>
          <w:tcPr>
            <w:tcW w:w="3640" w:type="dxa"/>
            <w:vAlign w:val="bottom"/>
          </w:tcPr>
          <w:p>
            <w:pPr>
              <w:spacing w:after="0"/>
              <w:rPr>
                <w:sz w:val="19"/>
                <w:szCs w:val="19"/>
                <w:color w:val="auto"/>
              </w:rPr>
            </w:pPr>
          </w:p>
        </w:tc>
        <w:tc>
          <w:tcPr>
            <w:tcW w:w="3600" w:type="dxa"/>
            <w:vAlign w:val="bottom"/>
          </w:tcPr>
          <w:p>
            <w:pPr>
              <w:spacing w:after="0"/>
              <w:rPr>
                <w:sz w:val="19"/>
                <w:szCs w:val="19"/>
                <w:color w:val="auto"/>
              </w:rPr>
            </w:pPr>
          </w:p>
        </w:tc>
        <w:tc>
          <w:tcPr>
            <w:tcW w:w="2260" w:type="dxa"/>
            <w:vAlign w:val="bottom"/>
          </w:tcPr>
          <w:p>
            <w:pPr>
              <w:jc w:val="right"/>
              <w:ind w:right="239"/>
              <w:spacing w:after="0"/>
              <w:rPr>
                <w:sz w:val="20"/>
                <w:szCs w:val="20"/>
                <w:color w:val="auto"/>
              </w:rPr>
            </w:pPr>
            <w:r>
              <w:rPr>
                <w:rFonts w:ascii="Arial" w:cs="Arial" w:eastAsia="Arial" w:hAnsi="Arial"/>
                <w:sz w:val="16"/>
                <w:szCs w:val="16"/>
                <w:b w:val="1"/>
                <w:bCs w:val="1"/>
                <w:color w:val="auto"/>
              </w:rPr>
              <w:t>6,316</w:t>
            </w:r>
          </w:p>
        </w:tc>
        <w:tc>
          <w:tcPr>
            <w:tcW w:w="1740" w:type="dxa"/>
            <w:vAlign w:val="bottom"/>
          </w:tcPr>
          <w:p>
            <w:pPr>
              <w:jc w:val="right"/>
              <w:spacing w:after="0"/>
              <w:rPr>
                <w:sz w:val="20"/>
                <w:szCs w:val="20"/>
                <w:color w:val="auto"/>
              </w:rPr>
            </w:pPr>
            <w:r>
              <w:rPr>
                <w:rFonts w:ascii="Arial" w:cs="Arial" w:eastAsia="Arial" w:hAnsi="Arial"/>
                <w:sz w:val="16"/>
                <w:szCs w:val="16"/>
                <w:color w:val="auto"/>
              </w:rPr>
              <w:t>5,733</w:t>
            </w:r>
          </w:p>
        </w:tc>
        <w:tc>
          <w:tcPr>
            <w:tcW w:w="0" w:type="dxa"/>
            <w:vAlign w:val="bottom"/>
          </w:tcPr>
          <w:p>
            <w:pPr>
              <w:spacing w:after="0"/>
              <w:rPr>
                <w:sz w:val="1"/>
                <w:szCs w:val="1"/>
                <w:color w:val="auto"/>
              </w:rPr>
            </w:pPr>
          </w:p>
        </w:tc>
      </w:tr>
      <w:tr>
        <w:trPr>
          <w:trHeight w:val="195"/>
        </w:trPr>
        <w:tc>
          <w:tcPr>
            <w:tcW w:w="3640" w:type="dxa"/>
            <w:vAlign w:val="bottom"/>
            <w:vMerge w:val="restart"/>
          </w:tcPr>
          <w:p>
            <w:pPr>
              <w:ind w:left="20"/>
              <w:spacing w:after="0"/>
              <w:rPr>
                <w:sz w:val="20"/>
                <w:szCs w:val="20"/>
                <w:color w:val="auto"/>
              </w:rPr>
            </w:pPr>
            <w:r>
              <w:rPr>
                <w:rFonts w:ascii="Arial" w:cs="Arial" w:eastAsia="Arial" w:hAnsi="Arial"/>
                <w:sz w:val="16"/>
                <w:szCs w:val="16"/>
                <w:b w:val="1"/>
                <w:bCs w:val="1"/>
                <w:color w:val="0D64EF"/>
              </w:rPr>
              <w:t>Plant, Property and Equipment</w:t>
            </w:r>
          </w:p>
        </w:tc>
        <w:tc>
          <w:tcPr>
            <w:tcW w:w="3600" w:type="dxa"/>
            <w:vAlign w:val="bottom"/>
          </w:tcPr>
          <w:p>
            <w:pPr>
              <w:ind w:left="20"/>
              <w:spacing w:after="0"/>
              <w:rPr>
                <w:sz w:val="20"/>
                <w:szCs w:val="20"/>
                <w:color w:val="auto"/>
              </w:rPr>
            </w:pPr>
            <w:r>
              <w:rPr>
                <w:rFonts w:ascii="Arial" w:cs="Arial" w:eastAsia="Arial" w:hAnsi="Arial"/>
                <w:sz w:val="16"/>
                <w:szCs w:val="16"/>
                <w:color w:val="auto"/>
              </w:rPr>
              <w:t>net of accumulated depreciation of</w:t>
            </w:r>
          </w:p>
        </w:tc>
        <w:tc>
          <w:tcPr>
            <w:tcW w:w="2260" w:type="dxa"/>
            <w:vAlign w:val="bottom"/>
            <w:vMerge w:val="restart"/>
          </w:tcPr>
          <w:p>
            <w:pPr>
              <w:jc w:val="right"/>
              <w:ind w:right="239"/>
              <w:spacing w:after="0"/>
              <w:rPr>
                <w:sz w:val="20"/>
                <w:szCs w:val="20"/>
                <w:color w:val="auto"/>
              </w:rPr>
            </w:pPr>
            <w:r>
              <w:rPr>
                <w:rFonts w:ascii="Arial" w:cs="Arial" w:eastAsia="Arial" w:hAnsi="Arial"/>
                <w:sz w:val="16"/>
                <w:szCs w:val="16"/>
                <w:b w:val="1"/>
                <w:bCs w:val="1"/>
                <w:color w:val="auto"/>
              </w:rPr>
              <w:t>71,054</w:t>
            </w:r>
          </w:p>
        </w:tc>
        <w:tc>
          <w:tcPr>
            <w:tcW w:w="1740" w:type="dxa"/>
            <w:vAlign w:val="bottom"/>
            <w:vMerge w:val="restart"/>
          </w:tcPr>
          <w:p>
            <w:pPr>
              <w:jc w:val="right"/>
              <w:spacing w:after="0"/>
              <w:rPr>
                <w:sz w:val="20"/>
                <w:szCs w:val="20"/>
                <w:color w:val="auto"/>
              </w:rPr>
            </w:pPr>
            <w:r>
              <w:rPr>
                <w:rFonts w:ascii="Arial" w:cs="Arial" w:eastAsia="Arial" w:hAnsi="Arial"/>
                <w:sz w:val="16"/>
                <w:szCs w:val="16"/>
                <w:color w:val="auto"/>
              </w:rPr>
              <w:t>77,501</w:t>
            </w:r>
          </w:p>
        </w:tc>
        <w:tc>
          <w:tcPr>
            <w:tcW w:w="0" w:type="dxa"/>
            <w:vAlign w:val="bottom"/>
          </w:tcPr>
          <w:p>
            <w:pPr>
              <w:spacing w:after="0"/>
              <w:rPr>
                <w:sz w:val="1"/>
                <w:szCs w:val="1"/>
                <w:color w:val="auto"/>
              </w:rPr>
            </w:pPr>
          </w:p>
        </w:tc>
      </w:tr>
      <w:tr>
        <w:trPr>
          <w:trHeight w:val="215"/>
        </w:trPr>
        <w:tc>
          <w:tcPr>
            <w:tcW w:w="3640" w:type="dxa"/>
            <w:vAlign w:val="bottom"/>
            <w:vMerge w:val="continue"/>
          </w:tcPr>
          <w:p>
            <w:pPr>
              <w:spacing w:after="0"/>
              <w:rPr>
                <w:sz w:val="18"/>
                <w:szCs w:val="18"/>
                <w:color w:val="auto"/>
              </w:rPr>
            </w:pPr>
          </w:p>
        </w:tc>
        <w:tc>
          <w:tcPr>
            <w:tcW w:w="3600" w:type="dxa"/>
            <w:vAlign w:val="bottom"/>
          </w:tcPr>
          <w:p>
            <w:pPr>
              <w:ind w:left="20"/>
              <w:spacing w:after="0"/>
              <w:rPr>
                <w:sz w:val="20"/>
                <w:szCs w:val="20"/>
                <w:color w:val="auto"/>
              </w:rPr>
            </w:pPr>
            <w:r>
              <w:rPr>
                <w:rFonts w:ascii="Arial" w:cs="Arial" w:eastAsia="Arial" w:hAnsi="Arial"/>
                <w:sz w:val="16"/>
                <w:szCs w:val="16"/>
                <w:color w:val="auto"/>
              </w:rPr>
              <w:t>$36,951 and $35,397, respectively</w:t>
            </w:r>
          </w:p>
        </w:tc>
        <w:tc>
          <w:tcPr>
            <w:tcW w:w="2260" w:type="dxa"/>
            <w:vAlign w:val="bottom"/>
            <w:vMerge w:val="continue"/>
          </w:tcPr>
          <w:p>
            <w:pPr>
              <w:spacing w:after="0"/>
              <w:rPr>
                <w:sz w:val="18"/>
                <w:szCs w:val="18"/>
                <w:color w:val="auto"/>
              </w:rPr>
            </w:pPr>
          </w:p>
        </w:tc>
        <w:tc>
          <w:tcPr>
            <w:tcW w:w="17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640" w:type="dxa"/>
            <w:vAlign w:val="bottom"/>
          </w:tcPr>
          <w:p>
            <w:pPr>
              <w:ind w:left="20"/>
              <w:spacing w:after="0"/>
              <w:rPr>
                <w:sz w:val="20"/>
                <w:szCs w:val="20"/>
                <w:color w:val="auto"/>
              </w:rPr>
            </w:pPr>
            <w:r>
              <w:rPr>
                <w:rFonts w:ascii="Arial" w:cs="Arial" w:eastAsia="Arial" w:hAnsi="Arial"/>
                <w:sz w:val="16"/>
                <w:szCs w:val="16"/>
                <w:b w:val="1"/>
                <w:bCs w:val="1"/>
                <w:color w:val="0D64EF"/>
              </w:rPr>
              <w:t>Net Investment in Leases</w:t>
            </w:r>
          </w:p>
        </w:tc>
        <w:tc>
          <w:tcPr>
            <w:tcW w:w="3600" w:type="dxa"/>
            <w:vAlign w:val="bottom"/>
          </w:tcPr>
          <w:p>
            <w:pPr>
              <w:spacing w:after="0"/>
              <w:rPr>
                <w:sz w:val="19"/>
                <w:szCs w:val="19"/>
                <w:color w:val="auto"/>
              </w:rPr>
            </w:pPr>
          </w:p>
        </w:tc>
        <w:tc>
          <w:tcPr>
            <w:tcW w:w="2260" w:type="dxa"/>
            <w:vAlign w:val="bottom"/>
          </w:tcPr>
          <w:p>
            <w:pPr>
              <w:jc w:val="right"/>
              <w:ind w:right="239"/>
              <w:spacing w:after="0"/>
              <w:rPr>
                <w:sz w:val="20"/>
                <w:szCs w:val="20"/>
                <w:color w:val="auto"/>
              </w:rPr>
            </w:pPr>
            <w:r>
              <w:rPr>
                <w:rFonts w:ascii="Arial" w:cs="Arial" w:eastAsia="Arial" w:hAnsi="Arial"/>
                <w:sz w:val="16"/>
                <w:szCs w:val="16"/>
                <w:b w:val="1"/>
                <w:bCs w:val="1"/>
                <w:color w:val="auto"/>
              </w:rPr>
              <w:t>8,110</w:t>
            </w:r>
          </w:p>
        </w:tc>
        <w:tc>
          <w:tcPr>
            <w:tcW w:w="1740" w:type="dxa"/>
            <w:vAlign w:val="bottom"/>
          </w:tcPr>
          <w:p>
            <w:pPr>
              <w:jc w:val="right"/>
              <w:spacing w:after="0"/>
              <w:rPr>
                <w:sz w:val="20"/>
                <w:szCs w:val="20"/>
                <w:color w:val="auto"/>
              </w:rPr>
            </w:pPr>
            <w:r>
              <w:rPr>
                <w:rFonts w:ascii="Arial" w:cs="Arial" w:eastAsia="Arial" w:hAnsi="Arial"/>
                <w:sz w:val="16"/>
                <w:szCs w:val="16"/>
                <w:color w:val="auto"/>
              </w:rPr>
              <w:t>2,477</w:t>
            </w:r>
          </w:p>
        </w:tc>
        <w:tc>
          <w:tcPr>
            <w:tcW w:w="0" w:type="dxa"/>
            <w:vAlign w:val="bottom"/>
          </w:tcPr>
          <w:p>
            <w:pPr>
              <w:spacing w:after="0"/>
              <w:rPr>
                <w:sz w:val="1"/>
                <w:szCs w:val="1"/>
                <w:color w:val="auto"/>
              </w:rPr>
            </w:pPr>
          </w:p>
        </w:tc>
      </w:tr>
      <w:tr>
        <w:trPr>
          <w:trHeight w:val="230"/>
        </w:trPr>
        <w:tc>
          <w:tcPr>
            <w:tcW w:w="3640" w:type="dxa"/>
            <w:vAlign w:val="bottom"/>
          </w:tcPr>
          <w:p>
            <w:pPr>
              <w:ind w:left="20"/>
              <w:spacing w:after="0"/>
              <w:rPr>
                <w:sz w:val="20"/>
                <w:szCs w:val="20"/>
                <w:color w:val="auto"/>
              </w:rPr>
            </w:pPr>
            <w:r>
              <w:rPr>
                <w:rFonts w:ascii="Arial" w:cs="Arial" w:eastAsia="Arial" w:hAnsi="Arial"/>
                <w:sz w:val="16"/>
                <w:szCs w:val="16"/>
                <w:b w:val="1"/>
                <w:bCs w:val="1"/>
                <w:color w:val="0D64EF"/>
              </w:rPr>
              <w:t>Equity Investments</w:t>
            </w:r>
          </w:p>
        </w:tc>
        <w:tc>
          <w:tcPr>
            <w:tcW w:w="3600" w:type="dxa"/>
            <w:vAlign w:val="bottom"/>
          </w:tcPr>
          <w:p>
            <w:pPr>
              <w:spacing w:after="0"/>
              <w:rPr>
                <w:sz w:val="19"/>
                <w:szCs w:val="19"/>
                <w:color w:val="auto"/>
              </w:rPr>
            </w:pPr>
          </w:p>
        </w:tc>
        <w:tc>
          <w:tcPr>
            <w:tcW w:w="2260" w:type="dxa"/>
            <w:vAlign w:val="bottom"/>
          </w:tcPr>
          <w:p>
            <w:pPr>
              <w:jc w:val="right"/>
              <w:ind w:right="239"/>
              <w:spacing w:after="0"/>
              <w:rPr>
                <w:sz w:val="20"/>
                <w:szCs w:val="20"/>
                <w:color w:val="auto"/>
              </w:rPr>
            </w:pPr>
            <w:r>
              <w:rPr>
                <w:rFonts w:ascii="Arial" w:cs="Arial" w:eastAsia="Arial" w:hAnsi="Arial"/>
                <w:sz w:val="16"/>
                <w:szCs w:val="16"/>
                <w:b w:val="1"/>
                <w:bCs w:val="1"/>
                <w:color w:val="auto"/>
              </w:rPr>
              <w:t>11,358</w:t>
            </w:r>
          </w:p>
        </w:tc>
        <w:tc>
          <w:tcPr>
            <w:tcW w:w="1740" w:type="dxa"/>
            <w:vAlign w:val="bottom"/>
          </w:tcPr>
          <w:p>
            <w:pPr>
              <w:jc w:val="right"/>
              <w:spacing w:after="0"/>
              <w:rPr>
                <w:sz w:val="20"/>
                <w:szCs w:val="20"/>
                <w:color w:val="auto"/>
              </w:rPr>
            </w:pPr>
            <w:r>
              <w:rPr>
                <w:rFonts w:ascii="Arial" w:cs="Arial" w:eastAsia="Arial" w:hAnsi="Arial"/>
                <w:sz w:val="16"/>
                <w:szCs w:val="16"/>
                <w:color w:val="auto"/>
              </w:rPr>
              <w:t>10,636</w:t>
            </w:r>
          </w:p>
        </w:tc>
        <w:tc>
          <w:tcPr>
            <w:tcW w:w="0" w:type="dxa"/>
            <w:vAlign w:val="bottom"/>
          </w:tcPr>
          <w:p>
            <w:pPr>
              <w:spacing w:after="0"/>
              <w:rPr>
                <w:sz w:val="1"/>
                <w:szCs w:val="1"/>
                <w:color w:val="auto"/>
              </w:rPr>
            </w:pPr>
          </w:p>
        </w:tc>
      </w:tr>
      <w:tr>
        <w:trPr>
          <w:trHeight w:val="229"/>
        </w:trPr>
        <w:tc>
          <w:tcPr>
            <w:tcW w:w="3640" w:type="dxa"/>
            <w:vAlign w:val="bottom"/>
          </w:tcPr>
          <w:p>
            <w:pPr>
              <w:ind w:left="20"/>
              <w:spacing w:after="0"/>
              <w:rPr>
                <w:sz w:val="20"/>
                <w:szCs w:val="20"/>
                <w:color w:val="auto"/>
              </w:rPr>
            </w:pPr>
            <w:r>
              <w:rPr>
                <w:rFonts w:ascii="Arial" w:cs="Arial" w:eastAsia="Arial" w:hAnsi="Arial"/>
                <w:sz w:val="16"/>
                <w:szCs w:val="16"/>
                <w:b w:val="1"/>
                <w:bCs w:val="1"/>
                <w:color w:val="0D64EF"/>
              </w:rPr>
              <w:t>Restricted Investments</w:t>
            </w:r>
          </w:p>
        </w:tc>
        <w:tc>
          <w:tcPr>
            <w:tcW w:w="3600" w:type="dxa"/>
            <w:vAlign w:val="bottom"/>
          </w:tcPr>
          <w:p>
            <w:pPr>
              <w:spacing w:after="0"/>
              <w:rPr>
                <w:sz w:val="19"/>
                <w:szCs w:val="19"/>
                <w:color w:val="auto"/>
              </w:rPr>
            </w:pPr>
          </w:p>
        </w:tc>
        <w:tc>
          <w:tcPr>
            <w:tcW w:w="2260" w:type="dxa"/>
            <w:vAlign w:val="bottom"/>
          </w:tcPr>
          <w:p>
            <w:pPr>
              <w:jc w:val="right"/>
              <w:ind w:right="239"/>
              <w:spacing w:after="0"/>
              <w:rPr>
                <w:sz w:val="20"/>
                <w:szCs w:val="20"/>
                <w:color w:val="auto"/>
              </w:rPr>
            </w:pPr>
            <w:r>
              <w:rPr>
                <w:rFonts w:ascii="Arial" w:cs="Arial" w:eastAsia="Arial" w:hAnsi="Arial"/>
                <w:sz w:val="16"/>
                <w:szCs w:val="16"/>
                <w:b w:val="1"/>
                <w:bCs w:val="1"/>
                <w:color w:val="auto"/>
              </w:rPr>
              <w:t>3,502</w:t>
            </w:r>
          </w:p>
        </w:tc>
        <w:tc>
          <w:tcPr>
            <w:tcW w:w="1740" w:type="dxa"/>
            <w:vAlign w:val="bottom"/>
          </w:tcPr>
          <w:p>
            <w:pPr>
              <w:jc w:val="right"/>
              <w:spacing w:after="0"/>
              <w:rPr>
                <w:sz w:val="20"/>
                <w:szCs w:val="20"/>
                <w:color w:val="auto"/>
              </w:rPr>
            </w:pPr>
            <w:r>
              <w:rPr>
                <w:rFonts w:ascii="Arial" w:cs="Arial" w:eastAsia="Arial" w:hAnsi="Arial"/>
                <w:sz w:val="16"/>
                <w:szCs w:val="16"/>
                <w:color w:val="auto"/>
              </w:rPr>
              <w:t>2,998</w:t>
            </w:r>
          </w:p>
        </w:tc>
        <w:tc>
          <w:tcPr>
            <w:tcW w:w="0" w:type="dxa"/>
            <w:vAlign w:val="bottom"/>
          </w:tcPr>
          <w:p>
            <w:pPr>
              <w:spacing w:after="0"/>
              <w:rPr>
                <w:sz w:val="1"/>
                <w:szCs w:val="1"/>
                <w:color w:val="auto"/>
              </w:rPr>
            </w:pPr>
          </w:p>
        </w:tc>
      </w:tr>
      <w:tr>
        <w:trPr>
          <w:trHeight w:val="229"/>
        </w:trPr>
        <w:tc>
          <w:tcPr>
            <w:tcW w:w="3640" w:type="dxa"/>
            <w:vAlign w:val="bottom"/>
          </w:tcPr>
          <w:p>
            <w:pPr>
              <w:ind w:left="20"/>
              <w:spacing w:after="0"/>
              <w:rPr>
                <w:sz w:val="20"/>
                <w:szCs w:val="20"/>
                <w:color w:val="auto"/>
              </w:rPr>
            </w:pPr>
            <w:r>
              <w:rPr>
                <w:rFonts w:ascii="Arial" w:cs="Arial" w:eastAsia="Arial" w:hAnsi="Arial"/>
                <w:sz w:val="16"/>
                <w:szCs w:val="16"/>
                <w:b w:val="1"/>
                <w:bCs w:val="1"/>
                <w:color w:val="0D64EF"/>
              </w:rPr>
              <w:t>Regulatory Assets</w:t>
            </w:r>
          </w:p>
        </w:tc>
        <w:tc>
          <w:tcPr>
            <w:tcW w:w="3600" w:type="dxa"/>
            <w:vAlign w:val="bottom"/>
          </w:tcPr>
          <w:p>
            <w:pPr>
              <w:spacing w:after="0"/>
              <w:rPr>
                <w:sz w:val="19"/>
                <w:szCs w:val="19"/>
                <w:color w:val="auto"/>
              </w:rPr>
            </w:pPr>
          </w:p>
        </w:tc>
        <w:tc>
          <w:tcPr>
            <w:tcW w:w="2260" w:type="dxa"/>
            <w:vAlign w:val="bottom"/>
          </w:tcPr>
          <w:p>
            <w:pPr>
              <w:jc w:val="right"/>
              <w:ind w:right="239"/>
              <w:spacing w:after="0"/>
              <w:rPr>
                <w:sz w:val="20"/>
                <w:szCs w:val="20"/>
                <w:color w:val="auto"/>
              </w:rPr>
            </w:pPr>
            <w:r>
              <w:rPr>
                <w:rFonts w:ascii="Arial" w:cs="Arial" w:eastAsia="Arial" w:hAnsi="Arial"/>
                <w:sz w:val="16"/>
                <w:szCs w:val="16"/>
                <w:b w:val="1"/>
                <w:bCs w:val="1"/>
                <w:color w:val="auto"/>
              </w:rPr>
              <w:t>2,913</w:t>
            </w:r>
          </w:p>
        </w:tc>
        <w:tc>
          <w:tcPr>
            <w:tcW w:w="1740" w:type="dxa"/>
            <w:vAlign w:val="bottom"/>
          </w:tcPr>
          <w:p>
            <w:pPr>
              <w:jc w:val="right"/>
              <w:spacing w:after="0"/>
              <w:rPr>
                <w:sz w:val="20"/>
                <w:szCs w:val="20"/>
                <w:color w:val="auto"/>
              </w:rPr>
            </w:pPr>
            <w:r>
              <w:rPr>
                <w:rFonts w:ascii="Arial" w:cs="Arial" w:eastAsia="Arial" w:hAnsi="Arial"/>
                <w:sz w:val="16"/>
                <w:szCs w:val="16"/>
                <w:color w:val="auto"/>
              </w:rPr>
              <w:t>2,682</w:t>
            </w:r>
          </w:p>
        </w:tc>
        <w:tc>
          <w:tcPr>
            <w:tcW w:w="0" w:type="dxa"/>
            <w:vAlign w:val="bottom"/>
          </w:tcPr>
          <w:p>
            <w:pPr>
              <w:spacing w:after="0"/>
              <w:rPr>
                <w:sz w:val="1"/>
                <w:szCs w:val="1"/>
                <w:color w:val="auto"/>
              </w:rPr>
            </w:pPr>
          </w:p>
        </w:tc>
      </w:tr>
      <w:tr>
        <w:trPr>
          <w:trHeight w:val="230"/>
        </w:trPr>
        <w:tc>
          <w:tcPr>
            <w:tcW w:w="3640" w:type="dxa"/>
            <w:vAlign w:val="bottom"/>
          </w:tcPr>
          <w:p>
            <w:pPr>
              <w:ind w:left="20"/>
              <w:spacing w:after="0"/>
              <w:rPr>
                <w:sz w:val="20"/>
                <w:szCs w:val="20"/>
                <w:color w:val="auto"/>
              </w:rPr>
            </w:pPr>
            <w:r>
              <w:rPr>
                <w:rFonts w:ascii="Arial" w:cs="Arial" w:eastAsia="Arial" w:hAnsi="Arial"/>
                <w:sz w:val="16"/>
                <w:szCs w:val="16"/>
                <w:b w:val="1"/>
                <w:bCs w:val="1"/>
                <w:color w:val="0D64EF"/>
              </w:rPr>
              <w:t>Goodwill</w:t>
            </w:r>
          </w:p>
        </w:tc>
        <w:tc>
          <w:tcPr>
            <w:tcW w:w="3600" w:type="dxa"/>
            <w:vAlign w:val="bottom"/>
          </w:tcPr>
          <w:p>
            <w:pPr>
              <w:spacing w:after="0"/>
              <w:rPr>
                <w:sz w:val="19"/>
                <w:szCs w:val="19"/>
                <w:color w:val="auto"/>
              </w:rPr>
            </w:pPr>
          </w:p>
        </w:tc>
        <w:tc>
          <w:tcPr>
            <w:tcW w:w="2260" w:type="dxa"/>
            <w:vAlign w:val="bottom"/>
          </w:tcPr>
          <w:p>
            <w:pPr>
              <w:jc w:val="right"/>
              <w:ind w:right="239"/>
              <w:spacing w:after="0"/>
              <w:rPr>
                <w:sz w:val="20"/>
                <w:szCs w:val="20"/>
                <w:color w:val="auto"/>
              </w:rPr>
            </w:pPr>
            <w:r>
              <w:rPr>
                <w:rFonts w:ascii="Arial" w:cs="Arial" w:eastAsia="Arial" w:hAnsi="Arial"/>
                <w:sz w:val="16"/>
                <w:szCs w:val="16"/>
                <w:b w:val="1"/>
                <w:bCs w:val="1"/>
                <w:color w:val="auto"/>
              </w:rPr>
              <w:t>13,016</w:t>
            </w:r>
          </w:p>
        </w:tc>
        <w:tc>
          <w:tcPr>
            <w:tcW w:w="1740" w:type="dxa"/>
            <w:vAlign w:val="bottom"/>
          </w:tcPr>
          <w:p>
            <w:pPr>
              <w:jc w:val="right"/>
              <w:spacing w:after="0"/>
              <w:rPr>
                <w:sz w:val="20"/>
                <w:szCs w:val="20"/>
                <w:color w:val="auto"/>
              </w:rPr>
            </w:pPr>
            <w:r>
              <w:rPr>
                <w:rFonts w:ascii="Arial" w:cs="Arial" w:eastAsia="Arial" w:hAnsi="Arial"/>
                <w:sz w:val="16"/>
                <w:szCs w:val="16"/>
                <w:color w:val="auto"/>
              </w:rPr>
              <w:t>13,670</w:t>
            </w:r>
          </w:p>
        </w:tc>
        <w:tc>
          <w:tcPr>
            <w:tcW w:w="0" w:type="dxa"/>
            <w:vAlign w:val="bottom"/>
          </w:tcPr>
          <w:p>
            <w:pPr>
              <w:spacing w:after="0"/>
              <w:rPr>
                <w:sz w:val="1"/>
                <w:szCs w:val="1"/>
                <w:color w:val="auto"/>
              </w:rPr>
            </w:pPr>
          </w:p>
        </w:tc>
      </w:tr>
      <w:tr>
        <w:trPr>
          <w:trHeight w:val="229"/>
        </w:trPr>
        <w:tc>
          <w:tcPr>
            <w:tcW w:w="3640" w:type="dxa"/>
            <w:vAlign w:val="bottom"/>
          </w:tcPr>
          <w:p>
            <w:pPr>
              <w:ind w:left="20"/>
              <w:spacing w:after="0"/>
              <w:rPr>
                <w:sz w:val="20"/>
                <w:szCs w:val="20"/>
                <w:color w:val="auto"/>
              </w:rPr>
            </w:pPr>
            <w:r>
              <w:rPr>
                <w:rFonts w:ascii="Arial" w:cs="Arial" w:eastAsia="Arial" w:hAnsi="Arial"/>
                <w:sz w:val="16"/>
                <w:szCs w:val="16"/>
                <w:b w:val="1"/>
                <w:bCs w:val="1"/>
                <w:color w:val="0D64EF"/>
              </w:rPr>
              <w:t>Other Long-Term Assets</w:t>
            </w:r>
          </w:p>
        </w:tc>
        <w:tc>
          <w:tcPr>
            <w:tcW w:w="3600" w:type="dxa"/>
            <w:vAlign w:val="bottom"/>
          </w:tcPr>
          <w:p>
            <w:pPr>
              <w:spacing w:after="0"/>
              <w:rPr>
                <w:sz w:val="19"/>
                <w:szCs w:val="19"/>
                <w:color w:val="auto"/>
              </w:rPr>
            </w:pPr>
          </w:p>
        </w:tc>
        <w:tc>
          <w:tcPr>
            <w:tcW w:w="2260" w:type="dxa"/>
            <w:vAlign w:val="bottom"/>
          </w:tcPr>
          <w:p>
            <w:pPr>
              <w:jc w:val="right"/>
              <w:ind w:right="239"/>
              <w:spacing w:after="0"/>
              <w:rPr>
                <w:sz w:val="20"/>
                <w:szCs w:val="20"/>
                <w:color w:val="auto"/>
              </w:rPr>
            </w:pPr>
            <w:r>
              <w:rPr>
                <w:rFonts w:ascii="Arial" w:cs="Arial" w:eastAsia="Arial" w:hAnsi="Arial"/>
                <w:sz w:val="16"/>
                <w:szCs w:val="16"/>
                <w:b w:val="1"/>
                <w:bCs w:val="1"/>
                <w:color w:val="auto"/>
              </w:rPr>
              <w:t>2,482</w:t>
            </w:r>
          </w:p>
        </w:tc>
        <w:tc>
          <w:tcPr>
            <w:tcW w:w="1740" w:type="dxa"/>
            <w:vAlign w:val="bottom"/>
          </w:tcPr>
          <w:p>
            <w:pPr>
              <w:jc w:val="right"/>
              <w:spacing w:after="0"/>
              <w:rPr>
                <w:sz w:val="20"/>
                <w:szCs w:val="20"/>
                <w:color w:val="auto"/>
              </w:rPr>
            </w:pPr>
            <w:r>
              <w:rPr>
                <w:rFonts w:ascii="Arial" w:cs="Arial" w:eastAsia="Arial" w:hAnsi="Arial"/>
                <w:sz w:val="16"/>
                <w:szCs w:val="16"/>
                <w:color w:val="auto"/>
              </w:rPr>
              <w:t>2,410</w:t>
            </w:r>
          </w:p>
        </w:tc>
        <w:tc>
          <w:tcPr>
            <w:tcW w:w="0" w:type="dxa"/>
            <w:vAlign w:val="bottom"/>
          </w:tcPr>
          <w:p>
            <w:pPr>
              <w:spacing w:after="0"/>
              <w:rPr>
                <w:sz w:val="1"/>
                <w:szCs w:val="1"/>
                <w:color w:val="auto"/>
              </w:rPr>
            </w:pPr>
          </w:p>
        </w:tc>
      </w:tr>
      <w:tr>
        <w:trPr>
          <w:trHeight w:val="233"/>
        </w:trPr>
        <w:tc>
          <w:tcPr>
            <w:tcW w:w="36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0D64EF"/>
              </w:rPr>
              <w:t>Long-Term Assets of Discontinued Operations</w:t>
            </w:r>
          </w:p>
        </w:tc>
        <w:tc>
          <w:tcPr>
            <w:tcW w:w="360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w:t>
            </w:r>
          </w:p>
        </w:tc>
        <w:tc>
          <w:tcPr>
            <w:tcW w:w="0" w:type="dxa"/>
            <w:vAlign w:val="bottom"/>
          </w:tcPr>
          <w:p>
            <w:pPr>
              <w:spacing w:after="0"/>
              <w:rPr>
                <w:sz w:val="1"/>
                <w:szCs w:val="1"/>
                <w:color w:val="auto"/>
              </w:rPr>
            </w:pPr>
          </w:p>
        </w:tc>
      </w:tr>
      <w:tr>
        <w:trPr>
          <w:trHeight w:val="223"/>
        </w:trPr>
        <w:tc>
          <w:tcPr>
            <w:tcW w:w="3640" w:type="dxa"/>
            <w:vAlign w:val="bottom"/>
            <w:tcBorders>
              <w:bottom w:val="single" w:sz="8" w:color="auto"/>
            </w:tcBorders>
          </w:tcPr>
          <w:p>
            <w:pPr>
              <w:spacing w:after="0"/>
              <w:rPr>
                <w:sz w:val="19"/>
                <w:szCs w:val="19"/>
                <w:color w:val="auto"/>
              </w:rPr>
            </w:pPr>
          </w:p>
        </w:tc>
        <w:tc>
          <w:tcPr>
            <w:tcW w:w="3600" w:type="dxa"/>
            <w:vAlign w:val="bottom"/>
            <w:tcBorders>
              <w:bottom w:val="single" w:sz="8" w:color="auto"/>
            </w:tcBorders>
          </w:tcPr>
          <w:p>
            <w:pPr>
              <w:spacing w:after="0"/>
              <w:rPr>
                <w:sz w:val="19"/>
                <w:szCs w:val="19"/>
                <w:color w:val="auto"/>
              </w:rPr>
            </w:pPr>
          </w:p>
        </w:tc>
        <w:tc>
          <w:tcPr>
            <w:tcW w:w="22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118,751</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118,243</w:t>
            </w:r>
          </w:p>
        </w:tc>
        <w:tc>
          <w:tcPr>
            <w:tcW w:w="0" w:type="dxa"/>
            <w:vAlign w:val="bottom"/>
          </w:tcPr>
          <w:p>
            <w:pPr>
              <w:spacing w:after="0"/>
              <w:rPr>
                <w:sz w:val="1"/>
                <w:szCs w:val="1"/>
                <w:color w:val="auto"/>
              </w:rPr>
            </w:pPr>
          </w:p>
        </w:tc>
      </w:tr>
      <w:tr>
        <w:trPr>
          <w:trHeight w:val="220"/>
        </w:trPr>
        <w:tc>
          <w:tcPr>
            <w:tcW w:w="3640" w:type="dxa"/>
            <w:vAlign w:val="bottom"/>
          </w:tcPr>
          <w:p>
            <w:pPr>
              <w:ind w:left="20"/>
              <w:spacing w:after="0"/>
              <w:rPr>
                <w:sz w:val="20"/>
                <w:szCs w:val="20"/>
                <w:color w:val="auto"/>
              </w:rPr>
            </w:pPr>
            <w:r>
              <w:rPr>
                <w:rFonts w:ascii="Arial" w:cs="Arial" w:eastAsia="Arial" w:hAnsi="Arial"/>
                <w:sz w:val="16"/>
                <w:szCs w:val="16"/>
                <w:b w:val="1"/>
                <w:bCs w:val="1"/>
                <w:color w:val="0D64EF"/>
              </w:rPr>
              <w:t>LIABILITIES</w:t>
            </w:r>
          </w:p>
        </w:tc>
        <w:tc>
          <w:tcPr>
            <w:tcW w:w="360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40" w:type="dxa"/>
            <w:vAlign w:val="bottom"/>
          </w:tcPr>
          <w:p>
            <w:pPr>
              <w:ind w:left="20"/>
              <w:spacing w:after="0"/>
              <w:rPr>
                <w:sz w:val="20"/>
                <w:szCs w:val="20"/>
                <w:color w:val="auto"/>
              </w:rPr>
            </w:pPr>
            <w:r>
              <w:rPr>
                <w:rFonts w:ascii="Arial" w:cs="Arial" w:eastAsia="Arial" w:hAnsi="Arial"/>
                <w:sz w:val="16"/>
                <w:szCs w:val="16"/>
                <w:b w:val="1"/>
                <w:bCs w:val="1"/>
                <w:color w:val="0D64EF"/>
              </w:rPr>
              <w:t>Current Liabilities</w:t>
            </w:r>
          </w:p>
        </w:tc>
        <w:tc>
          <w:tcPr>
            <w:tcW w:w="360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40" w:type="dxa"/>
            <w:vAlign w:val="bottom"/>
          </w:tcPr>
          <w:p>
            <w:pPr>
              <w:ind w:left="20"/>
              <w:spacing w:after="0"/>
              <w:rPr>
                <w:sz w:val="20"/>
                <w:szCs w:val="20"/>
                <w:color w:val="auto"/>
              </w:rPr>
            </w:pPr>
            <w:r>
              <w:rPr>
                <w:rFonts w:ascii="Arial" w:cs="Arial" w:eastAsia="Arial" w:hAnsi="Arial"/>
                <w:sz w:val="16"/>
                <w:szCs w:val="16"/>
                <w:color w:val="auto"/>
              </w:rPr>
              <w:t>Notes payable</w:t>
            </w:r>
          </w:p>
        </w:tc>
        <w:tc>
          <w:tcPr>
            <w:tcW w:w="3600" w:type="dxa"/>
            <w:vAlign w:val="bottom"/>
          </w:tcPr>
          <w:p>
            <w:pPr>
              <w:spacing w:after="0"/>
              <w:rPr>
                <w:sz w:val="19"/>
                <w:szCs w:val="19"/>
                <w:color w:val="auto"/>
              </w:rPr>
            </w:pPr>
          </w:p>
        </w:tc>
        <w:tc>
          <w:tcPr>
            <w:tcW w:w="2260" w:type="dxa"/>
            <w:vAlign w:val="bottom"/>
          </w:tcPr>
          <w:p>
            <w:pPr>
              <w:jc w:val="right"/>
              <w:ind w:right="239"/>
              <w:spacing w:after="0"/>
              <w:rPr>
                <w:sz w:val="20"/>
                <w:szCs w:val="20"/>
                <w:color w:val="auto"/>
              </w:rPr>
            </w:pPr>
            <w:r>
              <w:rPr>
                <w:rFonts w:ascii="Arial" w:cs="Arial" w:eastAsia="Arial" w:hAnsi="Arial"/>
                <w:sz w:val="16"/>
                <w:szCs w:val="16"/>
                <w:b w:val="1"/>
                <w:bCs w:val="1"/>
                <w:color w:val="auto"/>
              </w:rPr>
              <w:t>1,200</w:t>
            </w:r>
          </w:p>
        </w:tc>
        <w:tc>
          <w:tcPr>
            <w:tcW w:w="1740" w:type="dxa"/>
            <w:vAlign w:val="bottom"/>
          </w:tcPr>
          <w:p>
            <w:pPr>
              <w:jc w:val="right"/>
              <w:spacing w:after="0"/>
              <w:rPr>
                <w:sz w:val="20"/>
                <w:szCs w:val="20"/>
                <w:color w:val="auto"/>
              </w:rPr>
            </w:pPr>
            <w:r>
              <w:rPr>
                <w:rFonts w:ascii="Arial" w:cs="Arial" w:eastAsia="Arial" w:hAnsi="Arial"/>
                <w:sz w:val="16"/>
                <w:szCs w:val="16"/>
                <w:color w:val="auto"/>
              </w:rPr>
              <w:t>387</w:t>
            </w:r>
          </w:p>
        </w:tc>
        <w:tc>
          <w:tcPr>
            <w:tcW w:w="0" w:type="dxa"/>
            <w:vAlign w:val="bottom"/>
          </w:tcPr>
          <w:p>
            <w:pPr>
              <w:spacing w:after="0"/>
              <w:rPr>
                <w:sz w:val="1"/>
                <w:szCs w:val="1"/>
                <w:color w:val="auto"/>
              </w:rPr>
            </w:pPr>
          </w:p>
        </w:tc>
      </w:tr>
      <w:tr>
        <w:trPr>
          <w:trHeight w:val="229"/>
        </w:trPr>
        <w:tc>
          <w:tcPr>
            <w:tcW w:w="3640" w:type="dxa"/>
            <w:vAlign w:val="bottom"/>
          </w:tcPr>
          <w:p>
            <w:pPr>
              <w:ind w:left="20"/>
              <w:spacing w:after="0"/>
              <w:rPr>
                <w:sz w:val="20"/>
                <w:szCs w:val="20"/>
                <w:color w:val="auto"/>
              </w:rPr>
            </w:pPr>
            <w:r>
              <w:rPr>
                <w:rFonts w:ascii="Arial" w:cs="Arial" w:eastAsia="Arial" w:hAnsi="Arial"/>
                <w:sz w:val="16"/>
                <w:szCs w:val="16"/>
                <w:color w:val="auto"/>
              </w:rPr>
              <w:t>Accounts payable and other</w:t>
            </w:r>
          </w:p>
        </w:tc>
        <w:tc>
          <w:tcPr>
            <w:tcW w:w="3600" w:type="dxa"/>
            <w:vAlign w:val="bottom"/>
          </w:tcPr>
          <w:p>
            <w:pPr>
              <w:spacing w:after="0"/>
              <w:rPr>
                <w:sz w:val="19"/>
                <w:szCs w:val="19"/>
                <w:color w:val="auto"/>
              </w:rPr>
            </w:pPr>
          </w:p>
        </w:tc>
        <w:tc>
          <w:tcPr>
            <w:tcW w:w="2260" w:type="dxa"/>
            <w:vAlign w:val="bottom"/>
          </w:tcPr>
          <w:p>
            <w:pPr>
              <w:jc w:val="right"/>
              <w:ind w:right="239"/>
              <w:spacing w:after="0"/>
              <w:rPr>
                <w:sz w:val="20"/>
                <w:szCs w:val="20"/>
                <w:color w:val="auto"/>
              </w:rPr>
            </w:pPr>
            <w:r>
              <w:rPr>
                <w:rFonts w:ascii="Arial" w:cs="Arial" w:eastAsia="Arial" w:hAnsi="Arial"/>
                <w:sz w:val="16"/>
                <w:szCs w:val="16"/>
                <w:b w:val="1"/>
                <w:bCs w:val="1"/>
                <w:color w:val="auto"/>
              </w:rPr>
              <w:t>5,274</w:t>
            </w:r>
          </w:p>
        </w:tc>
        <w:tc>
          <w:tcPr>
            <w:tcW w:w="1740" w:type="dxa"/>
            <w:vAlign w:val="bottom"/>
          </w:tcPr>
          <w:p>
            <w:pPr>
              <w:jc w:val="right"/>
              <w:spacing w:after="0"/>
              <w:rPr>
                <w:sz w:val="20"/>
                <w:szCs w:val="20"/>
                <w:color w:val="auto"/>
              </w:rPr>
            </w:pPr>
            <w:r>
              <w:rPr>
                <w:rFonts w:ascii="Arial" w:cs="Arial" w:eastAsia="Arial" w:hAnsi="Arial"/>
                <w:sz w:val="16"/>
                <w:szCs w:val="16"/>
                <w:color w:val="auto"/>
              </w:rPr>
              <w:t>5,297</w:t>
            </w:r>
          </w:p>
        </w:tc>
        <w:tc>
          <w:tcPr>
            <w:tcW w:w="0" w:type="dxa"/>
            <w:vAlign w:val="bottom"/>
          </w:tcPr>
          <w:p>
            <w:pPr>
              <w:spacing w:after="0"/>
              <w:rPr>
                <w:sz w:val="1"/>
                <w:szCs w:val="1"/>
                <w:color w:val="auto"/>
              </w:rPr>
            </w:pPr>
          </w:p>
        </w:tc>
      </w:tr>
      <w:tr>
        <w:trPr>
          <w:trHeight w:val="230"/>
        </w:trPr>
        <w:tc>
          <w:tcPr>
            <w:tcW w:w="3640" w:type="dxa"/>
            <w:vAlign w:val="bottom"/>
          </w:tcPr>
          <w:p>
            <w:pPr>
              <w:ind w:left="20"/>
              <w:spacing w:after="0"/>
              <w:rPr>
                <w:sz w:val="20"/>
                <w:szCs w:val="20"/>
                <w:color w:val="auto"/>
              </w:rPr>
            </w:pPr>
            <w:r>
              <w:rPr>
                <w:rFonts w:ascii="Arial" w:cs="Arial" w:eastAsia="Arial" w:hAnsi="Arial"/>
                <w:sz w:val="16"/>
                <w:szCs w:val="16"/>
                <w:color w:val="auto"/>
              </w:rPr>
              <w:t>Dividends payable</w:t>
            </w:r>
          </w:p>
        </w:tc>
        <w:tc>
          <w:tcPr>
            <w:tcW w:w="3600" w:type="dxa"/>
            <w:vAlign w:val="bottom"/>
          </w:tcPr>
          <w:p>
            <w:pPr>
              <w:spacing w:after="0"/>
              <w:rPr>
                <w:sz w:val="19"/>
                <w:szCs w:val="19"/>
                <w:color w:val="auto"/>
              </w:rPr>
            </w:pPr>
          </w:p>
        </w:tc>
        <w:tc>
          <w:tcPr>
            <w:tcW w:w="2260" w:type="dxa"/>
            <w:vAlign w:val="bottom"/>
          </w:tcPr>
          <w:p>
            <w:pPr>
              <w:jc w:val="right"/>
              <w:ind w:right="239"/>
              <w:spacing w:after="0"/>
              <w:rPr>
                <w:sz w:val="20"/>
                <w:szCs w:val="20"/>
                <w:color w:val="auto"/>
              </w:rPr>
            </w:pPr>
            <w:r>
              <w:rPr>
                <w:rFonts w:ascii="Arial" w:cs="Arial" w:eastAsia="Arial" w:hAnsi="Arial"/>
                <w:sz w:val="16"/>
                <w:szCs w:val="16"/>
                <w:b w:val="1"/>
                <w:bCs w:val="1"/>
                <w:color w:val="auto"/>
              </w:rPr>
              <w:t>901</w:t>
            </w:r>
          </w:p>
        </w:tc>
        <w:tc>
          <w:tcPr>
            <w:tcW w:w="1740" w:type="dxa"/>
            <w:vAlign w:val="bottom"/>
          </w:tcPr>
          <w:p>
            <w:pPr>
              <w:jc w:val="right"/>
              <w:spacing w:after="0"/>
              <w:rPr>
                <w:sz w:val="20"/>
                <w:szCs w:val="20"/>
                <w:color w:val="auto"/>
              </w:rPr>
            </w:pPr>
            <w:r>
              <w:rPr>
                <w:rFonts w:ascii="Arial" w:cs="Arial" w:eastAsia="Arial" w:hAnsi="Arial"/>
                <w:sz w:val="16"/>
                <w:szCs w:val="16"/>
                <w:color w:val="auto"/>
              </w:rPr>
              <w:t>874</w:t>
            </w:r>
          </w:p>
        </w:tc>
        <w:tc>
          <w:tcPr>
            <w:tcW w:w="0" w:type="dxa"/>
            <w:vAlign w:val="bottom"/>
          </w:tcPr>
          <w:p>
            <w:pPr>
              <w:spacing w:after="0"/>
              <w:rPr>
                <w:sz w:val="1"/>
                <w:szCs w:val="1"/>
                <w:color w:val="auto"/>
              </w:rPr>
            </w:pPr>
          </w:p>
        </w:tc>
      </w:tr>
      <w:tr>
        <w:trPr>
          <w:trHeight w:val="230"/>
        </w:trPr>
        <w:tc>
          <w:tcPr>
            <w:tcW w:w="3640" w:type="dxa"/>
            <w:vAlign w:val="bottom"/>
          </w:tcPr>
          <w:p>
            <w:pPr>
              <w:ind w:left="20"/>
              <w:spacing w:after="0"/>
              <w:rPr>
                <w:sz w:val="20"/>
                <w:szCs w:val="20"/>
                <w:color w:val="auto"/>
              </w:rPr>
            </w:pPr>
            <w:r>
              <w:rPr>
                <w:rFonts w:ascii="Arial" w:cs="Arial" w:eastAsia="Arial" w:hAnsi="Arial"/>
                <w:sz w:val="16"/>
                <w:szCs w:val="16"/>
                <w:color w:val="auto"/>
              </w:rPr>
              <w:t>Accrued interest</w:t>
            </w:r>
          </w:p>
        </w:tc>
        <w:tc>
          <w:tcPr>
            <w:tcW w:w="3600" w:type="dxa"/>
            <w:vAlign w:val="bottom"/>
          </w:tcPr>
          <w:p>
            <w:pPr>
              <w:spacing w:after="0"/>
              <w:rPr>
                <w:sz w:val="19"/>
                <w:szCs w:val="19"/>
                <w:color w:val="auto"/>
              </w:rPr>
            </w:pPr>
          </w:p>
        </w:tc>
        <w:tc>
          <w:tcPr>
            <w:tcW w:w="2260" w:type="dxa"/>
            <w:vAlign w:val="bottom"/>
          </w:tcPr>
          <w:p>
            <w:pPr>
              <w:jc w:val="right"/>
              <w:ind w:right="239"/>
              <w:spacing w:after="0"/>
              <w:rPr>
                <w:sz w:val="20"/>
                <w:szCs w:val="20"/>
                <w:color w:val="auto"/>
              </w:rPr>
            </w:pPr>
            <w:r>
              <w:rPr>
                <w:rFonts w:ascii="Arial" w:cs="Arial" w:eastAsia="Arial" w:hAnsi="Arial"/>
                <w:sz w:val="16"/>
                <w:szCs w:val="16"/>
                <w:b w:val="1"/>
                <w:bCs w:val="1"/>
                <w:color w:val="auto"/>
              </w:rPr>
              <w:t>858</w:t>
            </w:r>
          </w:p>
        </w:tc>
        <w:tc>
          <w:tcPr>
            <w:tcW w:w="1740" w:type="dxa"/>
            <w:vAlign w:val="bottom"/>
          </w:tcPr>
          <w:p>
            <w:pPr>
              <w:jc w:val="right"/>
              <w:spacing w:after="0"/>
              <w:rPr>
                <w:sz w:val="20"/>
                <w:szCs w:val="20"/>
                <w:color w:val="auto"/>
              </w:rPr>
            </w:pPr>
            <w:r>
              <w:rPr>
                <w:rFonts w:ascii="Arial" w:cs="Arial" w:eastAsia="Arial" w:hAnsi="Arial"/>
                <w:sz w:val="16"/>
                <w:szCs w:val="16"/>
                <w:color w:val="auto"/>
              </w:rPr>
              <w:t>828</w:t>
            </w:r>
          </w:p>
        </w:tc>
        <w:tc>
          <w:tcPr>
            <w:tcW w:w="0" w:type="dxa"/>
            <w:vAlign w:val="bottom"/>
          </w:tcPr>
          <w:p>
            <w:pPr>
              <w:spacing w:after="0"/>
              <w:rPr>
                <w:sz w:val="1"/>
                <w:szCs w:val="1"/>
                <w:color w:val="auto"/>
              </w:rPr>
            </w:pPr>
          </w:p>
        </w:tc>
      </w:tr>
      <w:tr>
        <w:trPr>
          <w:trHeight w:val="230"/>
        </w:trPr>
        <w:tc>
          <w:tcPr>
            <w:tcW w:w="3640" w:type="dxa"/>
            <w:vAlign w:val="bottom"/>
          </w:tcPr>
          <w:p>
            <w:pPr>
              <w:ind w:left="20"/>
              <w:spacing w:after="0"/>
              <w:rPr>
                <w:sz w:val="20"/>
                <w:szCs w:val="20"/>
                <w:color w:val="auto"/>
              </w:rPr>
            </w:pPr>
            <w:r>
              <w:rPr>
                <w:rFonts w:ascii="Arial" w:cs="Arial" w:eastAsia="Arial" w:hAnsi="Arial"/>
                <w:sz w:val="16"/>
                <w:szCs w:val="16"/>
                <w:color w:val="auto"/>
              </w:rPr>
              <w:t>Current portion of long-term debt</w:t>
            </w:r>
          </w:p>
        </w:tc>
        <w:tc>
          <w:tcPr>
            <w:tcW w:w="3600" w:type="dxa"/>
            <w:vAlign w:val="bottom"/>
          </w:tcPr>
          <w:p>
            <w:pPr>
              <w:spacing w:after="0"/>
              <w:rPr>
                <w:sz w:val="19"/>
                <w:szCs w:val="19"/>
                <w:color w:val="auto"/>
              </w:rPr>
            </w:pPr>
          </w:p>
        </w:tc>
        <w:tc>
          <w:tcPr>
            <w:tcW w:w="2260" w:type="dxa"/>
            <w:vAlign w:val="bottom"/>
          </w:tcPr>
          <w:p>
            <w:pPr>
              <w:jc w:val="right"/>
              <w:ind w:right="239"/>
              <w:spacing w:after="0"/>
              <w:rPr>
                <w:sz w:val="20"/>
                <w:szCs w:val="20"/>
                <w:color w:val="auto"/>
              </w:rPr>
            </w:pPr>
            <w:r>
              <w:rPr>
                <w:rFonts w:ascii="Arial" w:cs="Arial" w:eastAsia="Arial" w:hAnsi="Arial"/>
                <w:sz w:val="16"/>
                <w:szCs w:val="16"/>
                <w:b w:val="1"/>
                <w:bCs w:val="1"/>
                <w:color w:val="auto"/>
              </w:rPr>
              <w:t>1,545</w:t>
            </w:r>
          </w:p>
        </w:tc>
        <w:tc>
          <w:tcPr>
            <w:tcW w:w="1740" w:type="dxa"/>
            <w:vAlign w:val="bottom"/>
          </w:tcPr>
          <w:p>
            <w:pPr>
              <w:jc w:val="right"/>
              <w:spacing w:after="0"/>
              <w:rPr>
                <w:sz w:val="20"/>
                <w:szCs w:val="20"/>
                <w:color w:val="auto"/>
              </w:rPr>
            </w:pPr>
            <w:r>
              <w:rPr>
                <w:rFonts w:ascii="Arial" w:cs="Arial" w:eastAsia="Arial" w:hAnsi="Arial"/>
                <w:sz w:val="16"/>
                <w:szCs w:val="16"/>
                <w:color w:val="auto"/>
              </w:rPr>
              <w:t>2,955</w:t>
            </w:r>
          </w:p>
        </w:tc>
        <w:tc>
          <w:tcPr>
            <w:tcW w:w="0" w:type="dxa"/>
            <w:vAlign w:val="bottom"/>
          </w:tcPr>
          <w:p>
            <w:pPr>
              <w:spacing w:after="0"/>
              <w:rPr>
                <w:sz w:val="1"/>
                <w:szCs w:val="1"/>
                <w:color w:val="auto"/>
              </w:rPr>
            </w:pPr>
          </w:p>
        </w:tc>
      </w:tr>
      <w:tr>
        <w:trPr>
          <w:trHeight w:val="233"/>
        </w:trPr>
        <w:tc>
          <w:tcPr>
            <w:tcW w:w="36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Current liabilities of discontinued operations</w:t>
            </w:r>
          </w:p>
        </w:tc>
        <w:tc>
          <w:tcPr>
            <w:tcW w:w="360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181</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170</w:t>
            </w:r>
          </w:p>
        </w:tc>
        <w:tc>
          <w:tcPr>
            <w:tcW w:w="0" w:type="dxa"/>
            <w:vAlign w:val="bottom"/>
          </w:tcPr>
          <w:p>
            <w:pPr>
              <w:spacing w:after="0"/>
              <w:rPr>
                <w:sz w:val="1"/>
                <w:szCs w:val="1"/>
                <w:color w:val="auto"/>
              </w:rPr>
            </w:pPr>
          </w:p>
        </w:tc>
      </w:tr>
      <w:tr>
        <w:trPr>
          <w:trHeight w:val="220"/>
        </w:trPr>
        <w:tc>
          <w:tcPr>
            <w:tcW w:w="3640" w:type="dxa"/>
            <w:vAlign w:val="bottom"/>
          </w:tcPr>
          <w:p>
            <w:pPr>
              <w:spacing w:after="0"/>
              <w:rPr>
                <w:sz w:val="19"/>
                <w:szCs w:val="19"/>
                <w:color w:val="auto"/>
              </w:rPr>
            </w:pPr>
          </w:p>
        </w:tc>
        <w:tc>
          <w:tcPr>
            <w:tcW w:w="3600" w:type="dxa"/>
            <w:vAlign w:val="bottom"/>
          </w:tcPr>
          <w:p>
            <w:pPr>
              <w:spacing w:after="0"/>
              <w:rPr>
                <w:sz w:val="19"/>
                <w:szCs w:val="19"/>
                <w:color w:val="auto"/>
              </w:rPr>
            </w:pPr>
          </w:p>
        </w:tc>
        <w:tc>
          <w:tcPr>
            <w:tcW w:w="2260" w:type="dxa"/>
            <w:vAlign w:val="bottom"/>
          </w:tcPr>
          <w:p>
            <w:pPr>
              <w:jc w:val="right"/>
              <w:ind w:right="239"/>
              <w:spacing w:after="0"/>
              <w:rPr>
                <w:sz w:val="20"/>
                <w:szCs w:val="20"/>
                <w:color w:val="auto"/>
              </w:rPr>
            </w:pPr>
            <w:r>
              <w:rPr>
                <w:rFonts w:ascii="Arial" w:cs="Arial" w:eastAsia="Arial" w:hAnsi="Arial"/>
                <w:sz w:val="16"/>
                <w:szCs w:val="16"/>
                <w:b w:val="1"/>
                <w:bCs w:val="1"/>
                <w:color w:val="auto"/>
              </w:rPr>
              <w:t>9,959</w:t>
            </w:r>
          </w:p>
        </w:tc>
        <w:tc>
          <w:tcPr>
            <w:tcW w:w="1740" w:type="dxa"/>
            <w:vAlign w:val="bottom"/>
          </w:tcPr>
          <w:p>
            <w:pPr>
              <w:jc w:val="right"/>
              <w:spacing w:after="0"/>
              <w:rPr>
                <w:sz w:val="20"/>
                <w:szCs w:val="20"/>
                <w:color w:val="auto"/>
              </w:rPr>
            </w:pPr>
            <w:r>
              <w:rPr>
                <w:rFonts w:ascii="Arial" w:cs="Arial" w:eastAsia="Arial" w:hAnsi="Arial"/>
                <w:sz w:val="16"/>
                <w:szCs w:val="16"/>
                <w:color w:val="auto"/>
              </w:rPr>
              <w:t>10,511</w:t>
            </w:r>
          </w:p>
        </w:tc>
        <w:tc>
          <w:tcPr>
            <w:tcW w:w="0" w:type="dxa"/>
            <w:vAlign w:val="bottom"/>
          </w:tcPr>
          <w:p>
            <w:pPr>
              <w:spacing w:after="0"/>
              <w:rPr>
                <w:sz w:val="1"/>
                <w:szCs w:val="1"/>
                <w:color w:val="auto"/>
              </w:rPr>
            </w:pPr>
          </w:p>
        </w:tc>
      </w:tr>
      <w:tr>
        <w:trPr>
          <w:trHeight w:val="229"/>
        </w:trPr>
        <w:tc>
          <w:tcPr>
            <w:tcW w:w="3640" w:type="dxa"/>
            <w:vAlign w:val="bottom"/>
          </w:tcPr>
          <w:p>
            <w:pPr>
              <w:ind w:left="20"/>
              <w:spacing w:after="0"/>
              <w:rPr>
                <w:sz w:val="20"/>
                <w:szCs w:val="20"/>
                <w:color w:val="auto"/>
              </w:rPr>
            </w:pPr>
            <w:r>
              <w:rPr>
                <w:rFonts w:ascii="Arial" w:cs="Arial" w:eastAsia="Arial" w:hAnsi="Arial"/>
                <w:sz w:val="16"/>
                <w:szCs w:val="16"/>
                <w:b w:val="1"/>
                <w:bCs w:val="1"/>
                <w:color w:val="0D64EF"/>
              </w:rPr>
              <w:t>Regulatory Liabilities</w:t>
            </w:r>
          </w:p>
        </w:tc>
        <w:tc>
          <w:tcPr>
            <w:tcW w:w="3600" w:type="dxa"/>
            <w:vAlign w:val="bottom"/>
          </w:tcPr>
          <w:p>
            <w:pPr>
              <w:spacing w:after="0"/>
              <w:rPr>
                <w:sz w:val="19"/>
                <w:szCs w:val="19"/>
                <w:color w:val="auto"/>
              </w:rPr>
            </w:pPr>
          </w:p>
        </w:tc>
        <w:tc>
          <w:tcPr>
            <w:tcW w:w="2260" w:type="dxa"/>
            <w:vAlign w:val="bottom"/>
          </w:tcPr>
          <w:p>
            <w:pPr>
              <w:jc w:val="right"/>
              <w:ind w:right="239"/>
              <w:spacing w:after="0"/>
              <w:rPr>
                <w:sz w:val="20"/>
                <w:szCs w:val="20"/>
                <w:color w:val="auto"/>
              </w:rPr>
            </w:pPr>
            <w:r>
              <w:rPr>
                <w:rFonts w:ascii="Arial" w:cs="Arial" w:eastAsia="Arial" w:hAnsi="Arial"/>
                <w:sz w:val="16"/>
                <w:szCs w:val="16"/>
                <w:b w:val="1"/>
                <w:bCs w:val="1"/>
                <w:color w:val="auto"/>
              </w:rPr>
              <w:t>5,841</w:t>
            </w:r>
          </w:p>
        </w:tc>
        <w:tc>
          <w:tcPr>
            <w:tcW w:w="1740" w:type="dxa"/>
            <w:vAlign w:val="bottom"/>
          </w:tcPr>
          <w:p>
            <w:pPr>
              <w:jc w:val="right"/>
              <w:spacing w:after="0"/>
              <w:rPr>
                <w:sz w:val="20"/>
                <w:szCs w:val="20"/>
                <w:color w:val="auto"/>
              </w:rPr>
            </w:pPr>
            <w:r>
              <w:rPr>
                <w:rFonts w:ascii="Arial" w:cs="Arial" w:eastAsia="Arial" w:hAnsi="Arial"/>
                <w:sz w:val="16"/>
                <w:szCs w:val="16"/>
                <w:color w:val="auto"/>
              </w:rPr>
              <w:t>5,303</w:t>
            </w:r>
          </w:p>
        </w:tc>
        <w:tc>
          <w:tcPr>
            <w:tcW w:w="0" w:type="dxa"/>
            <w:vAlign w:val="bottom"/>
          </w:tcPr>
          <w:p>
            <w:pPr>
              <w:spacing w:after="0"/>
              <w:rPr>
                <w:sz w:val="1"/>
                <w:szCs w:val="1"/>
                <w:color w:val="auto"/>
              </w:rPr>
            </w:pPr>
          </w:p>
        </w:tc>
      </w:tr>
      <w:tr>
        <w:trPr>
          <w:trHeight w:val="230"/>
        </w:trPr>
        <w:tc>
          <w:tcPr>
            <w:tcW w:w="3640" w:type="dxa"/>
            <w:vAlign w:val="bottom"/>
          </w:tcPr>
          <w:p>
            <w:pPr>
              <w:ind w:left="20"/>
              <w:spacing w:after="0"/>
              <w:rPr>
                <w:sz w:val="20"/>
                <w:szCs w:val="20"/>
                <w:color w:val="auto"/>
              </w:rPr>
            </w:pPr>
            <w:r>
              <w:rPr>
                <w:rFonts w:ascii="Arial" w:cs="Arial" w:eastAsia="Arial" w:hAnsi="Arial"/>
                <w:sz w:val="16"/>
                <w:szCs w:val="16"/>
                <w:b w:val="1"/>
                <w:bCs w:val="1"/>
                <w:color w:val="0D64EF"/>
              </w:rPr>
              <w:t>Other Long-Term Liabilities</w:t>
            </w:r>
          </w:p>
        </w:tc>
        <w:tc>
          <w:tcPr>
            <w:tcW w:w="3600" w:type="dxa"/>
            <w:vAlign w:val="bottom"/>
          </w:tcPr>
          <w:p>
            <w:pPr>
              <w:spacing w:after="0"/>
              <w:rPr>
                <w:sz w:val="19"/>
                <w:szCs w:val="19"/>
                <w:color w:val="auto"/>
              </w:rPr>
            </w:pPr>
          </w:p>
        </w:tc>
        <w:tc>
          <w:tcPr>
            <w:tcW w:w="2260" w:type="dxa"/>
            <w:vAlign w:val="bottom"/>
          </w:tcPr>
          <w:p>
            <w:pPr>
              <w:jc w:val="right"/>
              <w:ind w:right="239"/>
              <w:spacing w:after="0"/>
              <w:rPr>
                <w:sz w:val="20"/>
                <w:szCs w:val="20"/>
                <w:color w:val="auto"/>
              </w:rPr>
            </w:pPr>
            <w:r>
              <w:rPr>
                <w:rFonts w:ascii="Arial" w:cs="Arial" w:eastAsia="Arial" w:hAnsi="Arial"/>
                <w:sz w:val="16"/>
                <w:szCs w:val="16"/>
                <w:b w:val="1"/>
                <w:bCs w:val="1"/>
                <w:color w:val="auto"/>
              </w:rPr>
              <w:t>1,034</w:t>
            </w:r>
          </w:p>
        </w:tc>
        <w:tc>
          <w:tcPr>
            <w:tcW w:w="1740" w:type="dxa"/>
            <w:vAlign w:val="bottom"/>
          </w:tcPr>
          <w:p>
            <w:pPr>
              <w:jc w:val="right"/>
              <w:spacing w:after="0"/>
              <w:rPr>
                <w:sz w:val="20"/>
                <w:szCs w:val="20"/>
                <w:color w:val="auto"/>
              </w:rPr>
            </w:pPr>
            <w:r>
              <w:rPr>
                <w:rFonts w:ascii="Arial" w:cs="Arial" w:eastAsia="Arial" w:hAnsi="Arial"/>
                <w:sz w:val="16"/>
                <w:szCs w:val="16"/>
                <w:color w:val="auto"/>
              </w:rPr>
              <w:t>1,051</w:t>
            </w:r>
          </w:p>
        </w:tc>
        <w:tc>
          <w:tcPr>
            <w:tcW w:w="0" w:type="dxa"/>
            <w:vAlign w:val="bottom"/>
          </w:tcPr>
          <w:p>
            <w:pPr>
              <w:spacing w:after="0"/>
              <w:rPr>
                <w:sz w:val="1"/>
                <w:szCs w:val="1"/>
                <w:color w:val="auto"/>
              </w:rPr>
            </w:pPr>
          </w:p>
        </w:tc>
      </w:tr>
      <w:tr>
        <w:trPr>
          <w:trHeight w:val="230"/>
        </w:trPr>
        <w:tc>
          <w:tcPr>
            <w:tcW w:w="3640" w:type="dxa"/>
            <w:vAlign w:val="bottom"/>
          </w:tcPr>
          <w:p>
            <w:pPr>
              <w:ind w:left="20"/>
              <w:spacing w:after="0"/>
              <w:rPr>
                <w:sz w:val="20"/>
                <w:szCs w:val="20"/>
                <w:color w:val="auto"/>
              </w:rPr>
            </w:pPr>
            <w:r>
              <w:rPr>
                <w:rFonts w:ascii="Arial" w:cs="Arial" w:eastAsia="Arial" w:hAnsi="Arial"/>
                <w:sz w:val="16"/>
                <w:szCs w:val="16"/>
                <w:b w:val="1"/>
                <w:bCs w:val="1"/>
                <w:color w:val="0D64EF"/>
              </w:rPr>
              <w:t>Deferred Income Tax Liabilities</w:t>
            </w:r>
          </w:p>
        </w:tc>
        <w:tc>
          <w:tcPr>
            <w:tcW w:w="3600" w:type="dxa"/>
            <w:vAlign w:val="bottom"/>
          </w:tcPr>
          <w:p>
            <w:pPr>
              <w:spacing w:after="0"/>
              <w:rPr>
                <w:sz w:val="19"/>
                <w:szCs w:val="19"/>
                <w:color w:val="auto"/>
              </w:rPr>
            </w:pPr>
          </w:p>
        </w:tc>
        <w:tc>
          <w:tcPr>
            <w:tcW w:w="2260" w:type="dxa"/>
            <w:vAlign w:val="bottom"/>
          </w:tcPr>
          <w:p>
            <w:pPr>
              <w:jc w:val="right"/>
              <w:ind w:right="239"/>
              <w:spacing w:after="0"/>
              <w:rPr>
                <w:sz w:val="20"/>
                <w:szCs w:val="20"/>
                <w:color w:val="auto"/>
              </w:rPr>
            </w:pPr>
            <w:r>
              <w:rPr>
                <w:rFonts w:ascii="Arial" w:cs="Arial" w:eastAsia="Arial" w:hAnsi="Arial"/>
                <w:sz w:val="16"/>
                <w:szCs w:val="16"/>
                <w:b w:val="1"/>
                <w:bCs w:val="1"/>
                <w:color w:val="auto"/>
              </w:rPr>
              <w:t>7,677</w:t>
            </w:r>
          </w:p>
        </w:tc>
        <w:tc>
          <w:tcPr>
            <w:tcW w:w="1740" w:type="dxa"/>
            <w:vAlign w:val="bottom"/>
          </w:tcPr>
          <w:p>
            <w:pPr>
              <w:jc w:val="right"/>
              <w:spacing w:after="0"/>
              <w:rPr>
                <w:sz w:val="20"/>
                <w:szCs w:val="20"/>
                <w:color w:val="auto"/>
              </w:rPr>
            </w:pPr>
            <w:r>
              <w:rPr>
                <w:rFonts w:ascii="Arial" w:cs="Arial" w:eastAsia="Arial" w:hAnsi="Arial"/>
                <w:sz w:val="16"/>
                <w:szCs w:val="16"/>
                <w:color w:val="auto"/>
              </w:rPr>
              <w:t>6,884</w:t>
            </w:r>
          </w:p>
        </w:tc>
        <w:tc>
          <w:tcPr>
            <w:tcW w:w="0" w:type="dxa"/>
            <w:vAlign w:val="bottom"/>
          </w:tcPr>
          <w:p>
            <w:pPr>
              <w:spacing w:after="0"/>
              <w:rPr>
                <w:sz w:val="1"/>
                <w:szCs w:val="1"/>
                <w:color w:val="auto"/>
              </w:rPr>
            </w:pPr>
          </w:p>
        </w:tc>
      </w:tr>
      <w:tr>
        <w:trPr>
          <w:trHeight w:val="230"/>
        </w:trPr>
        <w:tc>
          <w:tcPr>
            <w:tcW w:w="3640" w:type="dxa"/>
            <w:vAlign w:val="bottom"/>
          </w:tcPr>
          <w:p>
            <w:pPr>
              <w:ind w:left="20"/>
              <w:spacing w:after="0"/>
              <w:rPr>
                <w:sz w:val="20"/>
                <w:szCs w:val="20"/>
                <w:color w:val="auto"/>
              </w:rPr>
            </w:pPr>
            <w:r>
              <w:rPr>
                <w:rFonts w:ascii="Arial" w:cs="Arial" w:eastAsia="Arial" w:hAnsi="Arial"/>
                <w:sz w:val="16"/>
                <w:szCs w:val="16"/>
                <w:b w:val="1"/>
                <w:bCs w:val="1"/>
                <w:color w:val="0D64EF"/>
              </w:rPr>
              <w:t>Long-Term Debt</w:t>
            </w:r>
          </w:p>
        </w:tc>
        <w:tc>
          <w:tcPr>
            <w:tcW w:w="3600" w:type="dxa"/>
            <w:vAlign w:val="bottom"/>
          </w:tcPr>
          <w:p>
            <w:pPr>
              <w:spacing w:after="0"/>
              <w:rPr>
                <w:sz w:val="19"/>
                <w:szCs w:val="19"/>
                <w:color w:val="auto"/>
              </w:rPr>
            </w:pPr>
          </w:p>
        </w:tc>
        <w:tc>
          <w:tcPr>
            <w:tcW w:w="2260" w:type="dxa"/>
            <w:vAlign w:val="bottom"/>
          </w:tcPr>
          <w:p>
            <w:pPr>
              <w:jc w:val="right"/>
              <w:ind w:right="239"/>
              <w:spacing w:after="0"/>
              <w:rPr>
                <w:sz w:val="20"/>
                <w:szCs w:val="20"/>
                <w:color w:val="auto"/>
              </w:rPr>
            </w:pPr>
            <w:r>
              <w:rPr>
                <w:rFonts w:ascii="Arial" w:cs="Arial" w:eastAsia="Arial" w:hAnsi="Arial"/>
                <w:sz w:val="16"/>
                <w:szCs w:val="16"/>
                <w:b w:val="1"/>
                <w:bCs w:val="1"/>
                <w:color w:val="auto"/>
              </w:rPr>
              <w:t>45,247</w:t>
            </w:r>
          </w:p>
        </w:tc>
        <w:tc>
          <w:tcPr>
            <w:tcW w:w="1740" w:type="dxa"/>
            <w:vAlign w:val="bottom"/>
          </w:tcPr>
          <w:p>
            <w:pPr>
              <w:jc w:val="right"/>
              <w:spacing w:after="0"/>
              <w:rPr>
                <w:sz w:val="20"/>
                <w:szCs w:val="20"/>
                <w:color w:val="auto"/>
              </w:rPr>
            </w:pPr>
            <w:r>
              <w:rPr>
                <w:rFonts w:ascii="Arial" w:cs="Arial" w:eastAsia="Arial" w:hAnsi="Arial"/>
                <w:sz w:val="16"/>
                <w:szCs w:val="16"/>
                <w:color w:val="auto"/>
              </w:rPr>
              <w:t>44,976</w:t>
            </w:r>
          </w:p>
        </w:tc>
        <w:tc>
          <w:tcPr>
            <w:tcW w:w="0" w:type="dxa"/>
            <w:vAlign w:val="bottom"/>
          </w:tcPr>
          <w:p>
            <w:pPr>
              <w:spacing w:after="0"/>
              <w:rPr>
                <w:sz w:val="1"/>
                <w:szCs w:val="1"/>
                <w:color w:val="auto"/>
              </w:rPr>
            </w:pPr>
          </w:p>
        </w:tc>
      </w:tr>
      <w:tr>
        <w:trPr>
          <w:trHeight w:val="229"/>
        </w:trPr>
        <w:tc>
          <w:tcPr>
            <w:tcW w:w="3640" w:type="dxa"/>
            <w:vAlign w:val="bottom"/>
          </w:tcPr>
          <w:p>
            <w:pPr>
              <w:ind w:left="20"/>
              <w:spacing w:after="0"/>
              <w:rPr>
                <w:sz w:val="20"/>
                <w:szCs w:val="20"/>
                <w:color w:val="auto"/>
              </w:rPr>
            </w:pPr>
            <w:r>
              <w:rPr>
                <w:rFonts w:ascii="Arial" w:cs="Arial" w:eastAsia="Arial" w:hAnsi="Arial"/>
                <w:sz w:val="16"/>
                <w:szCs w:val="16"/>
                <w:b w:val="1"/>
                <w:bCs w:val="1"/>
                <w:color w:val="0D64EF"/>
              </w:rPr>
              <w:t>Junior Subordinated Notes</w:t>
            </w:r>
          </w:p>
        </w:tc>
        <w:tc>
          <w:tcPr>
            <w:tcW w:w="3600" w:type="dxa"/>
            <w:vAlign w:val="bottom"/>
          </w:tcPr>
          <w:p>
            <w:pPr>
              <w:spacing w:after="0"/>
              <w:rPr>
                <w:sz w:val="19"/>
                <w:szCs w:val="19"/>
                <w:color w:val="auto"/>
              </w:rPr>
            </w:pPr>
          </w:p>
        </w:tc>
        <w:tc>
          <w:tcPr>
            <w:tcW w:w="2260" w:type="dxa"/>
            <w:vAlign w:val="bottom"/>
          </w:tcPr>
          <w:p>
            <w:pPr>
              <w:jc w:val="right"/>
              <w:ind w:right="239"/>
              <w:spacing w:after="0"/>
              <w:rPr>
                <w:sz w:val="20"/>
                <w:szCs w:val="20"/>
                <w:color w:val="auto"/>
              </w:rPr>
            </w:pPr>
            <w:r>
              <w:rPr>
                <w:rFonts w:ascii="Arial" w:cs="Arial" w:eastAsia="Arial" w:hAnsi="Arial"/>
                <w:sz w:val="16"/>
                <w:szCs w:val="16"/>
                <w:b w:val="1"/>
                <w:bCs w:val="1"/>
                <w:color w:val="auto"/>
              </w:rPr>
              <w:t>12,094</w:t>
            </w:r>
          </w:p>
        </w:tc>
        <w:tc>
          <w:tcPr>
            <w:tcW w:w="1740" w:type="dxa"/>
            <w:vAlign w:val="bottom"/>
          </w:tcPr>
          <w:p>
            <w:pPr>
              <w:jc w:val="right"/>
              <w:spacing w:after="0"/>
              <w:rPr>
                <w:sz w:val="20"/>
                <w:szCs w:val="20"/>
                <w:color w:val="auto"/>
              </w:rPr>
            </w:pPr>
            <w:r>
              <w:rPr>
                <w:rFonts w:ascii="Arial" w:cs="Arial" w:eastAsia="Arial" w:hAnsi="Arial"/>
                <w:sz w:val="16"/>
                <w:szCs w:val="16"/>
                <w:color w:val="auto"/>
              </w:rPr>
              <w:t>11,048</w:t>
            </w:r>
          </w:p>
        </w:tc>
        <w:tc>
          <w:tcPr>
            <w:tcW w:w="0" w:type="dxa"/>
            <w:vAlign w:val="bottom"/>
          </w:tcPr>
          <w:p>
            <w:pPr>
              <w:spacing w:after="0"/>
              <w:rPr>
                <w:sz w:val="1"/>
                <w:szCs w:val="1"/>
                <w:color w:val="auto"/>
              </w:rPr>
            </w:pPr>
          </w:p>
        </w:tc>
      </w:tr>
      <w:tr>
        <w:trPr>
          <w:trHeight w:val="233"/>
        </w:trPr>
        <w:tc>
          <w:tcPr>
            <w:tcW w:w="724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0D64EF"/>
              </w:rPr>
              <w:t>Long-Term Liabilities of Discontinued Operations</w:t>
            </w:r>
          </w:p>
        </w:tc>
        <w:tc>
          <w:tcPr>
            <w:tcW w:w="22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w:t>
            </w:r>
          </w:p>
        </w:tc>
        <w:tc>
          <w:tcPr>
            <w:tcW w:w="0" w:type="dxa"/>
            <w:vAlign w:val="bottom"/>
          </w:tcPr>
          <w:p>
            <w:pPr>
              <w:spacing w:after="0"/>
              <w:rPr>
                <w:sz w:val="1"/>
                <w:szCs w:val="1"/>
                <w:color w:val="auto"/>
              </w:rPr>
            </w:pPr>
          </w:p>
        </w:tc>
      </w:tr>
      <w:tr>
        <w:trPr>
          <w:trHeight w:val="220"/>
        </w:trPr>
        <w:tc>
          <w:tcPr>
            <w:tcW w:w="3640" w:type="dxa"/>
            <w:vAlign w:val="bottom"/>
          </w:tcPr>
          <w:p>
            <w:pPr>
              <w:spacing w:after="0"/>
              <w:rPr>
                <w:sz w:val="19"/>
                <w:szCs w:val="19"/>
                <w:color w:val="auto"/>
              </w:rPr>
            </w:pPr>
          </w:p>
        </w:tc>
        <w:tc>
          <w:tcPr>
            <w:tcW w:w="3600" w:type="dxa"/>
            <w:vAlign w:val="bottom"/>
          </w:tcPr>
          <w:p>
            <w:pPr>
              <w:spacing w:after="0"/>
              <w:rPr>
                <w:sz w:val="19"/>
                <w:szCs w:val="19"/>
                <w:color w:val="auto"/>
              </w:rPr>
            </w:pPr>
          </w:p>
        </w:tc>
        <w:tc>
          <w:tcPr>
            <w:tcW w:w="2260" w:type="dxa"/>
            <w:vAlign w:val="bottom"/>
          </w:tcPr>
          <w:p>
            <w:pPr>
              <w:jc w:val="right"/>
              <w:ind w:right="239"/>
              <w:spacing w:after="0"/>
              <w:rPr>
                <w:sz w:val="20"/>
                <w:szCs w:val="20"/>
                <w:color w:val="auto"/>
              </w:rPr>
            </w:pPr>
            <w:r>
              <w:rPr>
                <w:rFonts w:ascii="Arial" w:cs="Arial" w:eastAsia="Arial" w:hAnsi="Arial"/>
                <w:sz w:val="16"/>
                <w:szCs w:val="16"/>
                <w:b w:val="1"/>
                <w:bCs w:val="1"/>
                <w:color w:val="auto"/>
              </w:rPr>
              <w:t>81,852</w:t>
            </w:r>
          </w:p>
        </w:tc>
        <w:tc>
          <w:tcPr>
            <w:tcW w:w="1740" w:type="dxa"/>
            <w:vAlign w:val="bottom"/>
          </w:tcPr>
          <w:p>
            <w:pPr>
              <w:jc w:val="right"/>
              <w:spacing w:after="0"/>
              <w:rPr>
                <w:sz w:val="20"/>
                <w:szCs w:val="20"/>
                <w:color w:val="auto"/>
              </w:rPr>
            </w:pPr>
            <w:r>
              <w:rPr>
                <w:rFonts w:ascii="Arial" w:cs="Arial" w:eastAsia="Arial" w:hAnsi="Arial"/>
                <w:sz w:val="16"/>
                <w:szCs w:val="16"/>
                <w:color w:val="auto"/>
              </w:rPr>
              <w:t>79,883</w:t>
            </w:r>
          </w:p>
        </w:tc>
        <w:tc>
          <w:tcPr>
            <w:tcW w:w="0" w:type="dxa"/>
            <w:vAlign w:val="bottom"/>
          </w:tcPr>
          <w:p>
            <w:pPr>
              <w:spacing w:after="0"/>
              <w:rPr>
                <w:sz w:val="1"/>
                <w:szCs w:val="1"/>
                <w:color w:val="auto"/>
              </w:rPr>
            </w:pPr>
          </w:p>
        </w:tc>
      </w:tr>
      <w:tr>
        <w:trPr>
          <w:trHeight w:val="229"/>
        </w:trPr>
        <w:tc>
          <w:tcPr>
            <w:tcW w:w="3640" w:type="dxa"/>
            <w:vAlign w:val="bottom"/>
          </w:tcPr>
          <w:p>
            <w:pPr>
              <w:ind w:left="20"/>
              <w:spacing w:after="0"/>
              <w:rPr>
                <w:sz w:val="20"/>
                <w:szCs w:val="20"/>
                <w:color w:val="auto"/>
              </w:rPr>
            </w:pPr>
            <w:r>
              <w:rPr>
                <w:rFonts w:ascii="Arial" w:cs="Arial" w:eastAsia="Arial" w:hAnsi="Arial"/>
                <w:sz w:val="16"/>
                <w:szCs w:val="16"/>
                <w:b w:val="1"/>
                <w:bCs w:val="1"/>
                <w:color w:val="0D64EF"/>
              </w:rPr>
              <w:t>EQUITY</w:t>
            </w:r>
          </w:p>
        </w:tc>
        <w:tc>
          <w:tcPr>
            <w:tcW w:w="360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40" w:type="dxa"/>
            <w:vAlign w:val="bottom"/>
          </w:tcPr>
          <w:p>
            <w:pPr>
              <w:ind w:left="20"/>
              <w:spacing w:after="0"/>
              <w:rPr>
                <w:sz w:val="20"/>
                <w:szCs w:val="20"/>
                <w:color w:val="auto"/>
              </w:rPr>
            </w:pPr>
            <w:r>
              <w:rPr>
                <w:rFonts w:ascii="Arial" w:cs="Arial" w:eastAsia="Arial" w:hAnsi="Arial"/>
                <w:sz w:val="16"/>
                <w:szCs w:val="16"/>
                <w:color w:val="auto"/>
              </w:rPr>
              <w:t>Common shares, no par value</w:t>
            </w:r>
          </w:p>
        </w:tc>
        <w:tc>
          <w:tcPr>
            <w:tcW w:w="3600" w:type="dxa"/>
            <w:vAlign w:val="bottom"/>
          </w:tcPr>
          <w:p>
            <w:pPr>
              <w:spacing w:after="0"/>
              <w:rPr>
                <w:sz w:val="19"/>
                <w:szCs w:val="19"/>
                <w:color w:val="auto"/>
              </w:rPr>
            </w:pPr>
          </w:p>
        </w:tc>
        <w:tc>
          <w:tcPr>
            <w:tcW w:w="2260" w:type="dxa"/>
            <w:vAlign w:val="bottom"/>
          </w:tcPr>
          <w:p>
            <w:pPr>
              <w:jc w:val="right"/>
              <w:ind w:right="239"/>
              <w:spacing w:after="0"/>
              <w:rPr>
                <w:sz w:val="20"/>
                <w:szCs w:val="20"/>
                <w:color w:val="auto"/>
              </w:rPr>
            </w:pPr>
            <w:r>
              <w:rPr>
                <w:rFonts w:ascii="Arial" w:cs="Arial" w:eastAsia="Arial" w:hAnsi="Arial"/>
                <w:sz w:val="16"/>
                <w:szCs w:val="16"/>
                <w:b w:val="1"/>
                <w:bCs w:val="1"/>
                <w:color w:val="auto"/>
              </w:rPr>
              <w:t>30,218</w:t>
            </w:r>
          </w:p>
        </w:tc>
        <w:tc>
          <w:tcPr>
            <w:tcW w:w="1740" w:type="dxa"/>
            <w:vAlign w:val="bottom"/>
          </w:tcPr>
          <w:p>
            <w:pPr>
              <w:jc w:val="right"/>
              <w:spacing w:after="0"/>
              <w:rPr>
                <w:sz w:val="20"/>
                <w:szCs w:val="20"/>
                <w:color w:val="auto"/>
              </w:rPr>
            </w:pPr>
            <w:r>
              <w:rPr>
                <w:rFonts w:ascii="Arial" w:cs="Arial" w:eastAsia="Arial" w:hAnsi="Arial"/>
                <w:sz w:val="16"/>
                <w:szCs w:val="16"/>
                <w:color w:val="auto"/>
              </w:rPr>
              <w:t>30,101</w:t>
            </w:r>
          </w:p>
        </w:tc>
        <w:tc>
          <w:tcPr>
            <w:tcW w:w="0" w:type="dxa"/>
            <w:vAlign w:val="bottom"/>
          </w:tcPr>
          <w:p>
            <w:pPr>
              <w:spacing w:after="0"/>
              <w:rPr>
                <w:sz w:val="1"/>
                <w:szCs w:val="1"/>
                <w:color w:val="auto"/>
              </w:rPr>
            </w:pPr>
          </w:p>
        </w:tc>
      </w:tr>
      <w:tr>
        <w:trPr>
          <w:trHeight w:val="196"/>
        </w:trPr>
        <w:tc>
          <w:tcPr>
            <w:tcW w:w="3640" w:type="dxa"/>
            <w:vAlign w:val="bottom"/>
          </w:tcPr>
          <w:p>
            <w:pPr>
              <w:ind w:left="180"/>
              <w:spacing w:after="0"/>
              <w:rPr>
                <w:sz w:val="20"/>
                <w:szCs w:val="20"/>
                <w:color w:val="auto"/>
              </w:rPr>
            </w:pPr>
            <w:r>
              <w:rPr>
                <w:rFonts w:ascii="Arial" w:cs="Arial" w:eastAsia="Arial" w:hAnsi="Arial"/>
                <w:sz w:val="16"/>
                <w:szCs w:val="16"/>
                <w:color w:val="auto"/>
              </w:rPr>
              <w:t>Issued and outstanding:</w:t>
            </w:r>
          </w:p>
        </w:tc>
        <w:tc>
          <w:tcPr>
            <w:tcW w:w="3600" w:type="dxa"/>
            <w:vAlign w:val="bottom"/>
          </w:tcPr>
          <w:p>
            <w:pPr>
              <w:ind w:left="20"/>
              <w:spacing w:after="0"/>
              <w:rPr>
                <w:sz w:val="20"/>
                <w:szCs w:val="20"/>
                <w:color w:val="auto"/>
              </w:rPr>
            </w:pPr>
            <w:r>
              <w:rPr>
                <w:rFonts w:ascii="Arial" w:cs="Arial" w:eastAsia="Arial" w:hAnsi="Arial"/>
                <w:sz w:val="16"/>
                <w:szCs w:val="16"/>
                <w:color w:val="auto"/>
              </w:rPr>
              <w:t>December 31, 2025 – 1,041 million shares</w:t>
            </w:r>
          </w:p>
        </w:tc>
        <w:tc>
          <w:tcPr>
            <w:tcW w:w="22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3640" w:type="dxa"/>
            <w:vAlign w:val="bottom"/>
          </w:tcPr>
          <w:p>
            <w:pPr>
              <w:spacing w:after="0"/>
              <w:rPr>
                <w:sz w:val="18"/>
                <w:szCs w:val="18"/>
                <w:color w:val="auto"/>
              </w:rPr>
            </w:pPr>
          </w:p>
        </w:tc>
        <w:tc>
          <w:tcPr>
            <w:tcW w:w="3600" w:type="dxa"/>
            <w:vAlign w:val="bottom"/>
          </w:tcPr>
          <w:p>
            <w:pPr>
              <w:ind w:left="20"/>
              <w:spacing w:after="0"/>
              <w:rPr>
                <w:sz w:val="20"/>
                <w:szCs w:val="20"/>
                <w:color w:val="auto"/>
              </w:rPr>
            </w:pPr>
            <w:r>
              <w:rPr>
                <w:rFonts w:ascii="Arial" w:cs="Arial" w:eastAsia="Arial" w:hAnsi="Arial"/>
                <w:sz w:val="16"/>
                <w:szCs w:val="16"/>
                <w:color w:val="auto"/>
              </w:rPr>
              <w:t>December 31, 2024 – 1,039 million shares</w:t>
            </w:r>
          </w:p>
        </w:tc>
        <w:tc>
          <w:tcPr>
            <w:tcW w:w="22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640" w:type="dxa"/>
            <w:vAlign w:val="bottom"/>
          </w:tcPr>
          <w:p>
            <w:pPr>
              <w:ind w:left="20"/>
              <w:spacing w:after="0"/>
              <w:rPr>
                <w:sz w:val="20"/>
                <w:szCs w:val="20"/>
                <w:color w:val="auto"/>
              </w:rPr>
            </w:pPr>
            <w:r>
              <w:rPr>
                <w:rFonts w:ascii="Arial" w:cs="Arial" w:eastAsia="Arial" w:hAnsi="Arial"/>
                <w:sz w:val="16"/>
                <w:szCs w:val="16"/>
                <w:color w:val="auto"/>
              </w:rPr>
              <w:t>Preferred shares</w:t>
            </w:r>
          </w:p>
        </w:tc>
        <w:tc>
          <w:tcPr>
            <w:tcW w:w="3600" w:type="dxa"/>
            <w:vAlign w:val="bottom"/>
          </w:tcPr>
          <w:p>
            <w:pPr>
              <w:spacing w:after="0"/>
              <w:rPr>
                <w:sz w:val="19"/>
                <w:szCs w:val="19"/>
                <w:color w:val="auto"/>
              </w:rPr>
            </w:pPr>
          </w:p>
        </w:tc>
        <w:tc>
          <w:tcPr>
            <w:tcW w:w="2260" w:type="dxa"/>
            <w:vAlign w:val="bottom"/>
          </w:tcPr>
          <w:p>
            <w:pPr>
              <w:jc w:val="right"/>
              <w:ind w:right="239"/>
              <w:spacing w:after="0"/>
              <w:rPr>
                <w:sz w:val="20"/>
                <w:szCs w:val="20"/>
                <w:color w:val="auto"/>
              </w:rPr>
            </w:pPr>
            <w:r>
              <w:rPr>
                <w:rFonts w:ascii="Arial" w:cs="Arial" w:eastAsia="Arial" w:hAnsi="Arial"/>
                <w:sz w:val="16"/>
                <w:szCs w:val="16"/>
                <w:b w:val="1"/>
                <w:bCs w:val="1"/>
                <w:color w:val="auto"/>
              </w:rPr>
              <w:t>2,255</w:t>
            </w:r>
          </w:p>
        </w:tc>
        <w:tc>
          <w:tcPr>
            <w:tcW w:w="1740" w:type="dxa"/>
            <w:vAlign w:val="bottom"/>
          </w:tcPr>
          <w:p>
            <w:pPr>
              <w:jc w:val="right"/>
              <w:spacing w:after="0"/>
              <w:rPr>
                <w:sz w:val="20"/>
                <w:szCs w:val="20"/>
                <w:color w:val="auto"/>
              </w:rPr>
            </w:pPr>
            <w:r>
              <w:rPr>
                <w:rFonts w:ascii="Arial" w:cs="Arial" w:eastAsia="Arial" w:hAnsi="Arial"/>
                <w:sz w:val="16"/>
                <w:szCs w:val="16"/>
                <w:color w:val="auto"/>
              </w:rPr>
              <w:t>2,499</w:t>
            </w:r>
          </w:p>
        </w:tc>
        <w:tc>
          <w:tcPr>
            <w:tcW w:w="0" w:type="dxa"/>
            <w:vAlign w:val="bottom"/>
          </w:tcPr>
          <w:p>
            <w:pPr>
              <w:spacing w:after="0"/>
              <w:rPr>
                <w:sz w:val="1"/>
                <w:szCs w:val="1"/>
                <w:color w:val="auto"/>
              </w:rPr>
            </w:pPr>
          </w:p>
        </w:tc>
      </w:tr>
      <w:tr>
        <w:trPr>
          <w:trHeight w:val="229"/>
        </w:trPr>
        <w:tc>
          <w:tcPr>
            <w:tcW w:w="3640" w:type="dxa"/>
            <w:vAlign w:val="bottom"/>
          </w:tcPr>
          <w:p>
            <w:pPr>
              <w:ind w:left="20"/>
              <w:spacing w:after="0"/>
              <w:rPr>
                <w:sz w:val="20"/>
                <w:szCs w:val="20"/>
                <w:color w:val="auto"/>
              </w:rPr>
            </w:pPr>
            <w:r>
              <w:rPr>
                <w:rFonts w:ascii="Arial" w:cs="Arial" w:eastAsia="Arial" w:hAnsi="Arial"/>
                <w:sz w:val="16"/>
                <w:szCs w:val="16"/>
                <w:color w:val="auto"/>
              </w:rPr>
              <w:t>Retained earnings (Accumulated deficit)</w:t>
            </w:r>
          </w:p>
        </w:tc>
        <w:tc>
          <w:tcPr>
            <w:tcW w:w="3600" w:type="dxa"/>
            <w:vAlign w:val="bottom"/>
          </w:tcPr>
          <w:p>
            <w:pPr>
              <w:spacing w:after="0"/>
              <w:rPr>
                <w:sz w:val="19"/>
                <w:szCs w:val="19"/>
                <w:color w:val="auto"/>
              </w:rPr>
            </w:pPr>
          </w:p>
        </w:tc>
        <w:tc>
          <w:tcPr>
            <w:tcW w:w="2260" w:type="dxa"/>
            <w:vAlign w:val="bottom"/>
          </w:tcPr>
          <w:p>
            <w:pPr>
              <w:jc w:val="right"/>
              <w:ind w:right="199"/>
              <w:spacing w:after="0"/>
              <w:rPr>
                <w:sz w:val="20"/>
                <w:szCs w:val="20"/>
                <w:color w:val="auto"/>
              </w:rPr>
            </w:pPr>
            <w:r>
              <w:rPr>
                <w:rFonts w:ascii="Arial" w:cs="Arial" w:eastAsia="Arial" w:hAnsi="Arial"/>
                <w:sz w:val="16"/>
                <w:szCs w:val="16"/>
                <w:b w:val="1"/>
                <w:bCs w:val="1"/>
                <w:color w:val="auto"/>
              </w:rPr>
              <w:t>(5,925)</w:t>
            </w:r>
          </w:p>
        </w:tc>
        <w:tc>
          <w:tcPr>
            <w:tcW w:w="1740" w:type="dxa"/>
            <w:vAlign w:val="bottom"/>
          </w:tcPr>
          <w:p>
            <w:pPr>
              <w:jc w:val="right"/>
              <w:spacing w:after="0"/>
              <w:rPr>
                <w:sz w:val="20"/>
                <w:szCs w:val="20"/>
                <w:color w:val="auto"/>
              </w:rPr>
            </w:pPr>
            <w:r>
              <w:rPr>
                <w:rFonts w:ascii="Arial" w:cs="Arial" w:eastAsia="Arial" w:hAnsi="Arial"/>
                <w:sz w:val="16"/>
                <w:szCs w:val="16"/>
                <w:color w:val="auto"/>
              </w:rPr>
              <w:t>(5,241)</w:t>
            </w:r>
          </w:p>
        </w:tc>
        <w:tc>
          <w:tcPr>
            <w:tcW w:w="0" w:type="dxa"/>
            <w:vAlign w:val="bottom"/>
          </w:tcPr>
          <w:p>
            <w:pPr>
              <w:spacing w:after="0"/>
              <w:rPr>
                <w:sz w:val="1"/>
                <w:szCs w:val="1"/>
                <w:color w:val="auto"/>
              </w:rPr>
            </w:pPr>
          </w:p>
        </w:tc>
      </w:tr>
      <w:tr>
        <w:trPr>
          <w:trHeight w:val="233"/>
        </w:trPr>
        <w:tc>
          <w:tcPr>
            <w:tcW w:w="36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Accumulated other comprehensive income (loss)</w:t>
            </w:r>
          </w:p>
        </w:tc>
        <w:tc>
          <w:tcPr>
            <w:tcW w:w="360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747</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233</w:t>
            </w:r>
          </w:p>
        </w:tc>
        <w:tc>
          <w:tcPr>
            <w:tcW w:w="0" w:type="dxa"/>
            <w:vAlign w:val="bottom"/>
          </w:tcPr>
          <w:p>
            <w:pPr>
              <w:spacing w:after="0"/>
              <w:rPr>
                <w:sz w:val="1"/>
                <w:szCs w:val="1"/>
                <w:color w:val="auto"/>
              </w:rPr>
            </w:pPr>
          </w:p>
        </w:tc>
      </w:tr>
      <w:tr>
        <w:trPr>
          <w:trHeight w:val="220"/>
        </w:trPr>
        <w:tc>
          <w:tcPr>
            <w:tcW w:w="3640" w:type="dxa"/>
            <w:vAlign w:val="bottom"/>
          </w:tcPr>
          <w:p>
            <w:pPr>
              <w:ind w:left="20"/>
              <w:spacing w:after="0"/>
              <w:rPr>
                <w:sz w:val="20"/>
                <w:szCs w:val="20"/>
                <w:color w:val="auto"/>
              </w:rPr>
            </w:pPr>
            <w:r>
              <w:rPr>
                <w:rFonts w:ascii="Arial" w:cs="Arial" w:eastAsia="Arial" w:hAnsi="Arial"/>
                <w:sz w:val="16"/>
                <w:szCs w:val="16"/>
                <w:b w:val="1"/>
                <w:bCs w:val="1"/>
                <w:color w:val="0D64EF"/>
              </w:rPr>
              <w:t>Controlling Interests</w:t>
            </w:r>
          </w:p>
        </w:tc>
        <w:tc>
          <w:tcPr>
            <w:tcW w:w="3600" w:type="dxa"/>
            <w:vAlign w:val="bottom"/>
          </w:tcPr>
          <w:p>
            <w:pPr>
              <w:spacing w:after="0"/>
              <w:rPr>
                <w:sz w:val="19"/>
                <w:szCs w:val="19"/>
                <w:color w:val="auto"/>
              </w:rPr>
            </w:pPr>
          </w:p>
        </w:tc>
        <w:tc>
          <w:tcPr>
            <w:tcW w:w="2260" w:type="dxa"/>
            <w:vAlign w:val="bottom"/>
          </w:tcPr>
          <w:p>
            <w:pPr>
              <w:jc w:val="right"/>
              <w:ind w:right="239"/>
              <w:spacing w:after="0"/>
              <w:rPr>
                <w:sz w:val="20"/>
                <w:szCs w:val="20"/>
                <w:color w:val="auto"/>
              </w:rPr>
            </w:pPr>
            <w:r>
              <w:rPr>
                <w:rFonts w:ascii="Arial" w:cs="Arial" w:eastAsia="Arial" w:hAnsi="Arial"/>
                <w:sz w:val="16"/>
                <w:szCs w:val="16"/>
                <w:b w:val="1"/>
                <w:bCs w:val="1"/>
                <w:color w:val="auto"/>
              </w:rPr>
              <w:t>27,295</w:t>
            </w:r>
          </w:p>
        </w:tc>
        <w:tc>
          <w:tcPr>
            <w:tcW w:w="1740" w:type="dxa"/>
            <w:vAlign w:val="bottom"/>
          </w:tcPr>
          <w:p>
            <w:pPr>
              <w:jc w:val="right"/>
              <w:spacing w:after="0"/>
              <w:rPr>
                <w:sz w:val="20"/>
                <w:szCs w:val="20"/>
                <w:color w:val="auto"/>
              </w:rPr>
            </w:pPr>
            <w:r>
              <w:rPr>
                <w:rFonts w:ascii="Arial" w:cs="Arial" w:eastAsia="Arial" w:hAnsi="Arial"/>
                <w:sz w:val="16"/>
                <w:szCs w:val="16"/>
                <w:color w:val="auto"/>
              </w:rPr>
              <w:t>27,592</w:t>
            </w:r>
          </w:p>
        </w:tc>
        <w:tc>
          <w:tcPr>
            <w:tcW w:w="0" w:type="dxa"/>
            <w:vAlign w:val="bottom"/>
          </w:tcPr>
          <w:p>
            <w:pPr>
              <w:spacing w:after="0"/>
              <w:rPr>
                <w:sz w:val="1"/>
                <w:szCs w:val="1"/>
                <w:color w:val="auto"/>
              </w:rPr>
            </w:pPr>
          </w:p>
        </w:tc>
      </w:tr>
      <w:tr>
        <w:trPr>
          <w:trHeight w:val="233"/>
        </w:trPr>
        <w:tc>
          <w:tcPr>
            <w:tcW w:w="36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0D64EF"/>
              </w:rPr>
              <w:t>Non-Controlling Interests</w:t>
            </w:r>
          </w:p>
        </w:tc>
        <w:tc>
          <w:tcPr>
            <w:tcW w:w="360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9,604</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10,768</w:t>
            </w:r>
          </w:p>
        </w:tc>
        <w:tc>
          <w:tcPr>
            <w:tcW w:w="0" w:type="dxa"/>
            <w:vAlign w:val="bottom"/>
          </w:tcPr>
          <w:p>
            <w:pPr>
              <w:spacing w:after="0"/>
              <w:rPr>
                <w:sz w:val="1"/>
                <w:szCs w:val="1"/>
                <w:color w:val="auto"/>
              </w:rPr>
            </w:pPr>
          </w:p>
        </w:tc>
      </w:tr>
      <w:tr>
        <w:trPr>
          <w:trHeight w:val="223"/>
        </w:trPr>
        <w:tc>
          <w:tcPr>
            <w:tcW w:w="3640" w:type="dxa"/>
            <w:vAlign w:val="bottom"/>
            <w:tcBorders>
              <w:bottom w:val="single" w:sz="8" w:color="auto"/>
            </w:tcBorders>
          </w:tcPr>
          <w:p>
            <w:pPr>
              <w:spacing w:after="0"/>
              <w:rPr>
                <w:sz w:val="19"/>
                <w:szCs w:val="19"/>
                <w:color w:val="auto"/>
              </w:rPr>
            </w:pPr>
          </w:p>
        </w:tc>
        <w:tc>
          <w:tcPr>
            <w:tcW w:w="3600" w:type="dxa"/>
            <w:vAlign w:val="bottom"/>
            <w:tcBorders>
              <w:bottom w:val="single" w:sz="8" w:color="auto"/>
            </w:tcBorders>
          </w:tcPr>
          <w:p>
            <w:pPr>
              <w:spacing w:after="0"/>
              <w:rPr>
                <w:sz w:val="19"/>
                <w:szCs w:val="19"/>
                <w:color w:val="auto"/>
              </w:rPr>
            </w:pPr>
          </w:p>
        </w:tc>
        <w:tc>
          <w:tcPr>
            <w:tcW w:w="22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36,899</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38,360</w:t>
            </w:r>
          </w:p>
        </w:tc>
        <w:tc>
          <w:tcPr>
            <w:tcW w:w="0" w:type="dxa"/>
            <w:vAlign w:val="bottom"/>
          </w:tcPr>
          <w:p>
            <w:pPr>
              <w:spacing w:after="0"/>
              <w:rPr>
                <w:sz w:val="1"/>
                <w:szCs w:val="1"/>
                <w:color w:val="auto"/>
              </w:rPr>
            </w:pPr>
          </w:p>
        </w:tc>
      </w:tr>
      <w:tr>
        <w:trPr>
          <w:trHeight w:val="223"/>
        </w:trPr>
        <w:tc>
          <w:tcPr>
            <w:tcW w:w="3640" w:type="dxa"/>
            <w:vAlign w:val="bottom"/>
            <w:tcBorders>
              <w:bottom w:val="single" w:sz="8" w:color="auto"/>
            </w:tcBorders>
          </w:tcPr>
          <w:p>
            <w:pPr>
              <w:spacing w:after="0"/>
              <w:rPr>
                <w:sz w:val="19"/>
                <w:szCs w:val="19"/>
                <w:color w:val="auto"/>
              </w:rPr>
            </w:pPr>
          </w:p>
        </w:tc>
        <w:tc>
          <w:tcPr>
            <w:tcW w:w="3600" w:type="dxa"/>
            <w:vAlign w:val="bottom"/>
            <w:tcBorders>
              <w:bottom w:val="single" w:sz="8" w:color="auto"/>
            </w:tcBorders>
          </w:tcPr>
          <w:p>
            <w:pPr>
              <w:spacing w:after="0"/>
              <w:rPr>
                <w:sz w:val="19"/>
                <w:szCs w:val="19"/>
                <w:color w:val="auto"/>
              </w:rPr>
            </w:pPr>
          </w:p>
        </w:tc>
        <w:tc>
          <w:tcPr>
            <w:tcW w:w="22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118,751</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118,243</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35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34 | TC Energy </w:t>
      </w:r>
      <w:r>
        <w:rPr>
          <w:rFonts w:ascii="Arial" w:cs="Arial" w:eastAsia="Arial" w:hAnsi="Arial"/>
          <w:sz w:val="18"/>
          <w:szCs w:val="18"/>
          <w:b w:val="1"/>
          <w:bCs w:val="1"/>
          <w:color w:val="0D64EF"/>
        </w:rPr>
        <w:t>Fourth Quarter</w:t>
      </w:r>
      <w:r>
        <w:rPr>
          <w:rFonts w:ascii="Arial" w:cs="Arial" w:eastAsia="Arial" w:hAnsi="Arial"/>
          <w:sz w:val="18"/>
          <w:szCs w:val="18"/>
          <w:color w:val="auto"/>
        </w:rPr>
        <w:t xml:space="preserve"> News Release 2025</w:t>
      </w:r>
    </w:p>
    <w:p>
      <w:pPr>
        <w:sectPr>
          <w:pgSz w:w="11900" w:h="16838" w:orient="portrait"/>
          <w:cols w:equalWidth="0" w:num="1">
            <w:col w:w="11240"/>
          </w:cols>
          <w:pgMar w:left="320" w:top="1359" w:right="339" w:bottom="1440" w:gutter="0" w:footer="0" w:header="0"/>
          <w:type w:val="continuous"/>
        </w:sectPr>
      </w:pPr>
    </w:p>
    <w:bookmarkStart w:id="47" w:name="page48"/>
    <w:bookmarkEnd w:id="47"/>
    <w:p>
      <w:pPr>
        <w:spacing w:after="0"/>
        <w:rPr>
          <w:sz w:val="20"/>
          <w:szCs w:val="20"/>
          <w:color w:val="auto"/>
        </w:rPr>
      </w:pPr>
      <w:r>
        <w:rPr>
          <w:rFonts w:ascii="Arial" w:cs="Arial" w:eastAsia="Arial" w:hAnsi="Arial"/>
          <w:sz w:val="25"/>
          <w:szCs w:val="25"/>
          <w:color w:val="0D64EF"/>
        </w:rPr>
        <w:t>SEGMENTED INFORMATION</w:t>
      </w:r>
    </w:p>
    <w:p>
      <w:pPr>
        <w:spacing w:after="0" w:line="148" w:lineRule="exact"/>
        <w:rPr>
          <w:sz w:val="20"/>
          <w:szCs w:val="20"/>
          <w:color w:val="auto"/>
        </w:rPr>
      </w:pPr>
    </w:p>
    <w:p>
      <w:pPr>
        <w:ind w:right="160"/>
        <w:spacing w:after="0" w:line="323" w:lineRule="auto"/>
        <w:rPr>
          <w:sz w:val="20"/>
          <w:szCs w:val="20"/>
          <w:color w:val="auto"/>
        </w:rPr>
      </w:pPr>
      <w:r>
        <w:rPr>
          <w:rFonts w:ascii="Arial" w:cs="Arial" w:eastAsia="Arial" w:hAnsi="Arial"/>
          <w:sz w:val="18"/>
          <w:szCs w:val="18"/>
          <w:color w:val="auto"/>
        </w:rPr>
        <w:t>The Company's chief operating decision maker is the President and Chief Executive Officer. The chief operating decision maker uses segmented earnings (losses) to assess the performance of the business segments, assist with capital investment decisions and benchmark to TC Energy's competitors.</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color w:val="auto"/>
        </w:rPr>
        <w:t>Information regarding the Company's business segments is as follows:</w:t>
      </w:r>
    </w:p>
    <w:p>
      <w:pPr>
        <w:spacing w:after="0" w:line="143" w:lineRule="exact"/>
        <w:rPr>
          <w:sz w:val="20"/>
          <w:szCs w:val="20"/>
          <w:color w:val="auto"/>
        </w:rPr>
      </w:pPr>
    </w:p>
    <w:tbl>
      <w:tblPr>
        <w:tblLayout w:type="fixed"/>
        <w:tblInd w:w="20" w:type="dxa"/>
        <w:tblCellMar>
          <w:top w:w="0" w:type="dxa"/>
          <w:left w:w="0" w:type="dxa"/>
          <w:bottom w:w="0" w:type="dxa"/>
          <w:right w:w="0" w:type="dxa"/>
        </w:tblCellMar>
      </w:tblPr>
      <w:tr>
        <w:trPr>
          <w:trHeight w:val="188"/>
        </w:trPr>
        <w:tc>
          <w:tcPr>
            <w:tcW w:w="4680" w:type="dxa"/>
            <w:vAlign w:val="bottom"/>
            <w:tcBorders>
              <w:top w:val="single" w:sz="8" w:color="0D64EF"/>
            </w:tcBorders>
            <w:shd w:val="clear" w:color="auto" w:fill="D1D0CF"/>
          </w:tcPr>
          <w:p>
            <w:pPr>
              <w:ind w:left="20"/>
              <w:spacing w:after="0"/>
              <w:rPr>
                <w:sz w:val="20"/>
                <w:szCs w:val="20"/>
                <w:color w:val="auto"/>
              </w:rPr>
            </w:pPr>
            <w:r>
              <w:rPr>
                <w:rFonts w:ascii="Arial" w:cs="Arial" w:eastAsia="Arial" w:hAnsi="Arial"/>
                <w:sz w:val="16"/>
                <w:szCs w:val="16"/>
                <w:b w:val="1"/>
                <w:bCs w:val="1"/>
                <w:color w:val="auto"/>
              </w:rPr>
              <w:t>three months ended</w:t>
            </w:r>
          </w:p>
        </w:tc>
        <w:tc>
          <w:tcPr>
            <w:tcW w:w="1060" w:type="dxa"/>
            <w:vAlign w:val="bottom"/>
            <w:tcBorders>
              <w:top w:val="single" w:sz="8" w:color="0D64EF"/>
            </w:tcBorders>
            <w:shd w:val="clear" w:color="auto" w:fill="D1D0CF"/>
          </w:tcPr>
          <w:p>
            <w:pPr>
              <w:spacing w:after="0"/>
              <w:rPr>
                <w:sz w:val="16"/>
                <w:szCs w:val="16"/>
                <w:color w:val="auto"/>
              </w:rPr>
            </w:pPr>
          </w:p>
        </w:tc>
        <w:tc>
          <w:tcPr>
            <w:tcW w:w="1100" w:type="dxa"/>
            <w:vAlign w:val="bottom"/>
            <w:tcBorders>
              <w:top w:val="single" w:sz="8" w:color="0D64EF"/>
            </w:tcBorders>
            <w:shd w:val="clear" w:color="auto" w:fill="D1D0CF"/>
          </w:tcPr>
          <w:p>
            <w:pPr>
              <w:spacing w:after="0"/>
              <w:rPr>
                <w:sz w:val="16"/>
                <w:szCs w:val="16"/>
                <w:color w:val="auto"/>
              </w:rPr>
            </w:pPr>
          </w:p>
        </w:tc>
        <w:tc>
          <w:tcPr>
            <w:tcW w:w="1140" w:type="dxa"/>
            <w:vAlign w:val="bottom"/>
            <w:tcBorders>
              <w:top w:val="single" w:sz="8" w:color="0D64EF"/>
            </w:tcBorders>
            <w:shd w:val="clear" w:color="auto" w:fill="D1D0CF"/>
          </w:tcPr>
          <w:p>
            <w:pPr>
              <w:spacing w:after="0"/>
              <w:rPr>
                <w:sz w:val="16"/>
                <w:szCs w:val="16"/>
                <w:color w:val="auto"/>
              </w:rPr>
            </w:pPr>
          </w:p>
        </w:tc>
        <w:tc>
          <w:tcPr>
            <w:tcW w:w="980" w:type="dxa"/>
            <w:vAlign w:val="bottom"/>
            <w:tcBorders>
              <w:top w:val="single" w:sz="8" w:color="0D64EF"/>
            </w:tcBorders>
            <w:shd w:val="clear" w:color="auto" w:fill="D1D0CF"/>
          </w:tcPr>
          <w:p>
            <w:pPr>
              <w:spacing w:after="0"/>
              <w:rPr>
                <w:sz w:val="16"/>
                <w:szCs w:val="16"/>
                <w:color w:val="auto"/>
              </w:rPr>
            </w:pPr>
          </w:p>
        </w:tc>
        <w:tc>
          <w:tcPr>
            <w:tcW w:w="1260" w:type="dxa"/>
            <w:vAlign w:val="bottom"/>
            <w:tcBorders>
              <w:top w:val="single" w:sz="8" w:color="0D64EF"/>
            </w:tcBorders>
            <w:shd w:val="clear" w:color="auto" w:fill="D1D0CF"/>
          </w:tcPr>
          <w:p>
            <w:pPr>
              <w:spacing w:after="0"/>
              <w:rPr>
                <w:sz w:val="16"/>
                <w:szCs w:val="16"/>
                <w:color w:val="auto"/>
              </w:rPr>
            </w:pPr>
          </w:p>
        </w:tc>
        <w:tc>
          <w:tcPr>
            <w:tcW w:w="980" w:type="dxa"/>
            <w:vAlign w:val="bottom"/>
            <w:tcBorders>
              <w:top w:val="single" w:sz="8" w:color="0D64EF"/>
            </w:tcBorders>
            <w:shd w:val="clear" w:color="auto" w:fill="D1D0CF"/>
          </w:tcPr>
          <w:p>
            <w:pPr>
              <w:spacing w:after="0"/>
              <w:rPr>
                <w:sz w:val="16"/>
                <w:szCs w:val="16"/>
                <w:color w:val="auto"/>
              </w:rPr>
            </w:pPr>
          </w:p>
        </w:tc>
      </w:tr>
      <w:tr>
        <w:trPr>
          <w:trHeight w:val="189"/>
        </w:trPr>
        <w:tc>
          <w:tcPr>
            <w:tcW w:w="4680" w:type="dxa"/>
            <w:vAlign w:val="bottom"/>
            <w:shd w:val="clear" w:color="auto" w:fill="D1D0CF"/>
          </w:tcPr>
          <w:p>
            <w:pPr>
              <w:ind w:left="20"/>
              <w:spacing w:after="0"/>
              <w:rPr>
                <w:sz w:val="20"/>
                <w:szCs w:val="20"/>
                <w:color w:val="auto"/>
              </w:rPr>
            </w:pPr>
            <w:r>
              <w:rPr>
                <w:rFonts w:ascii="Arial" w:cs="Arial" w:eastAsia="Arial" w:hAnsi="Arial"/>
                <w:sz w:val="16"/>
                <w:szCs w:val="16"/>
                <w:b w:val="1"/>
                <w:bCs w:val="1"/>
                <w:color w:val="auto"/>
              </w:rPr>
              <w:t>December 31, 2025</w:t>
            </w:r>
          </w:p>
        </w:tc>
        <w:tc>
          <w:tcPr>
            <w:tcW w:w="1060" w:type="dxa"/>
            <w:vAlign w:val="bottom"/>
            <w:shd w:val="clear" w:color="auto" w:fill="D1D0CF"/>
          </w:tcPr>
          <w:p>
            <w:pPr>
              <w:jc w:val="right"/>
              <w:spacing w:after="0"/>
              <w:rPr>
                <w:sz w:val="20"/>
                <w:szCs w:val="20"/>
                <w:color w:val="auto"/>
              </w:rPr>
            </w:pPr>
            <w:r>
              <w:rPr>
                <w:rFonts w:ascii="Arial" w:cs="Arial" w:eastAsia="Arial" w:hAnsi="Arial"/>
                <w:sz w:val="16"/>
                <w:szCs w:val="16"/>
                <w:b w:val="1"/>
                <w:bCs w:val="1"/>
                <w:color w:val="auto"/>
              </w:rPr>
              <w:t>Canadian</w:t>
            </w:r>
          </w:p>
        </w:tc>
        <w:tc>
          <w:tcPr>
            <w:tcW w:w="1100" w:type="dxa"/>
            <w:vAlign w:val="bottom"/>
            <w:shd w:val="clear" w:color="auto" w:fill="D1D0CF"/>
          </w:tcPr>
          <w:p>
            <w:pPr>
              <w:jc w:val="right"/>
              <w:ind w:right="19"/>
              <w:spacing w:after="0"/>
              <w:rPr>
                <w:sz w:val="20"/>
                <w:szCs w:val="20"/>
                <w:color w:val="auto"/>
              </w:rPr>
            </w:pPr>
            <w:r>
              <w:rPr>
                <w:rFonts w:ascii="Arial" w:cs="Arial" w:eastAsia="Arial" w:hAnsi="Arial"/>
                <w:sz w:val="16"/>
                <w:szCs w:val="16"/>
                <w:b w:val="1"/>
                <w:bCs w:val="1"/>
                <w:color w:val="auto"/>
              </w:rPr>
              <w:t>U.S. Natural</w:t>
            </w:r>
          </w:p>
        </w:tc>
        <w:tc>
          <w:tcPr>
            <w:tcW w:w="1140" w:type="dxa"/>
            <w:vAlign w:val="bottom"/>
            <w:shd w:val="clear" w:color="auto" w:fill="D1D0CF"/>
          </w:tcPr>
          <w:p>
            <w:pPr>
              <w:jc w:val="right"/>
              <w:ind w:right="59"/>
              <w:spacing w:after="0"/>
              <w:rPr>
                <w:sz w:val="20"/>
                <w:szCs w:val="20"/>
                <w:color w:val="auto"/>
              </w:rPr>
            </w:pPr>
            <w:r>
              <w:rPr>
                <w:rFonts w:ascii="Arial" w:cs="Arial" w:eastAsia="Arial" w:hAnsi="Arial"/>
                <w:sz w:val="16"/>
                <w:szCs w:val="16"/>
                <w:b w:val="1"/>
                <w:bCs w:val="1"/>
                <w:color w:val="auto"/>
              </w:rPr>
              <w:t>Mexico</w:t>
            </w:r>
          </w:p>
        </w:tc>
        <w:tc>
          <w:tcPr>
            <w:tcW w:w="980" w:type="dxa"/>
            <w:vAlign w:val="bottom"/>
            <w:shd w:val="clear" w:color="auto" w:fill="D1D0CF"/>
          </w:tcPr>
          <w:p>
            <w:pPr>
              <w:jc w:val="right"/>
              <w:spacing w:after="0"/>
              <w:rPr>
                <w:sz w:val="20"/>
                <w:szCs w:val="20"/>
                <w:color w:val="auto"/>
              </w:rPr>
            </w:pPr>
            <w:r>
              <w:rPr>
                <w:rFonts w:ascii="Arial" w:cs="Arial" w:eastAsia="Arial" w:hAnsi="Arial"/>
                <w:sz w:val="16"/>
                <w:szCs w:val="16"/>
                <w:b w:val="1"/>
                <w:bCs w:val="1"/>
                <w:color w:val="auto"/>
              </w:rPr>
              <w:t>Power and</w:t>
            </w:r>
          </w:p>
        </w:tc>
        <w:tc>
          <w:tcPr>
            <w:tcW w:w="1260" w:type="dxa"/>
            <w:vAlign w:val="bottom"/>
            <w:shd w:val="clear" w:color="auto" w:fill="D1D0CF"/>
          </w:tcPr>
          <w:p>
            <w:pPr>
              <w:spacing w:after="0"/>
              <w:rPr>
                <w:sz w:val="16"/>
                <w:szCs w:val="16"/>
                <w:color w:val="auto"/>
              </w:rPr>
            </w:pPr>
          </w:p>
        </w:tc>
        <w:tc>
          <w:tcPr>
            <w:tcW w:w="980" w:type="dxa"/>
            <w:vAlign w:val="bottom"/>
            <w:shd w:val="clear" w:color="auto" w:fill="D1D0CF"/>
          </w:tcPr>
          <w:p>
            <w:pPr>
              <w:spacing w:after="0"/>
              <w:rPr>
                <w:sz w:val="16"/>
                <w:szCs w:val="16"/>
                <w:color w:val="auto"/>
              </w:rPr>
            </w:pPr>
          </w:p>
        </w:tc>
      </w:tr>
      <w:tr>
        <w:trPr>
          <w:trHeight w:val="175"/>
        </w:trPr>
        <w:tc>
          <w:tcPr>
            <w:tcW w:w="4680" w:type="dxa"/>
            <w:vAlign w:val="bottom"/>
            <w:shd w:val="clear" w:color="auto" w:fill="D1D0CF"/>
          </w:tcPr>
          <w:p>
            <w:pPr>
              <w:spacing w:after="0"/>
              <w:rPr>
                <w:sz w:val="15"/>
                <w:szCs w:val="15"/>
                <w:color w:val="auto"/>
              </w:rPr>
            </w:pPr>
          </w:p>
        </w:tc>
        <w:tc>
          <w:tcPr>
            <w:tcW w:w="1060" w:type="dxa"/>
            <w:vAlign w:val="bottom"/>
            <w:shd w:val="clear" w:color="auto" w:fill="D1D0CF"/>
          </w:tcPr>
          <w:p>
            <w:pPr>
              <w:jc w:val="right"/>
              <w:spacing w:after="0" w:line="175" w:lineRule="exact"/>
              <w:rPr>
                <w:sz w:val="20"/>
                <w:szCs w:val="20"/>
                <w:color w:val="auto"/>
              </w:rPr>
            </w:pPr>
            <w:r>
              <w:rPr>
                <w:rFonts w:ascii="Arial" w:cs="Arial" w:eastAsia="Arial" w:hAnsi="Arial"/>
                <w:sz w:val="16"/>
                <w:szCs w:val="16"/>
                <w:b w:val="1"/>
                <w:bCs w:val="1"/>
                <w:color w:val="auto"/>
              </w:rPr>
              <w:t>Natural Gas</w:t>
            </w:r>
          </w:p>
        </w:tc>
        <w:tc>
          <w:tcPr>
            <w:tcW w:w="1100" w:type="dxa"/>
            <w:vAlign w:val="bottom"/>
            <w:shd w:val="clear" w:color="auto" w:fill="D1D0CF"/>
          </w:tcPr>
          <w:p>
            <w:pPr>
              <w:jc w:val="right"/>
              <w:ind w:right="19"/>
              <w:spacing w:after="0" w:line="175" w:lineRule="exact"/>
              <w:rPr>
                <w:sz w:val="20"/>
                <w:szCs w:val="20"/>
                <w:color w:val="auto"/>
              </w:rPr>
            </w:pPr>
            <w:r>
              <w:rPr>
                <w:rFonts w:ascii="Arial" w:cs="Arial" w:eastAsia="Arial" w:hAnsi="Arial"/>
                <w:sz w:val="16"/>
                <w:szCs w:val="16"/>
                <w:b w:val="1"/>
                <w:bCs w:val="1"/>
                <w:color w:val="auto"/>
              </w:rPr>
              <w:t>Gas</w:t>
            </w:r>
          </w:p>
        </w:tc>
        <w:tc>
          <w:tcPr>
            <w:tcW w:w="1140" w:type="dxa"/>
            <w:vAlign w:val="bottom"/>
            <w:shd w:val="clear" w:color="auto" w:fill="D1D0CF"/>
          </w:tcPr>
          <w:p>
            <w:pPr>
              <w:jc w:val="right"/>
              <w:ind w:right="59"/>
              <w:spacing w:after="0" w:line="175" w:lineRule="exact"/>
              <w:rPr>
                <w:sz w:val="20"/>
                <w:szCs w:val="20"/>
                <w:color w:val="auto"/>
              </w:rPr>
            </w:pPr>
            <w:r>
              <w:rPr>
                <w:rFonts w:ascii="Arial" w:cs="Arial" w:eastAsia="Arial" w:hAnsi="Arial"/>
                <w:sz w:val="16"/>
                <w:szCs w:val="16"/>
                <w:b w:val="1"/>
                <w:bCs w:val="1"/>
                <w:color w:val="auto"/>
              </w:rPr>
              <w:t>Natural Gas</w:t>
            </w:r>
          </w:p>
        </w:tc>
        <w:tc>
          <w:tcPr>
            <w:tcW w:w="980" w:type="dxa"/>
            <w:vAlign w:val="bottom"/>
            <w:shd w:val="clear" w:color="auto" w:fill="D1D0CF"/>
          </w:tcPr>
          <w:p>
            <w:pPr>
              <w:jc w:val="right"/>
              <w:spacing w:after="0" w:line="175" w:lineRule="exact"/>
              <w:rPr>
                <w:sz w:val="20"/>
                <w:szCs w:val="20"/>
                <w:color w:val="auto"/>
              </w:rPr>
            </w:pPr>
            <w:r>
              <w:rPr>
                <w:rFonts w:ascii="Arial" w:cs="Arial" w:eastAsia="Arial" w:hAnsi="Arial"/>
                <w:sz w:val="16"/>
                <w:szCs w:val="16"/>
                <w:b w:val="1"/>
                <w:bCs w:val="1"/>
                <w:color w:val="auto"/>
              </w:rPr>
              <w:t>Energy</w:t>
            </w:r>
          </w:p>
        </w:tc>
        <w:tc>
          <w:tcPr>
            <w:tcW w:w="1260" w:type="dxa"/>
            <w:vAlign w:val="bottom"/>
            <w:shd w:val="clear" w:color="auto" w:fill="D1D0CF"/>
          </w:tcPr>
          <w:p>
            <w:pPr>
              <w:spacing w:after="0"/>
              <w:rPr>
                <w:sz w:val="15"/>
                <w:szCs w:val="15"/>
                <w:color w:val="auto"/>
              </w:rPr>
            </w:pPr>
          </w:p>
        </w:tc>
        <w:tc>
          <w:tcPr>
            <w:tcW w:w="980" w:type="dxa"/>
            <w:vAlign w:val="bottom"/>
            <w:shd w:val="clear" w:color="auto" w:fill="D1D0CF"/>
          </w:tcPr>
          <w:p>
            <w:pPr>
              <w:spacing w:after="0"/>
              <w:rPr>
                <w:sz w:val="15"/>
                <w:szCs w:val="15"/>
                <w:color w:val="auto"/>
              </w:rPr>
            </w:pPr>
          </w:p>
        </w:tc>
      </w:tr>
      <w:tr>
        <w:trPr>
          <w:trHeight w:val="244"/>
        </w:trPr>
        <w:tc>
          <w:tcPr>
            <w:tcW w:w="4680" w:type="dxa"/>
            <w:vAlign w:val="bottom"/>
            <w:tcBorders>
              <w:bottom w:val="single" w:sz="8" w:color="0D64EF"/>
            </w:tcBorders>
            <w:shd w:val="clear" w:color="auto" w:fill="D1D0CF"/>
          </w:tcPr>
          <w:p>
            <w:pPr>
              <w:ind w:left="20"/>
              <w:spacing w:after="0"/>
              <w:rPr>
                <w:sz w:val="20"/>
                <w:szCs w:val="20"/>
                <w:color w:val="auto"/>
              </w:rPr>
            </w:pPr>
            <w:r>
              <w:rPr>
                <w:rFonts w:ascii="Arial" w:cs="Arial" w:eastAsia="Arial" w:hAnsi="Arial"/>
                <w:sz w:val="16"/>
                <w:szCs w:val="16"/>
                <w:color w:val="auto"/>
              </w:rPr>
              <w:t>(unaudited - millions of Canadian $)</w:t>
            </w:r>
          </w:p>
        </w:tc>
        <w:tc>
          <w:tcPr>
            <w:tcW w:w="1060" w:type="dxa"/>
            <w:vAlign w:val="bottom"/>
            <w:tcBorders>
              <w:bottom w:val="single" w:sz="8" w:color="0D64EF"/>
            </w:tcBorders>
            <w:shd w:val="clear" w:color="auto" w:fill="D1D0CF"/>
          </w:tcPr>
          <w:p>
            <w:pPr>
              <w:jc w:val="right"/>
              <w:spacing w:after="0"/>
              <w:rPr>
                <w:sz w:val="20"/>
                <w:szCs w:val="20"/>
                <w:color w:val="auto"/>
              </w:rPr>
            </w:pPr>
            <w:r>
              <w:rPr>
                <w:rFonts w:ascii="Arial" w:cs="Arial" w:eastAsia="Arial" w:hAnsi="Arial"/>
                <w:sz w:val="16"/>
                <w:szCs w:val="16"/>
                <w:b w:val="1"/>
                <w:bCs w:val="1"/>
                <w:color w:val="auto"/>
              </w:rPr>
              <w:t>Pipelines</w:t>
            </w:r>
          </w:p>
        </w:tc>
        <w:tc>
          <w:tcPr>
            <w:tcW w:w="1100" w:type="dxa"/>
            <w:vAlign w:val="bottom"/>
            <w:tcBorders>
              <w:bottom w:val="single" w:sz="8" w:color="0D64EF"/>
            </w:tcBorders>
            <w:shd w:val="clear" w:color="auto" w:fill="D1D0CF"/>
          </w:tcPr>
          <w:p>
            <w:pPr>
              <w:jc w:val="right"/>
              <w:ind w:right="19"/>
              <w:spacing w:after="0"/>
              <w:rPr>
                <w:sz w:val="20"/>
                <w:szCs w:val="20"/>
                <w:color w:val="auto"/>
              </w:rPr>
            </w:pPr>
            <w:r>
              <w:rPr>
                <w:rFonts w:ascii="Arial" w:cs="Arial" w:eastAsia="Arial" w:hAnsi="Arial"/>
                <w:sz w:val="16"/>
                <w:szCs w:val="16"/>
                <w:b w:val="1"/>
                <w:bCs w:val="1"/>
                <w:color w:val="auto"/>
              </w:rPr>
              <w:t>Pipelines</w:t>
            </w:r>
          </w:p>
        </w:tc>
        <w:tc>
          <w:tcPr>
            <w:tcW w:w="1140" w:type="dxa"/>
            <w:vAlign w:val="bottom"/>
            <w:tcBorders>
              <w:bottom w:val="single" w:sz="8" w:color="0D64EF"/>
            </w:tcBorders>
            <w:shd w:val="clear" w:color="auto" w:fill="D1D0CF"/>
          </w:tcPr>
          <w:p>
            <w:pPr>
              <w:jc w:val="right"/>
              <w:ind w:right="59"/>
              <w:spacing w:after="0"/>
              <w:rPr>
                <w:sz w:val="20"/>
                <w:szCs w:val="20"/>
                <w:color w:val="auto"/>
              </w:rPr>
            </w:pPr>
            <w:r>
              <w:rPr>
                <w:rFonts w:ascii="Arial" w:cs="Arial" w:eastAsia="Arial" w:hAnsi="Arial"/>
                <w:sz w:val="16"/>
                <w:szCs w:val="16"/>
                <w:b w:val="1"/>
                <w:bCs w:val="1"/>
                <w:color w:val="auto"/>
              </w:rPr>
              <w:t>Pipelines</w:t>
            </w:r>
          </w:p>
        </w:tc>
        <w:tc>
          <w:tcPr>
            <w:tcW w:w="980" w:type="dxa"/>
            <w:vAlign w:val="bottom"/>
            <w:tcBorders>
              <w:bottom w:val="single" w:sz="8" w:color="0D64EF"/>
            </w:tcBorders>
            <w:shd w:val="clear" w:color="auto" w:fill="D1D0CF"/>
          </w:tcPr>
          <w:p>
            <w:pPr>
              <w:jc w:val="right"/>
              <w:spacing w:after="0"/>
              <w:rPr>
                <w:sz w:val="20"/>
                <w:szCs w:val="20"/>
                <w:color w:val="auto"/>
              </w:rPr>
            </w:pPr>
            <w:r>
              <w:rPr>
                <w:rFonts w:ascii="Arial" w:cs="Arial" w:eastAsia="Arial" w:hAnsi="Arial"/>
                <w:sz w:val="16"/>
                <w:szCs w:val="16"/>
                <w:b w:val="1"/>
                <w:bCs w:val="1"/>
                <w:color w:val="auto"/>
              </w:rPr>
              <w:t>Solutions</w:t>
            </w:r>
          </w:p>
        </w:tc>
        <w:tc>
          <w:tcPr>
            <w:tcW w:w="1260" w:type="dxa"/>
            <w:vAlign w:val="bottom"/>
            <w:tcBorders>
              <w:bottom w:val="single" w:sz="8" w:color="0D64EF"/>
            </w:tcBorders>
            <w:shd w:val="clear" w:color="auto" w:fill="D1D0CF"/>
          </w:tcPr>
          <w:p>
            <w:pPr>
              <w:jc w:val="right"/>
              <w:spacing w:after="0"/>
              <w:rPr>
                <w:sz w:val="20"/>
                <w:szCs w:val="20"/>
                <w:color w:val="auto"/>
              </w:rPr>
            </w:pPr>
            <w:r>
              <w:rPr>
                <w:rFonts w:ascii="Arial" w:cs="Arial" w:eastAsia="Arial" w:hAnsi="Arial"/>
                <w:sz w:val="16"/>
                <w:szCs w:val="16"/>
                <w:b w:val="1"/>
                <w:bCs w:val="1"/>
                <w:color w:val="auto"/>
              </w:rPr>
              <w:t>Corporate</w:t>
            </w:r>
            <w:r>
              <w:rPr>
                <w:rFonts w:ascii="Arial" w:cs="Arial" w:eastAsia="Arial" w:hAnsi="Arial"/>
                <w:sz w:val="21"/>
                <w:szCs w:val="21"/>
                <w:color w:val="auto"/>
                <w:vertAlign w:val="superscript"/>
              </w:rPr>
              <w:t>1</w:t>
            </w:r>
          </w:p>
        </w:tc>
        <w:tc>
          <w:tcPr>
            <w:tcW w:w="980" w:type="dxa"/>
            <w:vAlign w:val="bottom"/>
            <w:tcBorders>
              <w:bottom w:val="single" w:sz="8" w:color="0D64EF"/>
            </w:tcBorders>
            <w:shd w:val="clear" w:color="auto" w:fill="D1D0CF"/>
          </w:tcPr>
          <w:p>
            <w:pPr>
              <w:jc w:val="right"/>
              <w:spacing w:after="0"/>
              <w:rPr>
                <w:sz w:val="20"/>
                <w:szCs w:val="20"/>
                <w:color w:val="auto"/>
              </w:rPr>
            </w:pPr>
            <w:r>
              <w:rPr>
                <w:rFonts w:ascii="Arial" w:cs="Arial" w:eastAsia="Arial" w:hAnsi="Arial"/>
                <w:sz w:val="16"/>
                <w:szCs w:val="16"/>
                <w:b w:val="1"/>
                <w:bCs w:val="1"/>
                <w:color w:val="auto"/>
              </w:rPr>
              <w:t>Total</w:t>
            </w:r>
          </w:p>
        </w:tc>
      </w:tr>
      <w:tr>
        <w:trPr>
          <w:trHeight w:val="256"/>
        </w:trPr>
        <w:tc>
          <w:tcPr>
            <w:tcW w:w="4680" w:type="dxa"/>
            <w:vAlign w:val="bottom"/>
          </w:tcPr>
          <w:p>
            <w:pPr>
              <w:ind w:left="20"/>
              <w:spacing w:after="0"/>
              <w:rPr>
                <w:sz w:val="20"/>
                <w:szCs w:val="20"/>
                <w:color w:val="auto"/>
              </w:rPr>
            </w:pPr>
            <w:r>
              <w:rPr>
                <w:rFonts w:ascii="Arial" w:cs="Arial" w:eastAsia="Arial" w:hAnsi="Arial"/>
                <w:sz w:val="16"/>
                <w:szCs w:val="16"/>
                <w:color w:val="auto"/>
              </w:rPr>
              <w:t>Revenues</w:t>
            </w:r>
          </w:p>
        </w:tc>
        <w:tc>
          <w:tcPr>
            <w:tcW w:w="1060" w:type="dxa"/>
            <w:vAlign w:val="bottom"/>
          </w:tcPr>
          <w:p>
            <w:pPr>
              <w:jc w:val="right"/>
              <w:ind w:right="59"/>
              <w:spacing w:after="0"/>
              <w:rPr>
                <w:sz w:val="20"/>
                <w:szCs w:val="20"/>
                <w:color w:val="auto"/>
              </w:rPr>
            </w:pPr>
            <w:r>
              <w:rPr>
                <w:rFonts w:ascii="Arial" w:cs="Arial" w:eastAsia="Arial" w:hAnsi="Arial"/>
                <w:sz w:val="16"/>
                <w:szCs w:val="16"/>
                <w:b w:val="1"/>
                <w:bCs w:val="1"/>
                <w:color w:val="auto"/>
              </w:rPr>
              <w:t>1,481</w:t>
            </w:r>
          </w:p>
        </w:tc>
        <w:tc>
          <w:tcPr>
            <w:tcW w:w="1100" w:type="dxa"/>
            <w:vAlign w:val="bottom"/>
          </w:tcPr>
          <w:p>
            <w:pPr>
              <w:jc w:val="right"/>
              <w:ind w:right="59"/>
              <w:spacing w:after="0"/>
              <w:rPr>
                <w:sz w:val="20"/>
                <w:szCs w:val="20"/>
                <w:color w:val="auto"/>
              </w:rPr>
            </w:pPr>
            <w:r>
              <w:rPr>
                <w:rFonts w:ascii="Arial" w:cs="Arial" w:eastAsia="Arial" w:hAnsi="Arial"/>
                <w:sz w:val="16"/>
                <w:szCs w:val="16"/>
                <w:b w:val="1"/>
                <w:bCs w:val="1"/>
                <w:color w:val="auto"/>
              </w:rPr>
              <w:t>1,946</w:t>
            </w:r>
          </w:p>
        </w:tc>
        <w:tc>
          <w:tcPr>
            <w:tcW w:w="1140" w:type="dxa"/>
            <w:vAlign w:val="bottom"/>
          </w:tcPr>
          <w:p>
            <w:pPr>
              <w:jc w:val="right"/>
              <w:ind w:right="119"/>
              <w:spacing w:after="0"/>
              <w:rPr>
                <w:sz w:val="20"/>
                <w:szCs w:val="20"/>
                <w:color w:val="auto"/>
              </w:rPr>
            </w:pPr>
            <w:r>
              <w:rPr>
                <w:rFonts w:ascii="Arial" w:cs="Arial" w:eastAsia="Arial" w:hAnsi="Arial"/>
                <w:sz w:val="16"/>
                <w:szCs w:val="16"/>
                <w:b w:val="1"/>
                <w:bCs w:val="1"/>
                <w:color w:val="auto"/>
              </w:rPr>
              <w:t>438</w:t>
            </w: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301</w:t>
            </w:r>
          </w:p>
        </w:tc>
        <w:tc>
          <w:tcPr>
            <w:tcW w:w="1260" w:type="dxa"/>
            <w:vAlign w:val="bottom"/>
          </w:tcPr>
          <w:p>
            <w:pPr>
              <w:jc w:val="right"/>
              <w:ind w:right="159"/>
              <w:spacing w:after="0"/>
              <w:rPr>
                <w:sz w:val="20"/>
                <w:szCs w:val="20"/>
                <w:color w:val="auto"/>
              </w:rPr>
            </w:pPr>
            <w:r>
              <w:rPr>
                <w:rFonts w:ascii="Arial" w:cs="Arial" w:eastAsia="Arial" w:hAnsi="Arial"/>
                <w:sz w:val="16"/>
                <w:szCs w:val="16"/>
                <w:b w:val="1"/>
                <w:bCs w:val="1"/>
                <w:color w:val="auto"/>
              </w:rPr>
              <w:t>2</w:t>
            </w: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4,168</w:t>
            </w:r>
          </w:p>
        </w:tc>
      </w:tr>
      <w:tr>
        <w:trPr>
          <w:trHeight w:val="237"/>
        </w:trPr>
        <w:tc>
          <w:tcPr>
            <w:tcW w:w="4680" w:type="dxa"/>
            <w:vAlign w:val="bottom"/>
            <w:tcBorders>
              <w:bottom w:val="single" w:sz="8" w:color="auto"/>
            </w:tcBorders>
          </w:tcPr>
          <w:p>
            <w:pPr>
              <w:ind w:left="20"/>
              <w:spacing w:after="0" w:line="237" w:lineRule="exact"/>
              <w:rPr>
                <w:sz w:val="20"/>
                <w:szCs w:val="20"/>
                <w:color w:val="auto"/>
              </w:rPr>
            </w:pPr>
            <w:r>
              <w:rPr>
                <w:rFonts w:ascii="Arial" w:cs="Arial" w:eastAsia="Arial" w:hAnsi="Arial"/>
                <w:sz w:val="16"/>
                <w:szCs w:val="16"/>
                <w:color w:val="auto"/>
              </w:rPr>
              <w:t>Intersegment revenues</w:t>
            </w:r>
            <w:r>
              <w:rPr>
                <w:rFonts w:ascii="Arial" w:cs="Arial" w:eastAsia="Arial" w:hAnsi="Arial"/>
                <w:sz w:val="21"/>
                <w:szCs w:val="21"/>
                <w:color w:val="auto"/>
                <w:vertAlign w:val="superscript"/>
              </w:rPr>
              <w:t>2</w:t>
            </w:r>
          </w:p>
        </w:tc>
        <w:tc>
          <w:tcPr>
            <w:tcW w:w="10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11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25</w:t>
            </w:r>
          </w:p>
        </w:tc>
        <w:tc>
          <w:tcPr>
            <w:tcW w:w="11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w:t>
            </w:r>
          </w:p>
        </w:tc>
        <w:tc>
          <w:tcPr>
            <w:tcW w:w="12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(27)</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r>
      <w:tr>
        <w:trPr>
          <w:trHeight w:val="216"/>
        </w:trPr>
        <w:tc>
          <w:tcPr>
            <w:tcW w:w="4680" w:type="dxa"/>
            <w:vAlign w:val="bottom"/>
          </w:tcPr>
          <w:p>
            <w:pPr>
              <w:spacing w:after="0"/>
              <w:rPr>
                <w:sz w:val="18"/>
                <w:szCs w:val="18"/>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b w:val="1"/>
                <w:bCs w:val="1"/>
                <w:color w:val="auto"/>
              </w:rPr>
              <w:t>1,481</w:t>
            </w:r>
          </w:p>
        </w:tc>
        <w:tc>
          <w:tcPr>
            <w:tcW w:w="1100" w:type="dxa"/>
            <w:vAlign w:val="bottom"/>
          </w:tcPr>
          <w:p>
            <w:pPr>
              <w:jc w:val="right"/>
              <w:ind w:right="59"/>
              <w:spacing w:after="0"/>
              <w:rPr>
                <w:sz w:val="20"/>
                <w:szCs w:val="20"/>
                <w:color w:val="auto"/>
              </w:rPr>
            </w:pPr>
            <w:r>
              <w:rPr>
                <w:rFonts w:ascii="Arial" w:cs="Arial" w:eastAsia="Arial" w:hAnsi="Arial"/>
                <w:sz w:val="16"/>
                <w:szCs w:val="16"/>
                <w:b w:val="1"/>
                <w:bCs w:val="1"/>
                <w:color w:val="auto"/>
              </w:rPr>
              <w:t>1,971</w:t>
            </w:r>
          </w:p>
        </w:tc>
        <w:tc>
          <w:tcPr>
            <w:tcW w:w="1140" w:type="dxa"/>
            <w:vAlign w:val="bottom"/>
          </w:tcPr>
          <w:p>
            <w:pPr>
              <w:jc w:val="right"/>
              <w:ind w:right="119"/>
              <w:spacing w:after="0"/>
              <w:rPr>
                <w:sz w:val="20"/>
                <w:szCs w:val="20"/>
                <w:color w:val="auto"/>
              </w:rPr>
            </w:pPr>
            <w:r>
              <w:rPr>
                <w:rFonts w:ascii="Arial" w:cs="Arial" w:eastAsia="Arial" w:hAnsi="Arial"/>
                <w:sz w:val="16"/>
                <w:szCs w:val="16"/>
                <w:b w:val="1"/>
                <w:bCs w:val="1"/>
                <w:color w:val="auto"/>
              </w:rPr>
              <w:t>438</w:t>
            </w: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303</w:t>
            </w:r>
          </w:p>
        </w:tc>
        <w:tc>
          <w:tcPr>
            <w:tcW w:w="1260" w:type="dxa"/>
            <w:vAlign w:val="bottom"/>
          </w:tcPr>
          <w:p>
            <w:pPr>
              <w:jc w:val="right"/>
              <w:ind w:right="119"/>
              <w:spacing w:after="0"/>
              <w:rPr>
                <w:sz w:val="20"/>
                <w:szCs w:val="20"/>
                <w:color w:val="auto"/>
              </w:rPr>
            </w:pPr>
            <w:r>
              <w:rPr>
                <w:rFonts w:ascii="Arial" w:cs="Arial" w:eastAsia="Arial" w:hAnsi="Arial"/>
                <w:sz w:val="16"/>
                <w:szCs w:val="16"/>
                <w:b w:val="1"/>
                <w:bCs w:val="1"/>
                <w:color w:val="auto"/>
              </w:rPr>
              <w:t>(25)</w:t>
            </w: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4,168</w:t>
            </w:r>
          </w:p>
        </w:tc>
      </w:tr>
      <w:tr>
        <w:trPr>
          <w:trHeight w:val="229"/>
        </w:trPr>
        <w:tc>
          <w:tcPr>
            <w:tcW w:w="4680" w:type="dxa"/>
            <w:vAlign w:val="bottom"/>
          </w:tcPr>
          <w:p>
            <w:pPr>
              <w:ind w:left="20"/>
              <w:spacing w:after="0"/>
              <w:rPr>
                <w:sz w:val="20"/>
                <w:szCs w:val="20"/>
                <w:color w:val="auto"/>
              </w:rPr>
            </w:pPr>
            <w:r>
              <w:rPr>
                <w:rFonts w:ascii="Arial" w:cs="Arial" w:eastAsia="Arial" w:hAnsi="Arial"/>
                <w:sz w:val="16"/>
                <w:szCs w:val="16"/>
                <w:color w:val="auto"/>
              </w:rPr>
              <w:t>Income (loss) from equity investments</w:t>
            </w:r>
          </w:p>
        </w:tc>
        <w:tc>
          <w:tcPr>
            <w:tcW w:w="1060" w:type="dxa"/>
            <w:vAlign w:val="bottom"/>
          </w:tcPr>
          <w:p>
            <w:pPr>
              <w:jc w:val="right"/>
              <w:ind w:right="59"/>
              <w:spacing w:after="0"/>
              <w:rPr>
                <w:sz w:val="20"/>
                <w:szCs w:val="20"/>
                <w:color w:val="auto"/>
              </w:rPr>
            </w:pPr>
            <w:r>
              <w:rPr>
                <w:rFonts w:ascii="Arial" w:cs="Arial" w:eastAsia="Arial" w:hAnsi="Arial"/>
                <w:sz w:val="16"/>
                <w:szCs w:val="16"/>
                <w:b w:val="1"/>
                <w:bCs w:val="1"/>
                <w:color w:val="auto"/>
              </w:rPr>
              <w:t>15</w:t>
            </w:r>
          </w:p>
        </w:tc>
        <w:tc>
          <w:tcPr>
            <w:tcW w:w="1100" w:type="dxa"/>
            <w:vAlign w:val="bottom"/>
          </w:tcPr>
          <w:p>
            <w:pPr>
              <w:jc w:val="right"/>
              <w:ind w:right="59"/>
              <w:spacing w:after="0"/>
              <w:rPr>
                <w:sz w:val="20"/>
                <w:szCs w:val="20"/>
                <w:color w:val="auto"/>
              </w:rPr>
            </w:pPr>
            <w:r>
              <w:rPr>
                <w:rFonts w:ascii="Arial" w:cs="Arial" w:eastAsia="Arial" w:hAnsi="Arial"/>
                <w:sz w:val="16"/>
                <w:szCs w:val="16"/>
                <w:b w:val="1"/>
                <w:bCs w:val="1"/>
                <w:color w:val="auto"/>
              </w:rPr>
              <w:t>84</w:t>
            </w:r>
          </w:p>
        </w:tc>
        <w:tc>
          <w:tcPr>
            <w:tcW w:w="1140" w:type="dxa"/>
            <w:vAlign w:val="bottom"/>
          </w:tcPr>
          <w:p>
            <w:pPr>
              <w:jc w:val="right"/>
              <w:ind w:right="119"/>
              <w:spacing w:after="0"/>
              <w:rPr>
                <w:sz w:val="20"/>
                <w:szCs w:val="20"/>
                <w:color w:val="auto"/>
              </w:rPr>
            </w:pPr>
            <w:r>
              <w:rPr>
                <w:rFonts w:ascii="Arial" w:cs="Arial" w:eastAsia="Arial" w:hAnsi="Arial"/>
                <w:sz w:val="16"/>
                <w:szCs w:val="16"/>
                <w:b w:val="1"/>
                <w:bCs w:val="1"/>
                <w:color w:val="auto"/>
              </w:rPr>
              <w:t>34</w:t>
            </w: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161</w:t>
            </w:r>
          </w:p>
        </w:tc>
        <w:tc>
          <w:tcPr>
            <w:tcW w:w="1260" w:type="dxa"/>
            <w:vAlign w:val="bottom"/>
          </w:tcPr>
          <w:p>
            <w:pPr>
              <w:jc w:val="right"/>
              <w:ind w:right="159"/>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294</w:t>
            </w:r>
          </w:p>
        </w:tc>
      </w:tr>
      <w:tr>
        <w:trPr>
          <w:trHeight w:val="236"/>
        </w:trPr>
        <w:tc>
          <w:tcPr>
            <w:tcW w:w="4680" w:type="dxa"/>
            <w:vAlign w:val="bottom"/>
          </w:tcPr>
          <w:p>
            <w:pPr>
              <w:ind w:left="20"/>
              <w:spacing w:after="0" w:line="236" w:lineRule="exact"/>
              <w:rPr>
                <w:sz w:val="20"/>
                <w:szCs w:val="20"/>
                <w:color w:val="auto"/>
              </w:rPr>
            </w:pPr>
            <w:r>
              <w:rPr>
                <w:rFonts w:ascii="Arial" w:cs="Arial" w:eastAsia="Arial" w:hAnsi="Arial"/>
                <w:sz w:val="16"/>
                <w:szCs w:val="16"/>
                <w:color w:val="auto"/>
              </w:rPr>
              <w:t>Operating costs</w:t>
            </w:r>
            <w:r>
              <w:rPr>
                <w:rFonts w:ascii="Arial" w:cs="Arial" w:eastAsia="Arial" w:hAnsi="Arial"/>
                <w:sz w:val="21"/>
                <w:szCs w:val="21"/>
                <w:color w:val="auto"/>
                <w:vertAlign w:val="superscript"/>
              </w:rPr>
              <w:t>2</w:t>
            </w:r>
          </w:p>
        </w:tc>
        <w:tc>
          <w:tcPr>
            <w:tcW w:w="1060" w:type="dxa"/>
            <w:vAlign w:val="bottom"/>
          </w:tcPr>
          <w:p>
            <w:pPr>
              <w:jc w:val="right"/>
              <w:ind w:right="19"/>
              <w:spacing w:after="0"/>
              <w:rPr>
                <w:sz w:val="20"/>
                <w:szCs w:val="20"/>
                <w:color w:val="auto"/>
              </w:rPr>
            </w:pPr>
            <w:r>
              <w:rPr>
                <w:rFonts w:ascii="Arial" w:cs="Arial" w:eastAsia="Arial" w:hAnsi="Arial"/>
                <w:sz w:val="16"/>
                <w:szCs w:val="16"/>
                <w:b w:val="1"/>
                <w:bCs w:val="1"/>
                <w:color w:val="auto"/>
              </w:rPr>
              <w:t>(535)</w:t>
            </w:r>
          </w:p>
        </w:tc>
        <w:tc>
          <w:tcPr>
            <w:tcW w:w="1100" w:type="dxa"/>
            <w:vAlign w:val="bottom"/>
          </w:tcPr>
          <w:p>
            <w:pPr>
              <w:jc w:val="right"/>
              <w:ind w:right="19"/>
              <w:spacing w:after="0"/>
              <w:rPr>
                <w:sz w:val="20"/>
                <w:szCs w:val="20"/>
                <w:color w:val="auto"/>
              </w:rPr>
            </w:pPr>
            <w:r>
              <w:rPr>
                <w:rFonts w:ascii="Arial" w:cs="Arial" w:eastAsia="Arial" w:hAnsi="Arial"/>
                <w:sz w:val="16"/>
                <w:szCs w:val="16"/>
                <w:b w:val="1"/>
                <w:bCs w:val="1"/>
                <w:color w:val="auto"/>
              </w:rPr>
              <w:t>(675)</w:t>
            </w:r>
          </w:p>
        </w:tc>
        <w:tc>
          <w:tcPr>
            <w:tcW w:w="1140" w:type="dxa"/>
            <w:vAlign w:val="bottom"/>
          </w:tcPr>
          <w:p>
            <w:pPr>
              <w:jc w:val="right"/>
              <w:ind w:right="59"/>
              <w:spacing w:after="0"/>
              <w:rPr>
                <w:sz w:val="20"/>
                <w:szCs w:val="20"/>
                <w:color w:val="auto"/>
              </w:rPr>
            </w:pPr>
            <w:r>
              <w:rPr>
                <w:rFonts w:ascii="Arial" w:cs="Arial" w:eastAsia="Arial" w:hAnsi="Arial"/>
                <w:sz w:val="16"/>
                <w:szCs w:val="16"/>
                <w:b w:val="1"/>
                <w:bCs w:val="1"/>
                <w:color w:val="auto"/>
              </w:rPr>
              <w:t>(71)</w:t>
            </w: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(300)</w:t>
            </w:r>
          </w:p>
        </w:tc>
        <w:tc>
          <w:tcPr>
            <w:tcW w:w="1260" w:type="dxa"/>
            <w:vAlign w:val="bottom"/>
          </w:tcPr>
          <w:p>
            <w:pPr>
              <w:jc w:val="right"/>
              <w:ind w:right="159"/>
              <w:spacing w:after="0"/>
              <w:rPr>
                <w:sz w:val="20"/>
                <w:szCs w:val="20"/>
                <w:color w:val="auto"/>
              </w:rPr>
            </w:pPr>
            <w:r>
              <w:rPr>
                <w:rFonts w:ascii="Arial" w:cs="Arial" w:eastAsia="Arial" w:hAnsi="Arial"/>
                <w:sz w:val="16"/>
                <w:szCs w:val="16"/>
                <w:b w:val="1"/>
                <w:bCs w:val="1"/>
                <w:color w:val="auto"/>
              </w:rPr>
              <w:t>26</w:t>
            </w: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(1,555)</w:t>
            </w:r>
          </w:p>
        </w:tc>
      </w:tr>
      <w:tr>
        <w:trPr>
          <w:trHeight w:val="226"/>
        </w:trPr>
        <w:tc>
          <w:tcPr>
            <w:tcW w:w="46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Depreciation and amortization</w:t>
            </w: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(397)</w:t>
            </w: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(270)</w:t>
            </w:r>
          </w:p>
        </w:tc>
        <w:tc>
          <w:tcPr>
            <w:tcW w:w="11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(24)</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(28)</w:t>
            </w:r>
          </w:p>
        </w:tc>
        <w:tc>
          <w:tcPr>
            <w:tcW w:w="12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(719)</w:t>
            </w:r>
          </w:p>
        </w:tc>
      </w:tr>
      <w:tr>
        <w:trPr>
          <w:trHeight w:val="220"/>
        </w:trPr>
        <w:tc>
          <w:tcPr>
            <w:tcW w:w="46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0D64EF"/>
              </w:rPr>
              <w:t>Segmented Earnings (Losses)</w:t>
            </w:r>
          </w:p>
        </w:tc>
        <w:tc>
          <w:tcPr>
            <w:tcW w:w="10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564</w:t>
            </w:r>
          </w:p>
        </w:tc>
        <w:tc>
          <w:tcPr>
            <w:tcW w:w="11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1,110</w:t>
            </w:r>
          </w:p>
        </w:tc>
        <w:tc>
          <w:tcPr>
            <w:tcW w:w="11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377</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136</w:t>
            </w:r>
          </w:p>
        </w:tc>
        <w:tc>
          <w:tcPr>
            <w:tcW w:w="12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1</w:t>
            </w: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2,188</w:t>
            </w:r>
          </w:p>
        </w:tc>
      </w:tr>
      <w:tr>
        <w:trPr>
          <w:trHeight w:val="222"/>
        </w:trPr>
        <w:tc>
          <w:tcPr>
            <w:tcW w:w="468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10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(873)</w:t>
            </w:r>
          </w:p>
        </w:tc>
      </w:tr>
      <w:tr>
        <w:trPr>
          <w:trHeight w:val="229"/>
        </w:trPr>
        <w:tc>
          <w:tcPr>
            <w:tcW w:w="4680" w:type="dxa"/>
            <w:vAlign w:val="bottom"/>
          </w:tcPr>
          <w:p>
            <w:pPr>
              <w:ind w:left="20"/>
              <w:spacing w:after="0"/>
              <w:rPr>
                <w:sz w:val="20"/>
                <w:szCs w:val="20"/>
                <w:color w:val="auto"/>
              </w:rPr>
            </w:pPr>
            <w:r>
              <w:rPr>
                <w:rFonts w:ascii="Arial" w:cs="Arial" w:eastAsia="Arial" w:hAnsi="Arial"/>
                <w:sz w:val="16"/>
                <w:szCs w:val="16"/>
                <w:color w:val="auto"/>
              </w:rPr>
              <w:t>Allowance for funds used during construction</w:t>
            </w:r>
          </w:p>
        </w:tc>
        <w:tc>
          <w:tcPr>
            <w:tcW w:w="10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36</w:t>
            </w:r>
          </w:p>
        </w:tc>
      </w:tr>
      <w:tr>
        <w:trPr>
          <w:trHeight w:val="229"/>
        </w:trPr>
        <w:tc>
          <w:tcPr>
            <w:tcW w:w="4680" w:type="dxa"/>
            <w:vAlign w:val="bottom"/>
          </w:tcPr>
          <w:p>
            <w:pPr>
              <w:ind w:left="20"/>
              <w:spacing w:after="0"/>
              <w:rPr>
                <w:sz w:val="20"/>
                <w:szCs w:val="20"/>
                <w:color w:val="auto"/>
              </w:rPr>
            </w:pPr>
            <w:r>
              <w:rPr>
                <w:rFonts w:ascii="Arial" w:cs="Arial" w:eastAsia="Arial" w:hAnsi="Arial"/>
                <w:sz w:val="16"/>
                <w:szCs w:val="16"/>
                <w:color w:val="auto"/>
              </w:rPr>
              <w:t>Foreign exchange gains (losses), net</w:t>
            </w:r>
          </w:p>
        </w:tc>
        <w:tc>
          <w:tcPr>
            <w:tcW w:w="10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15</w:t>
            </w:r>
          </w:p>
        </w:tc>
      </w:tr>
      <w:tr>
        <w:trPr>
          <w:trHeight w:val="233"/>
        </w:trPr>
        <w:tc>
          <w:tcPr>
            <w:tcW w:w="46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Interest income and other</w:t>
            </w:r>
          </w:p>
        </w:tc>
        <w:tc>
          <w:tcPr>
            <w:tcW w:w="10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58</w:t>
            </w:r>
          </w:p>
        </w:tc>
      </w:tr>
      <w:tr>
        <w:trPr>
          <w:trHeight w:val="220"/>
        </w:trPr>
        <w:tc>
          <w:tcPr>
            <w:tcW w:w="5740" w:type="dxa"/>
            <w:vAlign w:val="bottom"/>
            <w:gridSpan w:val="2"/>
          </w:tcPr>
          <w:p>
            <w:pPr>
              <w:ind w:left="20"/>
              <w:spacing w:after="0"/>
              <w:rPr>
                <w:sz w:val="20"/>
                <w:szCs w:val="20"/>
                <w:color w:val="auto"/>
              </w:rPr>
            </w:pPr>
            <w:r>
              <w:rPr>
                <w:rFonts w:ascii="Arial" w:cs="Arial" w:eastAsia="Arial" w:hAnsi="Arial"/>
                <w:sz w:val="16"/>
                <w:szCs w:val="16"/>
                <w:b w:val="1"/>
                <w:bCs w:val="1"/>
                <w:color w:val="0D64EF"/>
              </w:rPr>
              <w:t>Income (Loss) from Continuing Operations before Income Taxes</w:t>
            </w:r>
          </w:p>
        </w:tc>
        <w:tc>
          <w:tcPr>
            <w:tcW w:w="1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1,424</w:t>
            </w:r>
          </w:p>
        </w:tc>
      </w:tr>
      <w:tr>
        <w:trPr>
          <w:trHeight w:val="233"/>
        </w:trPr>
        <w:tc>
          <w:tcPr>
            <w:tcW w:w="46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Income tax (expense) recovery from continuing operations</w:t>
            </w:r>
          </w:p>
        </w:tc>
        <w:tc>
          <w:tcPr>
            <w:tcW w:w="10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(263)</w:t>
            </w:r>
          </w:p>
        </w:tc>
      </w:tr>
      <w:tr>
        <w:trPr>
          <w:trHeight w:val="220"/>
        </w:trPr>
        <w:tc>
          <w:tcPr>
            <w:tcW w:w="4680" w:type="dxa"/>
            <w:vAlign w:val="bottom"/>
          </w:tcPr>
          <w:p>
            <w:pPr>
              <w:ind w:left="20"/>
              <w:spacing w:after="0"/>
              <w:rPr>
                <w:sz w:val="20"/>
                <w:szCs w:val="20"/>
                <w:color w:val="auto"/>
              </w:rPr>
            </w:pPr>
            <w:r>
              <w:rPr>
                <w:rFonts w:ascii="Arial" w:cs="Arial" w:eastAsia="Arial" w:hAnsi="Arial"/>
                <w:sz w:val="16"/>
                <w:szCs w:val="16"/>
                <w:b w:val="1"/>
                <w:bCs w:val="1"/>
                <w:color w:val="0D64EF"/>
              </w:rPr>
              <w:t>Net Income (Loss) from Continuing Operations</w:t>
            </w:r>
          </w:p>
        </w:tc>
        <w:tc>
          <w:tcPr>
            <w:tcW w:w="10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1,161</w:t>
            </w:r>
          </w:p>
        </w:tc>
      </w:tr>
      <w:tr>
        <w:trPr>
          <w:trHeight w:val="233"/>
        </w:trPr>
        <w:tc>
          <w:tcPr>
            <w:tcW w:w="46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0D64EF"/>
              </w:rPr>
              <w:t>Net Income (Loss) from Discontinued Operations, Net of Tax</w:t>
            </w:r>
          </w:p>
        </w:tc>
        <w:tc>
          <w:tcPr>
            <w:tcW w:w="10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21</w:t>
            </w:r>
          </w:p>
        </w:tc>
      </w:tr>
      <w:tr>
        <w:trPr>
          <w:trHeight w:val="220"/>
        </w:trPr>
        <w:tc>
          <w:tcPr>
            <w:tcW w:w="4680" w:type="dxa"/>
            <w:vAlign w:val="bottom"/>
          </w:tcPr>
          <w:p>
            <w:pPr>
              <w:ind w:left="20"/>
              <w:spacing w:after="0"/>
              <w:rPr>
                <w:sz w:val="20"/>
                <w:szCs w:val="20"/>
                <w:color w:val="auto"/>
              </w:rPr>
            </w:pPr>
            <w:r>
              <w:rPr>
                <w:rFonts w:ascii="Arial" w:cs="Arial" w:eastAsia="Arial" w:hAnsi="Arial"/>
                <w:sz w:val="16"/>
                <w:szCs w:val="16"/>
                <w:b w:val="1"/>
                <w:bCs w:val="1"/>
                <w:color w:val="0D64EF"/>
              </w:rPr>
              <w:t>Net Income (Loss)</w:t>
            </w:r>
          </w:p>
        </w:tc>
        <w:tc>
          <w:tcPr>
            <w:tcW w:w="10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1,182</w:t>
            </w:r>
          </w:p>
        </w:tc>
      </w:tr>
      <w:tr>
        <w:trPr>
          <w:trHeight w:val="233"/>
        </w:trPr>
        <w:tc>
          <w:tcPr>
            <w:tcW w:w="46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Net (income) loss attributable to non-controlling interests</w:t>
            </w:r>
          </w:p>
        </w:tc>
        <w:tc>
          <w:tcPr>
            <w:tcW w:w="10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(167)</w:t>
            </w:r>
          </w:p>
        </w:tc>
      </w:tr>
      <w:tr>
        <w:trPr>
          <w:trHeight w:val="220"/>
        </w:trPr>
        <w:tc>
          <w:tcPr>
            <w:tcW w:w="4680" w:type="dxa"/>
            <w:vAlign w:val="bottom"/>
          </w:tcPr>
          <w:p>
            <w:pPr>
              <w:ind w:left="20"/>
              <w:spacing w:after="0"/>
              <w:rPr>
                <w:sz w:val="20"/>
                <w:szCs w:val="20"/>
                <w:color w:val="auto"/>
              </w:rPr>
            </w:pPr>
            <w:r>
              <w:rPr>
                <w:rFonts w:ascii="Arial" w:cs="Arial" w:eastAsia="Arial" w:hAnsi="Arial"/>
                <w:sz w:val="16"/>
                <w:szCs w:val="16"/>
                <w:b w:val="1"/>
                <w:bCs w:val="1"/>
                <w:color w:val="0D64EF"/>
              </w:rPr>
              <w:t>Net Income (Loss) Attributable to Controlling Interests</w:t>
            </w:r>
          </w:p>
        </w:tc>
        <w:tc>
          <w:tcPr>
            <w:tcW w:w="10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1,015</w:t>
            </w:r>
          </w:p>
        </w:tc>
      </w:tr>
      <w:tr>
        <w:trPr>
          <w:trHeight w:val="233"/>
        </w:trPr>
        <w:tc>
          <w:tcPr>
            <w:tcW w:w="46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Preferred share dividends</w:t>
            </w:r>
          </w:p>
        </w:tc>
        <w:tc>
          <w:tcPr>
            <w:tcW w:w="10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(35)</w:t>
            </w:r>
          </w:p>
        </w:tc>
      </w:tr>
      <w:tr>
        <w:trPr>
          <w:trHeight w:val="223"/>
        </w:trPr>
        <w:tc>
          <w:tcPr>
            <w:tcW w:w="46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0D64EF"/>
              </w:rPr>
              <w:t>Net Income (Loss) Attributable to Common Shares</w:t>
            </w:r>
          </w:p>
        </w:tc>
        <w:tc>
          <w:tcPr>
            <w:tcW w:w="10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980</w:t>
            </w:r>
          </w:p>
        </w:tc>
      </w:tr>
      <w:tr>
        <w:trPr>
          <w:trHeight w:val="266"/>
        </w:trPr>
        <w:tc>
          <w:tcPr>
            <w:tcW w:w="4680" w:type="dxa"/>
            <w:vAlign w:val="bottom"/>
          </w:tcPr>
          <w:p>
            <w:pPr>
              <w:ind w:left="20"/>
              <w:spacing w:after="0"/>
              <w:rPr>
                <w:sz w:val="20"/>
                <w:szCs w:val="20"/>
                <w:color w:val="auto"/>
              </w:rPr>
            </w:pPr>
            <w:r>
              <w:rPr>
                <w:rFonts w:ascii="Arial" w:cs="Arial" w:eastAsia="Arial" w:hAnsi="Arial"/>
                <w:sz w:val="16"/>
                <w:szCs w:val="16"/>
                <w:b w:val="1"/>
                <w:bCs w:val="1"/>
                <w:color w:val="0D64EF"/>
              </w:rPr>
              <w:t>Capital Spending</w:t>
            </w:r>
            <w:r>
              <w:rPr>
                <w:rFonts w:ascii="Arial" w:cs="Arial" w:eastAsia="Arial" w:hAnsi="Arial"/>
                <w:sz w:val="21"/>
                <w:szCs w:val="21"/>
                <w:color w:val="000000"/>
                <w:vertAlign w:val="superscript"/>
              </w:rPr>
              <w:t>3</w:t>
            </w:r>
          </w:p>
        </w:tc>
        <w:tc>
          <w:tcPr>
            <w:tcW w:w="10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980" w:type="dxa"/>
            <w:vAlign w:val="bottom"/>
          </w:tcPr>
          <w:p>
            <w:pPr>
              <w:spacing w:after="0"/>
              <w:rPr>
                <w:sz w:val="23"/>
                <w:szCs w:val="23"/>
                <w:color w:val="auto"/>
              </w:rPr>
            </w:pPr>
          </w:p>
        </w:tc>
      </w:tr>
      <w:tr>
        <w:trPr>
          <w:trHeight w:val="223"/>
        </w:trPr>
        <w:tc>
          <w:tcPr>
            <w:tcW w:w="4680" w:type="dxa"/>
            <w:vAlign w:val="bottom"/>
          </w:tcPr>
          <w:p>
            <w:pPr>
              <w:ind w:left="20"/>
              <w:spacing w:after="0"/>
              <w:rPr>
                <w:sz w:val="20"/>
                <w:szCs w:val="20"/>
                <w:color w:val="auto"/>
              </w:rPr>
            </w:pPr>
            <w:r>
              <w:rPr>
                <w:rFonts w:ascii="Arial" w:cs="Arial" w:eastAsia="Arial" w:hAnsi="Arial"/>
                <w:sz w:val="16"/>
                <w:szCs w:val="16"/>
                <w:color w:val="auto"/>
              </w:rPr>
              <w:t>Capital expenditures</w:t>
            </w:r>
          </w:p>
        </w:tc>
        <w:tc>
          <w:tcPr>
            <w:tcW w:w="1060" w:type="dxa"/>
            <w:vAlign w:val="bottom"/>
          </w:tcPr>
          <w:p>
            <w:pPr>
              <w:jc w:val="right"/>
              <w:ind w:right="59"/>
              <w:spacing w:after="0"/>
              <w:rPr>
                <w:sz w:val="20"/>
                <w:szCs w:val="20"/>
                <w:color w:val="auto"/>
              </w:rPr>
            </w:pPr>
            <w:r>
              <w:rPr>
                <w:rFonts w:ascii="Arial" w:cs="Arial" w:eastAsia="Arial" w:hAnsi="Arial"/>
                <w:sz w:val="16"/>
                <w:szCs w:val="16"/>
                <w:b w:val="1"/>
                <w:bCs w:val="1"/>
                <w:color w:val="auto"/>
              </w:rPr>
              <w:t>288</w:t>
            </w:r>
          </w:p>
        </w:tc>
        <w:tc>
          <w:tcPr>
            <w:tcW w:w="1100" w:type="dxa"/>
            <w:vAlign w:val="bottom"/>
          </w:tcPr>
          <w:p>
            <w:pPr>
              <w:jc w:val="right"/>
              <w:ind w:right="59"/>
              <w:spacing w:after="0"/>
              <w:rPr>
                <w:sz w:val="20"/>
                <w:szCs w:val="20"/>
                <w:color w:val="auto"/>
              </w:rPr>
            </w:pPr>
            <w:r>
              <w:rPr>
                <w:rFonts w:ascii="Arial" w:cs="Arial" w:eastAsia="Arial" w:hAnsi="Arial"/>
                <w:sz w:val="16"/>
                <w:szCs w:val="16"/>
                <w:b w:val="1"/>
                <w:bCs w:val="1"/>
                <w:color w:val="auto"/>
              </w:rPr>
              <w:t>1,008</w:t>
            </w:r>
          </w:p>
        </w:tc>
        <w:tc>
          <w:tcPr>
            <w:tcW w:w="1140" w:type="dxa"/>
            <w:vAlign w:val="bottom"/>
          </w:tcPr>
          <w:p>
            <w:pPr>
              <w:jc w:val="right"/>
              <w:ind w:right="119"/>
              <w:spacing w:after="0"/>
              <w:rPr>
                <w:sz w:val="20"/>
                <w:szCs w:val="20"/>
                <w:color w:val="auto"/>
              </w:rPr>
            </w:pPr>
            <w:r>
              <w:rPr>
                <w:rFonts w:ascii="Arial" w:cs="Arial" w:eastAsia="Arial" w:hAnsi="Arial"/>
                <w:sz w:val="16"/>
                <w:szCs w:val="16"/>
                <w:b w:val="1"/>
                <w:bCs w:val="1"/>
                <w:color w:val="auto"/>
              </w:rPr>
              <w:t>21</w:t>
            </w: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15</w:t>
            </w:r>
          </w:p>
        </w:tc>
        <w:tc>
          <w:tcPr>
            <w:tcW w:w="1260" w:type="dxa"/>
            <w:vAlign w:val="bottom"/>
          </w:tcPr>
          <w:p>
            <w:pPr>
              <w:jc w:val="right"/>
              <w:ind w:right="159"/>
              <w:spacing w:after="0"/>
              <w:rPr>
                <w:sz w:val="20"/>
                <w:szCs w:val="20"/>
                <w:color w:val="auto"/>
              </w:rPr>
            </w:pPr>
            <w:r>
              <w:rPr>
                <w:rFonts w:ascii="Arial" w:cs="Arial" w:eastAsia="Arial" w:hAnsi="Arial"/>
                <w:sz w:val="16"/>
                <w:szCs w:val="16"/>
                <w:b w:val="1"/>
                <w:bCs w:val="1"/>
                <w:color w:val="auto"/>
              </w:rPr>
              <w:t>14</w:t>
            </w: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1,346</w:t>
            </w:r>
          </w:p>
        </w:tc>
      </w:tr>
      <w:tr>
        <w:trPr>
          <w:trHeight w:val="229"/>
        </w:trPr>
        <w:tc>
          <w:tcPr>
            <w:tcW w:w="4680" w:type="dxa"/>
            <w:vAlign w:val="bottom"/>
          </w:tcPr>
          <w:p>
            <w:pPr>
              <w:ind w:left="20"/>
              <w:spacing w:after="0"/>
              <w:rPr>
                <w:sz w:val="20"/>
                <w:szCs w:val="20"/>
                <w:color w:val="auto"/>
              </w:rPr>
            </w:pPr>
            <w:r>
              <w:rPr>
                <w:rFonts w:ascii="Arial" w:cs="Arial" w:eastAsia="Arial" w:hAnsi="Arial"/>
                <w:sz w:val="16"/>
                <w:szCs w:val="16"/>
                <w:color w:val="auto"/>
              </w:rPr>
              <w:t>Capital projects in development</w:t>
            </w:r>
          </w:p>
        </w:tc>
        <w:tc>
          <w:tcPr>
            <w:tcW w:w="10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110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1140" w:type="dxa"/>
            <w:vAlign w:val="bottom"/>
          </w:tcPr>
          <w:p>
            <w:pPr>
              <w:jc w:val="right"/>
              <w:ind w:right="119"/>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4</w:t>
            </w:r>
          </w:p>
        </w:tc>
        <w:tc>
          <w:tcPr>
            <w:tcW w:w="1260" w:type="dxa"/>
            <w:vAlign w:val="bottom"/>
          </w:tcPr>
          <w:p>
            <w:pPr>
              <w:jc w:val="right"/>
              <w:ind w:right="159"/>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4</w:t>
            </w:r>
          </w:p>
        </w:tc>
      </w:tr>
      <w:tr>
        <w:trPr>
          <w:trHeight w:val="233"/>
        </w:trPr>
        <w:tc>
          <w:tcPr>
            <w:tcW w:w="46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Contributions to equity investments</w:t>
            </w:r>
          </w:p>
        </w:tc>
        <w:tc>
          <w:tcPr>
            <w:tcW w:w="10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65</w:t>
            </w:r>
          </w:p>
        </w:tc>
        <w:tc>
          <w:tcPr>
            <w:tcW w:w="11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11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228</w:t>
            </w:r>
          </w:p>
        </w:tc>
        <w:tc>
          <w:tcPr>
            <w:tcW w:w="12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293</w:t>
            </w:r>
          </w:p>
        </w:tc>
      </w:tr>
      <w:tr>
        <w:trPr>
          <w:trHeight w:val="223"/>
        </w:trPr>
        <w:tc>
          <w:tcPr>
            <w:tcW w:w="46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353</w:t>
            </w:r>
          </w:p>
        </w:tc>
        <w:tc>
          <w:tcPr>
            <w:tcW w:w="11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1,008</w:t>
            </w:r>
          </w:p>
        </w:tc>
        <w:tc>
          <w:tcPr>
            <w:tcW w:w="11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21</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247</w:t>
            </w:r>
          </w:p>
        </w:tc>
        <w:tc>
          <w:tcPr>
            <w:tcW w:w="12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14</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1,643</w:t>
            </w:r>
          </w:p>
        </w:tc>
      </w:tr>
    </w:tbl>
    <w:p>
      <w:pPr>
        <w:spacing w:after="0" w:line="180" w:lineRule="exact"/>
        <w:rPr>
          <w:sz w:val="20"/>
          <w:szCs w:val="20"/>
          <w:color w:val="auto"/>
        </w:rPr>
      </w:pPr>
    </w:p>
    <w:p>
      <w:pPr>
        <w:ind w:left="340" w:hanging="332"/>
        <w:spacing w:after="0"/>
        <w:tabs>
          <w:tab w:leader="none" w:pos="340" w:val="left"/>
        </w:tabs>
        <w:numPr>
          <w:ilvl w:val="0"/>
          <w:numId w:val="69"/>
        </w:numPr>
        <w:rPr>
          <w:rFonts w:ascii="Arial" w:cs="Arial" w:eastAsia="Arial" w:hAnsi="Arial"/>
          <w:sz w:val="14"/>
          <w:szCs w:val="14"/>
          <w:color w:val="auto"/>
        </w:rPr>
      </w:pPr>
      <w:r>
        <w:rPr>
          <w:rFonts w:ascii="Arial" w:cs="Arial" w:eastAsia="Arial" w:hAnsi="Arial"/>
          <w:sz w:val="14"/>
          <w:szCs w:val="14"/>
          <w:color w:val="auto"/>
        </w:rPr>
        <w:t>Includes intersegment eliminations.</w:t>
      </w:r>
    </w:p>
    <w:p>
      <w:pPr>
        <w:spacing w:after="0" w:line="55" w:lineRule="exact"/>
        <w:rPr>
          <w:sz w:val="20"/>
          <w:szCs w:val="20"/>
          <w:color w:val="auto"/>
        </w:rPr>
      </w:pPr>
    </w:p>
    <w:p>
      <w:pPr>
        <w:ind w:left="340" w:right="60" w:hanging="332"/>
        <w:spacing w:after="0" w:line="311" w:lineRule="auto"/>
        <w:tabs>
          <w:tab w:leader="none" w:pos="339" w:val="left"/>
        </w:tabs>
        <w:numPr>
          <w:ilvl w:val="0"/>
          <w:numId w:val="70"/>
        </w:numPr>
        <w:rPr>
          <w:rFonts w:ascii="Arial" w:cs="Arial" w:eastAsia="Arial" w:hAnsi="Arial"/>
          <w:sz w:val="14"/>
          <w:szCs w:val="14"/>
          <w:color w:val="auto"/>
        </w:rPr>
      </w:pPr>
      <w:r>
        <w:rPr>
          <w:rFonts w:ascii="Arial" w:cs="Arial" w:eastAsia="Arial" w:hAnsi="Arial"/>
          <w:sz w:val="14"/>
          <w:szCs w:val="14"/>
          <w:color w:val="auto"/>
        </w:rPr>
        <w:t>The Company records intersegment sales at contracted rates. For segmented reporting, these transactions are included as Intersegment revenues in the segment providing the service and Operating costs in the segment receiving the service. These transactions are eliminated on consolidation. Intersegment profit is recognized when</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4"/>
          <w:szCs w:val="14"/>
          <w:color w:val="auto"/>
        </w:rPr>
        <w:t>the product or service has been provided to third parties or otherwise realized.</w:t>
      </w:r>
    </w:p>
    <w:p>
      <w:pPr>
        <w:spacing w:after="0" w:line="42" w:lineRule="exact"/>
        <w:rPr>
          <w:sz w:val="20"/>
          <w:szCs w:val="20"/>
          <w:color w:val="auto"/>
        </w:rPr>
      </w:pPr>
    </w:p>
    <w:p>
      <w:pPr>
        <w:ind w:left="240" w:hanging="232"/>
        <w:spacing w:after="0"/>
        <w:tabs>
          <w:tab w:leader="none" w:pos="240" w:val="left"/>
        </w:tabs>
        <w:numPr>
          <w:ilvl w:val="0"/>
          <w:numId w:val="71"/>
        </w:numPr>
        <w:rPr>
          <w:rFonts w:ascii="Arial" w:cs="Arial" w:eastAsia="Arial" w:hAnsi="Arial"/>
          <w:sz w:val="14"/>
          <w:szCs w:val="14"/>
          <w:color w:val="auto"/>
        </w:rPr>
      </w:pPr>
      <w:r>
        <w:rPr>
          <w:rFonts w:ascii="Arial" w:cs="Arial" w:eastAsia="Arial" w:hAnsi="Arial"/>
          <w:sz w:val="14"/>
          <w:szCs w:val="14"/>
          <w:color w:val="auto"/>
        </w:rPr>
        <w:t>Included in Investing activities in the Condensed consolidated statement of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TC Energy </w:t>
      </w:r>
      <w:r>
        <w:rPr>
          <w:rFonts w:ascii="Arial" w:cs="Arial" w:eastAsia="Arial" w:hAnsi="Arial"/>
          <w:sz w:val="18"/>
          <w:szCs w:val="18"/>
          <w:b w:val="1"/>
          <w:bCs w:val="1"/>
          <w:color w:val="0D64EF"/>
        </w:rPr>
        <w:t>Fourth Quarter</w:t>
      </w:r>
      <w:r>
        <w:rPr>
          <w:rFonts w:ascii="Arial" w:cs="Arial" w:eastAsia="Arial" w:hAnsi="Arial"/>
          <w:sz w:val="18"/>
          <w:szCs w:val="18"/>
          <w:color w:val="auto"/>
        </w:rPr>
        <w:t xml:space="preserve"> News Release 2025 | 35</w:t>
      </w:r>
    </w:p>
    <w:p>
      <w:pPr>
        <w:sectPr>
          <w:pgSz w:w="11900" w:h="16838" w:orient="portrait"/>
          <w:cols w:equalWidth="0" w:num="1">
            <w:col w:w="11240"/>
          </w:cols>
          <w:pgMar w:left="320" w:top="1359" w:right="339" w:bottom="1440" w:gutter="0" w:footer="0" w:header="0"/>
        </w:sectPr>
      </w:pPr>
    </w:p>
    <w:bookmarkStart w:id="48" w:name="page49"/>
    <w:bookmarkEnd w:id="48"/>
    <w:tbl>
      <w:tblPr>
        <w:tblLayout w:type="fixed"/>
        <w:tblInd w:w="20" w:type="dxa"/>
        <w:tblCellMar>
          <w:top w:w="0" w:type="dxa"/>
          <w:left w:w="0" w:type="dxa"/>
          <w:bottom w:w="0" w:type="dxa"/>
          <w:right w:w="0" w:type="dxa"/>
        </w:tblCellMar>
      </w:tblPr>
      <w:tr>
        <w:trPr>
          <w:trHeight w:val="188"/>
        </w:trPr>
        <w:tc>
          <w:tcPr>
            <w:tcW w:w="4680" w:type="dxa"/>
            <w:vAlign w:val="bottom"/>
            <w:tcBorders>
              <w:top w:val="single" w:sz="8" w:color="0D64EF"/>
            </w:tcBorders>
            <w:shd w:val="clear" w:color="auto" w:fill="D1D0CF"/>
          </w:tcPr>
          <w:p>
            <w:pPr>
              <w:ind w:left="20"/>
              <w:spacing w:after="0"/>
              <w:rPr>
                <w:sz w:val="20"/>
                <w:szCs w:val="20"/>
                <w:color w:val="auto"/>
              </w:rPr>
            </w:pPr>
            <w:r>
              <w:rPr>
                <w:rFonts w:ascii="Arial" w:cs="Arial" w:eastAsia="Arial" w:hAnsi="Arial"/>
                <w:sz w:val="16"/>
                <w:szCs w:val="16"/>
                <w:b w:val="1"/>
                <w:bCs w:val="1"/>
                <w:color w:val="auto"/>
              </w:rPr>
              <w:t>three months ended</w:t>
            </w:r>
          </w:p>
        </w:tc>
        <w:tc>
          <w:tcPr>
            <w:tcW w:w="1060" w:type="dxa"/>
            <w:vAlign w:val="bottom"/>
            <w:tcBorders>
              <w:top w:val="single" w:sz="8" w:color="0D64EF"/>
            </w:tcBorders>
            <w:shd w:val="clear" w:color="auto" w:fill="D1D0CF"/>
          </w:tcPr>
          <w:p>
            <w:pPr>
              <w:spacing w:after="0"/>
              <w:rPr>
                <w:sz w:val="16"/>
                <w:szCs w:val="16"/>
                <w:color w:val="auto"/>
              </w:rPr>
            </w:pPr>
          </w:p>
        </w:tc>
        <w:tc>
          <w:tcPr>
            <w:tcW w:w="1100" w:type="dxa"/>
            <w:vAlign w:val="bottom"/>
            <w:tcBorders>
              <w:top w:val="single" w:sz="8" w:color="0D64EF"/>
            </w:tcBorders>
            <w:shd w:val="clear" w:color="auto" w:fill="D1D0CF"/>
          </w:tcPr>
          <w:p>
            <w:pPr>
              <w:spacing w:after="0"/>
              <w:rPr>
                <w:sz w:val="16"/>
                <w:szCs w:val="16"/>
                <w:color w:val="auto"/>
              </w:rPr>
            </w:pPr>
          </w:p>
        </w:tc>
        <w:tc>
          <w:tcPr>
            <w:tcW w:w="1140" w:type="dxa"/>
            <w:vAlign w:val="bottom"/>
            <w:tcBorders>
              <w:top w:val="single" w:sz="8" w:color="0D64EF"/>
            </w:tcBorders>
            <w:shd w:val="clear" w:color="auto" w:fill="D1D0CF"/>
          </w:tcPr>
          <w:p>
            <w:pPr>
              <w:spacing w:after="0"/>
              <w:rPr>
                <w:sz w:val="16"/>
                <w:szCs w:val="16"/>
                <w:color w:val="auto"/>
              </w:rPr>
            </w:pPr>
          </w:p>
        </w:tc>
        <w:tc>
          <w:tcPr>
            <w:tcW w:w="980" w:type="dxa"/>
            <w:vAlign w:val="bottom"/>
            <w:tcBorders>
              <w:top w:val="single" w:sz="8" w:color="0D64EF"/>
            </w:tcBorders>
            <w:shd w:val="clear" w:color="auto" w:fill="D1D0CF"/>
          </w:tcPr>
          <w:p>
            <w:pPr>
              <w:spacing w:after="0"/>
              <w:rPr>
                <w:sz w:val="16"/>
                <w:szCs w:val="16"/>
                <w:color w:val="auto"/>
              </w:rPr>
            </w:pPr>
          </w:p>
        </w:tc>
        <w:tc>
          <w:tcPr>
            <w:tcW w:w="1080" w:type="dxa"/>
            <w:vAlign w:val="bottom"/>
            <w:tcBorders>
              <w:top w:val="single" w:sz="8" w:color="0D64EF"/>
            </w:tcBorders>
            <w:shd w:val="clear" w:color="auto" w:fill="D1D0CF"/>
          </w:tcPr>
          <w:p>
            <w:pPr>
              <w:spacing w:after="0"/>
              <w:rPr>
                <w:sz w:val="16"/>
                <w:szCs w:val="16"/>
                <w:color w:val="auto"/>
              </w:rPr>
            </w:pPr>
          </w:p>
        </w:tc>
        <w:tc>
          <w:tcPr>
            <w:tcW w:w="180" w:type="dxa"/>
            <w:vAlign w:val="bottom"/>
            <w:tcBorders>
              <w:top w:val="single" w:sz="8" w:color="0D64EF"/>
            </w:tcBorders>
            <w:shd w:val="clear" w:color="auto" w:fill="D1D0CF"/>
          </w:tcPr>
          <w:p>
            <w:pPr>
              <w:spacing w:after="0"/>
              <w:rPr>
                <w:sz w:val="16"/>
                <w:szCs w:val="16"/>
                <w:color w:val="auto"/>
              </w:rPr>
            </w:pPr>
          </w:p>
        </w:tc>
        <w:tc>
          <w:tcPr>
            <w:tcW w:w="980" w:type="dxa"/>
            <w:vAlign w:val="bottom"/>
            <w:tcBorders>
              <w:top w:val="single" w:sz="8" w:color="0D64EF"/>
            </w:tcBorders>
            <w:shd w:val="clear" w:color="auto" w:fill="D1D0C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680" w:type="dxa"/>
            <w:vAlign w:val="bottom"/>
            <w:shd w:val="clear" w:color="auto" w:fill="D1D0CF"/>
          </w:tcPr>
          <w:p>
            <w:pPr>
              <w:ind w:left="20"/>
              <w:spacing w:after="0"/>
              <w:rPr>
                <w:sz w:val="20"/>
                <w:szCs w:val="20"/>
                <w:color w:val="auto"/>
              </w:rPr>
            </w:pPr>
            <w:r>
              <w:rPr>
                <w:rFonts w:ascii="Arial" w:cs="Arial" w:eastAsia="Arial" w:hAnsi="Arial"/>
                <w:sz w:val="16"/>
                <w:szCs w:val="16"/>
                <w:b w:val="1"/>
                <w:bCs w:val="1"/>
                <w:color w:val="auto"/>
              </w:rPr>
              <w:t>December 31, 2024</w:t>
            </w:r>
          </w:p>
        </w:tc>
        <w:tc>
          <w:tcPr>
            <w:tcW w:w="1060" w:type="dxa"/>
            <w:vAlign w:val="bottom"/>
            <w:shd w:val="clear" w:color="auto" w:fill="D1D0CF"/>
          </w:tcPr>
          <w:p>
            <w:pPr>
              <w:jc w:val="right"/>
              <w:spacing w:after="0"/>
              <w:rPr>
                <w:sz w:val="20"/>
                <w:szCs w:val="20"/>
                <w:color w:val="auto"/>
              </w:rPr>
            </w:pPr>
            <w:r>
              <w:rPr>
                <w:rFonts w:ascii="Arial" w:cs="Arial" w:eastAsia="Arial" w:hAnsi="Arial"/>
                <w:sz w:val="16"/>
                <w:szCs w:val="16"/>
                <w:b w:val="1"/>
                <w:bCs w:val="1"/>
                <w:color w:val="auto"/>
              </w:rPr>
              <w:t>Canadian</w:t>
            </w:r>
          </w:p>
        </w:tc>
        <w:tc>
          <w:tcPr>
            <w:tcW w:w="1100" w:type="dxa"/>
            <w:vAlign w:val="bottom"/>
            <w:shd w:val="clear" w:color="auto" w:fill="D1D0CF"/>
          </w:tcPr>
          <w:p>
            <w:pPr>
              <w:jc w:val="right"/>
              <w:ind w:right="19"/>
              <w:spacing w:after="0"/>
              <w:rPr>
                <w:sz w:val="20"/>
                <w:szCs w:val="20"/>
                <w:color w:val="auto"/>
              </w:rPr>
            </w:pPr>
            <w:r>
              <w:rPr>
                <w:rFonts w:ascii="Arial" w:cs="Arial" w:eastAsia="Arial" w:hAnsi="Arial"/>
                <w:sz w:val="16"/>
                <w:szCs w:val="16"/>
                <w:b w:val="1"/>
                <w:bCs w:val="1"/>
                <w:color w:val="auto"/>
              </w:rPr>
              <w:t>U.S. Natural</w:t>
            </w:r>
          </w:p>
        </w:tc>
        <w:tc>
          <w:tcPr>
            <w:tcW w:w="1140" w:type="dxa"/>
            <w:vAlign w:val="bottom"/>
            <w:shd w:val="clear" w:color="auto" w:fill="D1D0CF"/>
          </w:tcPr>
          <w:p>
            <w:pPr>
              <w:jc w:val="right"/>
              <w:ind w:right="59"/>
              <w:spacing w:after="0"/>
              <w:rPr>
                <w:sz w:val="20"/>
                <w:szCs w:val="20"/>
                <w:color w:val="auto"/>
              </w:rPr>
            </w:pPr>
            <w:r>
              <w:rPr>
                <w:rFonts w:ascii="Arial" w:cs="Arial" w:eastAsia="Arial" w:hAnsi="Arial"/>
                <w:sz w:val="16"/>
                <w:szCs w:val="16"/>
                <w:b w:val="1"/>
                <w:bCs w:val="1"/>
                <w:color w:val="auto"/>
              </w:rPr>
              <w:t>Mexico</w:t>
            </w:r>
          </w:p>
        </w:tc>
        <w:tc>
          <w:tcPr>
            <w:tcW w:w="980" w:type="dxa"/>
            <w:vAlign w:val="bottom"/>
            <w:shd w:val="clear" w:color="auto" w:fill="D1D0CF"/>
          </w:tcPr>
          <w:p>
            <w:pPr>
              <w:jc w:val="right"/>
              <w:spacing w:after="0"/>
              <w:rPr>
                <w:sz w:val="20"/>
                <w:szCs w:val="20"/>
                <w:color w:val="auto"/>
              </w:rPr>
            </w:pPr>
            <w:r>
              <w:rPr>
                <w:rFonts w:ascii="Arial" w:cs="Arial" w:eastAsia="Arial" w:hAnsi="Arial"/>
                <w:sz w:val="16"/>
                <w:szCs w:val="16"/>
                <w:b w:val="1"/>
                <w:bCs w:val="1"/>
                <w:color w:val="auto"/>
              </w:rPr>
              <w:t>Power and</w:t>
            </w:r>
          </w:p>
        </w:tc>
        <w:tc>
          <w:tcPr>
            <w:tcW w:w="1080" w:type="dxa"/>
            <w:vAlign w:val="bottom"/>
            <w:shd w:val="clear" w:color="auto" w:fill="D1D0CF"/>
          </w:tcPr>
          <w:p>
            <w:pPr>
              <w:spacing w:after="0"/>
              <w:rPr>
                <w:sz w:val="16"/>
                <w:szCs w:val="16"/>
                <w:color w:val="auto"/>
              </w:rPr>
            </w:pPr>
          </w:p>
        </w:tc>
        <w:tc>
          <w:tcPr>
            <w:tcW w:w="180" w:type="dxa"/>
            <w:vAlign w:val="bottom"/>
            <w:shd w:val="clear" w:color="auto" w:fill="D1D0CF"/>
          </w:tcPr>
          <w:p>
            <w:pPr>
              <w:spacing w:after="0"/>
              <w:rPr>
                <w:sz w:val="16"/>
                <w:szCs w:val="16"/>
                <w:color w:val="auto"/>
              </w:rPr>
            </w:pPr>
          </w:p>
        </w:tc>
        <w:tc>
          <w:tcPr>
            <w:tcW w:w="980" w:type="dxa"/>
            <w:vAlign w:val="bottom"/>
            <w:shd w:val="clear" w:color="auto" w:fill="D1D0CF"/>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4680" w:type="dxa"/>
            <w:vAlign w:val="bottom"/>
            <w:shd w:val="clear" w:color="auto" w:fill="D1D0CF"/>
          </w:tcPr>
          <w:p>
            <w:pPr>
              <w:spacing w:after="0"/>
              <w:rPr>
                <w:sz w:val="15"/>
                <w:szCs w:val="15"/>
                <w:color w:val="auto"/>
              </w:rPr>
            </w:pPr>
          </w:p>
        </w:tc>
        <w:tc>
          <w:tcPr>
            <w:tcW w:w="1060" w:type="dxa"/>
            <w:vAlign w:val="bottom"/>
            <w:shd w:val="clear" w:color="auto" w:fill="D1D0CF"/>
          </w:tcPr>
          <w:p>
            <w:pPr>
              <w:jc w:val="right"/>
              <w:spacing w:after="0" w:line="175" w:lineRule="exact"/>
              <w:rPr>
                <w:sz w:val="20"/>
                <w:szCs w:val="20"/>
                <w:color w:val="auto"/>
              </w:rPr>
            </w:pPr>
            <w:r>
              <w:rPr>
                <w:rFonts w:ascii="Arial" w:cs="Arial" w:eastAsia="Arial" w:hAnsi="Arial"/>
                <w:sz w:val="16"/>
                <w:szCs w:val="16"/>
                <w:b w:val="1"/>
                <w:bCs w:val="1"/>
                <w:color w:val="auto"/>
              </w:rPr>
              <w:t>Natural Gas</w:t>
            </w:r>
          </w:p>
        </w:tc>
        <w:tc>
          <w:tcPr>
            <w:tcW w:w="1100" w:type="dxa"/>
            <w:vAlign w:val="bottom"/>
            <w:shd w:val="clear" w:color="auto" w:fill="D1D0CF"/>
          </w:tcPr>
          <w:p>
            <w:pPr>
              <w:jc w:val="right"/>
              <w:ind w:right="19"/>
              <w:spacing w:after="0" w:line="175" w:lineRule="exact"/>
              <w:rPr>
                <w:sz w:val="20"/>
                <w:szCs w:val="20"/>
                <w:color w:val="auto"/>
              </w:rPr>
            </w:pPr>
            <w:r>
              <w:rPr>
                <w:rFonts w:ascii="Arial" w:cs="Arial" w:eastAsia="Arial" w:hAnsi="Arial"/>
                <w:sz w:val="16"/>
                <w:szCs w:val="16"/>
                <w:b w:val="1"/>
                <w:bCs w:val="1"/>
                <w:color w:val="auto"/>
              </w:rPr>
              <w:t>Gas</w:t>
            </w:r>
          </w:p>
        </w:tc>
        <w:tc>
          <w:tcPr>
            <w:tcW w:w="1140" w:type="dxa"/>
            <w:vAlign w:val="bottom"/>
            <w:shd w:val="clear" w:color="auto" w:fill="D1D0CF"/>
          </w:tcPr>
          <w:p>
            <w:pPr>
              <w:jc w:val="right"/>
              <w:ind w:right="59"/>
              <w:spacing w:after="0" w:line="175" w:lineRule="exact"/>
              <w:rPr>
                <w:sz w:val="20"/>
                <w:szCs w:val="20"/>
                <w:color w:val="auto"/>
              </w:rPr>
            </w:pPr>
            <w:r>
              <w:rPr>
                <w:rFonts w:ascii="Arial" w:cs="Arial" w:eastAsia="Arial" w:hAnsi="Arial"/>
                <w:sz w:val="16"/>
                <w:szCs w:val="16"/>
                <w:b w:val="1"/>
                <w:bCs w:val="1"/>
                <w:color w:val="auto"/>
              </w:rPr>
              <w:t>Natural Gas</w:t>
            </w:r>
          </w:p>
        </w:tc>
        <w:tc>
          <w:tcPr>
            <w:tcW w:w="980" w:type="dxa"/>
            <w:vAlign w:val="bottom"/>
            <w:shd w:val="clear" w:color="auto" w:fill="D1D0CF"/>
          </w:tcPr>
          <w:p>
            <w:pPr>
              <w:jc w:val="right"/>
              <w:spacing w:after="0" w:line="175" w:lineRule="exact"/>
              <w:rPr>
                <w:sz w:val="20"/>
                <w:szCs w:val="20"/>
                <w:color w:val="auto"/>
              </w:rPr>
            </w:pPr>
            <w:r>
              <w:rPr>
                <w:rFonts w:ascii="Arial" w:cs="Arial" w:eastAsia="Arial" w:hAnsi="Arial"/>
                <w:sz w:val="16"/>
                <w:szCs w:val="16"/>
                <w:b w:val="1"/>
                <w:bCs w:val="1"/>
                <w:color w:val="auto"/>
              </w:rPr>
              <w:t>Energy</w:t>
            </w:r>
          </w:p>
        </w:tc>
        <w:tc>
          <w:tcPr>
            <w:tcW w:w="1080" w:type="dxa"/>
            <w:vAlign w:val="bottom"/>
            <w:shd w:val="clear" w:color="auto" w:fill="D1D0CF"/>
          </w:tcPr>
          <w:p>
            <w:pPr>
              <w:spacing w:after="0"/>
              <w:rPr>
                <w:sz w:val="15"/>
                <w:szCs w:val="15"/>
                <w:color w:val="auto"/>
              </w:rPr>
            </w:pPr>
          </w:p>
        </w:tc>
        <w:tc>
          <w:tcPr>
            <w:tcW w:w="180" w:type="dxa"/>
            <w:vAlign w:val="bottom"/>
            <w:shd w:val="clear" w:color="auto" w:fill="D1D0CF"/>
          </w:tcPr>
          <w:p>
            <w:pPr>
              <w:spacing w:after="0"/>
              <w:rPr>
                <w:sz w:val="15"/>
                <w:szCs w:val="15"/>
                <w:color w:val="auto"/>
              </w:rPr>
            </w:pPr>
          </w:p>
        </w:tc>
        <w:tc>
          <w:tcPr>
            <w:tcW w:w="980" w:type="dxa"/>
            <w:vAlign w:val="bottom"/>
            <w:shd w:val="clear" w:color="auto" w:fill="D1D0CF"/>
          </w:tcPr>
          <w:p>
            <w:pPr>
              <w:spacing w:after="0"/>
              <w:rPr>
                <w:sz w:val="15"/>
                <w:szCs w:val="15"/>
                <w:color w:val="auto"/>
              </w:rPr>
            </w:pPr>
          </w:p>
        </w:tc>
        <w:tc>
          <w:tcPr>
            <w:tcW w:w="0" w:type="dxa"/>
            <w:vAlign w:val="bottom"/>
          </w:tcPr>
          <w:p>
            <w:pPr>
              <w:spacing w:after="0"/>
              <w:rPr>
                <w:sz w:val="1"/>
                <w:szCs w:val="1"/>
                <w:color w:val="auto"/>
              </w:rPr>
            </w:pPr>
          </w:p>
        </w:tc>
      </w:tr>
      <w:tr>
        <w:trPr>
          <w:trHeight w:val="244"/>
        </w:trPr>
        <w:tc>
          <w:tcPr>
            <w:tcW w:w="4680" w:type="dxa"/>
            <w:vAlign w:val="bottom"/>
            <w:tcBorders>
              <w:bottom w:val="single" w:sz="8" w:color="0D64EF"/>
            </w:tcBorders>
            <w:shd w:val="clear" w:color="auto" w:fill="D1D0CF"/>
          </w:tcPr>
          <w:p>
            <w:pPr>
              <w:ind w:left="20"/>
              <w:spacing w:after="0"/>
              <w:rPr>
                <w:sz w:val="20"/>
                <w:szCs w:val="20"/>
                <w:color w:val="auto"/>
              </w:rPr>
            </w:pPr>
            <w:r>
              <w:rPr>
                <w:rFonts w:ascii="Arial" w:cs="Arial" w:eastAsia="Arial" w:hAnsi="Arial"/>
                <w:sz w:val="16"/>
                <w:szCs w:val="16"/>
                <w:color w:val="auto"/>
              </w:rPr>
              <w:t>(unaudited - millions of Canadian $)</w:t>
            </w:r>
          </w:p>
        </w:tc>
        <w:tc>
          <w:tcPr>
            <w:tcW w:w="1060" w:type="dxa"/>
            <w:vAlign w:val="bottom"/>
            <w:tcBorders>
              <w:bottom w:val="single" w:sz="8" w:color="0D64EF"/>
            </w:tcBorders>
            <w:shd w:val="clear" w:color="auto" w:fill="D1D0CF"/>
          </w:tcPr>
          <w:p>
            <w:pPr>
              <w:jc w:val="right"/>
              <w:spacing w:after="0"/>
              <w:rPr>
                <w:sz w:val="20"/>
                <w:szCs w:val="20"/>
                <w:color w:val="auto"/>
              </w:rPr>
            </w:pPr>
            <w:r>
              <w:rPr>
                <w:rFonts w:ascii="Arial" w:cs="Arial" w:eastAsia="Arial" w:hAnsi="Arial"/>
                <w:sz w:val="16"/>
                <w:szCs w:val="16"/>
                <w:b w:val="1"/>
                <w:bCs w:val="1"/>
                <w:color w:val="auto"/>
              </w:rPr>
              <w:t>Pipelines</w:t>
            </w:r>
          </w:p>
        </w:tc>
        <w:tc>
          <w:tcPr>
            <w:tcW w:w="1100" w:type="dxa"/>
            <w:vAlign w:val="bottom"/>
            <w:tcBorders>
              <w:bottom w:val="single" w:sz="8" w:color="0D64EF"/>
            </w:tcBorders>
            <w:shd w:val="clear" w:color="auto" w:fill="D1D0CF"/>
          </w:tcPr>
          <w:p>
            <w:pPr>
              <w:jc w:val="right"/>
              <w:ind w:right="19"/>
              <w:spacing w:after="0"/>
              <w:rPr>
                <w:sz w:val="20"/>
                <w:szCs w:val="20"/>
                <w:color w:val="auto"/>
              </w:rPr>
            </w:pPr>
            <w:r>
              <w:rPr>
                <w:rFonts w:ascii="Arial" w:cs="Arial" w:eastAsia="Arial" w:hAnsi="Arial"/>
                <w:sz w:val="16"/>
                <w:szCs w:val="16"/>
                <w:b w:val="1"/>
                <w:bCs w:val="1"/>
                <w:color w:val="auto"/>
              </w:rPr>
              <w:t>Pipelines</w:t>
            </w:r>
          </w:p>
        </w:tc>
        <w:tc>
          <w:tcPr>
            <w:tcW w:w="1140" w:type="dxa"/>
            <w:vAlign w:val="bottom"/>
            <w:tcBorders>
              <w:bottom w:val="single" w:sz="8" w:color="0D64EF"/>
            </w:tcBorders>
            <w:shd w:val="clear" w:color="auto" w:fill="D1D0CF"/>
          </w:tcPr>
          <w:p>
            <w:pPr>
              <w:jc w:val="right"/>
              <w:ind w:right="59"/>
              <w:spacing w:after="0"/>
              <w:rPr>
                <w:sz w:val="20"/>
                <w:szCs w:val="20"/>
                <w:color w:val="auto"/>
              </w:rPr>
            </w:pPr>
            <w:r>
              <w:rPr>
                <w:rFonts w:ascii="Arial" w:cs="Arial" w:eastAsia="Arial" w:hAnsi="Arial"/>
                <w:sz w:val="16"/>
                <w:szCs w:val="16"/>
                <w:b w:val="1"/>
                <w:bCs w:val="1"/>
                <w:color w:val="auto"/>
              </w:rPr>
              <w:t>Pipelines</w:t>
            </w:r>
          </w:p>
        </w:tc>
        <w:tc>
          <w:tcPr>
            <w:tcW w:w="980" w:type="dxa"/>
            <w:vAlign w:val="bottom"/>
            <w:tcBorders>
              <w:bottom w:val="single" w:sz="8" w:color="0D64EF"/>
            </w:tcBorders>
            <w:shd w:val="clear" w:color="auto" w:fill="D1D0CF"/>
          </w:tcPr>
          <w:p>
            <w:pPr>
              <w:jc w:val="right"/>
              <w:spacing w:after="0"/>
              <w:rPr>
                <w:sz w:val="20"/>
                <w:szCs w:val="20"/>
                <w:color w:val="auto"/>
              </w:rPr>
            </w:pPr>
            <w:r>
              <w:rPr>
                <w:rFonts w:ascii="Arial" w:cs="Arial" w:eastAsia="Arial" w:hAnsi="Arial"/>
                <w:sz w:val="16"/>
                <w:szCs w:val="16"/>
                <w:b w:val="1"/>
                <w:bCs w:val="1"/>
                <w:color w:val="auto"/>
              </w:rPr>
              <w:t>Solutions</w:t>
            </w:r>
          </w:p>
        </w:tc>
        <w:tc>
          <w:tcPr>
            <w:tcW w:w="1260" w:type="dxa"/>
            <w:vAlign w:val="bottom"/>
            <w:tcBorders>
              <w:bottom w:val="single" w:sz="8" w:color="0D64EF"/>
            </w:tcBorders>
            <w:gridSpan w:val="2"/>
            <w:shd w:val="clear" w:color="auto" w:fill="D1D0CF"/>
          </w:tcPr>
          <w:p>
            <w:pPr>
              <w:jc w:val="right"/>
              <w:spacing w:after="0"/>
              <w:rPr>
                <w:sz w:val="20"/>
                <w:szCs w:val="20"/>
                <w:color w:val="auto"/>
              </w:rPr>
            </w:pPr>
            <w:r>
              <w:rPr>
                <w:rFonts w:ascii="Arial" w:cs="Arial" w:eastAsia="Arial" w:hAnsi="Arial"/>
                <w:sz w:val="16"/>
                <w:szCs w:val="16"/>
                <w:b w:val="1"/>
                <w:bCs w:val="1"/>
                <w:color w:val="auto"/>
              </w:rPr>
              <w:t>Corporate</w:t>
            </w:r>
            <w:r>
              <w:rPr>
                <w:rFonts w:ascii="Arial" w:cs="Arial" w:eastAsia="Arial" w:hAnsi="Arial"/>
                <w:sz w:val="21"/>
                <w:szCs w:val="21"/>
                <w:color w:val="auto"/>
                <w:vertAlign w:val="superscript"/>
              </w:rPr>
              <w:t>1</w:t>
            </w:r>
          </w:p>
        </w:tc>
        <w:tc>
          <w:tcPr>
            <w:tcW w:w="980" w:type="dxa"/>
            <w:vAlign w:val="bottom"/>
            <w:tcBorders>
              <w:bottom w:val="single" w:sz="8" w:color="0D64EF"/>
            </w:tcBorders>
            <w:shd w:val="clear" w:color="auto" w:fill="D1D0CF"/>
          </w:tcPr>
          <w:p>
            <w:pPr>
              <w:jc w:val="right"/>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48"/>
        </w:trPr>
        <w:tc>
          <w:tcPr>
            <w:tcW w:w="4680" w:type="dxa"/>
            <w:vAlign w:val="bottom"/>
          </w:tcPr>
          <w:p>
            <w:pPr>
              <w:ind w:left="20"/>
              <w:spacing w:after="0"/>
              <w:rPr>
                <w:sz w:val="20"/>
                <w:szCs w:val="20"/>
                <w:color w:val="auto"/>
              </w:rPr>
            </w:pPr>
            <w:r>
              <w:rPr>
                <w:rFonts w:ascii="Arial" w:cs="Arial" w:eastAsia="Arial" w:hAnsi="Arial"/>
                <w:sz w:val="16"/>
                <w:szCs w:val="16"/>
                <w:color w:val="auto"/>
              </w:rPr>
              <w:t>Revenues</w:t>
            </w: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1,404</w:t>
            </w: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1,696</w:t>
            </w: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221</w:t>
            </w:r>
          </w:p>
        </w:tc>
        <w:tc>
          <w:tcPr>
            <w:tcW w:w="980" w:type="dxa"/>
            <w:vAlign w:val="bottom"/>
          </w:tcPr>
          <w:p>
            <w:pPr>
              <w:jc w:val="right"/>
              <w:spacing w:after="0"/>
              <w:rPr>
                <w:sz w:val="20"/>
                <w:szCs w:val="20"/>
                <w:color w:val="auto"/>
              </w:rPr>
            </w:pPr>
            <w:r>
              <w:rPr>
                <w:rFonts w:ascii="Arial" w:cs="Arial" w:eastAsia="Arial" w:hAnsi="Arial"/>
                <w:sz w:val="16"/>
                <w:szCs w:val="16"/>
                <w:color w:val="auto"/>
              </w:rPr>
              <w:t>248</w:t>
            </w:r>
          </w:p>
        </w:tc>
        <w:tc>
          <w:tcPr>
            <w:tcW w:w="1080" w:type="dxa"/>
            <w:vAlign w:val="bottom"/>
          </w:tcPr>
          <w:p>
            <w:pPr>
              <w:jc w:val="right"/>
              <w:spacing w:after="0"/>
              <w:rPr>
                <w:sz w:val="20"/>
                <w:szCs w:val="20"/>
                <w:color w:val="auto"/>
              </w:rPr>
            </w:pPr>
            <w:r>
              <w:rPr>
                <w:rFonts w:ascii="Arial" w:cs="Arial" w:eastAsia="Arial" w:hAnsi="Arial"/>
                <w:sz w:val="16"/>
                <w:szCs w:val="16"/>
                <w:color w:val="auto"/>
              </w:rPr>
              <w:t>8</w:t>
            </w: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3,577</w:t>
            </w:r>
          </w:p>
        </w:tc>
        <w:tc>
          <w:tcPr>
            <w:tcW w:w="0" w:type="dxa"/>
            <w:vAlign w:val="bottom"/>
          </w:tcPr>
          <w:p>
            <w:pPr>
              <w:spacing w:after="0"/>
              <w:rPr>
                <w:sz w:val="1"/>
                <w:szCs w:val="1"/>
                <w:color w:val="auto"/>
              </w:rPr>
            </w:pPr>
          </w:p>
        </w:tc>
      </w:tr>
      <w:tr>
        <w:trPr>
          <w:trHeight w:val="245"/>
        </w:trPr>
        <w:tc>
          <w:tcPr>
            <w:tcW w:w="46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Intersegment revenues</w:t>
            </w:r>
            <w:r>
              <w:rPr>
                <w:rFonts w:ascii="Arial" w:cs="Arial" w:eastAsia="Arial" w:hAnsi="Arial"/>
                <w:sz w:val="21"/>
                <w:szCs w:val="21"/>
                <w:color w:val="auto"/>
                <w:vertAlign w:val="superscript"/>
              </w:rPr>
              <w:t>2</w:t>
            </w:r>
          </w:p>
        </w:tc>
        <w:tc>
          <w:tcPr>
            <w:tcW w:w="10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25</w:t>
            </w:r>
          </w:p>
        </w:tc>
        <w:tc>
          <w:tcPr>
            <w:tcW w:w="11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w:t>
            </w:r>
          </w:p>
        </w:tc>
        <w:tc>
          <w:tcPr>
            <w:tcW w:w="1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8"/>
        </w:trPr>
        <w:tc>
          <w:tcPr>
            <w:tcW w:w="4680" w:type="dxa"/>
            <w:vAlign w:val="bottom"/>
          </w:tcPr>
          <w:p>
            <w:pPr>
              <w:spacing w:after="0"/>
              <w:rPr>
                <w:sz w:val="18"/>
                <w:szCs w:val="18"/>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1,404</w:t>
            </w: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1,721</w:t>
            </w: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221</w:t>
            </w:r>
          </w:p>
        </w:tc>
        <w:tc>
          <w:tcPr>
            <w:tcW w:w="980" w:type="dxa"/>
            <w:vAlign w:val="bottom"/>
          </w:tcPr>
          <w:p>
            <w:pPr>
              <w:jc w:val="right"/>
              <w:spacing w:after="0"/>
              <w:rPr>
                <w:sz w:val="20"/>
                <w:szCs w:val="20"/>
                <w:color w:val="auto"/>
              </w:rPr>
            </w:pPr>
            <w:r>
              <w:rPr>
                <w:rFonts w:ascii="Arial" w:cs="Arial" w:eastAsia="Arial" w:hAnsi="Arial"/>
                <w:sz w:val="16"/>
                <w:szCs w:val="16"/>
                <w:color w:val="auto"/>
              </w:rPr>
              <w:t>248</w:t>
            </w:r>
          </w:p>
        </w:tc>
        <w:tc>
          <w:tcPr>
            <w:tcW w:w="1080" w:type="dxa"/>
            <w:vAlign w:val="bottom"/>
          </w:tcPr>
          <w:p>
            <w:pPr>
              <w:jc w:val="right"/>
              <w:spacing w:after="0"/>
              <w:rPr>
                <w:sz w:val="20"/>
                <w:szCs w:val="20"/>
                <w:color w:val="auto"/>
              </w:rPr>
            </w:pPr>
            <w:r>
              <w:rPr>
                <w:rFonts w:ascii="Arial" w:cs="Arial" w:eastAsia="Arial" w:hAnsi="Arial"/>
                <w:sz w:val="16"/>
                <w:szCs w:val="16"/>
                <w:color w:val="auto"/>
              </w:rPr>
              <w:t>(17)</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3,577</w:t>
            </w:r>
          </w:p>
        </w:tc>
        <w:tc>
          <w:tcPr>
            <w:tcW w:w="0" w:type="dxa"/>
            <w:vAlign w:val="bottom"/>
          </w:tcPr>
          <w:p>
            <w:pPr>
              <w:spacing w:after="0"/>
              <w:rPr>
                <w:sz w:val="1"/>
                <w:szCs w:val="1"/>
                <w:color w:val="auto"/>
              </w:rPr>
            </w:pPr>
          </w:p>
        </w:tc>
      </w:tr>
      <w:tr>
        <w:trPr>
          <w:trHeight w:val="229"/>
        </w:trPr>
        <w:tc>
          <w:tcPr>
            <w:tcW w:w="4680" w:type="dxa"/>
            <w:vAlign w:val="bottom"/>
          </w:tcPr>
          <w:p>
            <w:pPr>
              <w:ind w:left="20"/>
              <w:spacing w:after="0"/>
              <w:rPr>
                <w:sz w:val="20"/>
                <w:szCs w:val="20"/>
                <w:color w:val="auto"/>
              </w:rPr>
            </w:pPr>
            <w:r>
              <w:rPr>
                <w:rFonts w:ascii="Arial" w:cs="Arial" w:eastAsia="Arial" w:hAnsi="Arial"/>
                <w:sz w:val="16"/>
                <w:szCs w:val="16"/>
                <w:color w:val="auto"/>
              </w:rPr>
              <w:t>Income (loss) from equity investments</w:t>
            </w: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16</w:t>
            </w: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81</w:t>
            </w: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74</w:t>
            </w:r>
          </w:p>
        </w:tc>
        <w:tc>
          <w:tcPr>
            <w:tcW w:w="980" w:type="dxa"/>
            <w:vAlign w:val="bottom"/>
          </w:tcPr>
          <w:p>
            <w:pPr>
              <w:jc w:val="right"/>
              <w:spacing w:after="0"/>
              <w:rPr>
                <w:sz w:val="20"/>
                <w:szCs w:val="20"/>
                <w:color w:val="auto"/>
              </w:rPr>
            </w:pPr>
            <w:r>
              <w:rPr>
                <w:rFonts w:ascii="Arial" w:cs="Arial" w:eastAsia="Arial" w:hAnsi="Arial"/>
                <w:sz w:val="16"/>
                <w:szCs w:val="16"/>
                <w:color w:val="auto"/>
              </w:rPr>
              <w:t>279</w:t>
            </w: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vMerge w:val="restart"/>
          </w:tcPr>
          <w:p>
            <w:pPr>
              <w:jc w:val="right"/>
              <w:ind w:right="47"/>
              <w:spacing w:after="0"/>
              <w:rPr>
                <w:sz w:val="20"/>
                <w:szCs w:val="20"/>
                <w:color w:val="auto"/>
              </w:rPr>
            </w:pPr>
            <w:r>
              <w:rPr>
                <w:rFonts w:ascii="Arial" w:cs="Arial" w:eastAsia="Arial" w:hAnsi="Arial"/>
                <w:sz w:val="11"/>
                <w:szCs w:val="11"/>
                <w:color w:val="auto"/>
                <w:w w:val="97"/>
              </w:rPr>
              <w:t>3</w:t>
            </w:r>
          </w:p>
        </w:tc>
        <w:tc>
          <w:tcPr>
            <w:tcW w:w="980" w:type="dxa"/>
            <w:vAlign w:val="bottom"/>
          </w:tcPr>
          <w:p>
            <w:pPr>
              <w:jc w:val="right"/>
              <w:spacing w:after="0"/>
              <w:rPr>
                <w:sz w:val="20"/>
                <w:szCs w:val="20"/>
                <w:color w:val="auto"/>
              </w:rPr>
            </w:pPr>
            <w:r>
              <w:rPr>
                <w:rFonts w:ascii="Arial" w:cs="Arial" w:eastAsia="Arial" w:hAnsi="Arial"/>
                <w:sz w:val="16"/>
                <w:szCs w:val="16"/>
                <w:color w:val="auto"/>
              </w:rPr>
              <w:t>450</w:t>
            </w:r>
          </w:p>
        </w:tc>
        <w:tc>
          <w:tcPr>
            <w:tcW w:w="0" w:type="dxa"/>
            <w:vAlign w:val="bottom"/>
          </w:tcPr>
          <w:p>
            <w:pPr>
              <w:spacing w:after="0"/>
              <w:rPr>
                <w:sz w:val="1"/>
                <w:szCs w:val="1"/>
                <w:color w:val="auto"/>
              </w:rPr>
            </w:pPr>
          </w:p>
        </w:tc>
      </w:tr>
      <w:tr>
        <w:trPr>
          <w:trHeight w:val="207"/>
        </w:trPr>
        <w:tc>
          <w:tcPr>
            <w:tcW w:w="4680" w:type="dxa"/>
            <w:vAlign w:val="bottom"/>
          </w:tcPr>
          <w:p>
            <w:pPr>
              <w:ind w:left="20"/>
              <w:spacing w:after="0" w:line="207" w:lineRule="exact"/>
              <w:rPr>
                <w:sz w:val="20"/>
                <w:szCs w:val="20"/>
                <w:color w:val="auto"/>
              </w:rPr>
            </w:pPr>
            <w:r>
              <w:rPr>
                <w:rFonts w:ascii="Arial" w:cs="Arial" w:eastAsia="Arial" w:hAnsi="Arial"/>
                <w:sz w:val="16"/>
                <w:szCs w:val="16"/>
                <w:color w:val="auto"/>
              </w:rPr>
              <w:t>Operating costs</w:t>
            </w:r>
            <w:r>
              <w:rPr>
                <w:rFonts w:ascii="Arial" w:cs="Arial" w:eastAsia="Arial" w:hAnsi="Arial"/>
                <w:sz w:val="21"/>
                <w:szCs w:val="21"/>
                <w:color w:val="auto"/>
                <w:vertAlign w:val="superscript"/>
              </w:rPr>
              <w:t>2</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(569)</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(639)</w:t>
            </w:r>
          </w:p>
        </w:tc>
        <w:tc>
          <w:tcPr>
            <w:tcW w:w="1140" w:type="dxa"/>
            <w:vAlign w:val="bottom"/>
          </w:tcPr>
          <w:p>
            <w:pPr>
              <w:jc w:val="right"/>
              <w:ind w:right="59"/>
              <w:spacing w:after="0"/>
              <w:rPr>
                <w:sz w:val="20"/>
                <w:szCs w:val="20"/>
                <w:color w:val="auto"/>
              </w:rPr>
            </w:pPr>
            <w:r>
              <w:rPr>
                <w:rFonts w:ascii="Arial" w:cs="Arial" w:eastAsia="Arial" w:hAnsi="Arial"/>
                <w:sz w:val="16"/>
                <w:szCs w:val="16"/>
                <w:color w:val="auto"/>
              </w:rPr>
              <w:t>(58)</w:t>
            </w:r>
          </w:p>
        </w:tc>
        <w:tc>
          <w:tcPr>
            <w:tcW w:w="980" w:type="dxa"/>
            <w:vAlign w:val="bottom"/>
          </w:tcPr>
          <w:p>
            <w:pPr>
              <w:jc w:val="right"/>
              <w:spacing w:after="0"/>
              <w:rPr>
                <w:sz w:val="20"/>
                <w:szCs w:val="20"/>
                <w:color w:val="auto"/>
              </w:rPr>
            </w:pPr>
            <w:r>
              <w:rPr>
                <w:rFonts w:ascii="Arial" w:cs="Arial" w:eastAsia="Arial" w:hAnsi="Arial"/>
                <w:sz w:val="16"/>
                <w:szCs w:val="16"/>
                <w:color w:val="auto"/>
              </w:rPr>
              <w:t>(225)</w:t>
            </w:r>
          </w:p>
        </w:tc>
        <w:tc>
          <w:tcPr>
            <w:tcW w:w="1080" w:type="dxa"/>
            <w:vAlign w:val="bottom"/>
          </w:tcPr>
          <w:p>
            <w:pPr>
              <w:jc w:val="right"/>
              <w:spacing w:after="0"/>
              <w:rPr>
                <w:sz w:val="20"/>
                <w:szCs w:val="20"/>
                <w:color w:val="auto"/>
              </w:rPr>
            </w:pPr>
            <w:r>
              <w:rPr>
                <w:rFonts w:ascii="Arial" w:cs="Arial" w:eastAsia="Arial" w:hAnsi="Arial"/>
                <w:sz w:val="16"/>
                <w:szCs w:val="16"/>
                <w:color w:val="auto"/>
              </w:rPr>
              <w:t>1</w:t>
            </w:r>
          </w:p>
        </w:tc>
        <w:tc>
          <w:tcPr>
            <w:tcW w:w="180" w:type="dxa"/>
            <w:vAlign w:val="bottom"/>
            <w:vMerge w:val="continue"/>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(1,490)</w:t>
            </w:r>
          </w:p>
        </w:tc>
        <w:tc>
          <w:tcPr>
            <w:tcW w:w="0" w:type="dxa"/>
            <w:vAlign w:val="bottom"/>
          </w:tcPr>
          <w:p>
            <w:pPr>
              <w:spacing w:after="0"/>
              <w:rPr>
                <w:sz w:val="1"/>
                <w:szCs w:val="1"/>
                <w:color w:val="auto"/>
              </w:rPr>
            </w:pPr>
          </w:p>
        </w:tc>
      </w:tr>
      <w:tr>
        <w:trPr>
          <w:trHeight w:val="261"/>
        </w:trPr>
        <w:tc>
          <w:tcPr>
            <w:tcW w:w="46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Depreciation and amortization</w:t>
            </w: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(345)</w:t>
            </w: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(245)</w:t>
            </w:r>
          </w:p>
        </w:tc>
        <w:tc>
          <w:tcPr>
            <w:tcW w:w="11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(23)</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tcPr>
          <w:p>
            <w:pPr>
              <w:jc w:val="right"/>
              <w:ind w:right="47"/>
              <w:spacing w:after="0"/>
              <w:rPr>
                <w:sz w:val="20"/>
                <w:szCs w:val="20"/>
                <w:color w:val="auto"/>
              </w:rPr>
            </w:pPr>
            <w:r>
              <w:rPr>
                <w:rFonts w:ascii="Arial" w:cs="Arial" w:eastAsia="Arial" w:hAnsi="Arial"/>
                <w:sz w:val="11"/>
                <w:szCs w:val="11"/>
                <w:color w:val="auto"/>
                <w:w w:val="97"/>
              </w:rPr>
              <w:t>3</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(639)</w:t>
            </w:r>
          </w:p>
        </w:tc>
        <w:tc>
          <w:tcPr>
            <w:tcW w:w="0" w:type="dxa"/>
            <w:vAlign w:val="bottom"/>
          </w:tcPr>
          <w:p>
            <w:pPr>
              <w:spacing w:after="0"/>
              <w:rPr>
                <w:sz w:val="1"/>
                <w:szCs w:val="1"/>
                <w:color w:val="auto"/>
              </w:rPr>
            </w:pPr>
          </w:p>
        </w:tc>
      </w:tr>
      <w:tr>
        <w:trPr>
          <w:trHeight w:val="223"/>
        </w:trPr>
        <w:tc>
          <w:tcPr>
            <w:tcW w:w="46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0D64EF"/>
              </w:rPr>
              <w:t>Segmented Earnings (Losses)</w:t>
            </w:r>
          </w:p>
        </w:tc>
        <w:tc>
          <w:tcPr>
            <w:tcW w:w="10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506</w:t>
            </w:r>
          </w:p>
        </w:tc>
        <w:tc>
          <w:tcPr>
            <w:tcW w:w="11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918</w:t>
            </w:r>
          </w:p>
        </w:tc>
        <w:tc>
          <w:tcPr>
            <w:tcW w:w="11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214</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276</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w:t>
            </w:r>
          </w:p>
        </w:tc>
        <w:tc>
          <w:tcPr>
            <w:tcW w:w="180" w:type="dxa"/>
            <w:vAlign w:val="bottom"/>
            <w:tcBorders>
              <w:bottom w:val="single" w:sz="8" w:color="auto"/>
            </w:tcBorders>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1,898</w:t>
            </w:r>
          </w:p>
        </w:tc>
        <w:tc>
          <w:tcPr>
            <w:tcW w:w="0" w:type="dxa"/>
            <w:vAlign w:val="bottom"/>
          </w:tcPr>
          <w:p>
            <w:pPr>
              <w:spacing w:after="0"/>
              <w:rPr>
                <w:sz w:val="1"/>
                <w:szCs w:val="1"/>
                <w:color w:val="auto"/>
              </w:rPr>
            </w:pPr>
          </w:p>
        </w:tc>
      </w:tr>
      <w:tr>
        <w:trPr>
          <w:trHeight w:val="215"/>
        </w:trPr>
        <w:tc>
          <w:tcPr>
            <w:tcW w:w="468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10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(679)</w:t>
            </w:r>
          </w:p>
        </w:tc>
        <w:tc>
          <w:tcPr>
            <w:tcW w:w="0" w:type="dxa"/>
            <w:vAlign w:val="bottom"/>
          </w:tcPr>
          <w:p>
            <w:pPr>
              <w:spacing w:after="0"/>
              <w:rPr>
                <w:sz w:val="1"/>
                <w:szCs w:val="1"/>
                <w:color w:val="auto"/>
              </w:rPr>
            </w:pPr>
          </w:p>
        </w:tc>
      </w:tr>
      <w:tr>
        <w:trPr>
          <w:trHeight w:val="229"/>
        </w:trPr>
        <w:tc>
          <w:tcPr>
            <w:tcW w:w="4680" w:type="dxa"/>
            <w:vAlign w:val="bottom"/>
          </w:tcPr>
          <w:p>
            <w:pPr>
              <w:ind w:left="20"/>
              <w:spacing w:after="0"/>
              <w:rPr>
                <w:sz w:val="20"/>
                <w:szCs w:val="20"/>
                <w:color w:val="auto"/>
              </w:rPr>
            </w:pPr>
            <w:r>
              <w:rPr>
                <w:rFonts w:ascii="Arial" w:cs="Arial" w:eastAsia="Arial" w:hAnsi="Arial"/>
                <w:sz w:val="16"/>
                <w:szCs w:val="16"/>
                <w:color w:val="auto"/>
              </w:rPr>
              <w:t>Allowance for funds used during construction</w:t>
            </w:r>
          </w:p>
        </w:tc>
        <w:tc>
          <w:tcPr>
            <w:tcW w:w="10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233</w:t>
            </w:r>
          </w:p>
        </w:tc>
        <w:tc>
          <w:tcPr>
            <w:tcW w:w="0" w:type="dxa"/>
            <w:vAlign w:val="bottom"/>
          </w:tcPr>
          <w:p>
            <w:pPr>
              <w:spacing w:after="0"/>
              <w:rPr>
                <w:sz w:val="1"/>
                <w:szCs w:val="1"/>
                <w:color w:val="auto"/>
              </w:rPr>
            </w:pPr>
          </w:p>
        </w:tc>
      </w:tr>
      <w:tr>
        <w:trPr>
          <w:trHeight w:val="230"/>
        </w:trPr>
        <w:tc>
          <w:tcPr>
            <w:tcW w:w="4680" w:type="dxa"/>
            <w:vAlign w:val="bottom"/>
          </w:tcPr>
          <w:p>
            <w:pPr>
              <w:ind w:left="20"/>
              <w:spacing w:after="0"/>
              <w:rPr>
                <w:sz w:val="20"/>
                <w:szCs w:val="20"/>
                <w:color w:val="auto"/>
              </w:rPr>
            </w:pPr>
            <w:r>
              <w:rPr>
                <w:rFonts w:ascii="Arial" w:cs="Arial" w:eastAsia="Arial" w:hAnsi="Arial"/>
                <w:sz w:val="16"/>
                <w:szCs w:val="16"/>
                <w:color w:val="auto"/>
              </w:rPr>
              <w:t>Foreign exchange gains (losses), net</w:t>
            </w:r>
          </w:p>
        </w:tc>
        <w:tc>
          <w:tcPr>
            <w:tcW w:w="10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(69)</w:t>
            </w:r>
          </w:p>
        </w:tc>
        <w:tc>
          <w:tcPr>
            <w:tcW w:w="0" w:type="dxa"/>
            <w:vAlign w:val="bottom"/>
          </w:tcPr>
          <w:p>
            <w:pPr>
              <w:spacing w:after="0"/>
              <w:rPr>
                <w:sz w:val="1"/>
                <w:szCs w:val="1"/>
                <w:color w:val="auto"/>
              </w:rPr>
            </w:pPr>
          </w:p>
        </w:tc>
      </w:tr>
      <w:tr>
        <w:trPr>
          <w:trHeight w:val="238"/>
        </w:trPr>
        <w:tc>
          <w:tcPr>
            <w:tcW w:w="46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Interest income and other</w:t>
            </w:r>
          </w:p>
        </w:tc>
        <w:tc>
          <w:tcPr>
            <w:tcW w:w="10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w:t>
            </w:r>
          </w:p>
        </w:tc>
        <w:tc>
          <w:tcPr>
            <w:tcW w:w="0" w:type="dxa"/>
            <w:vAlign w:val="bottom"/>
          </w:tcPr>
          <w:p>
            <w:pPr>
              <w:spacing w:after="0"/>
              <w:rPr>
                <w:sz w:val="1"/>
                <w:szCs w:val="1"/>
                <w:color w:val="auto"/>
              </w:rPr>
            </w:pPr>
          </w:p>
        </w:tc>
      </w:tr>
      <w:tr>
        <w:trPr>
          <w:trHeight w:val="223"/>
        </w:trPr>
        <w:tc>
          <w:tcPr>
            <w:tcW w:w="5740" w:type="dxa"/>
            <w:vAlign w:val="bottom"/>
            <w:gridSpan w:val="2"/>
          </w:tcPr>
          <w:p>
            <w:pPr>
              <w:ind w:left="20"/>
              <w:spacing w:after="0"/>
              <w:rPr>
                <w:sz w:val="20"/>
                <w:szCs w:val="20"/>
                <w:color w:val="auto"/>
              </w:rPr>
            </w:pPr>
            <w:r>
              <w:rPr>
                <w:rFonts w:ascii="Arial" w:cs="Arial" w:eastAsia="Arial" w:hAnsi="Arial"/>
                <w:sz w:val="16"/>
                <w:szCs w:val="16"/>
                <w:b w:val="1"/>
                <w:bCs w:val="1"/>
                <w:color w:val="0D64EF"/>
              </w:rPr>
              <w:t>Income (Loss) from Continuing Operations before Income Taxes</w:t>
            </w:r>
          </w:p>
        </w:tc>
        <w:tc>
          <w:tcPr>
            <w:tcW w:w="1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1,503</w:t>
            </w:r>
          </w:p>
        </w:tc>
        <w:tc>
          <w:tcPr>
            <w:tcW w:w="0" w:type="dxa"/>
            <w:vAlign w:val="bottom"/>
          </w:tcPr>
          <w:p>
            <w:pPr>
              <w:spacing w:after="0"/>
              <w:rPr>
                <w:sz w:val="1"/>
                <w:szCs w:val="1"/>
                <w:color w:val="auto"/>
              </w:rPr>
            </w:pPr>
          </w:p>
        </w:tc>
      </w:tr>
      <w:tr>
        <w:trPr>
          <w:trHeight w:val="230"/>
        </w:trPr>
        <w:tc>
          <w:tcPr>
            <w:tcW w:w="46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Income tax (expense) recovery from continuing operations</w:t>
            </w:r>
          </w:p>
        </w:tc>
        <w:tc>
          <w:tcPr>
            <w:tcW w:w="10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(223)</w:t>
            </w:r>
          </w:p>
        </w:tc>
        <w:tc>
          <w:tcPr>
            <w:tcW w:w="0" w:type="dxa"/>
            <w:vAlign w:val="bottom"/>
          </w:tcPr>
          <w:p>
            <w:pPr>
              <w:spacing w:after="0"/>
              <w:rPr>
                <w:sz w:val="1"/>
                <w:szCs w:val="1"/>
                <w:color w:val="auto"/>
              </w:rPr>
            </w:pPr>
          </w:p>
        </w:tc>
      </w:tr>
      <w:tr>
        <w:trPr>
          <w:trHeight w:val="223"/>
        </w:trPr>
        <w:tc>
          <w:tcPr>
            <w:tcW w:w="4680" w:type="dxa"/>
            <w:vAlign w:val="bottom"/>
          </w:tcPr>
          <w:p>
            <w:pPr>
              <w:ind w:left="20"/>
              <w:spacing w:after="0"/>
              <w:rPr>
                <w:sz w:val="20"/>
                <w:szCs w:val="20"/>
                <w:color w:val="auto"/>
              </w:rPr>
            </w:pPr>
            <w:r>
              <w:rPr>
                <w:rFonts w:ascii="Arial" w:cs="Arial" w:eastAsia="Arial" w:hAnsi="Arial"/>
                <w:sz w:val="16"/>
                <w:szCs w:val="16"/>
                <w:b w:val="1"/>
                <w:bCs w:val="1"/>
                <w:color w:val="0D64EF"/>
              </w:rPr>
              <w:t>Net Income (Loss) from Continuing Operations</w:t>
            </w:r>
          </w:p>
        </w:tc>
        <w:tc>
          <w:tcPr>
            <w:tcW w:w="10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1,280</w:t>
            </w:r>
          </w:p>
        </w:tc>
        <w:tc>
          <w:tcPr>
            <w:tcW w:w="0" w:type="dxa"/>
            <w:vAlign w:val="bottom"/>
          </w:tcPr>
          <w:p>
            <w:pPr>
              <w:spacing w:after="0"/>
              <w:rPr>
                <w:sz w:val="1"/>
                <w:szCs w:val="1"/>
                <w:color w:val="auto"/>
              </w:rPr>
            </w:pPr>
          </w:p>
        </w:tc>
      </w:tr>
      <w:tr>
        <w:trPr>
          <w:trHeight w:val="233"/>
        </w:trPr>
        <w:tc>
          <w:tcPr>
            <w:tcW w:w="46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0D64EF"/>
              </w:rPr>
              <w:t>Net Income (Loss) from Discontinued Operations, Net of Tax</w:t>
            </w:r>
          </w:p>
        </w:tc>
        <w:tc>
          <w:tcPr>
            <w:tcW w:w="10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w:t>
            </w:r>
          </w:p>
        </w:tc>
        <w:tc>
          <w:tcPr>
            <w:tcW w:w="0" w:type="dxa"/>
            <w:vAlign w:val="bottom"/>
          </w:tcPr>
          <w:p>
            <w:pPr>
              <w:spacing w:after="0"/>
              <w:rPr>
                <w:sz w:val="1"/>
                <w:szCs w:val="1"/>
                <w:color w:val="auto"/>
              </w:rPr>
            </w:pPr>
          </w:p>
        </w:tc>
      </w:tr>
      <w:tr>
        <w:trPr>
          <w:trHeight w:val="220"/>
        </w:trPr>
        <w:tc>
          <w:tcPr>
            <w:tcW w:w="4680" w:type="dxa"/>
            <w:vAlign w:val="bottom"/>
          </w:tcPr>
          <w:p>
            <w:pPr>
              <w:ind w:left="20"/>
              <w:spacing w:after="0"/>
              <w:rPr>
                <w:sz w:val="20"/>
                <w:szCs w:val="20"/>
                <w:color w:val="auto"/>
              </w:rPr>
            </w:pPr>
            <w:r>
              <w:rPr>
                <w:rFonts w:ascii="Arial" w:cs="Arial" w:eastAsia="Arial" w:hAnsi="Arial"/>
                <w:sz w:val="16"/>
                <w:szCs w:val="16"/>
                <w:b w:val="1"/>
                <w:bCs w:val="1"/>
                <w:color w:val="0D64EF"/>
              </w:rPr>
              <w:t>Net Income (Loss)</w:t>
            </w:r>
          </w:p>
        </w:tc>
        <w:tc>
          <w:tcPr>
            <w:tcW w:w="10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1,182</w:t>
            </w:r>
          </w:p>
        </w:tc>
        <w:tc>
          <w:tcPr>
            <w:tcW w:w="0" w:type="dxa"/>
            <w:vAlign w:val="bottom"/>
          </w:tcPr>
          <w:p>
            <w:pPr>
              <w:spacing w:after="0"/>
              <w:rPr>
                <w:sz w:val="1"/>
                <w:szCs w:val="1"/>
                <w:color w:val="auto"/>
              </w:rPr>
            </w:pPr>
          </w:p>
        </w:tc>
      </w:tr>
      <w:tr>
        <w:trPr>
          <w:trHeight w:val="230"/>
        </w:trPr>
        <w:tc>
          <w:tcPr>
            <w:tcW w:w="46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Net (income) loss attributable to non-controlling interests</w:t>
            </w:r>
          </w:p>
        </w:tc>
        <w:tc>
          <w:tcPr>
            <w:tcW w:w="10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(183)</w:t>
            </w:r>
          </w:p>
        </w:tc>
        <w:tc>
          <w:tcPr>
            <w:tcW w:w="0" w:type="dxa"/>
            <w:vAlign w:val="bottom"/>
          </w:tcPr>
          <w:p>
            <w:pPr>
              <w:spacing w:after="0"/>
              <w:rPr>
                <w:sz w:val="1"/>
                <w:szCs w:val="1"/>
                <w:color w:val="auto"/>
              </w:rPr>
            </w:pPr>
          </w:p>
        </w:tc>
      </w:tr>
      <w:tr>
        <w:trPr>
          <w:trHeight w:val="223"/>
        </w:trPr>
        <w:tc>
          <w:tcPr>
            <w:tcW w:w="4680" w:type="dxa"/>
            <w:vAlign w:val="bottom"/>
          </w:tcPr>
          <w:p>
            <w:pPr>
              <w:ind w:left="20"/>
              <w:spacing w:after="0"/>
              <w:rPr>
                <w:sz w:val="20"/>
                <w:szCs w:val="20"/>
                <w:color w:val="auto"/>
              </w:rPr>
            </w:pPr>
            <w:r>
              <w:rPr>
                <w:rFonts w:ascii="Arial" w:cs="Arial" w:eastAsia="Arial" w:hAnsi="Arial"/>
                <w:sz w:val="16"/>
                <w:szCs w:val="16"/>
                <w:b w:val="1"/>
                <w:bCs w:val="1"/>
                <w:color w:val="0D64EF"/>
              </w:rPr>
              <w:t>Net Income (Loss) Attributable to Controlling Interests</w:t>
            </w:r>
          </w:p>
        </w:tc>
        <w:tc>
          <w:tcPr>
            <w:tcW w:w="10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999</w:t>
            </w:r>
          </w:p>
        </w:tc>
        <w:tc>
          <w:tcPr>
            <w:tcW w:w="0" w:type="dxa"/>
            <w:vAlign w:val="bottom"/>
          </w:tcPr>
          <w:p>
            <w:pPr>
              <w:spacing w:after="0"/>
              <w:rPr>
                <w:sz w:val="1"/>
                <w:szCs w:val="1"/>
                <w:color w:val="auto"/>
              </w:rPr>
            </w:pPr>
          </w:p>
        </w:tc>
      </w:tr>
      <w:tr>
        <w:trPr>
          <w:trHeight w:val="230"/>
        </w:trPr>
        <w:tc>
          <w:tcPr>
            <w:tcW w:w="46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Preferred share dividends</w:t>
            </w:r>
          </w:p>
        </w:tc>
        <w:tc>
          <w:tcPr>
            <w:tcW w:w="10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26"/>
        </w:trPr>
        <w:tc>
          <w:tcPr>
            <w:tcW w:w="46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0D64EF"/>
              </w:rPr>
              <w:t>Net Income (Loss) Attributable to Common Shares</w:t>
            </w:r>
          </w:p>
        </w:tc>
        <w:tc>
          <w:tcPr>
            <w:tcW w:w="10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971</w:t>
            </w:r>
          </w:p>
        </w:tc>
        <w:tc>
          <w:tcPr>
            <w:tcW w:w="0" w:type="dxa"/>
            <w:vAlign w:val="bottom"/>
          </w:tcPr>
          <w:p>
            <w:pPr>
              <w:spacing w:after="0"/>
              <w:rPr>
                <w:sz w:val="1"/>
                <w:szCs w:val="1"/>
                <w:color w:val="auto"/>
              </w:rPr>
            </w:pPr>
          </w:p>
        </w:tc>
      </w:tr>
      <w:tr>
        <w:trPr>
          <w:trHeight w:val="266"/>
        </w:trPr>
        <w:tc>
          <w:tcPr>
            <w:tcW w:w="4680" w:type="dxa"/>
            <w:vAlign w:val="bottom"/>
          </w:tcPr>
          <w:p>
            <w:pPr>
              <w:ind w:left="20"/>
              <w:spacing w:after="0"/>
              <w:rPr>
                <w:sz w:val="20"/>
                <w:szCs w:val="20"/>
                <w:color w:val="auto"/>
              </w:rPr>
            </w:pPr>
            <w:r>
              <w:rPr>
                <w:rFonts w:ascii="Arial" w:cs="Arial" w:eastAsia="Arial" w:hAnsi="Arial"/>
                <w:sz w:val="16"/>
                <w:szCs w:val="16"/>
                <w:b w:val="1"/>
                <w:bCs w:val="1"/>
                <w:color w:val="0D64EF"/>
              </w:rPr>
              <w:t>Capital Spending</w:t>
            </w:r>
            <w:r>
              <w:rPr>
                <w:rFonts w:ascii="Arial" w:cs="Arial" w:eastAsia="Arial" w:hAnsi="Arial"/>
                <w:sz w:val="21"/>
                <w:szCs w:val="21"/>
                <w:color w:val="000000"/>
                <w:vertAlign w:val="superscript"/>
              </w:rPr>
              <w:t>4</w:t>
            </w:r>
          </w:p>
        </w:tc>
        <w:tc>
          <w:tcPr>
            <w:tcW w:w="10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4680" w:type="dxa"/>
            <w:vAlign w:val="bottom"/>
          </w:tcPr>
          <w:p>
            <w:pPr>
              <w:ind w:left="20"/>
              <w:spacing w:after="0"/>
              <w:rPr>
                <w:sz w:val="20"/>
                <w:szCs w:val="20"/>
                <w:color w:val="auto"/>
              </w:rPr>
            </w:pPr>
            <w:r>
              <w:rPr>
                <w:rFonts w:ascii="Arial" w:cs="Arial" w:eastAsia="Arial" w:hAnsi="Arial"/>
                <w:sz w:val="16"/>
                <w:szCs w:val="16"/>
                <w:color w:val="auto"/>
              </w:rPr>
              <w:t>Capital expenditures</w:t>
            </w: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399</w:t>
            </w: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774</w:t>
            </w: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428</w:t>
            </w:r>
          </w:p>
        </w:tc>
        <w:tc>
          <w:tcPr>
            <w:tcW w:w="980" w:type="dxa"/>
            <w:vAlign w:val="bottom"/>
          </w:tcPr>
          <w:p>
            <w:pPr>
              <w:jc w:val="right"/>
              <w:spacing w:after="0"/>
              <w:rPr>
                <w:sz w:val="20"/>
                <w:szCs w:val="20"/>
                <w:color w:val="auto"/>
              </w:rPr>
            </w:pPr>
            <w:r>
              <w:rPr>
                <w:rFonts w:ascii="Arial" w:cs="Arial" w:eastAsia="Arial" w:hAnsi="Arial"/>
                <w:sz w:val="16"/>
                <w:szCs w:val="16"/>
                <w:color w:val="auto"/>
              </w:rPr>
              <w:t>27</w:t>
            </w:r>
          </w:p>
        </w:tc>
        <w:tc>
          <w:tcPr>
            <w:tcW w:w="1080" w:type="dxa"/>
            <w:vAlign w:val="bottom"/>
          </w:tcPr>
          <w:p>
            <w:pPr>
              <w:jc w:val="right"/>
              <w:spacing w:after="0"/>
              <w:rPr>
                <w:sz w:val="20"/>
                <w:szCs w:val="20"/>
                <w:color w:val="auto"/>
              </w:rPr>
            </w:pPr>
            <w:r>
              <w:rPr>
                <w:rFonts w:ascii="Arial" w:cs="Arial" w:eastAsia="Arial" w:hAnsi="Arial"/>
                <w:sz w:val="16"/>
                <w:szCs w:val="16"/>
                <w:color w:val="auto"/>
              </w:rPr>
              <w:t>12</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1,640</w:t>
            </w:r>
          </w:p>
        </w:tc>
        <w:tc>
          <w:tcPr>
            <w:tcW w:w="0" w:type="dxa"/>
            <w:vAlign w:val="bottom"/>
          </w:tcPr>
          <w:p>
            <w:pPr>
              <w:spacing w:after="0"/>
              <w:rPr>
                <w:sz w:val="1"/>
                <w:szCs w:val="1"/>
                <w:color w:val="auto"/>
              </w:rPr>
            </w:pPr>
          </w:p>
        </w:tc>
      </w:tr>
      <w:tr>
        <w:trPr>
          <w:trHeight w:val="230"/>
        </w:trPr>
        <w:tc>
          <w:tcPr>
            <w:tcW w:w="4680" w:type="dxa"/>
            <w:vAlign w:val="bottom"/>
          </w:tcPr>
          <w:p>
            <w:pPr>
              <w:ind w:left="20"/>
              <w:spacing w:after="0"/>
              <w:rPr>
                <w:sz w:val="20"/>
                <w:szCs w:val="20"/>
                <w:color w:val="auto"/>
              </w:rPr>
            </w:pPr>
            <w:r>
              <w:rPr>
                <w:rFonts w:ascii="Arial" w:cs="Arial" w:eastAsia="Arial" w:hAnsi="Arial"/>
                <w:sz w:val="16"/>
                <w:szCs w:val="16"/>
                <w:color w:val="auto"/>
              </w:rPr>
              <w:t>Capital projects in development</w:t>
            </w: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5</w:t>
            </w: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4</w:t>
            </w: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45"/>
        </w:trPr>
        <w:tc>
          <w:tcPr>
            <w:tcW w:w="46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Contributions to equity investments</w:t>
            </w:r>
            <w:r>
              <w:rPr>
                <w:rFonts w:ascii="Arial" w:cs="Arial" w:eastAsia="Arial" w:hAnsi="Arial"/>
                <w:sz w:val="21"/>
                <w:szCs w:val="21"/>
                <w:color w:val="auto"/>
                <w:vertAlign w:val="superscript"/>
              </w:rPr>
              <w:t>5</w:t>
            </w:r>
          </w:p>
        </w:tc>
        <w:tc>
          <w:tcPr>
            <w:tcW w:w="10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477</w:t>
            </w:r>
          </w:p>
        </w:tc>
        <w:tc>
          <w:tcPr>
            <w:tcW w:w="11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w:t>
            </w:r>
          </w:p>
        </w:tc>
        <w:tc>
          <w:tcPr>
            <w:tcW w:w="11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179</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658</w:t>
            </w:r>
          </w:p>
        </w:tc>
        <w:tc>
          <w:tcPr>
            <w:tcW w:w="0" w:type="dxa"/>
            <w:vAlign w:val="bottom"/>
          </w:tcPr>
          <w:p>
            <w:pPr>
              <w:spacing w:after="0"/>
              <w:rPr>
                <w:sz w:val="1"/>
                <w:szCs w:val="1"/>
                <w:color w:val="auto"/>
              </w:rPr>
            </w:pPr>
          </w:p>
        </w:tc>
      </w:tr>
      <w:tr>
        <w:trPr>
          <w:trHeight w:val="217"/>
        </w:trPr>
        <w:tc>
          <w:tcPr>
            <w:tcW w:w="46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876</w:t>
            </w:r>
          </w:p>
        </w:tc>
        <w:tc>
          <w:tcPr>
            <w:tcW w:w="11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781</w:t>
            </w:r>
          </w:p>
        </w:tc>
        <w:tc>
          <w:tcPr>
            <w:tcW w:w="11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428</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210</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2,307</w:t>
            </w:r>
          </w:p>
        </w:tc>
        <w:tc>
          <w:tcPr>
            <w:tcW w:w="0" w:type="dxa"/>
            <w:vAlign w:val="bottom"/>
          </w:tcPr>
          <w:p>
            <w:pPr>
              <w:spacing w:after="0"/>
              <w:rPr>
                <w:sz w:val="1"/>
                <w:szCs w:val="1"/>
                <w:color w:val="auto"/>
              </w:rPr>
            </w:pPr>
          </w:p>
        </w:tc>
      </w:tr>
    </w:tbl>
    <w:p>
      <w:pPr>
        <w:spacing w:after="0" w:line="166" w:lineRule="exact"/>
        <w:rPr>
          <w:sz w:val="20"/>
          <w:szCs w:val="20"/>
          <w:color w:val="auto"/>
        </w:rPr>
      </w:pPr>
    </w:p>
    <w:p>
      <w:pPr>
        <w:ind w:left="340" w:hanging="332"/>
        <w:spacing w:after="0"/>
        <w:tabs>
          <w:tab w:leader="none" w:pos="340" w:val="left"/>
        </w:tabs>
        <w:numPr>
          <w:ilvl w:val="0"/>
          <w:numId w:val="72"/>
        </w:numPr>
        <w:rPr>
          <w:rFonts w:ascii="Arial" w:cs="Arial" w:eastAsia="Arial" w:hAnsi="Arial"/>
          <w:sz w:val="14"/>
          <w:szCs w:val="14"/>
          <w:color w:val="auto"/>
        </w:rPr>
      </w:pPr>
      <w:r>
        <w:rPr>
          <w:rFonts w:ascii="Arial" w:cs="Arial" w:eastAsia="Arial" w:hAnsi="Arial"/>
          <w:sz w:val="14"/>
          <w:szCs w:val="14"/>
          <w:color w:val="auto"/>
        </w:rPr>
        <w:t>Includes intersegment eliminations.</w:t>
      </w:r>
    </w:p>
    <w:p>
      <w:pPr>
        <w:spacing w:after="0" w:line="42" w:lineRule="exact"/>
        <w:rPr>
          <w:sz w:val="20"/>
          <w:szCs w:val="20"/>
          <w:color w:val="auto"/>
        </w:rPr>
      </w:pPr>
    </w:p>
    <w:p>
      <w:pPr>
        <w:ind w:left="340" w:hanging="332"/>
        <w:spacing w:after="0"/>
        <w:tabs>
          <w:tab w:leader="none" w:pos="340" w:val="left"/>
        </w:tabs>
        <w:numPr>
          <w:ilvl w:val="0"/>
          <w:numId w:val="73"/>
        </w:numPr>
        <w:rPr>
          <w:rFonts w:ascii="Arial" w:cs="Arial" w:eastAsia="Arial" w:hAnsi="Arial"/>
          <w:sz w:val="14"/>
          <w:szCs w:val="14"/>
          <w:color w:val="auto"/>
        </w:rPr>
      </w:pPr>
      <w:r>
        <w:rPr>
          <w:rFonts w:ascii="Arial" w:cs="Arial" w:eastAsia="Arial" w:hAnsi="Arial"/>
          <w:sz w:val="14"/>
          <w:szCs w:val="14"/>
          <w:color w:val="auto"/>
        </w:rPr>
        <w:t>The Company records intersegment sales at contracted rates. For segmented reporting, these transactions are included as Intersegment revenues in the segment</w:t>
      </w:r>
    </w:p>
    <w:p>
      <w:pPr>
        <w:spacing w:after="0" w:line="55" w:lineRule="exact"/>
        <w:rPr>
          <w:rFonts w:ascii="Arial" w:cs="Arial" w:eastAsia="Arial" w:hAnsi="Arial"/>
          <w:sz w:val="14"/>
          <w:szCs w:val="14"/>
          <w:color w:val="auto"/>
        </w:rPr>
      </w:pPr>
    </w:p>
    <w:p>
      <w:pPr>
        <w:ind w:left="340" w:right="40"/>
        <w:spacing w:after="0" w:line="311" w:lineRule="auto"/>
        <w:rPr>
          <w:rFonts w:ascii="Arial" w:cs="Arial" w:eastAsia="Arial" w:hAnsi="Arial"/>
          <w:sz w:val="14"/>
          <w:szCs w:val="14"/>
          <w:color w:val="auto"/>
        </w:rPr>
      </w:pPr>
      <w:r>
        <w:rPr>
          <w:rFonts w:ascii="Arial" w:cs="Arial" w:eastAsia="Arial" w:hAnsi="Arial"/>
          <w:sz w:val="14"/>
          <w:szCs w:val="14"/>
          <w:color w:val="auto"/>
        </w:rPr>
        <w:t>providing the service and Operating costs in the segment receiving the service. These transactions are eliminated on consolidation. Intersegment profit is recognized when the product or service has been provided to third parties or otherwise realized.</w:t>
      </w:r>
    </w:p>
    <w:p>
      <w:pPr>
        <w:spacing w:after="0" w:line="1" w:lineRule="exact"/>
        <w:rPr>
          <w:sz w:val="20"/>
          <w:szCs w:val="20"/>
          <w:color w:val="auto"/>
        </w:rPr>
      </w:pPr>
    </w:p>
    <w:p>
      <w:pPr>
        <w:ind w:left="340" w:right="420" w:hanging="332"/>
        <w:spacing w:after="0" w:line="311" w:lineRule="auto"/>
        <w:tabs>
          <w:tab w:leader="none" w:pos="339" w:val="left"/>
        </w:tabs>
        <w:numPr>
          <w:ilvl w:val="0"/>
          <w:numId w:val="74"/>
        </w:numPr>
        <w:rPr>
          <w:rFonts w:ascii="Arial" w:cs="Arial" w:eastAsia="Arial" w:hAnsi="Arial"/>
          <w:sz w:val="14"/>
          <w:szCs w:val="14"/>
          <w:color w:val="auto"/>
        </w:rPr>
      </w:pPr>
      <w:r>
        <w:rPr>
          <w:rFonts w:ascii="Arial" w:cs="Arial" w:eastAsia="Arial" w:hAnsi="Arial"/>
          <w:sz w:val="14"/>
          <w:szCs w:val="14"/>
          <w:color w:val="auto"/>
        </w:rPr>
        <w:t>Includes shared costs and depreciation previously allocated to the Liquids Pipelines segment. Refer to Note 4, Discontinued operations, in the Consolidated financial statements of our 2025 Annual Report for additional information.</w:t>
      </w:r>
    </w:p>
    <w:p>
      <w:pPr>
        <w:spacing w:after="0" w:line="1" w:lineRule="exact"/>
        <w:rPr>
          <w:sz w:val="20"/>
          <w:szCs w:val="20"/>
          <w:color w:val="auto"/>
        </w:rPr>
      </w:pPr>
    </w:p>
    <w:p>
      <w:pPr>
        <w:ind w:left="240" w:hanging="232"/>
        <w:spacing w:after="0"/>
        <w:tabs>
          <w:tab w:leader="none" w:pos="240" w:val="left"/>
        </w:tabs>
        <w:numPr>
          <w:ilvl w:val="0"/>
          <w:numId w:val="75"/>
        </w:numPr>
        <w:rPr>
          <w:rFonts w:ascii="Arial" w:cs="Arial" w:eastAsia="Arial" w:hAnsi="Arial"/>
          <w:sz w:val="14"/>
          <w:szCs w:val="14"/>
          <w:color w:val="auto"/>
        </w:rPr>
      </w:pPr>
      <w:r>
        <w:rPr>
          <w:rFonts w:ascii="Arial" w:cs="Arial" w:eastAsia="Arial" w:hAnsi="Arial"/>
          <w:sz w:val="14"/>
          <w:szCs w:val="14"/>
          <w:color w:val="auto"/>
        </w:rPr>
        <w:t>Included in Investing activities in the Condensed consolidated statement of cash flows.</w:t>
      </w:r>
    </w:p>
    <w:p>
      <w:pPr>
        <w:spacing w:after="0" w:line="42" w:lineRule="exact"/>
        <w:rPr>
          <w:sz w:val="20"/>
          <w:szCs w:val="20"/>
          <w:color w:val="auto"/>
        </w:rPr>
      </w:pPr>
    </w:p>
    <w:p>
      <w:pPr>
        <w:ind w:left="240" w:hanging="232"/>
        <w:spacing w:after="0"/>
        <w:tabs>
          <w:tab w:leader="none" w:pos="240" w:val="left"/>
        </w:tabs>
        <w:numPr>
          <w:ilvl w:val="0"/>
          <w:numId w:val="76"/>
        </w:numPr>
        <w:rPr>
          <w:rFonts w:ascii="Arial" w:cs="Arial" w:eastAsia="Arial" w:hAnsi="Arial"/>
          <w:sz w:val="14"/>
          <w:szCs w:val="14"/>
          <w:color w:val="auto"/>
        </w:rPr>
      </w:pPr>
      <w:r>
        <w:rPr>
          <w:rFonts w:ascii="Arial" w:cs="Arial" w:eastAsia="Arial" w:hAnsi="Arial"/>
          <w:sz w:val="14"/>
          <w:szCs w:val="14"/>
          <w:color w:val="auto"/>
        </w:rPr>
        <w:t>Contributions to equity investments in the Canadian Natural Gas Pipelines segment of $3.1 billion are offset by the equivalent amount in Other distributions from equity</w:t>
      </w:r>
    </w:p>
    <w:p>
      <w:pPr>
        <w:spacing w:after="0" w:line="55" w:lineRule="exact"/>
        <w:rPr>
          <w:rFonts w:ascii="Arial" w:cs="Arial" w:eastAsia="Arial" w:hAnsi="Arial"/>
          <w:sz w:val="14"/>
          <w:szCs w:val="14"/>
          <w:color w:val="auto"/>
        </w:rPr>
      </w:pPr>
    </w:p>
    <w:p>
      <w:pPr>
        <w:ind w:left="340" w:right="100"/>
        <w:spacing w:after="0" w:line="345" w:lineRule="auto"/>
        <w:rPr>
          <w:rFonts w:ascii="Arial" w:cs="Arial" w:eastAsia="Arial" w:hAnsi="Arial"/>
          <w:sz w:val="14"/>
          <w:szCs w:val="14"/>
          <w:color w:val="auto"/>
        </w:rPr>
      </w:pPr>
      <w:r>
        <w:rPr>
          <w:rFonts w:ascii="Arial" w:cs="Arial" w:eastAsia="Arial" w:hAnsi="Arial"/>
          <w:sz w:val="14"/>
          <w:szCs w:val="14"/>
          <w:color w:val="auto"/>
        </w:rPr>
        <w:t>investments, although they are reported on a gross basis in the Company's Condensed consolidated statement of cash flows. Refer to Note 10, Equity investments, in the Consolidated financial statements of our 2025 Annual Report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36 | TC Energy </w:t>
      </w:r>
      <w:r>
        <w:rPr>
          <w:rFonts w:ascii="Arial" w:cs="Arial" w:eastAsia="Arial" w:hAnsi="Arial"/>
          <w:sz w:val="18"/>
          <w:szCs w:val="18"/>
          <w:b w:val="1"/>
          <w:bCs w:val="1"/>
          <w:color w:val="0D64EF"/>
        </w:rPr>
        <w:t>Fourth Quarter</w:t>
      </w:r>
      <w:r>
        <w:rPr>
          <w:rFonts w:ascii="Arial" w:cs="Arial" w:eastAsia="Arial" w:hAnsi="Arial"/>
          <w:sz w:val="18"/>
          <w:szCs w:val="18"/>
          <w:color w:val="auto"/>
        </w:rPr>
        <w:t xml:space="preserve"> News Release 2025</w:t>
      </w:r>
    </w:p>
    <w:p>
      <w:pPr>
        <w:sectPr>
          <w:pgSz w:w="11900" w:h="16838" w:orient="portrait"/>
          <w:cols w:equalWidth="0" w:num="1">
            <w:col w:w="11220"/>
          </w:cols>
          <w:pgMar w:left="320" w:top="1348" w:right="359"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188"/>
        </w:trPr>
        <w:tc>
          <w:tcPr>
            <w:tcW w:w="4720" w:type="dxa"/>
            <w:vAlign w:val="bottom"/>
            <w:tcBorders>
              <w:top w:val="single" w:sz="8" w:color="0D64EF"/>
            </w:tcBorders>
            <w:shd w:val="clear" w:color="auto" w:fill="D1D0CF"/>
          </w:tcPr>
          <w:p>
            <w:pPr>
              <w:ind w:left="20"/>
              <w:spacing w:after="0"/>
              <w:rPr>
                <w:sz w:val="20"/>
                <w:szCs w:val="20"/>
                <w:color w:val="auto"/>
              </w:rPr>
            </w:pPr>
            <w:r>
              <w:rPr>
                <w:rFonts w:ascii="Arial" w:cs="Arial" w:eastAsia="Arial" w:hAnsi="Arial"/>
                <w:sz w:val="16"/>
                <w:szCs w:val="16"/>
                <w:b w:val="1"/>
                <w:bCs w:val="1"/>
                <w:color w:val="auto"/>
              </w:rPr>
              <w:t>year ended</w:t>
            </w:r>
          </w:p>
        </w:tc>
        <w:tc>
          <w:tcPr>
            <w:tcW w:w="1060" w:type="dxa"/>
            <w:vAlign w:val="bottom"/>
            <w:tcBorders>
              <w:top w:val="single" w:sz="8" w:color="0D64EF"/>
            </w:tcBorders>
            <w:shd w:val="clear" w:color="auto" w:fill="D1D0CF"/>
          </w:tcPr>
          <w:p>
            <w:pPr>
              <w:spacing w:after="0"/>
              <w:rPr>
                <w:sz w:val="16"/>
                <w:szCs w:val="16"/>
                <w:color w:val="auto"/>
              </w:rPr>
            </w:pPr>
          </w:p>
        </w:tc>
        <w:tc>
          <w:tcPr>
            <w:tcW w:w="1100" w:type="dxa"/>
            <w:vAlign w:val="bottom"/>
            <w:tcBorders>
              <w:top w:val="single" w:sz="8" w:color="0D64EF"/>
            </w:tcBorders>
            <w:shd w:val="clear" w:color="auto" w:fill="D1D0CF"/>
          </w:tcPr>
          <w:p>
            <w:pPr>
              <w:spacing w:after="0"/>
              <w:rPr>
                <w:sz w:val="16"/>
                <w:szCs w:val="16"/>
                <w:color w:val="auto"/>
              </w:rPr>
            </w:pPr>
          </w:p>
        </w:tc>
        <w:tc>
          <w:tcPr>
            <w:tcW w:w="1140" w:type="dxa"/>
            <w:vAlign w:val="bottom"/>
            <w:tcBorders>
              <w:top w:val="single" w:sz="8" w:color="0D64EF"/>
            </w:tcBorders>
            <w:shd w:val="clear" w:color="auto" w:fill="D1D0CF"/>
          </w:tcPr>
          <w:p>
            <w:pPr>
              <w:spacing w:after="0"/>
              <w:rPr>
                <w:sz w:val="16"/>
                <w:szCs w:val="16"/>
                <w:color w:val="auto"/>
              </w:rPr>
            </w:pPr>
          </w:p>
        </w:tc>
        <w:tc>
          <w:tcPr>
            <w:tcW w:w="960" w:type="dxa"/>
            <w:vAlign w:val="bottom"/>
            <w:tcBorders>
              <w:top w:val="single" w:sz="8" w:color="0D64EF"/>
            </w:tcBorders>
            <w:shd w:val="clear" w:color="auto" w:fill="D1D0CF"/>
          </w:tcPr>
          <w:p>
            <w:pPr>
              <w:spacing w:after="0"/>
              <w:rPr>
                <w:sz w:val="16"/>
                <w:szCs w:val="16"/>
                <w:color w:val="auto"/>
              </w:rPr>
            </w:pPr>
          </w:p>
        </w:tc>
        <w:tc>
          <w:tcPr>
            <w:tcW w:w="1280" w:type="dxa"/>
            <w:vAlign w:val="bottom"/>
            <w:tcBorders>
              <w:top w:val="single" w:sz="8" w:color="0D64EF"/>
            </w:tcBorders>
            <w:shd w:val="clear" w:color="auto" w:fill="D1D0CF"/>
          </w:tcPr>
          <w:p>
            <w:pPr>
              <w:spacing w:after="0"/>
              <w:rPr>
                <w:sz w:val="16"/>
                <w:szCs w:val="16"/>
                <w:color w:val="auto"/>
              </w:rPr>
            </w:pPr>
          </w:p>
        </w:tc>
        <w:tc>
          <w:tcPr>
            <w:tcW w:w="980" w:type="dxa"/>
            <w:vAlign w:val="bottom"/>
            <w:tcBorders>
              <w:top w:val="single" w:sz="8" w:color="0D64EF"/>
            </w:tcBorders>
            <w:shd w:val="clear" w:color="auto" w:fill="D1D0CF"/>
          </w:tcPr>
          <w:p>
            <w:pPr>
              <w:spacing w:after="0"/>
              <w:rPr>
                <w:sz w:val="16"/>
                <w:szCs w:val="16"/>
                <w:color w:val="auto"/>
              </w:rPr>
            </w:pPr>
          </w:p>
        </w:tc>
      </w:tr>
      <w:tr>
        <w:trPr>
          <w:trHeight w:val="189"/>
        </w:trPr>
        <w:tc>
          <w:tcPr>
            <w:tcW w:w="4720" w:type="dxa"/>
            <w:vAlign w:val="bottom"/>
            <w:shd w:val="clear" w:color="auto" w:fill="D1D0CF"/>
          </w:tcPr>
          <w:p>
            <w:pPr>
              <w:ind w:left="20"/>
              <w:spacing w:after="0"/>
              <w:rPr>
                <w:sz w:val="20"/>
                <w:szCs w:val="20"/>
                <w:color w:val="auto"/>
              </w:rPr>
            </w:pPr>
            <w:r>
              <w:rPr>
                <w:rFonts w:ascii="Arial" w:cs="Arial" w:eastAsia="Arial" w:hAnsi="Arial"/>
                <w:sz w:val="16"/>
                <w:szCs w:val="16"/>
                <w:b w:val="1"/>
                <w:bCs w:val="1"/>
                <w:color w:val="auto"/>
              </w:rPr>
              <w:t>December 31, 2025</w:t>
            </w:r>
          </w:p>
        </w:tc>
        <w:tc>
          <w:tcPr>
            <w:tcW w:w="1060" w:type="dxa"/>
            <w:vAlign w:val="bottom"/>
            <w:shd w:val="clear" w:color="auto" w:fill="D1D0CF"/>
          </w:tcPr>
          <w:p>
            <w:pPr>
              <w:jc w:val="right"/>
              <w:ind w:right="19"/>
              <w:spacing w:after="0"/>
              <w:rPr>
                <w:sz w:val="20"/>
                <w:szCs w:val="20"/>
                <w:color w:val="auto"/>
              </w:rPr>
            </w:pPr>
            <w:r>
              <w:rPr>
                <w:rFonts w:ascii="Arial" w:cs="Arial" w:eastAsia="Arial" w:hAnsi="Arial"/>
                <w:sz w:val="16"/>
                <w:szCs w:val="16"/>
                <w:b w:val="1"/>
                <w:bCs w:val="1"/>
                <w:color w:val="auto"/>
              </w:rPr>
              <w:t>Canadian</w:t>
            </w:r>
          </w:p>
        </w:tc>
        <w:tc>
          <w:tcPr>
            <w:tcW w:w="1100" w:type="dxa"/>
            <w:vAlign w:val="bottom"/>
            <w:shd w:val="clear" w:color="auto" w:fill="D1D0CF"/>
          </w:tcPr>
          <w:p>
            <w:pPr>
              <w:jc w:val="right"/>
              <w:ind w:right="19"/>
              <w:spacing w:after="0"/>
              <w:rPr>
                <w:sz w:val="20"/>
                <w:szCs w:val="20"/>
                <w:color w:val="auto"/>
              </w:rPr>
            </w:pPr>
            <w:r>
              <w:rPr>
                <w:rFonts w:ascii="Arial" w:cs="Arial" w:eastAsia="Arial" w:hAnsi="Arial"/>
                <w:sz w:val="16"/>
                <w:szCs w:val="16"/>
                <w:b w:val="1"/>
                <w:bCs w:val="1"/>
                <w:color w:val="auto"/>
              </w:rPr>
              <w:t>U.S. Natural</w:t>
            </w:r>
          </w:p>
        </w:tc>
        <w:tc>
          <w:tcPr>
            <w:tcW w:w="1140" w:type="dxa"/>
            <w:vAlign w:val="bottom"/>
            <w:shd w:val="clear" w:color="auto" w:fill="D1D0CF"/>
          </w:tcPr>
          <w:p>
            <w:pPr>
              <w:jc w:val="right"/>
              <w:ind w:right="59"/>
              <w:spacing w:after="0"/>
              <w:rPr>
                <w:sz w:val="20"/>
                <w:szCs w:val="20"/>
                <w:color w:val="auto"/>
              </w:rPr>
            </w:pPr>
            <w:r>
              <w:rPr>
                <w:rFonts w:ascii="Arial" w:cs="Arial" w:eastAsia="Arial" w:hAnsi="Arial"/>
                <w:sz w:val="16"/>
                <w:szCs w:val="16"/>
                <w:b w:val="1"/>
                <w:bCs w:val="1"/>
                <w:color w:val="auto"/>
              </w:rPr>
              <w:t>Mexico</w:t>
            </w:r>
          </w:p>
        </w:tc>
        <w:tc>
          <w:tcPr>
            <w:tcW w:w="960" w:type="dxa"/>
            <w:vAlign w:val="bottom"/>
            <w:shd w:val="clear" w:color="auto" w:fill="D1D0CF"/>
          </w:tcPr>
          <w:p>
            <w:pPr>
              <w:jc w:val="right"/>
              <w:spacing w:after="0"/>
              <w:rPr>
                <w:sz w:val="20"/>
                <w:szCs w:val="20"/>
                <w:color w:val="auto"/>
              </w:rPr>
            </w:pPr>
            <w:r>
              <w:rPr>
                <w:rFonts w:ascii="Arial" w:cs="Arial" w:eastAsia="Arial" w:hAnsi="Arial"/>
                <w:sz w:val="16"/>
                <w:szCs w:val="16"/>
                <w:b w:val="1"/>
                <w:bCs w:val="1"/>
                <w:color w:val="auto"/>
              </w:rPr>
              <w:t>Power and</w:t>
            </w:r>
          </w:p>
        </w:tc>
        <w:tc>
          <w:tcPr>
            <w:tcW w:w="1280" w:type="dxa"/>
            <w:vAlign w:val="bottom"/>
            <w:shd w:val="clear" w:color="auto" w:fill="D1D0CF"/>
          </w:tcPr>
          <w:p>
            <w:pPr>
              <w:spacing w:after="0"/>
              <w:rPr>
                <w:sz w:val="16"/>
                <w:szCs w:val="16"/>
                <w:color w:val="auto"/>
              </w:rPr>
            </w:pPr>
          </w:p>
        </w:tc>
        <w:tc>
          <w:tcPr>
            <w:tcW w:w="980" w:type="dxa"/>
            <w:vAlign w:val="bottom"/>
            <w:shd w:val="clear" w:color="auto" w:fill="D1D0CF"/>
          </w:tcPr>
          <w:p>
            <w:pPr>
              <w:spacing w:after="0"/>
              <w:rPr>
                <w:sz w:val="16"/>
                <w:szCs w:val="16"/>
                <w:color w:val="auto"/>
              </w:rPr>
            </w:pPr>
          </w:p>
        </w:tc>
      </w:tr>
      <w:tr>
        <w:trPr>
          <w:trHeight w:val="189"/>
        </w:trPr>
        <w:tc>
          <w:tcPr>
            <w:tcW w:w="4720" w:type="dxa"/>
            <w:vAlign w:val="bottom"/>
            <w:shd w:val="clear" w:color="auto" w:fill="D1D0CF"/>
          </w:tcPr>
          <w:p>
            <w:pPr>
              <w:spacing w:after="0"/>
              <w:rPr>
                <w:sz w:val="16"/>
                <w:szCs w:val="16"/>
                <w:color w:val="auto"/>
              </w:rPr>
            </w:pPr>
          </w:p>
        </w:tc>
        <w:tc>
          <w:tcPr>
            <w:tcW w:w="1060" w:type="dxa"/>
            <w:vAlign w:val="bottom"/>
            <w:shd w:val="clear" w:color="auto" w:fill="D1D0CF"/>
          </w:tcPr>
          <w:p>
            <w:pPr>
              <w:jc w:val="right"/>
              <w:ind w:right="19"/>
              <w:spacing w:after="0"/>
              <w:rPr>
                <w:sz w:val="20"/>
                <w:szCs w:val="20"/>
                <w:color w:val="auto"/>
              </w:rPr>
            </w:pPr>
            <w:r>
              <w:rPr>
                <w:rFonts w:ascii="Arial" w:cs="Arial" w:eastAsia="Arial" w:hAnsi="Arial"/>
                <w:sz w:val="16"/>
                <w:szCs w:val="16"/>
                <w:b w:val="1"/>
                <w:bCs w:val="1"/>
                <w:color w:val="auto"/>
              </w:rPr>
              <w:t>Natural Gas</w:t>
            </w:r>
          </w:p>
        </w:tc>
        <w:tc>
          <w:tcPr>
            <w:tcW w:w="1100" w:type="dxa"/>
            <w:vAlign w:val="bottom"/>
            <w:shd w:val="clear" w:color="auto" w:fill="D1D0CF"/>
          </w:tcPr>
          <w:p>
            <w:pPr>
              <w:jc w:val="right"/>
              <w:ind w:right="19"/>
              <w:spacing w:after="0"/>
              <w:rPr>
                <w:sz w:val="20"/>
                <w:szCs w:val="20"/>
                <w:color w:val="auto"/>
              </w:rPr>
            </w:pPr>
            <w:r>
              <w:rPr>
                <w:rFonts w:ascii="Arial" w:cs="Arial" w:eastAsia="Arial" w:hAnsi="Arial"/>
                <w:sz w:val="16"/>
                <w:szCs w:val="16"/>
                <w:b w:val="1"/>
                <w:bCs w:val="1"/>
                <w:color w:val="auto"/>
              </w:rPr>
              <w:t>Gas</w:t>
            </w:r>
          </w:p>
        </w:tc>
        <w:tc>
          <w:tcPr>
            <w:tcW w:w="1140" w:type="dxa"/>
            <w:vAlign w:val="bottom"/>
            <w:shd w:val="clear" w:color="auto" w:fill="D1D0CF"/>
          </w:tcPr>
          <w:p>
            <w:pPr>
              <w:jc w:val="right"/>
              <w:ind w:right="59"/>
              <w:spacing w:after="0"/>
              <w:rPr>
                <w:sz w:val="20"/>
                <w:szCs w:val="20"/>
                <w:color w:val="auto"/>
              </w:rPr>
            </w:pPr>
            <w:r>
              <w:rPr>
                <w:rFonts w:ascii="Arial" w:cs="Arial" w:eastAsia="Arial" w:hAnsi="Arial"/>
                <w:sz w:val="16"/>
                <w:szCs w:val="16"/>
                <w:b w:val="1"/>
                <w:bCs w:val="1"/>
                <w:color w:val="auto"/>
              </w:rPr>
              <w:t>Natural Gas</w:t>
            </w:r>
          </w:p>
        </w:tc>
        <w:tc>
          <w:tcPr>
            <w:tcW w:w="960" w:type="dxa"/>
            <w:vAlign w:val="bottom"/>
            <w:shd w:val="clear" w:color="auto" w:fill="D1D0CF"/>
          </w:tcPr>
          <w:p>
            <w:pPr>
              <w:jc w:val="right"/>
              <w:spacing w:after="0"/>
              <w:rPr>
                <w:sz w:val="20"/>
                <w:szCs w:val="20"/>
                <w:color w:val="auto"/>
              </w:rPr>
            </w:pPr>
            <w:r>
              <w:rPr>
                <w:rFonts w:ascii="Arial" w:cs="Arial" w:eastAsia="Arial" w:hAnsi="Arial"/>
                <w:sz w:val="16"/>
                <w:szCs w:val="16"/>
                <w:b w:val="1"/>
                <w:bCs w:val="1"/>
                <w:color w:val="auto"/>
              </w:rPr>
              <w:t>Energy</w:t>
            </w:r>
          </w:p>
        </w:tc>
        <w:tc>
          <w:tcPr>
            <w:tcW w:w="1280" w:type="dxa"/>
            <w:vAlign w:val="bottom"/>
            <w:shd w:val="clear" w:color="auto" w:fill="D1D0CF"/>
          </w:tcPr>
          <w:p>
            <w:pPr>
              <w:spacing w:after="0"/>
              <w:rPr>
                <w:sz w:val="16"/>
                <w:szCs w:val="16"/>
                <w:color w:val="auto"/>
              </w:rPr>
            </w:pPr>
          </w:p>
        </w:tc>
        <w:tc>
          <w:tcPr>
            <w:tcW w:w="980" w:type="dxa"/>
            <w:vAlign w:val="bottom"/>
            <w:shd w:val="clear" w:color="auto" w:fill="D1D0CF"/>
          </w:tcPr>
          <w:p>
            <w:pPr>
              <w:spacing w:after="0"/>
              <w:rPr>
                <w:sz w:val="16"/>
                <w:szCs w:val="16"/>
                <w:color w:val="auto"/>
              </w:rPr>
            </w:pPr>
          </w:p>
        </w:tc>
      </w:tr>
      <w:tr>
        <w:trPr>
          <w:trHeight w:val="230"/>
        </w:trPr>
        <w:tc>
          <w:tcPr>
            <w:tcW w:w="4720" w:type="dxa"/>
            <w:vAlign w:val="bottom"/>
            <w:tcBorders>
              <w:bottom w:val="single" w:sz="8" w:color="0D64EF"/>
            </w:tcBorders>
            <w:shd w:val="clear" w:color="auto" w:fill="D1D0CF"/>
          </w:tcPr>
          <w:p>
            <w:pPr>
              <w:ind w:left="20"/>
              <w:spacing w:after="0"/>
              <w:rPr>
                <w:sz w:val="20"/>
                <w:szCs w:val="20"/>
                <w:color w:val="auto"/>
              </w:rPr>
            </w:pPr>
            <w:r>
              <w:rPr>
                <w:rFonts w:ascii="Arial" w:cs="Arial" w:eastAsia="Arial" w:hAnsi="Arial"/>
                <w:sz w:val="16"/>
                <w:szCs w:val="16"/>
                <w:color w:val="auto"/>
              </w:rPr>
              <w:t>(unaudited - millions of Canadian $)</w:t>
            </w:r>
          </w:p>
        </w:tc>
        <w:tc>
          <w:tcPr>
            <w:tcW w:w="1060" w:type="dxa"/>
            <w:vAlign w:val="bottom"/>
            <w:tcBorders>
              <w:bottom w:val="single" w:sz="8" w:color="0D64EF"/>
            </w:tcBorders>
            <w:shd w:val="clear" w:color="auto" w:fill="D1D0CF"/>
          </w:tcPr>
          <w:p>
            <w:pPr>
              <w:jc w:val="right"/>
              <w:ind w:right="19"/>
              <w:spacing w:after="0"/>
              <w:rPr>
                <w:sz w:val="20"/>
                <w:szCs w:val="20"/>
                <w:color w:val="auto"/>
              </w:rPr>
            </w:pPr>
            <w:r>
              <w:rPr>
                <w:rFonts w:ascii="Arial" w:cs="Arial" w:eastAsia="Arial" w:hAnsi="Arial"/>
                <w:sz w:val="16"/>
                <w:szCs w:val="16"/>
                <w:b w:val="1"/>
                <w:bCs w:val="1"/>
                <w:color w:val="auto"/>
              </w:rPr>
              <w:t>Pipelines</w:t>
            </w:r>
          </w:p>
        </w:tc>
        <w:tc>
          <w:tcPr>
            <w:tcW w:w="1100" w:type="dxa"/>
            <w:vAlign w:val="bottom"/>
            <w:tcBorders>
              <w:bottom w:val="single" w:sz="8" w:color="0D64EF"/>
            </w:tcBorders>
            <w:shd w:val="clear" w:color="auto" w:fill="D1D0CF"/>
          </w:tcPr>
          <w:p>
            <w:pPr>
              <w:jc w:val="right"/>
              <w:ind w:right="19"/>
              <w:spacing w:after="0"/>
              <w:rPr>
                <w:sz w:val="20"/>
                <w:szCs w:val="20"/>
                <w:color w:val="auto"/>
              </w:rPr>
            </w:pPr>
            <w:r>
              <w:rPr>
                <w:rFonts w:ascii="Arial" w:cs="Arial" w:eastAsia="Arial" w:hAnsi="Arial"/>
                <w:sz w:val="16"/>
                <w:szCs w:val="16"/>
                <w:b w:val="1"/>
                <w:bCs w:val="1"/>
                <w:color w:val="auto"/>
              </w:rPr>
              <w:t>Pipelines</w:t>
            </w:r>
          </w:p>
        </w:tc>
        <w:tc>
          <w:tcPr>
            <w:tcW w:w="1140" w:type="dxa"/>
            <w:vAlign w:val="bottom"/>
            <w:tcBorders>
              <w:bottom w:val="single" w:sz="8" w:color="0D64EF"/>
            </w:tcBorders>
            <w:shd w:val="clear" w:color="auto" w:fill="D1D0CF"/>
          </w:tcPr>
          <w:p>
            <w:pPr>
              <w:jc w:val="right"/>
              <w:ind w:right="59"/>
              <w:spacing w:after="0"/>
              <w:rPr>
                <w:sz w:val="20"/>
                <w:szCs w:val="20"/>
                <w:color w:val="auto"/>
              </w:rPr>
            </w:pPr>
            <w:r>
              <w:rPr>
                <w:rFonts w:ascii="Arial" w:cs="Arial" w:eastAsia="Arial" w:hAnsi="Arial"/>
                <w:sz w:val="16"/>
                <w:szCs w:val="16"/>
                <w:b w:val="1"/>
                <w:bCs w:val="1"/>
                <w:color w:val="auto"/>
              </w:rPr>
              <w:t>Pipelines</w:t>
            </w:r>
          </w:p>
        </w:tc>
        <w:tc>
          <w:tcPr>
            <w:tcW w:w="960" w:type="dxa"/>
            <w:vAlign w:val="bottom"/>
            <w:tcBorders>
              <w:bottom w:val="single" w:sz="8" w:color="0D64EF"/>
            </w:tcBorders>
            <w:shd w:val="clear" w:color="auto" w:fill="D1D0CF"/>
          </w:tcPr>
          <w:p>
            <w:pPr>
              <w:jc w:val="right"/>
              <w:spacing w:after="0"/>
              <w:rPr>
                <w:sz w:val="20"/>
                <w:szCs w:val="20"/>
                <w:color w:val="auto"/>
              </w:rPr>
            </w:pPr>
            <w:r>
              <w:rPr>
                <w:rFonts w:ascii="Arial" w:cs="Arial" w:eastAsia="Arial" w:hAnsi="Arial"/>
                <w:sz w:val="16"/>
                <w:szCs w:val="16"/>
                <w:b w:val="1"/>
                <w:bCs w:val="1"/>
                <w:color w:val="auto"/>
              </w:rPr>
              <w:t>Solutions</w:t>
            </w:r>
          </w:p>
        </w:tc>
        <w:tc>
          <w:tcPr>
            <w:tcW w:w="1280" w:type="dxa"/>
            <w:vAlign w:val="bottom"/>
            <w:tcBorders>
              <w:bottom w:val="single" w:sz="8" w:color="0D64EF"/>
            </w:tcBorders>
            <w:shd w:val="clear" w:color="auto" w:fill="D1D0CF"/>
          </w:tcPr>
          <w:p>
            <w:pPr>
              <w:jc w:val="right"/>
              <w:spacing w:after="0" w:line="230" w:lineRule="exact"/>
              <w:rPr>
                <w:sz w:val="20"/>
                <w:szCs w:val="20"/>
                <w:color w:val="auto"/>
              </w:rPr>
            </w:pPr>
            <w:r>
              <w:rPr>
                <w:rFonts w:ascii="Arial" w:cs="Arial" w:eastAsia="Arial" w:hAnsi="Arial"/>
                <w:sz w:val="16"/>
                <w:szCs w:val="16"/>
                <w:b w:val="1"/>
                <w:bCs w:val="1"/>
                <w:color w:val="auto"/>
              </w:rPr>
              <w:t>Corporate</w:t>
            </w:r>
            <w:r>
              <w:rPr>
                <w:rFonts w:ascii="Arial" w:cs="Arial" w:eastAsia="Arial" w:hAnsi="Arial"/>
                <w:sz w:val="21"/>
                <w:szCs w:val="21"/>
                <w:color w:val="auto"/>
                <w:vertAlign w:val="superscript"/>
              </w:rPr>
              <w:t>1</w:t>
            </w:r>
          </w:p>
        </w:tc>
        <w:tc>
          <w:tcPr>
            <w:tcW w:w="980" w:type="dxa"/>
            <w:vAlign w:val="bottom"/>
            <w:tcBorders>
              <w:bottom w:val="single" w:sz="8" w:color="0D64EF"/>
            </w:tcBorders>
            <w:shd w:val="clear" w:color="auto" w:fill="D1D0CF"/>
          </w:tcPr>
          <w:p>
            <w:pPr>
              <w:jc w:val="right"/>
              <w:spacing w:after="0"/>
              <w:rPr>
                <w:sz w:val="20"/>
                <w:szCs w:val="20"/>
                <w:color w:val="auto"/>
              </w:rPr>
            </w:pPr>
            <w:r>
              <w:rPr>
                <w:rFonts w:ascii="Arial" w:cs="Arial" w:eastAsia="Arial" w:hAnsi="Arial"/>
                <w:sz w:val="16"/>
                <w:szCs w:val="16"/>
                <w:b w:val="1"/>
                <w:bCs w:val="1"/>
                <w:color w:val="auto"/>
              </w:rPr>
              <w:t>Total</w:t>
            </w:r>
          </w:p>
        </w:tc>
      </w:tr>
      <w:tr>
        <w:trPr>
          <w:trHeight w:val="256"/>
        </w:trPr>
        <w:tc>
          <w:tcPr>
            <w:tcW w:w="4720" w:type="dxa"/>
            <w:vAlign w:val="bottom"/>
          </w:tcPr>
          <w:p>
            <w:pPr>
              <w:ind w:left="20"/>
              <w:spacing w:after="0"/>
              <w:rPr>
                <w:sz w:val="20"/>
                <w:szCs w:val="20"/>
                <w:color w:val="auto"/>
              </w:rPr>
            </w:pPr>
            <w:r>
              <w:rPr>
                <w:rFonts w:ascii="Arial" w:cs="Arial" w:eastAsia="Arial" w:hAnsi="Arial"/>
                <w:sz w:val="16"/>
                <w:szCs w:val="16"/>
                <w:color w:val="auto"/>
              </w:rPr>
              <w:t>Revenues</w:t>
            </w:r>
          </w:p>
        </w:tc>
        <w:tc>
          <w:tcPr>
            <w:tcW w:w="1060" w:type="dxa"/>
            <w:vAlign w:val="bottom"/>
          </w:tcPr>
          <w:p>
            <w:pPr>
              <w:jc w:val="right"/>
              <w:ind w:right="59"/>
              <w:spacing w:after="0"/>
              <w:rPr>
                <w:sz w:val="20"/>
                <w:szCs w:val="20"/>
                <w:color w:val="auto"/>
              </w:rPr>
            </w:pPr>
            <w:r>
              <w:rPr>
                <w:rFonts w:ascii="Arial" w:cs="Arial" w:eastAsia="Arial" w:hAnsi="Arial"/>
                <w:sz w:val="16"/>
                <w:szCs w:val="16"/>
                <w:b w:val="1"/>
                <w:bCs w:val="1"/>
                <w:color w:val="auto"/>
              </w:rPr>
              <w:t>5,785</w:t>
            </w:r>
          </w:p>
        </w:tc>
        <w:tc>
          <w:tcPr>
            <w:tcW w:w="1100" w:type="dxa"/>
            <w:vAlign w:val="bottom"/>
          </w:tcPr>
          <w:p>
            <w:pPr>
              <w:jc w:val="right"/>
              <w:ind w:right="79"/>
              <w:spacing w:after="0"/>
              <w:rPr>
                <w:sz w:val="20"/>
                <w:szCs w:val="20"/>
                <w:color w:val="auto"/>
              </w:rPr>
            </w:pPr>
            <w:r>
              <w:rPr>
                <w:rFonts w:ascii="Arial" w:cs="Arial" w:eastAsia="Arial" w:hAnsi="Arial"/>
                <w:sz w:val="16"/>
                <w:szCs w:val="16"/>
                <w:b w:val="1"/>
                <w:bCs w:val="1"/>
                <w:color w:val="auto"/>
              </w:rPr>
              <w:t>7,145</w:t>
            </w:r>
          </w:p>
        </w:tc>
        <w:tc>
          <w:tcPr>
            <w:tcW w:w="1140" w:type="dxa"/>
            <w:vAlign w:val="bottom"/>
          </w:tcPr>
          <w:p>
            <w:pPr>
              <w:jc w:val="right"/>
              <w:ind w:right="119"/>
              <w:spacing w:after="0"/>
              <w:rPr>
                <w:sz w:val="20"/>
                <w:szCs w:val="20"/>
                <w:color w:val="auto"/>
              </w:rPr>
            </w:pPr>
            <w:r>
              <w:rPr>
                <w:rFonts w:ascii="Arial" w:cs="Arial" w:eastAsia="Arial" w:hAnsi="Arial"/>
                <w:sz w:val="16"/>
                <w:szCs w:val="16"/>
                <w:b w:val="1"/>
                <w:bCs w:val="1"/>
                <w:color w:val="auto"/>
              </w:rPr>
              <w:t>1,450</w:t>
            </w: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845</w:t>
            </w:r>
          </w:p>
        </w:tc>
        <w:tc>
          <w:tcPr>
            <w:tcW w:w="1280" w:type="dxa"/>
            <w:vAlign w:val="bottom"/>
          </w:tcPr>
          <w:p>
            <w:pPr>
              <w:jc w:val="right"/>
              <w:ind w:right="179"/>
              <w:spacing w:after="0"/>
              <w:rPr>
                <w:sz w:val="20"/>
                <w:szCs w:val="20"/>
                <w:color w:val="auto"/>
              </w:rPr>
            </w:pPr>
            <w:r>
              <w:rPr>
                <w:rFonts w:ascii="Arial" w:cs="Arial" w:eastAsia="Arial" w:hAnsi="Arial"/>
                <w:sz w:val="16"/>
                <w:szCs w:val="16"/>
                <w:b w:val="1"/>
                <w:bCs w:val="1"/>
                <w:color w:val="auto"/>
              </w:rPr>
              <w:t>14</w:t>
            </w: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15,239</w:t>
            </w:r>
          </w:p>
        </w:tc>
      </w:tr>
      <w:tr>
        <w:trPr>
          <w:trHeight w:val="237"/>
        </w:trPr>
        <w:tc>
          <w:tcPr>
            <w:tcW w:w="4720" w:type="dxa"/>
            <w:vAlign w:val="bottom"/>
            <w:tcBorders>
              <w:bottom w:val="single" w:sz="8" w:color="auto"/>
            </w:tcBorders>
          </w:tcPr>
          <w:p>
            <w:pPr>
              <w:ind w:left="20"/>
              <w:spacing w:after="0" w:line="237" w:lineRule="exact"/>
              <w:rPr>
                <w:sz w:val="20"/>
                <w:szCs w:val="20"/>
                <w:color w:val="auto"/>
              </w:rPr>
            </w:pPr>
            <w:r>
              <w:rPr>
                <w:rFonts w:ascii="Arial" w:cs="Arial" w:eastAsia="Arial" w:hAnsi="Arial"/>
                <w:sz w:val="16"/>
                <w:szCs w:val="16"/>
                <w:color w:val="auto"/>
              </w:rPr>
              <w:t>Intersegment revenues</w:t>
            </w:r>
            <w:r>
              <w:rPr>
                <w:rFonts w:ascii="Arial" w:cs="Arial" w:eastAsia="Arial" w:hAnsi="Arial"/>
                <w:sz w:val="21"/>
                <w:szCs w:val="21"/>
                <w:color w:val="auto"/>
                <w:vertAlign w:val="superscript"/>
              </w:rPr>
              <w:t>2</w:t>
            </w:r>
          </w:p>
        </w:tc>
        <w:tc>
          <w:tcPr>
            <w:tcW w:w="10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11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99</w:t>
            </w:r>
          </w:p>
        </w:tc>
        <w:tc>
          <w:tcPr>
            <w:tcW w:w="11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52</w:t>
            </w:r>
          </w:p>
        </w:tc>
        <w:tc>
          <w:tcPr>
            <w:tcW w:w="12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(151)</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r>
      <w:tr>
        <w:trPr>
          <w:trHeight w:val="216"/>
        </w:trPr>
        <w:tc>
          <w:tcPr>
            <w:tcW w:w="4720" w:type="dxa"/>
            <w:vAlign w:val="bottom"/>
          </w:tcPr>
          <w:p>
            <w:pPr>
              <w:spacing w:after="0"/>
              <w:rPr>
                <w:sz w:val="18"/>
                <w:szCs w:val="18"/>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b w:val="1"/>
                <w:bCs w:val="1"/>
                <w:color w:val="auto"/>
              </w:rPr>
              <w:t>5,785</w:t>
            </w:r>
          </w:p>
        </w:tc>
        <w:tc>
          <w:tcPr>
            <w:tcW w:w="1100" w:type="dxa"/>
            <w:vAlign w:val="bottom"/>
          </w:tcPr>
          <w:p>
            <w:pPr>
              <w:jc w:val="right"/>
              <w:ind w:right="79"/>
              <w:spacing w:after="0"/>
              <w:rPr>
                <w:sz w:val="20"/>
                <w:szCs w:val="20"/>
                <w:color w:val="auto"/>
              </w:rPr>
            </w:pPr>
            <w:r>
              <w:rPr>
                <w:rFonts w:ascii="Arial" w:cs="Arial" w:eastAsia="Arial" w:hAnsi="Arial"/>
                <w:sz w:val="16"/>
                <w:szCs w:val="16"/>
                <w:b w:val="1"/>
                <w:bCs w:val="1"/>
                <w:color w:val="auto"/>
              </w:rPr>
              <w:t>7,244</w:t>
            </w:r>
          </w:p>
        </w:tc>
        <w:tc>
          <w:tcPr>
            <w:tcW w:w="1140" w:type="dxa"/>
            <w:vAlign w:val="bottom"/>
          </w:tcPr>
          <w:p>
            <w:pPr>
              <w:jc w:val="right"/>
              <w:ind w:right="119"/>
              <w:spacing w:after="0"/>
              <w:rPr>
                <w:sz w:val="20"/>
                <w:szCs w:val="20"/>
                <w:color w:val="auto"/>
              </w:rPr>
            </w:pPr>
            <w:r>
              <w:rPr>
                <w:rFonts w:ascii="Arial" w:cs="Arial" w:eastAsia="Arial" w:hAnsi="Arial"/>
                <w:sz w:val="16"/>
                <w:szCs w:val="16"/>
                <w:b w:val="1"/>
                <w:bCs w:val="1"/>
                <w:color w:val="auto"/>
              </w:rPr>
              <w:t>1,450</w:t>
            </w: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897</w:t>
            </w:r>
          </w:p>
        </w:tc>
        <w:tc>
          <w:tcPr>
            <w:tcW w:w="1280" w:type="dxa"/>
            <w:vAlign w:val="bottom"/>
          </w:tcPr>
          <w:p>
            <w:pPr>
              <w:jc w:val="right"/>
              <w:ind w:right="119"/>
              <w:spacing w:after="0"/>
              <w:rPr>
                <w:sz w:val="20"/>
                <w:szCs w:val="20"/>
                <w:color w:val="auto"/>
              </w:rPr>
            </w:pPr>
            <w:r>
              <w:rPr>
                <w:rFonts w:ascii="Arial" w:cs="Arial" w:eastAsia="Arial" w:hAnsi="Arial"/>
                <w:sz w:val="16"/>
                <w:szCs w:val="16"/>
                <w:b w:val="1"/>
                <w:bCs w:val="1"/>
                <w:color w:val="auto"/>
              </w:rPr>
              <w:t>(137)</w:t>
            </w: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15,239</w:t>
            </w:r>
          </w:p>
        </w:tc>
      </w:tr>
      <w:tr>
        <w:trPr>
          <w:trHeight w:val="229"/>
        </w:trPr>
        <w:tc>
          <w:tcPr>
            <w:tcW w:w="4720" w:type="dxa"/>
            <w:vAlign w:val="bottom"/>
          </w:tcPr>
          <w:p>
            <w:pPr>
              <w:ind w:left="20"/>
              <w:spacing w:after="0"/>
              <w:rPr>
                <w:sz w:val="20"/>
                <w:szCs w:val="20"/>
                <w:color w:val="auto"/>
              </w:rPr>
            </w:pPr>
            <w:r>
              <w:rPr>
                <w:rFonts w:ascii="Arial" w:cs="Arial" w:eastAsia="Arial" w:hAnsi="Arial"/>
                <w:sz w:val="16"/>
                <w:szCs w:val="16"/>
                <w:color w:val="auto"/>
              </w:rPr>
              <w:t>Income (loss) from equity investments</w:t>
            </w:r>
          </w:p>
        </w:tc>
        <w:tc>
          <w:tcPr>
            <w:tcW w:w="1060" w:type="dxa"/>
            <w:vAlign w:val="bottom"/>
          </w:tcPr>
          <w:p>
            <w:pPr>
              <w:jc w:val="right"/>
              <w:ind w:right="59"/>
              <w:spacing w:after="0"/>
              <w:rPr>
                <w:sz w:val="20"/>
                <w:szCs w:val="20"/>
                <w:color w:val="auto"/>
              </w:rPr>
            </w:pPr>
            <w:r>
              <w:rPr>
                <w:rFonts w:ascii="Arial" w:cs="Arial" w:eastAsia="Arial" w:hAnsi="Arial"/>
                <w:sz w:val="16"/>
                <w:szCs w:val="16"/>
                <w:b w:val="1"/>
                <w:bCs w:val="1"/>
                <w:color w:val="auto"/>
              </w:rPr>
              <w:t>112</w:t>
            </w:r>
          </w:p>
        </w:tc>
        <w:tc>
          <w:tcPr>
            <w:tcW w:w="1100" w:type="dxa"/>
            <w:vAlign w:val="bottom"/>
          </w:tcPr>
          <w:p>
            <w:pPr>
              <w:jc w:val="right"/>
              <w:ind w:right="79"/>
              <w:spacing w:after="0"/>
              <w:rPr>
                <w:sz w:val="20"/>
                <w:szCs w:val="20"/>
                <w:color w:val="auto"/>
              </w:rPr>
            </w:pPr>
            <w:r>
              <w:rPr>
                <w:rFonts w:ascii="Arial" w:cs="Arial" w:eastAsia="Arial" w:hAnsi="Arial"/>
                <w:sz w:val="16"/>
                <w:szCs w:val="16"/>
                <w:b w:val="1"/>
                <w:bCs w:val="1"/>
                <w:color w:val="auto"/>
              </w:rPr>
              <w:t>301</w:t>
            </w:r>
          </w:p>
        </w:tc>
        <w:tc>
          <w:tcPr>
            <w:tcW w:w="1140" w:type="dxa"/>
            <w:vAlign w:val="bottom"/>
          </w:tcPr>
          <w:p>
            <w:pPr>
              <w:jc w:val="right"/>
              <w:ind w:right="119"/>
              <w:spacing w:after="0"/>
              <w:rPr>
                <w:sz w:val="20"/>
                <w:szCs w:val="20"/>
                <w:color w:val="auto"/>
              </w:rPr>
            </w:pPr>
            <w:r>
              <w:rPr>
                <w:rFonts w:ascii="Arial" w:cs="Arial" w:eastAsia="Arial" w:hAnsi="Arial"/>
                <w:sz w:val="16"/>
                <w:szCs w:val="16"/>
                <w:b w:val="1"/>
                <w:bCs w:val="1"/>
                <w:color w:val="auto"/>
              </w:rPr>
              <w:t>94</w:t>
            </w: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767</w:t>
            </w:r>
          </w:p>
        </w:tc>
        <w:tc>
          <w:tcPr>
            <w:tcW w:w="1280" w:type="dxa"/>
            <w:vAlign w:val="bottom"/>
          </w:tcPr>
          <w:p>
            <w:pPr>
              <w:jc w:val="right"/>
              <w:ind w:right="179"/>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1,274</w:t>
            </w:r>
          </w:p>
        </w:tc>
      </w:tr>
      <w:tr>
        <w:trPr>
          <w:trHeight w:val="236"/>
        </w:trPr>
        <w:tc>
          <w:tcPr>
            <w:tcW w:w="4720" w:type="dxa"/>
            <w:vAlign w:val="bottom"/>
          </w:tcPr>
          <w:p>
            <w:pPr>
              <w:ind w:left="20"/>
              <w:spacing w:after="0" w:line="236" w:lineRule="exact"/>
              <w:rPr>
                <w:sz w:val="20"/>
                <w:szCs w:val="20"/>
                <w:color w:val="auto"/>
              </w:rPr>
            </w:pPr>
            <w:r>
              <w:rPr>
                <w:rFonts w:ascii="Arial" w:cs="Arial" w:eastAsia="Arial" w:hAnsi="Arial"/>
                <w:sz w:val="16"/>
                <w:szCs w:val="16"/>
                <w:color w:val="auto"/>
              </w:rPr>
              <w:t>Operating costs</w:t>
            </w:r>
            <w:r>
              <w:rPr>
                <w:rFonts w:ascii="Arial" w:cs="Arial" w:eastAsia="Arial" w:hAnsi="Arial"/>
                <w:sz w:val="21"/>
                <w:szCs w:val="21"/>
                <w:color w:val="auto"/>
                <w:vertAlign w:val="superscript"/>
              </w:rPr>
              <w:t>2</w:t>
            </w:r>
          </w:p>
        </w:tc>
        <w:tc>
          <w:tcPr>
            <w:tcW w:w="1060" w:type="dxa"/>
            <w:vAlign w:val="bottom"/>
          </w:tcPr>
          <w:p>
            <w:pPr>
              <w:jc w:val="right"/>
              <w:ind w:right="19"/>
              <w:spacing w:after="0"/>
              <w:rPr>
                <w:sz w:val="20"/>
                <w:szCs w:val="20"/>
                <w:color w:val="auto"/>
              </w:rPr>
            </w:pPr>
            <w:r>
              <w:rPr>
                <w:rFonts w:ascii="Arial" w:cs="Arial" w:eastAsia="Arial" w:hAnsi="Arial"/>
                <w:sz w:val="16"/>
                <w:szCs w:val="16"/>
                <w:b w:val="1"/>
                <w:bCs w:val="1"/>
                <w:color w:val="auto"/>
              </w:rPr>
              <w:t>(2,210)</w:t>
            </w:r>
          </w:p>
        </w:tc>
        <w:tc>
          <w:tcPr>
            <w:tcW w:w="1100" w:type="dxa"/>
            <w:vAlign w:val="bottom"/>
          </w:tcPr>
          <w:p>
            <w:pPr>
              <w:jc w:val="right"/>
              <w:ind w:right="19"/>
              <w:spacing w:after="0"/>
              <w:rPr>
                <w:sz w:val="20"/>
                <w:szCs w:val="20"/>
                <w:color w:val="auto"/>
              </w:rPr>
            </w:pPr>
            <w:r>
              <w:rPr>
                <w:rFonts w:ascii="Arial" w:cs="Arial" w:eastAsia="Arial" w:hAnsi="Arial"/>
                <w:sz w:val="16"/>
                <w:szCs w:val="16"/>
                <w:b w:val="1"/>
                <w:bCs w:val="1"/>
                <w:color w:val="auto"/>
              </w:rPr>
              <w:t>(2,581)</w:t>
            </w:r>
          </w:p>
        </w:tc>
        <w:tc>
          <w:tcPr>
            <w:tcW w:w="1140" w:type="dxa"/>
            <w:vAlign w:val="bottom"/>
          </w:tcPr>
          <w:p>
            <w:pPr>
              <w:jc w:val="right"/>
              <w:ind w:right="79"/>
              <w:spacing w:after="0"/>
              <w:rPr>
                <w:sz w:val="20"/>
                <w:szCs w:val="20"/>
                <w:color w:val="auto"/>
              </w:rPr>
            </w:pPr>
            <w:r>
              <w:rPr>
                <w:rFonts w:ascii="Arial" w:cs="Arial" w:eastAsia="Arial" w:hAnsi="Arial"/>
                <w:sz w:val="16"/>
                <w:szCs w:val="16"/>
                <w:b w:val="1"/>
                <w:bCs w:val="1"/>
                <w:color w:val="auto"/>
              </w:rPr>
              <w:t>(262)</w:t>
            </w: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(778)</w:t>
            </w:r>
          </w:p>
        </w:tc>
        <w:tc>
          <w:tcPr>
            <w:tcW w:w="1280" w:type="dxa"/>
            <w:vAlign w:val="bottom"/>
          </w:tcPr>
          <w:p>
            <w:pPr>
              <w:jc w:val="right"/>
              <w:ind w:right="179"/>
              <w:spacing w:after="0"/>
              <w:rPr>
                <w:sz w:val="20"/>
                <w:szCs w:val="20"/>
                <w:color w:val="auto"/>
              </w:rPr>
            </w:pPr>
            <w:r>
              <w:rPr>
                <w:rFonts w:ascii="Arial" w:cs="Arial" w:eastAsia="Arial" w:hAnsi="Arial"/>
                <w:sz w:val="16"/>
                <w:szCs w:val="16"/>
                <w:b w:val="1"/>
                <w:bCs w:val="1"/>
                <w:color w:val="auto"/>
              </w:rPr>
              <w:t>123</w:t>
            </w: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(5,708)</w:t>
            </w:r>
          </w:p>
        </w:tc>
      </w:tr>
      <w:tr>
        <w:trPr>
          <w:trHeight w:val="226"/>
        </w:trPr>
        <w:tc>
          <w:tcPr>
            <w:tcW w:w="47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Depreciation and amortization</w:t>
            </w: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(1,523)</w:t>
            </w: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(1,037)</w:t>
            </w:r>
          </w:p>
        </w:tc>
        <w:tc>
          <w:tcPr>
            <w:tcW w:w="11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(96)</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(113)</w:t>
            </w:r>
          </w:p>
        </w:tc>
        <w:tc>
          <w:tcPr>
            <w:tcW w:w="12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(2,769)</w:t>
            </w:r>
          </w:p>
        </w:tc>
      </w:tr>
      <w:tr>
        <w:trPr>
          <w:trHeight w:val="220"/>
        </w:trPr>
        <w:tc>
          <w:tcPr>
            <w:tcW w:w="47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0D64EF"/>
              </w:rPr>
              <w:t>Segmented Earnings (Losses)</w:t>
            </w:r>
          </w:p>
        </w:tc>
        <w:tc>
          <w:tcPr>
            <w:tcW w:w="10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2,164</w:t>
            </w:r>
          </w:p>
        </w:tc>
        <w:tc>
          <w:tcPr>
            <w:tcW w:w="11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3,927</w:t>
            </w:r>
          </w:p>
        </w:tc>
        <w:tc>
          <w:tcPr>
            <w:tcW w:w="11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1,186</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773</w:t>
            </w:r>
          </w:p>
        </w:tc>
        <w:tc>
          <w:tcPr>
            <w:tcW w:w="12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(14)</w:t>
            </w: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8,036</w:t>
            </w:r>
          </w:p>
        </w:tc>
      </w:tr>
      <w:tr>
        <w:trPr>
          <w:trHeight w:val="222"/>
        </w:trPr>
        <w:tc>
          <w:tcPr>
            <w:tcW w:w="472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10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(3,407)</w:t>
            </w:r>
          </w:p>
        </w:tc>
      </w:tr>
      <w:tr>
        <w:trPr>
          <w:trHeight w:val="229"/>
        </w:trPr>
        <w:tc>
          <w:tcPr>
            <w:tcW w:w="4720" w:type="dxa"/>
            <w:vAlign w:val="bottom"/>
          </w:tcPr>
          <w:p>
            <w:pPr>
              <w:ind w:left="20"/>
              <w:spacing w:after="0"/>
              <w:rPr>
                <w:sz w:val="20"/>
                <w:szCs w:val="20"/>
                <w:color w:val="auto"/>
              </w:rPr>
            </w:pPr>
            <w:r>
              <w:rPr>
                <w:rFonts w:ascii="Arial" w:cs="Arial" w:eastAsia="Arial" w:hAnsi="Arial"/>
                <w:sz w:val="16"/>
                <w:szCs w:val="16"/>
                <w:color w:val="auto"/>
              </w:rPr>
              <w:t>Allowance for funds used during construction</w:t>
            </w:r>
          </w:p>
        </w:tc>
        <w:tc>
          <w:tcPr>
            <w:tcW w:w="10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453</w:t>
            </w:r>
          </w:p>
        </w:tc>
      </w:tr>
      <w:tr>
        <w:trPr>
          <w:trHeight w:val="230"/>
        </w:trPr>
        <w:tc>
          <w:tcPr>
            <w:tcW w:w="4720" w:type="dxa"/>
            <w:vAlign w:val="bottom"/>
          </w:tcPr>
          <w:p>
            <w:pPr>
              <w:ind w:left="20"/>
              <w:spacing w:after="0"/>
              <w:rPr>
                <w:sz w:val="20"/>
                <w:szCs w:val="20"/>
                <w:color w:val="auto"/>
              </w:rPr>
            </w:pPr>
            <w:r>
              <w:rPr>
                <w:rFonts w:ascii="Arial" w:cs="Arial" w:eastAsia="Arial" w:hAnsi="Arial"/>
                <w:sz w:val="16"/>
                <w:szCs w:val="16"/>
                <w:color w:val="auto"/>
              </w:rPr>
              <w:t>Foreign exchange gains (losses), net</w:t>
            </w:r>
          </w:p>
        </w:tc>
        <w:tc>
          <w:tcPr>
            <w:tcW w:w="10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157</w:t>
            </w:r>
          </w:p>
        </w:tc>
      </w:tr>
      <w:tr>
        <w:trPr>
          <w:trHeight w:val="233"/>
        </w:trPr>
        <w:tc>
          <w:tcPr>
            <w:tcW w:w="47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Interest income and other</w:t>
            </w:r>
          </w:p>
        </w:tc>
        <w:tc>
          <w:tcPr>
            <w:tcW w:w="10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205</w:t>
            </w:r>
          </w:p>
        </w:tc>
      </w:tr>
      <w:tr>
        <w:trPr>
          <w:trHeight w:val="220"/>
        </w:trPr>
        <w:tc>
          <w:tcPr>
            <w:tcW w:w="5780" w:type="dxa"/>
            <w:vAlign w:val="bottom"/>
            <w:gridSpan w:val="2"/>
          </w:tcPr>
          <w:p>
            <w:pPr>
              <w:ind w:left="20"/>
              <w:spacing w:after="0"/>
              <w:rPr>
                <w:sz w:val="20"/>
                <w:szCs w:val="20"/>
                <w:color w:val="auto"/>
              </w:rPr>
            </w:pPr>
            <w:r>
              <w:rPr>
                <w:rFonts w:ascii="Arial" w:cs="Arial" w:eastAsia="Arial" w:hAnsi="Arial"/>
                <w:sz w:val="16"/>
                <w:szCs w:val="16"/>
                <w:b w:val="1"/>
                <w:bCs w:val="1"/>
                <w:color w:val="0D64EF"/>
              </w:rPr>
              <w:t>Income (Loss) from Continuing Operations before Income Taxes</w:t>
            </w:r>
          </w:p>
        </w:tc>
        <w:tc>
          <w:tcPr>
            <w:tcW w:w="1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5,444</w:t>
            </w:r>
          </w:p>
        </w:tc>
      </w:tr>
      <w:tr>
        <w:trPr>
          <w:trHeight w:val="233"/>
        </w:trPr>
        <w:tc>
          <w:tcPr>
            <w:tcW w:w="47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Income tax (expense) recovery from continuing operations</w:t>
            </w:r>
          </w:p>
        </w:tc>
        <w:tc>
          <w:tcPr>
            <w:tcW w:w="10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(1,138)</w:t>
            </w:r>
          </w:p>
        </w:tc>
      </w:tr>
      <w:tr>
        <w:trPr>
          <w:trHeight w:val="220"/>
        </w:trPr>
        <w:tc>
          <w:tcPr>
            <w:tcW w:w="4720" w:type="dxa"/>
            <w:vAlign w:val="bottom"/>
          </w:tcPr>
          <w:p>
            <w:pPr>
              <w:ind w:left="20"/>
              <w:spacing w:after="0"/>
              <w:rPr>
                <w:sz w:val="20"/>
                <w:szCs w:val="20"/>
                <w:color w:val="auto"/>
              </w:rPr>
            </w:pPr>
            <w:r>
              <w:rPr>
                <w:rFonts w:ascii="Arial" w:cs="Arial" w:eastAsia="Arial" w:hAnsi="Arial"/>
                <w:sz w:val="16"/>
                <w:szCs w:val="16"/>
                <w:b w:val="1"/>
                <w:bCs w:val="1"/>
                <w:color w:val="0D64EF"/>
              </w:rPr>
              <w:t>Net Income (Loss) from Continuing Operations</w:t>
            </w:r>
          </w:p>
        </w:tc>
        <w:tc>
          <w:tcPr>
            <w:tcW w:w="10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4,306</w:t>
            </w:r>
          </w:p>
        </w:tc>
      </w:tr>
      <w:tr>
        <w:trPr>
          <w:trHeight w:val="233"/>
        </w:trPr>
        <w:tc>
          <w:tcPr>
            <w:tcW w:w="47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0D64EF"/>
              </w:rPr>
              <w:t>Net Income (Loss) from Discontinued Operations, Net of Tax</w:t>
            </w:r>
          </w:p>
        </w:tc>
        <w:tc>
          <w:tcPr>
            <w:tcW w:w="10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(212)</w:t>
            </w:r>
          </w:p>
        </w:tc>
      </w:tr>
      <w:tr>
        <w:trPr>
          <w:trHeight w:val="220"/>
        </w:trPr>
        <w:tc>
          <w:tcPr>
            <w:tcW w:w="4720" w:type="dxa"/>
            <w:vAlign w:val="bottom"/>
          </w:tcPr>
          <w:p>
            <w:pPr>
              <w:ind w:left="20"/>
              <w:spacing w:after="0"/>
              <w:rPr>
                <w:sz w:val="20"/>
                <w:szCs w:val="20"/>
                <w:color w:val="auto"/>
              </w:rPr>
            </w:pPr>
            <w:r>
              <w:rPr>
                <w:rFonts w:ascii="Arial" w:cs="Arial" w:eastAsia="Arial" w:hAnsi="Arial"/>
                <w:sz w:val="16"/>
                <w:szCs w:val="16"/>
                <w:b w:val="1"/>
                <w:bCs w:val="1"/>
                <w:color w:val="0D64EF"/>
              </w:rPr>
              <w:t>Net Income (Loss)</w:t>
            </w:r>
          </w:p>
        </w:tc>
        <w:tc>
          <w:tcPr>
            <w:tcW w:w="10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4,094</w:t>
            </w:r>
          </w:p>
        </w:tc>
      </w:tr>
      <w:tr>
        <w:trPr>
          <w:trHeight w:val="233"/>
        </w:trPr>
        <w:tc>
          <w:tcPr>
            <w:tcW w:w="47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Net (income) loss attributable to non-controlling interests</w:t>
            </w:r>
          </w:p>
        </w:tc>
        <w:tc>
          <w:tcPr>
            <w:tcW w:w="10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(575)</w:t>
            </w:r>
          </w:p>
        </w:tc>
      </w:tr>
      <w:tr>
        <w:trPr>
          <w:trHeight w:val="220"/>
        </w:trPr>
        <w:tc>
          <w:tcPr>
            <w:tcW w:w="4720" w:type="dxa"/>
            <w:vAlign w:val="bottom"/>
          </w:tcPr>
          <w:p>
            <w:pPr>
              <w:ind w:left="20"/>
              <w:spacing w:after="0"/>
              <w:rPr>
                <w:sz w:val="20"/>
                <w:szCs w:val="20"/>
                <w:color w:val="auto"/>
              </w:rPr>
            </w:pPr>
            <w:r>
              <w:rPr>
                <w:rFonts w:ascii="Arial" w:cs="Arial" w:eastAsia="Arial" w:hAnsi="Arial"/>
                <w:sz w:val="16"/>
                <w:szCs w:val="16"/>
                <w:b w:val="1"/>
                <w:bCs w:val="1"/>
                <w:color w:val="0D64EF"/>
              </w:rPr>
              <w:t>Net Income (Loss) Attributable to Controlling Interests</w:t>
            </w:r>
          </w:p>
        </w:tc>
        <w:tc>
          <w:tcPr>
            <w:tcW w:w="10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3,519</w:t>
            </w:r>
          </w:p>
        </w:tc>
      </w:tr>
      <w:tr>
        <w:trPr>
          <w:trHeight w:val="233"/>
        </w:trPr>
        <w:tc>
          <w:tcPr>
            <w:tcW w:w="4720" w:type="dxa"/>
            <w:vAlign w:val="bottom"/>
            <w:tcBorders>
              <w:bottom w:val="single" w:sz="8" w:color="494949"/>
            </w:tcBorders>
          </w:tcPr>
          <w:p>
            <w:pPr>
              <w:ind w:left="20"/>
              <w:spacing w:after="0"/>
              <w:rPr>
                <w:sz w:val="20"/>
                <w:szCs w:val="20"/>
                <w:color w:val="auto"/>
              </w:rPr>
            </w:pPr>
            <w:r>
              <w:rPr>
                <w:rFonts w:ascii="Arial" w:cs="Arial" w:eastAsia="Arial" w:hAnsi="Arial"/>
                <w:sz w:val="16"/>
                <w:szCs w:val="16"/>
                <w:color w:val="auto"/>
              </w:rPr>
              <w:t>Preferred share dividends</w:t>
            </w:r>
          </w:p>
        </w:tc>
        <w:tc>
          <w:tcPr>
            <w:tcW w:w="1060" w:type="dxa"/>
            <w:vAlign w:val="bottom"/>
            <w:tcBorders>
              <w:bottom w:val="single" w:sz="8" w:color="494949"/>
            </w:tcBorders>
          </w:tcPr>
          <w:p>
            <w:pPr>
              <w:spacing w:after="0"/>
              <w:rPr>
                <w:sz w:val="20"/>
                <w:szCs w:val="20"/>
                <w:color w:val="auto"/>
              </w:rPr>
            </w:pPr>
          </w:p>
        </w:tc>
        <w:tc>
          <w:tcPr>
            <w:tcW w:w="1100" w:type="dxa"/>
            <w:vAlign w:val="bottom"/>
            <w:tcBorders>
              <w:bottom w:val="single" w:sz="8" w:color="494949"/>
            </w:tcBorders>
          </w:tcPr>
          <w:p>
            <w:pPr>
              <w:spacing w:after="0"/>
              <w:rPr>
                <w:sz w:val="20"/>
                <w:szCs w:val="20"/>
                <w:color w:val="auto"/>
              </w:rPr>
            </w:pPr>
          </w:p>
        </w:tc>
        <w:tc>
          <w:tcPr>
            <w:tcW w:w="1140" w:type="dxa"/>
            <w:vAlign w:val="bottom"/>
            <w:tcBorders>
              <w:bottom w:val="single" w:sz="8" w:color="494949"/>
            </w:tcBorders>
          </w:tcPr>
          <w:p>
            <w:pPr>
              <w:spacing w:after="0"/>
              <w:rPr>
                <w:sz w:val="20"/>
                <w:szCs w:val="20"/>
                <w:color w:val="auto"/>
              </w:rPr>
            </w:pPr>
          </w:p>
        </w:tc>
        <w:tc>
          <w:tcPr>
            <w:tcW w:w="960" w:type="dxa"/>
            <w:vAlign w:val="bottom"/>
            <w:tcBorders>
              <w:bottom w:val="single" w:sz="8" w:color="494949"/>
            </w:tcBorders>
          </w:tcPr>
          <w:p>
            <w:pPr>
              <w:spacing w:after="0"/>
              <w:rPr>
                <w:sz w:val="20"/>
                <w:szCs w:val="20"/>
                <w:color w:val="auto"/>
              </w:rPr>
            </w:pPr>
          </w:p>
        </w:tc>
        <w:tc>
          <w:tcPr>
            <w:tcW w:w="1280" w:type="dxa"/>
            <w:vAlign w:val="bottom"/>
            <w:tcBorders>
              <w:bottom w:val="single" w:sz="8" w:color="494949"/>
            </w:tcBorders>
          </w:tcPr>
          <w:p>
            <w:pPr>
              <w:spacing w:after="0"/>
              <w:rPr>
                <w:sz w:val="20"/>
                <w:szCs w:val="20"/>
                <w:color w:val="auto"/>
              </w:rPr>
            </w:pPr>
          </w:p>
        </w:tc>
        <w:tc>
          <w:tcPr>
            <w:tcW w:w="980" w:type="dxa"/>
            <w:vAlign w:val="bottom"/>
            <w:tcBorders>
              <w:bottom w:val="single" w:sz="8" w:color="494949"/>
            </w:tcBorders>
          </w:tcPr>
          <w:p>
            <w:pPr>
              <w:jc w:val="right"/>
              <w:spacing w:after="0"/>
              <w:rPr>
                <w:sz w:val="20"/>
                <w:szCs w:val="20"/>
                <w:color w:val="auto"/>
              </w:rPr>
            </w:pPr>
            <w:r>
              <w:rPr>
                <w:rFonts w:ascii="Arial" w:cs="Arial" w:eastAsia="Arial" w:hAnsi="Arial"/>
                <w:sz w:val="16"/>
                <w:szCs w:val="16"/>
                <w:b w:val="1"/>
                <w:bCs w:val="1"/>
                <w:color w:val="auto"/>
              </w:rPr>
              <w:t>(119)</w:t>
            </w:r>
          </w:p>
        </w:tc>
      </w:tr>
      <w:tr>
        <w:trPr>
          <w:trHeight w:val="223"/>
        </w:trPr>
        <w:tc>
          <w:tcPr>
            <w:tcW w:w="4720" w:type="dxa"/>
            <w:vAlign w:val="bottom"/>
            <w:tcBorders>
              <w:bottom w:val="single" w:sz="8" w:color="494949"/>
            </w:tcBorders>
          </w:tcPr>
          <w:p>
            <w:pPr>
              <w:ind w:left="20"/>
              <w:spacing w:after="0"/>
              <w:rPr>
                <w:sz w:val="20"/>
                <w:szCs w:val="20"/>
                <w:color w:val="auto"/>
              </w:rPr>
            </w:pPr>
            <w:r>
              <w:rPr>
                <w:rFonts w:ascii="Arial" w:cs="Arial" w:eastAsia="Arial" w:hAnsi="Arial"/>
                <w:sz w:val="16"/>
                <w:szCs w:val="16"/>
                <w:b w:val="1"/>
                <w:bCs w:val="1"/>
                <w:color w:val="0D64EF"/>
              </w:rPr>
              <w:t>Net Income (Loss) Attributable to Common Shares</w:t>
            </w:r>
          </w:p>
        </w:tc>
        <w:tc>
          <w:tcPr>
            <w:tcW w:w="1060" w:type="dxa"/>
            <w:vAlign w:val="bottom"/>
            <w:tcBorders>
              <w:bottom w:val="single" w:sz="8" w:color="494949"/>
            </w:tcBorders>
          </w:tcPr>
          <w:p>
            <w:pPr>
              <w:spacing w:after="0"/>
              <w:rPr>
                <w:sz w:val="19"/>
                <w:szCs w:val="19"/>
                <w:color w:val="auto"/>
              </w:rPr>
            </w:pPr>
          </w:p>
        </w:tc>
        <w:tc>
          <w:tcPr>
            <w:tcW w:w="1100" w:type="dxa"/>
            <w:vAlign w:val="bottom"/>
            <w:tcBorders>
              <w:bottom w:val="single" w:sz="8" w:color="494949"/>
            </w:tcBorders>
          </w:tcPr>
          <w:p>
            <w:pPr>
              <w:spacing w:after="0"/>
              <w:rPr>
                <w:sz w:val="19"/>
                <w:szCs w:val="19"/>
                <w:color w:val="auto"/>
              </w:rPr>
            </w:pPr>
          </w:p>
        </w:tc>
        <w:tc>
          <w:tcPr>
            <w:tcW w:w="1140" w:type="dxa"/>
            <w:vAlign w:val="bottom"/>
            <w:tcBorders>
              <w:bottom w:val="single" w:sz="8" w:color="494949"/>
            </w:tcBorders>
          </w:tcPr>
          <w:p>
            <w:pPr>
              <w:spacing w:after="0"/>
              <w:rPr>
                <w:sz w:val="19"/>
                <w:szCs w:val="19"/>
                <w:color w:val="auto"/>
              </w:rPr>
            </w:pPr>
          </w:p>
        </w:tc>
        <w:tc>
          <w:tcPr>
            <w:tcW w:w="960" w:type="dxa"/>
            <w:vAlign w:val="bottom"/>
            <w:tcBorders>
              <w:bottom w:val="single" w:sz="8" w:color="494949"/>
            </w:tcBorders>
          </w:tcPr>
          <w:p>
            <w:pPr>
              <w:spacing w:after="0"/>
              <w:rPr>
                <w:sz w:val="19"/>
                <w:szCs w:val="19"/>
                <w:color w:val="auto"/>
              </w:rPr>
            </w:pPr>
          </w:p>
        </w:tc>
        <w:tc>
          <w:tcPr>
            <w:tcW w:w="1280" w:type="dxa"/>
            <w:vAlign w:val="bottom"/>
            <w:tcBorders>
              <w:bottom w:val="single" w:sz="8" w:color="494949"/>
            </w:tcBorders>
          </w:tcPr>
          <w:p>
            <w:pPr>
              <w:spacing w:after="0"/>
              <w:rPr>
                <w:sz w:val="19"/>
                <w:szCs w:val="19"/>
                <w:color w:val="auto"/>
              </w:rPr>
            </w:pPr>
          </w:p>
        </w:tc>
        <w:tc>
          <w:tcPr>
            <w:tcW w:w="980" w:type="dxa"/>
            <w:vAlign w:val="bottom"/>
            <w:tcBorders>
              <w:bottom w:val="single" w:sz="8" w:color="494949"/>
            </w:tcBorders>
          </w:tcPr>
          <w:p>
            <w:pPr>
              <w:jc w:val="right"/>
              <w:spacing w:after="0"/>
              <w:rPr>
                <w:sz w:val="20"/>
                <w:szCs w:val="20"/>
                <w:color w:val="auto"/>
              </w:rPr>
            </w:pPr>
            <w:r>
              <w:rPr>
                <w:rFonts w:ascii="Arial" w:cs="Arial" w:eastAsia="Arial" w:hAnsi="Arial"/>
                <w:sz w:val="16"/>
                <w:szCs w:val="16"/>
                <w:b w:val="1"/>
                <w:bCs w:val="1"/>
                <w:color w:val="auto"/>
              </w:rPr>
              <w:t>3,400</w:t>
            </w:r>
          </w:p>
        </w:tc>
      </w:tr>
      <w:tr>
        <w:trPr>
          <w:trHeight w:val="266"/>
        </w:trPr>
        <w:tc>
          <w:tcPr>
            <w:tcW w:w="4720" w:type="dxa"/>
            <w:vAlign w:val="bottom"/>
          </w:tcPr>
          <w:p>
            <w:pPr>
              <w:ind w:left="20"/>
              <w:spacing w:after="0"/>
              <w:rPr>
                <w:sz w:val="20"/>
                <w:szCs w:val="20"/>
                <w:color w:val="auto"/>
              </w:rPr>
            </w:pPr>
            <w:r>
              <w:rPr>
                <w:rFonts w:ascii="Arial" w:cs="Arial" w:eastAsia="Arial" w:hAnsi="Arial"/>
                <w:sz w:val="16"/>
                <w:szCs w:val="16"/>
                <w:b w:val="1"/>
                <w:bCs w:val="1"/>
                <w:color w:val="0D64EF"/>
              </w:rPr>
              <w:t>Capital Spending</w:t>
            </w:r>
            <w:r>
              <w:rPr>
                <w:rFonts w:ascii="Arial" w:cs="Arial" w:eastAsia="Arial" w:hAnsi="Arial"/>
                <w:sz w:val="21"/>
                <w:szCs w:val="21"/>
                <w:color w:val="000000"/>
                <w:vertAlign w:val="superscript"/>
              </w:rPr>
              <w:t>3</w:t>
            </w:r>
          </w:p>
        </w:tc>
        <w:tc>
          <w:tcPr>
            <w:tcW w:w="10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980" w:type="dxa"/>
            <w:vAlign w:val="bottom"/>
          </w:tcPr>
          <w:p>
            <w:pPr>
              <w:spacing w:after="0"/>
              <w:rPr>
                <w:sz w:val="23"/>
                <w:szCs w:val="23"/>
                <w:color w:val="auto"/>
              </w:rPr>
            </w:pPr>
          </w:p>
        </w:tc>
      </w:tr>
      <w:tr>
        <w:trPr>
          <w:trHeight w:val="223"/>
        </w:trPr>
        <w:tc>
          <w:tcPr>
            <w:tcW w:w="4720" w:type="dxa"/>
            <w:vAlign w:val="bottom"/>
          </w:tcPr>
          <w:p>
            <w:pPr>
              <w:ind w:left="20"/>
              <w:spacing w:after="0"/>
              <w:rPr>
                <w:sz w:val="20"/>
                <w:szCs w:val="20"/>
                <w:color w:val="auto"/>
              </w:rPr>
            </w:pPr>
            <w:r>
              <w:rPr>
                <w:rFonts w:ascii="Arial" w:cs="Arial" w:eastAsia="Arial" w:hAnsi="Arial"/>
                <w:sz w:val="16"/>
                <w:szCs w:val="16"/>
                <w:color w:val="auto"/>
              </w:rPr>
              <w:t>Capital expenditures</w:t>
            </w:r>
          </w:p>
        </w:tc>
        <w:tc>
          <w:tcPr>
            <w:tcW w:w="1060" w:type="dxa"/>
            <w:vAlign w:val="bottom"/>
          </w:tcPr>
          <w:p>
            <w:pPr>
              <w:jc w:val="right"/>
              <w:ind w:right="59"/>
              <w:spacing w:after="0"/>
              <w:rPr>
                <w:sz w:val="20"/>
                <w:szCs w:val="20"/>
                <w:color w:val="auto"/>
              </w:rPr>
            </w:pPr>
            <w:r>
              <w:rPr>
                <w:rFonts w:ascii="Arial" w:cs="Arial" w:eastAsia="Arial" w:hAnsi="Arial"/>
                <w:sz w:val="16"/>
                <w:szCs w:val="16"/>
                <w:b w:val="1"/>
                <w:bCs w:val="1"/>
                <w:color w:val="auto"/>
              </w:rPr>
              <w:t>1,340</w:t>
            </w:r>
          </w:p>
        </w:tc>
        <w:tc>
          <w:tcPr>
            <w:tcW w:w="1100" w:type="dxa"/>
            <w:vAlign w:val="bottom"/>
          </w:tcPr>
          <w:p>
            <w:pPr>
              <w:jc w:val="right"/>
              <w:ind w:right="79"/>
              <w:spacing w:after="0"/>
              <w:rPr>
                <w:sz w:val="20"/>
                <w:szCs w:val="20"/>
                <w:color w:val="auto"/>
              </w:rPr>
            </w:pPr>
            <w:r>
              <w:rPr>
                <w:rFonts w:ascii="Arial" w:cs="Arial" w:eastAsia="Arial" w:hAnsi="Arial"/>
                <w:sz w:val="16"/>
                <w:szCs w:val="16"/>
                <w:b w:val="1"/>
                <w:bCs w:val="1"/>
                <w:color w:val="auto"/>
              </w:rPr>
              <w:t>3,316</w:t>
            </w:r>
          </w:p>
        </w:tc>
        <w:tc>
          <w:tcPr>
            <w:tcW w:w="1140" w:type="dxa"/>
            <w:vAlign w:val="bottom"/>
          </w:tcPr>
          <w:p>
            <w:pPr>
              <w:jc w:val="right"/>
              <w:ind w:right="119"/>
              <w:spacing w:after="0"/>
              <w:rPr>
                <w:sz w:val="20"/>
                <w:szCs w:val="20"/>
                <w:color w:val="auto"/>
              </w:rPr>
            </w:pPr>
            <w:r>
              <w:rPr>
                <w:rFonts w:ascii="Arial" w:cs="Arial" w:eastAsia="Arial" w:hAnsi="Arial"/>
                <w:sz w:val="16"/>
                <w:szCs w:val="16"/>
                <w:b w:val="1"/>
                <w:bCs w:val="1"/>
                <w:color w:val="auto"/>
              </w:rPr>
              <w:t>522</w:t>
            </w: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61</w:t>
            </w:r>
          </w:p>
        </w:tc>
        <w:tc>
          <w:tcPr>
            <w:tcW w:w="1280" w:type="dxa"/>
            <w:vAlign w:val="bottom"/>
          </w:tcPr>
          <w:p>
            <w:pPr>
              <w:jc w:val="right"/>
              <w:ind w:right="179"/>
              <w:spacing w:after="0"/>
              <w:rPr>
                <w:sz w:val="20"/>
                <w:szCs w:val="20"/>
                <w:color w:val="auto"/>
              </w:rPr>
            </w:pPr>
            <w:r>
              <w:rPr>
                <w:rFonts w:ascii="Arial" w:cs="Arial" w:eastAsia="Arial" w:hAnsi="Arial"/>
                <w:sz w:val="16"/>
                <w:szCs w:val="16"/>
                <w:b w:val="1"/>
                <w:bCs w:val="1"/>
                <w:color w:val="auto"/>
              </w:rPr>
              <w:t>31</w:t>
            </w: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5,270</w:t>
            </w:r>
          </w:p>
        </w:tc>
      </w:tr>
      <w:tr>
        <w:trPr>
          <w:trHeight w:val="230"/>
        </w:trPr>
        <w:tc>
          <w:tcPr>
            <w:tcW w:w="4720" w:type="dxa"/>
            <w:vAlign w:val="bottom"/>
          </w:tcPr>
          <w:p>
            <w:pPr>
              <w:ind w:left="20"/>
              <w:spacing w:after="0"/>
              <w:rPr>
                <w:sz w:val="20"/>
                <w:szCs w:val="20"/>
                <w:color w:val="auto"/>
              </w:rPr>
            </w:pPr>
            <w:r>
              <w:rPr>
                <w:rFonts w:ascii="Arial" w:cs="Arial" w:eastAsia="Arial" w:hAnsi="Arial"/>
                <w:sz w:val="16"/>
                <w:szCs w:val="16"/>
                <w:color w:val="auto"/>
              </w:rPr>
              <w:t>Capital projects in development</w:t>
            </w:r>
          </w:p>
        </w:tc>
        <w:tc>
          <w:tcPr>
            <w:tcW w:w="10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110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1140" w:type="dxa"/>
            <w:vAlign w:val="bottom"/>
          </w:tcPr>
          <w:p>
            <w:pPr>
              <w:jc w:val="right"/>
              <w:ind w:right="11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16</w:t>
            </w:r>
          </w:p>
        </w:tc>
        <w:tc>
          <w:tcPr>
            <w:tcW w:w="1280" w:type="dxa"/>
            <w:vAlign w:val="bottom"/>
          </w:tcPr>
          <w:p>
            <w:pPr>
              <w:jc w:val="right"/>
              <w:ind w:right="179"/>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16</w:t>
            </w:r>
          </w:p>
        </w:tc>
      </w:tr>
      <w:tr>
        <w:trPr>
          <w:trHeight w:val="233"/>
        </w:trPr>
        <w:tc>
          <w:tcPr>
            <w:tcW w:w="47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Contributions to equity investments</w:t>
            </w:r>
          </w:p>
        </w:tc>
        <w:tc>
          <w:tcPr>
            <w:tcW w:w="10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65</w:t>
            </w:r>
          </w:p>
        </w:tc>
        <w:tc>
          <w:tcPr>
            <w:tcW w:w="11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141</w:t>
            </w:r>
          </w:p>
        </w:tc>
        <w:tc>
          <w:tcPr>
            <w:tcW w:w="11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845</w:t>
            </w:r>
          </w:p>
        </w:tc>
        <w:tc>
          <w:tcPr>
            <w:tcW w:w="12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1,051</w:t>
            </w:r>
          </w:p>
        </w:tc>
      </w:tr>
      <w:tr>
        <w:trPr>
          <w:trHeight w:val="223"/>
        </w:trPr>
        <w:tc>
          <w:tcPr>
            <w:tcW w:w="47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1,405</w:t>
            </w:r>
          </w:p>
        </w:tc>
        <w:tc>
          <w:tcPr>
            <w:tcW w:w="11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3,457</w:t>
            </w:r>
          </w:p>
        </w:tc>
        <w:tc>
          <w:tcPr>
            <w:tcW w:w="11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522</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922</w:t>
            </w:r>
          </w:p>
        </w:tc>
        <w:tc>
          <w:tcPr>
            <w:tcW w:w="12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31</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6,337</w:t>
            </w:r>
          </w:p>
        </w:tc>
      </w:tr>
    </w:tbl>
    <w:p>
      <w:pPr>
        <w:spacing w:after="0" w:line="193" w:lineRule="exact"/>
        <w:rPr>
          <w:sz w:val="20"/>
          <w:szCs w:val="20"/>
          <w:color w:val="auto"/>
        </w:rPr>
      </w:pPr>
    </w:p>
    <w:p>
      <w:pPr>
        <w:ind w:left="340" w:hanging="332"/>
        <w:spacing w:after="0"/>
        <w:tabs>
          <w:tab w:leader="none" w:pos="340" w:val="left"/>
        </w:tabs>
        <w:numPr>
          <w:ilvl w:val="0"/>
          <w:numId w:val="77"/>
        </w:numPr>
        <w:rPr>
          <w:rFonts w:ascii="Arial" w:cs="Arial" w:eastAsia="Arial" w:hAnsi="Arial"/>
          <w:sz w:val="14"/>
          <w:szCs w:val="14"/>
          <w:color w:val="auto"/>
        </w:rPr>
      </w:pPr>
      <w:r>
        <w:rPr>
          <w:rFonts w:ascii="Arial" w:cs="Arial" w:eastAsia="Arial" w:hAnsi="Arial"/>
          <w:sz w:val="14"/>
          <w:szCs w:val="14"/>
          <w:color w:val="auto"/>
        </w:rPr>
        <w:t>Includes intersegment eliminations.</w:t>
      </w:r>
    </w:p>
    <w:p>
      <w:pPr>
        <w:spacing w:after="0" w:line="42" w:lineRule="exact"/>
        <w:rPr>
          <w:sz w:val="20"/>
          <w:szCs w:val="20"/>
          <w:color w:val="auto"/>
        </w:rPr>
      </w:pPr>
    </w:p>
    <w:p>
      <w:pPr>
        <w:ind w:left="340" w:right="60" w:hanging="332"/>
        <w:spacing w:after="0" w:line="311" w:lineRule="auto"/>
        <w:tabs>
          <w:tab w:leader="none" w:pos="339" w:val="left"/>
        </w:tabs>
        <w:numPr>
          <w:ilvl w:val="0"/>
          <w:numId w:val="78"/>
        </w:numPr>
        <w:rPr>
          <w:rFonts w:ascii="Arial" w:cs="Arial" w:eastAsia="Arial" w:hAnsi="Arial"/>
          <w:sz w:val="14"/>
          <w:szCs w:val="14"/>
          <w:color w:val="auto"/>
        </w:rPr>
      </w:pPr>
      <w:r>
        <w:rPr>
          <w:rFonts w:ascii="Arial" w:cs="Arial" w:eastAsia="Arial" w:hAnsi="Arial"/>
          <w:sz w:val="14"/>
          <w:szCs w:val="14"/>
          <w:color w:val="auto"/>
        </w:rPr>
        <w:t>The Company records intersegment sales at contracted rates. For segmented reporting, these transactions are included as Intersegment revenues in the segment providing the service and Operating costs in the segment receiving the service. These transactions are eliminated on consolidation. Intersegment profit is recognized when</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4"/>
          <w:szCs w:val="14"/>
          <w:color w:val="auto"/>
        </w:rPr>
        <w:t>the product or service has been provided to third parties or otherwise realized.</w:t>
      </w:r>
    </w:p>
    <w:p>
      <w:pPr>
        <w:spacing w:after="0" w:line="42" w:lineRule="exact"/>
        <w:rPr>
          <w:sz w:val="20"/>
          <w:szCs w:val="20"/>
          <w:color w:val="auto"/>
        </w:rPr>
      </w:pPr>
    </w:p>
    <w:p>
      <w:pPr>
        <w:ind w:left="240" w:hanging="232"/>
        <w:spacing w:after="0"/>
        <w:tabs>
          <w:tab w:leader="none" w:pos="240" w:val="left"/>
        </w:tabs>
        <w:numPr>
          <w:ilvl w:val="0"/>
          <w:numId w:val="79"/>
        </w:numPr>
        <w:rPr>
          <w:rFonts w:ascii="Arial" w:cs="Arial" w:eastAsia="Arial" w:hAnsi="Arial"/>
          <w:sz w:val="14"/>
          <w:szCs w:val="14"/>
          <w:color w:val="auto"/>
        </w:rPr>
      </w:pPr>
      <w:r>
        <w:rPr>
          <w:rFonts w:ascii="Arial" w:cs="Arial" w:eastAsia="Arial" w:hAnsi="Arial"/>
          <w:sz w:val="14"/>
          <w:szCs w:val="14"/>
          <w:color w:val="auto"/>
        </w:rPr>
        <w:t>Included in Investing activities in the Condensed consolidated statement of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7060"/>
        <w:spacing w:after="0"/>
        <w:rPr>
          <w:sz w:val="20"/>
          <w:szCs w:val="20"/>
          <w:color w:val="auto"/>
        </w:rPr>
      </w:pPr>
      <w:r>
        <w:rPr>
          <w:rFonts w:ascii="Arial" w:cs="Arial" w:eastAsia="Arial" w:hAnsi="Arial"/>
          <w:sz w:val="17"/>
          <w:szCs w:val="17"/>
          <w:color w:val="auto"/>
        </w:rPr>
        <w:t xml:space="preserve">TC Energy </w:t>
      </w:r>
      <w:r>
        <w:rPr>
          <w:rFonts w:ascii="Arial" w:cs="Arial" w:eastAsia="Arial" w:hAnsi="Arial"/>
          <w:sz w:val="17"/>
          <w:szCs w:val="17"/>
          <w:b w:val="1"/>
          <w:bCs w:val="1"/>
          <w:color w:val="0D64EF"/>
        </w:rPr>
        <w:t>Fourth Quarter</w:t>
      </w:r>
      <w:r>
        <w:rPr>
          <w:rFonts w:ascii="Arial" w:cs="Arial" w:eastAsia="Arial" w:hAnsi="Arial"/>
          <w:sz w:val="17"/>
          <w:szCs w:val="17"/>
          <w:color w:val="auto"/>
        </w:rPr>
        <w:t xml:space="preserve"> News Release 2025 | 37</w:t>
      </w:r>
    </w:p>
    <w:p>
      <w:pPr>
        <w:sectPr>
          <w:pgSz w:w="11900" w:h="16838" w:orient="portrait"/>
          <w:cols w:equalWidth="0" w:num="1">
            <w:col w:w="11240"/>
          </w:cols>
          <w:pgMar w:left="320" w:top="1294" w:right="339"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188"/>
        </w:trPr>
        <w:tc>
          <w:tcPr>
            <w:tcW w:w="4720" w:type="dxa"/>
            <w:vAlign w:val="bottom"/>
            <w:tcBorders>
              <w:top w:val="single" w:sz="8" w:color="0D64EF"/>
            </w:tcBorders>
            <w:shd w:val="clear" w:color="auto" w:fill="D1D0CF"/>
          </w:tcPr>
          <w:p>
            <w:pPr>
              <w:ind w:left="20"/>
              <w:spacing w:after="0"/>
              <w:rPr>
                <w:sz w:val="20"/>
                <w:szCs w:val="20"/>
                <w:color w:val="auto"/>
              </w:rPr>
            </w:pPr>
            <w:r>
              <w:rPr>
                <w:rFonts w:ascii="Arial" w:cs="Arial" w:eastAsia="Arial" w:hAnsi="Arial"/>
                <w:sz w:val="16"/>
                <w:szCs w:val="16"/>
                <w:b w:val="1"/>
                <w:bCs w:val="1"/>
                <w:color w:val="auto"/>
              </w:rPr>
              <w:t>year ended</w:t>
            </w:r>
          </w:p>
        </w:tc>
        <w:tc>
          <w:tcPr>
            <w:tcW w:w="1060" w:type="dxa"/>
            <w:vAlign w:val="bottom"/>
            <w:tcBorders>
              <w:top w:val="single" w:sz="8" w:color="0D64EF"/>
            </w:tcBorders>
            <w:shd w:val="clear" w:color="auto" w:fill="D1D0CF"/>
          </w:tcPr>
          <w:p>
            <w:pPr>
              <w:spacing w:after="0"/>
              <w:rPr>
                <w:sz w:val="16"/>
                <w:szCs w:val="16"/>
                <w:color w:val="auto"/>
              </w:rPr>
            </w:pPr>
          </w:p>
        </w:tc>
        <w:tc>
          <w:tcPr>
            <w:tcW w:w="1100" w:type="dxa"/>
            <w:vAlign w:val="bottom"/>
            <w:tcBorders>
              <w:top w:val="single" w:sz="8" w:color="0D64EF"/>
            </w:tcBorders>
            <w:shd w:val="clear" w:color="auto" w:fill="D1D0CF"/>
          </w:tcPr>
          <w:p>
            <w:pPr>
              <w:spacing w:after="0"/>
              <w:rPr>
                <w:sz w:val="16"/>
                <w:szCs w:val="16"/>
                <w:color w:val="auto"/>
              </w:rPr>
            </w:pPr>
          </w:p>
        </w:tc>
        <w:tc>
          <w:tcPr>
            <w:tcW w:w="1140" w:type="dxa"/>
            <w:vAlign w:val="bottom"/>
            <w:tcBorders>
              <w:top w:val="single" w:sz="8" w:color="0D64EF"/>
            </w:tcBorders>
            <w:shd w:val="clear" w:color="auto" w:fill="D1D0CF"/>
          </w:tcPr>
          <w:p>
            <w:pPr>
              <w:spacing w:after="0"/>
              <w:rPr>
                <w:sz w:val="16"/>
                <w:szCs w:val="16"/>
                <w:color w:val="auto"/>
              </w:rPr>
            </w:pPr>
          </w:p>
        </w:tc>
        <w:tc>
          <w:tcPr>
            <w:tcW w:w="960" w:type="dxa"/>
            <w:vAlign w:val="bottom"/>
            <w:tcBorders>
              <w:top w:val="single" w:sz="8" w:color="0D64EF"/>
            </w:tcBorders>
            <w:shd w:val="clear" w:color="auto" w:fill="D1D0CF"/>
          </w:tcPr>
          <w:p>
            <w:pPr>
              <w:spacing w:after="0"/>
              <w:rPr>
                <w:sz w:val="16"/>
                <w:szCs w:val="16"/>
                <w:color w:val="auto"/>
              </w:rPr>
            </w:pPr>
          </w:p>
        </w:tc>
        <w:tc>
          <w:tcPr>
            <w:tcW w:w="120" w:type="dxa"/>
            <w:vAlign w:val="bottom"/>
            <w:tcBorders>
              <w:top w:val="single" w:sz="8" w:color="0D64EF"/>
            </w:tcBorders>
            <w:shd w:val="clear" w:color="auto" w:fill="D1D0CF"/>
          </w:tcPr>
          <w:p>
            <w:pPr>
              <w:spacing w:after="0"/>
              <w:rPr>
                <w:sz w:val="16"/>
                <w:szCs w:val="16"/>
                <w:color w:val="auto"/>
              </w:rPr>
            </w:pPr>
          </w:p>
        </w:tc>
        <w:tc>
          <w:tcPr>
            <w:tcW w:w="1000" w:type="dxa"/>
            <w:vAlign w:val="bottom"/>
            <w:tcBorders>
              <w:top w:val="single" w:sz="8" w:color="0D64EF"/>
            </w:tcBorders>
            <w:shd w:val="clear" w:color="auto" w:fill="D1D0CF"/>
          </w:tcPr>
          <w:p>
            <w:pPr>
              <w:spacing w:after="0"/>
              <w:rPr>
                <w:sz w:val="16"/>
                <w:szCs w:val="16"/>
                <w:color w:val="auto"/>
              </w:rPr>
            </w:pPr>
          </w:p>
        </w:tc>
        <w:tc>
          <w:tcPr>
            <w:tcW w:w="160" w:type="dxa"/>
            <w:vAlign w:val="bottom"/>
            <w:tcBorders>
              <w:top w:val="single" w:sz="8" w:color="0D64EF"/>
            </w:tcBorders>
            <w:shd w:val="clear" w:color="auto" w:fill="D1D0CF"/>
          </w:tcPr>
          <w:p>
            <w:pPr>
              <w:spacing w:after="0"/>
              <w:rPr>
                <w:sz w:val="16"/>
                <w:szCs w:val="16"/>
                <w:color w:val="auto"/>
              </w:rPr>
            </w:pPr>
          </w:p>
        </w:tc>
        <w:tc>
          <w:tcPr>
            <w:tcW w:w="980" w:type="dxa"/>
            <w:vAlign w:val="bottom"/>
            <w:tcBorders>
              <w:top w:val="single" w:sz="8" w:color="0D64EF"/>
            </w:tcBorders>
            <w:shd w:val="clear" w:color="auto" w:fill="D1D0C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720" w:type="dxa"/>
            <w:vAlign w:val="bottom"/>
            <w:shd w:val="clear" w:color="auto" w:fill="D1D0CF"/>
          </w:tcPr>
          <w:p>
            <w:pPr>
              <w:ind w:left="20"/>
              <w:spacing w:after="0"/>
              <w:rPr>
                <w:sz w:val="20"/>
                <w:szCs w:val="20"/>
                <w:color w:val="auto"/>
              </w:rPr>
            </w:pPr>
            <w:r>
              <w:rPr>
                <w:rFonts w:ascii="Arial" w:cs="Arial" w:eastAsia="Arial" w:hAnsi="Arial"/>
                <w:sz w:val="16"/>
                <w:szCs w:val="16"/>
                <w:b w:val="1"/>
                <w:bCs w:val="1"/>
                <w:color w:val="auto"/>
              </w:rPr>
              <w:t>December 31, 2024</w:t>
            </w:r>
          </w:p>
        </w:tc>
        <w:tc>
          <w:tcPr>
            <w:tcW w:w="1060" w:type="dxa"/>
            <w:vAlign w:val="bottom"/>
            <w:shd w:val="clear" w:color="auto" w:fill="D1D0CF"/>
          </w:tcPr>
          <w:p>
            <w:pPr>
              <w:jc w:val="right"/>
              <w:ind w:right="19"/>
              <w:spacing w:after="0"/>
              <w:rPr>
                <w:sz w:val="20"/>
                <w:szCs w:val="20"/>
                <w:color w:val="auto"/>
              </w:rPr>
            </w:pPr>
            <w:r>
              <w:rPr>
                <w:rFonts w:ascii="Arial" w:cs="Arial" w:eastAsia="Arial" w:hAnsi="Arial"/>
                <w:sz w:val="16"/>
                <w:szCs w:val="16"/>
                <w:b w:val="1"/>
                <w:bCs w:val="1"/>
                <w:color w:val="auto"/>
              </w:rPr>
              <w:t>Canadian</w:t>
            </w:r>
          </w:p>
        </w:tc>
        <w:tc>
          <w:tcPr>
            <w:tcW w:w="1100" w:type="dxa"/>
            <w:vAlign w:val="bottom"/>
            <w:shd w:val="clear" w:color="auto" w:fill="D1D0CF"/>
          </w:tcPr>
          <w:p>
            <w:pPr>
              <w:jc w:val="right"/>
              <w:ind w:right="19"/>
              <w:spacing w:after="0"/>
              <w:rPr>
                <w:sz w:val="20"/>
                <w:szCs w:val="20"/>
                <w:color w:val="auto"/>
              </w:rPr>
            </w:pPr>
            <w:r>
              <w:rPr>
                <w:rFonts w:ascii="Arial" w:cs="Arial" w:eastAsia="Arial" w:hAnsi="Arial"/>
                <w:sz w:val="16"/>
                <w:szCs w:val="16"/>
                <w:b w:val="1"/>
                <w:bCs w:val="1"/>
                <w:color w:val="auto"/>
              </w:rPr>
              <w:t>U.S. Natural</w:t>
            </w:r>
          </w:p>
        </w:tc>
        <w:tc>
          <w:tcPr>
            <w:tcW w:w="1140" w:type="dxa"/>
            <w:vAlign w:val="bottom"/>
            <w:shd w:val="clear" w:color="auto" w:fill="D1D0CF"/>
          </w:tcPr>
          <w:p>
            <w:pPr>
              <w:jc w:val="right"/>
              <w:ind w:right="59"/>
              <w:spacing w:after="0"/>
              <w:rPr>
                <w:sz w:val="20"/>
                <w:szCs w:val="20"/>
                <w:color w:val="auto"/>
              </w:rPr>
            </w:pPr>
            <w:r>
              <w:rPr>
                <w:rFonts w:ascii="Arial" w:cs="Arial" w:eastAsia="Arial" w:hAnsi="Arial"/>
                <w:sz w:val="16"/>
                <w:szCs w:val="16"/>
                <w:b w:val="1"/>
                <w:bCs w:val="1"/>
                <w:color w:val="auto"/>
              </w:rPr>
              <w:t>Mexico</w:t>
            </w:r>
          </w:p>
        </w:tc>
        <w:tc>
          <w:tcPr>
            <w:tcW w:w="960" w:type="dxa"/>
            <w:vAlign w:val="bottom"/>
            <w:shd w:val="clear" w:color="auto" w:fill="D1D0CF"/>
          </w:tcPr>
          <w:p>
            <w:pPr>
              <w:jc w:val="right"/>
              <w:spacing w:after="0"/>
              <w:rPr>
                <w:sz w:val="20"/>
                <w:szCs w:val="20"/>
                <w:color w:val="auto"/>
              </w:rPr>
            </w:pPr>
            <w:r>
              <w:rPr>
                <w:rFonts w:ascii="Arial" w:cs="Arial" w:eastAsia="Arial" w:hAnsi="Arial"/>
                <w:sz w:val="16"/>
                <w:szCs w:val="16"/>
                <w:b w:val="1"/>
                <w:bCs w:val="1"/>
                <w:color w:val="auto"/>
              </w:rPr>
              <w:t>Power and</w:t>
            </w:r>
          </w:p>
        </w:tc>
        <w:tc>
          <w:tcPr>
            <w:tcW w:w="120" w:type="dxa"/>
            <w:vAlign w:val="bottom"/>
            <w:shd w:val="clear" w:color="auto" w:fill="D1D0CF"/>
          </w:tcPr>
          <w:p>
            <w:pPr>
              <w:spacing w:after="0"/>
              <w:rPr>
                <w:sz w:val="16"/>
                <w:szCs w:val="16"/>
                <w:color w:val="auto"/>
              </w:rPr>
            </w:pPr>
          </w:p>
        </w:tc>
        <w:tc>
          <w:tcPr>
            <w:tcW w:w="1000" w:type="dxa"/>
            <w:vAlign w:val="bottom"/>
            <w:shd w:val="clear" w:color="auto" w:fill="D1D0CF"/>
          </w:tcPr>
          <w:p>
            <w:pPr>
              <w:spacing w:after="0"/>
              <w:rPr>
                <w:sz w:val="16"/>
                <w:szCs w:val="16"/>
                <w:color w:val="auto"/>
              </w:rPr>
            </w:pPr>
          </w:p>
        </w:tc>
        <w:tc>
          <w:tcPr>
            <w:tcW w:w="160" w:type="dxa"/>
            <w:vAlign w:val="bottom"/>
            <w:shd w:val="clear" w:color="auto" w:fill="D1D0CF"/>
          </w:tcPr>
          <w:p>
            <w:pPr>
              <w:spacing w:after="0"/>
              <w:rPr>
                <w:sz w:val="16"/>
                <w:szCs w:val="16"/>
                <w:color w:val="auto"/>
              </w:rPr>
            </w:pPr>
          </w:p>
        </w:tc>
        <w:tc>
          <w:tcPr>
            <w:tcW w:w="980" w:type="dxa"/>
            <w:vAlign w:val="bottom"/>
            <w:shd w:val="clear" w:color="auto" w:fill="D1D0CF"/>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4720" w:type="dxa"/>
            <w:vAlign w:val="bottom"/>
            <w:shd w:val="clear" w:color="auto" w:fill="D1D0CF"/>
          </w:tcPr>
          <w:p>
            <w:pPr>
              <w:spacing w:after="0"/>
              <w:rPr>
                <w:sz w:val="15"/>
                <w:szCs w:val="15"/>
                <w:color w:val="auto"/>
              </w:rPr>
            </w:pPr>
          </w:p>
        </w:tc>
        <w:tc>
          <w:tcPr>
            <w:tcW w:w="1060" w:type="dxa"/>
            <w:vAlign w:val="bottom"/>
            <w:shd w:val="clear" w:color="auto" w:fill="D1D0CF"/>
          </w:tcPr>
          <w:p>
            <w:pPr>
              <w:jc w:val="right"/>
              <w:ind w:right="19"/>
              <w:spacing w:after="0" w:line="175" w:lineRule="exact"/>
              <w:rPr>
                <w:sz w:val="20"/>
                <w:szCs w:val="20"/>
                <w:color w:val="auto"/>
              </w:rPr>
            </w:pPr>
            <w:r>
              <w:rPr>
                <w:rFonts w:ascii="Arial" w:cs="Arial" w:eastAsia="Arial" w:hAnsi="Arial"/>
                <w:sz w:val="16"/>
                <w:szCs w:val="16"/>
                <w:b w:val="1"/>
                <w:bCs w:val="1"/>
                <w:color w:val="auto"/>
              </w:rPr>
              <w:t>Natural Gas</w:t>
            </w:r>
          </w:p>
        </w:tc>
        <w:tc>
          <w:tcPr>
            <w:tcW w:w="1100" w:type="dxa"/>
            <w:vAlign w:val="bottom"/>
            <w:shd w:val="clear" w:color="auto" w:fill="D1D0CF"/>
          </w:tcPr>
          <w:p>
            <w:pPr>
              <w:jc w:val="right"/>
              <w:ind w:right="19"/>
              <w:spacing w:after="0" w:line="175" w:lineRule="exact"/>
              <w:rPr>
                <w:sz w:val="20"/>
                <w:szCs w:val="20"/>
                <w:color w:val="auto"/>
              </w:rPr>
            </w:pPr>
            <w:r>
              <w:rPr>
                <w:rFonts w:ascii="Arial" w:cs="Arial" w:eastAsia="Arial" w:hAnsi="Arial"/>
                <w:sz w:val="16"/>
                <w:szCs w:val="16"/>
                <w:b w:val="1"/>
                <w:bCs w:val="1"/>
                <w:color w:val="auto"/>
              </w:rPr>
              <w:t>Gas</w:t>
            </w:r>
          </w:p>
        </w:tc>
        <w:tc>
          <w:tcPr>
            <w:tcW w:w="1140" w:type="dxa"/>
            <w:vAlign w:val="bottom"/>
            <w:shd w:val="clear" w:color="auto" w:fill="D1D0CF"/>
          </w:tcPr>
          <w:p>
            <w:pPr>
              <w:jc w:val="right"/>
              <w:ind w:right="59"/>
              <w:spacing w:after="0" w:line="175" w:lineRule="exact"/>
              <w:rPr>
                <w:sz w:val="20"/>
                <w:szCs w:val="20"/>
                <w:color w:val="auto"/>
              </w:rPr>
            </w:pPr>
            <w:r>
              <w:rPr>
                <w:rFonts w:ascii="Arial" w:cs="Arial" w:eastAsia="Arial" w:hAnsi="Arial"/>
                <w:sz w:val="16"/>
                <w:szCs w:val="16"/>
                <w:b w:val="1"/>
                <w:bCs w:val="1"/>
                <w:color w:val="auto"/>
              </w:rPr>
              <w:t>Natural Gas</w:t>
            </w:r>
          </w:p>
        </w:tc>
        <w:tc>
          <w:tcPr>
            <w:tcW w:w="960" w:type="dxa"/>
            <w:vAlign w:val="bottom"/>
            <w:shd w:val="clear" w:color="auto" w:fill="D1D0CF"/>
          </w:tcPr>
          <w:p>
            <w:pPr>
              <w:jc w:val="right"/>
              <w:spacing w:after="0" w:line="175" w:lineRule="exact"/>
              <w:rPr>
                <w:sz w:val="20"/>
                <w:szCs w:val="20"/>
                <w:color w:val="auto"/>
              </w:rPr>
            </w:pPr>
            <w:r>
              <w:rPr>
                <w:rFonts w:ascii="Arial" w:cs="Arial" w:eastAsia="Arial" w:hAnsi="Arial"/>
                <w:sz w:val="16"/>
                <w:szCs w:val="16"/>
                <w:b w:val="1"/>
                <w:bCs w:val="1"/>
                <w:color w:val="auto"/>
              </w:rPr>
              <w:t>Energy</w:t>
            </w:r>
          </w:p>
        </w:tc>
        <w:tc>
          <w:tcPr>
            <w:tcW w:w="120" w:type="dxa"/>
            <w:vAlign w:val="bottom"/>
            <w:shd w:val="clear" w:color="auto" w:fill="D1D0CF"/>
          </w:tcPr>
          <w:p>
            <w:pPr>
              <w:spacing w:after="0"/>
              <w:rPr>
                <w:sz w:val="15"/>
                <w:szCs w:val="15"/>
                <w:color w:val="auto"/>
              </w:rPr>
            </w:pPr>
          </w:p>
        </w:tc>
        <w:tc>
          <w:tcPr>
            <w:tcW w:w="1160" w:type="dxa"/>
            <w:vAlign w:val="bottom"/>
            <w:gridSpan w:val="2"/>
            <w:vMerge w:val="restart"/>
            <w:shd w:val="clear" w:color="auto" w:fill="D1D0CF"/>
          </w:tcPr>
          <w:p>
            <w:pPr>
              <w:jc w:val="right"/>
              <w:ind w:right="47"/>
              <w:spacing w:after="0"/>
              <w:rPr>
                <w:sz w:val="20"/>
                <w:szCs w:val="20"/>
                <w:color w:val="auto"/>
              </w:rPr>
            </w:pPr>
            <w:r>
              <w:rPr>
                <w:rFonts w:ascii="Arial" w:cs="Arial" w:eastAsia="Arial" w:hAnsi="Arial"/>
                <w:sz w:val="16"/>
                <w:szCs w:val="16"/>
                <w:b w:val="1"/>
                <w:bCs w:val="1"/>
                <w:color w:val="auto"/>
              </w:rPr>
              <w:t xml:space="preserve">Corporate </w:t>
            </w:r>
            <w:r>
              <w:rPr>
                <w:rFonts w:ascii="Arial" w:cs="Arial" w:eastAsia="Arial" w:hAnsi="Arial"/>
                <w:sz w:val="21"/>
                <w:szCs w:val="21"/>
                <w:color w:val="auto"/>
                <w:vertAlign w:val="superscript"/>
              </w:rPr>
              <w:t>1</w:t>
            </w:r>
          </w:p>
        </w:tc>
        <w:tc>
          <w:tcPr>
            <w:tcW w:w="980" w:type="dxa"/>
            <w:vAlign w:val="bottom"/>
            <w:shd w:val="clear" w:color="auto" w:fill="D1D0CF"/>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4720" w:type="dxa"/>
            <w:vAlign w:val="bottom"/>
            <w:tcBorders>
              <w:bottom w:val="single" w:sz="8" w:color="0D64EF"/>
            </w:tcBorders>
            <w:shd w:val="clear" w:color="auto" w:fill="D1D0CF"/>
          </w:tcPr>
          <w:p>
            <w:pPr>
              <w:ind w:left="20"/>
              <w:spacing w:after="0"/>
              <w:rPr>
                <w:sz w:val="20"/>
                <w:szCs w:val="20"/>
                <w:color w:val="auto"/>
              </w:rPr>
            </w:pPr>
            <w:r>
              <w:rPr>
                <w:rFonts w:ascii="Arial" w:cs="Arial" w:eastAsia="Arial" w:hAnsi="Arial"/>
                <w:sz w:val="16"/>
                <w:szCs w:val="16"/>
                <w:color w:val="auto"/>
              </w:rPr>
              <w:t>(unaudited - millions of Canadian $)</w:t>
            </w:r>
          </w:p>
        </w:tc>
        <w:tc>
          <w:tcPr>
            <w:tcW w:w="1060" w:type="dxa"/>
            <w:vAlign w:val="bottom"/>
            <w:tcBorders>
              <w:bottom w:val="single" w:sz="8" w:color="0D64EF"/>
            </w:tcBorders>
            <w:shd w:val="clear" w:color="auto" w:fill="D1D0CF"/>
          </w:tcPr>
          <w:p>
            <w:pPr>
              <w:jc w:val="right"/>
              <w:ind w:right="19"/>
              <w:spacing w:after="0"/>
              <w:rPr>
                <w:sz w:val="20"/>
                <w:szCs w:val="20"/>
                <w:color w:val="auto"/>
              </w:rPr>
            </w:pPr>
            <w:r>
              <w:rPr>
                <w:rFonts w:ascii="Arial" w:cs="Arial" w:eastAsia="Arial" w:hAnsi="Arial"/>
                <w:sz w:val="16"/>
                <w:szCs w:val="16"/>
                <w:b w:val="1"/>
                <w:bCs w:val="1"/>
                <w:color w:val="auto"/>
              </w:rPr>
              <w:t>Pipelines</w:t>
            </w:r>
          </w:p>
        </w:tc>
        <w:tc>
          <w:tcPr>
            <w:tcW w:w="1100" w:type="dxa"/>
            <w:vAlign w:val="bottom"/>
            <w:tcBorders>
              <w:bottom w:val="single" w:sz="8" w:color="0D64EF"/>
            </w:tcBorders>
            <w:shd w:val="clear" w:color="auto" w:fill="D1D0CF"/>
          </w:tcPr>
          <w:p>
            <w:pPr>
              <w:jc w:val="right"/>
              <w:ind w:right="19"/>
              <w:spacing w:after="0"/>
              <w:rPr>
                <w:sz w:val="20"/>
                <w:szCs w:val="20"/>
                <w:color w:val="auto"/>
              </w:rPr>
            </w:pPr>
            <w:r>
              <w:rPr>
                <w:rFonts w:ascii="Arial" w:cs="Arial" w:eastAsia="Arial" w:hAnsi="Arial"/>
                <w:sz w:val="16"/>
                <w:szCs w:val="16"/>
                <w:b w:val="1"/>
                <w:bCs w:val="1"/>
                <w:color w:val="auto"/>
              </w:rPr>
              <w:t>Pipelines</w:t>
            </w:r>
          </w:p>
        </w:tc>
        <w:tc>
          <w:tcPr>
            <w:tcW w:w="1140" w:type="dxa"/>
            <w:vAlign w:val="bottom"/>
            <w:tcBorders>
              <w:bottom w:val="single" w:sz="8" w:color="0D64EF"/>
            </w:tcBorders>
            <w:shd w:val="clear" w:color="auto" w:fill="D1D0CF"/>
          </w:tcPr>
          <w:p>
            <w:pPr>
              <w:jc w:val="right"/>
              <w:ind w:right="59"/>
              <w:spacing w:after="0"/>
              <w:rPr>
                <w:sz w:val="20"/>
                <w:szCs w:val="20"/>
                <w:color w:val="auto"/>
              </w:rPr>
            </w:pPr>
            <w:r>
              <w:rPr>
                <w:rFonts w:ascii="Arial" w:cs="Arial" w:eastAsia="Arial" w:hAnsi="Arial"/>
                <w:sz w:val="16"/>
                <w:szCs w:val="16"/>
                <w:b w:val="1"/>
                <w:bCs w:val="1"/>
                <w:color w:val="auto"/>
              </w:rPr>
              <w:t>Pipelines</w:t>
            </w:r>
          </w:p>
        </w:tc>
        <w:tc>
          <w:tcPr>
            <w:tcW w:w="960" w:type="dxa"/>
            <w:vAlign w:val="bottom"/>
            <w:tcBorders>
              <w:bottom w:val="single" w:sz="8" w:color="0D64EF"/>
            </w:tcBorders>
            <w:shd w:val="clear" w:color="auto" w:fill="D1D0CF"/>
          </w:tcPr>
          <w:p>
            <w:pPr>
              <w:jc w:val="right"/>
              <w:spacing w:after="0"/>
              <w:rPr>
                <w:sz w:val="20"/>
                <w:szCs w:val="20"/>
                <w:color w:val="auto"/>
              </w:rPr>
            </w:pPr>
            <w:r>
              <w:rPr>
                <w:rFonts w:ascii="Arial" w:cs="Arial" w:eastAsia="Arial" w:hAnsi="Arial"/>
                <w:sz w:val="16"/>
                <w:szCs w:val="16"/>
                <w:b w:val="1"/>
                <w:bCs w:val="1"/>
                <w:color w:val="auto"/>
              </w:rPr>
              <w:t>Solutions</w:t>
            </w:r>
          </w:p>
        </w:tc>
        <w:tc>
          <w:tcPr>
            <w:tcW w:w="120" w:type="dxa"/>
            <w:vAlign w:val="bottom"/>
            <w:tcBorders>
              <w:bottom w:val="single" w:sz="8" w:color="0D64EF"/>
            </w:tcBorders>
            <w:shd w:val="clear" w:color="auto" w:fill="D1D0CF"/>
          </w:tcPr>
          <w:p>
            <w:pPr>
              <w:spacing w:after="0"/>
              <w:rPr>
                <w:sz w:val="20"/>
                <w:szCs w:val="20"/>
                <w:color w:val="auto"/>
              </w:rPr>
            </w:pPr>
          </w:p>
        </w:tc>
        <w:tc>
          <w:tcPr>
            <w:tcW w:w="1160" w:type="dxa"/>
            <w:vAlign w:val="bottom"/>
            <w:tcBorders>
              <w:bottom w:val="single" w:sz="8" w:color="0D64EF"/>
            </w:tcBorders>
            <w:gridSpan w:val="2"/>
            <w:vMerge w:val="continue"/>
            <w:shd w:val="clear" w:color="auto" w:fill="D1D0CF"/>
          </w:tcPr>
          <w:p>
            <w:pPr>
              <w:spacing w:after="0"/>
              <w:rPr>
                <w:sz w:val="20"/>
                <w:szCs w:val="20"/>
                <w:color w:val="auto"/>
              </w:rPr>
            </w:pPr>
          </w:p>
        </w:tc>
        <w:tc>
          <w:tcPr>
            <w:tcW w:w="980" w:type="dxa"/>
            <w:vAlign w:val="bottom"/>
            <w:tcBorders>
              <w:bottom w:val="single" w:sz="8" w:color="0D64EF"/>
            </w:tcBorders>
            <w:shd w:val="clear" w:color="auto" w:fill="D1D0CF"/>
          </w:tcPr>
          <w:p>
            <w:pPr>
              <w:jc w:val="right"/>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52"/>
        </w:trPr>
        <w:tc>
          <w:tcPr>
            <w:tcW w:w="4720" w:type="dxa"/>
            <w:vAlign w:val="bottom"/>
          </w:tcPr>
          <w:p>
            <w:pPr>
              <w:ind w:left="20"/>
              <w:spacing w:after="0"/>
              <w:rPr>
                <w:sz w:val="20"/>
                <w:szCs w:val="20"/>
                <w:color w:val="auto"/>
              </w:rPr>
            </w:pPr>
            <w:r>
              <w:rPr>
                <w:rFonts w:ascii="Arial" w:cs="Arial" w:eastAsia="Arial" w:hAnsi="Arial"/>
                <w:sz w:val="16"/>
                <w:szCs w:val="16"/>
                <w:color w:val="auto"/>
              </w:rPr>
              <w:t>Revenues</w:t>
            </w: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5,600</w:t>
            </w: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6,339</w:t>
            </w: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870</w:t>
            </w:r>
          </w:p>
        </w:tc>
        <w:tc>
          <w:tcPr>
            <w:tcW w:w="960" w:type="dxa"/>
            <w:vAlign w:val="bottom"/>
          </w:tcPr>
          <w:p>
            <w:pPr>
              <w:jc w:val="right"/>
              <w:spacing w:after="0"/>
              <w:rPr>
                <w:sz w:val="20"/>
                <w:szCs w:val="20"/>
                <w:color w:val="auto"/>
              </w:rPr>
            </w:pPr>
            <w:r>
              <w:rPr>
                <w:rFonts w:ascii="Arial" w:cs="Arial" w:eastAsia="Arial" w:hAnsi="Arial"/>
                <w:sz w:val="16"/>
                <w:szCs w:val="16"/>
                <w:color w:val="auto"/>
              </w:rPr>
              <w:t>954</w:t>
            </w:r>
          </w:p>
        </w:tc>
        <w:tc>
          <w:tcPr>
            <w:tcW w:w="1120" w:type="dxa"/>
            <w:vAlign w:val="bottom"/>
            <w:gridSpan w:val="2"/>
          </w:tcPr>
          <w:p>
            <w:pPr>
              <w:jc w:val="right"/>
              <w:ind w:right="19"/>
              <w:spacing w:after="0"/>
              <w:rPr>
                <w:sz w:val="20"/>
                <w:szCs w:val="20"/>
                <w:color w:val="auto"/>
              </w:rPr>
            </w:pPr>
            <w:r>
              <w:rPr>
                <w:rFonts w:ascii="Arial" w:cs="Arial" w:eastAsia="Arial" w:hAnsi="Arial"/>
                <w:sz w:val="16"/>
                <w:szCs w:val="16"/>
                <w:color w:val="auto"/>
              </w:rPr>
              <w:t>8</w:t>
            </w: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13,771</w:t>
            </w:r>
          </w:p>
        </w:tc>
        <w:tc>
          <w:tcPr>
            <w:tcW w:w="0" w:type="dxa"/>
            <w:vAlign w:val="bottom"/>
          </w:tcPr>
          <w:p>
            <w:pPr>
              <w:spacing w:after="0"/>
              <w:rPr>
                <w:sz w:val="1"/>
                <w:szCs w:val="1"/>
                <w:color w:val="auto"/>
              </w:rPr>
            </w:pPr>
          </w:p>
        </w:tc>
      </w:tr>
      <w:tr>
        <w:trPr>
          <w:trHeight w:val="245"/>
        </w:trPr>
        <w:tc>
          <w:tcPr>
            <w:tcW w:w="47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Intersegment revenues</w:t>
            </w:r>
            <w:r>
              <w:rPr>
                <w:rFonts w:ascii="Arial" w:cs="Arial" w:eastAsia="Arial" w:hAnsi="Arial"/>
                <w:sz w:val="21"/>
                <w:szCs w:val="21"/>
                <w:color w:val="auto"/>
                <w:vertAlign w:val="superscript"/>
              </w:rPr>
              <w:t>2</w:t>
            </w:r>
          </w:p>
        </w:tc>
        <w:tc>
          <w:tcPr>
            <w:tcW w:w="10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99</w:t>
            </w:r>
          </w:p>
        </w:tc>
        <w:tc>
          <w:tcPr>
            <w:tcW w:w="11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w:t>
            </w: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(148)</w:t>
            </w:r>
          </w:p>
        </w:tc>
        <w:tc>
          <w:tcPr>
            <w:tcW w:w="1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8"/>
        </w:trPr>
        <w:tc>
          <w:tcPr>
            <w:tcW w:w="4720" w:type="dxa"/>
            <w:vAlign w:val="bottom"/>
          </w:tcPr>
          <w:p>
            <w:pPr>
              <w:spacing w:after="0"/>
              <w:rPr>
                <w:sz w:val="18"/>
                <w:szCs w:val="18"/>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5,600</w:t>
            </w: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6,438</w:t>
            </w: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870</w:t>
            </w:r>
          </w:p>
        </w:tc>
        <w:tc>
          <w:tcPr>
            <w:tcW w:w="960" w:type="dxa"/>
            <w:vAlign w:val="bottom"/>
          </w:tcPr>
          <w:p>
            <w:pPr>
              <w:jc w:val="right"/>
              <w:spacing w:after="0"/>
              <w:rPr>
                <w:sz w:val="20"/>
                <w:szCs w:val="20"/>
                <w:color w:val="auto"/>
              </w:rPr>
            </w:pPr>
            <w:r>
              <w:rPr>
                <w:rFonts w:ascii="Arial" w:cs="Arial" w:eastAsia="Arial" w:hAnsi="Arial"/>
                <w:sz w:val="16"/>
                <w:szCs w:val="16"/>
                <w:color w:val="auto"/>
              </w:rPr>
              <w:t>1,003</w:t>
            </w: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(140)</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13,771</w:t>
            </w:r>
          </w:p>
        </w:tc>
        <w:tc>
          <w:tcPr>
            <w:tcW w:w="0" w:type="dxa"/>
            <w:vAlign w:val="bottom"/>
          </w:tcPr>
          <w:p>
            <w:pPr>
              <w:spacing w:after="0"/>
              <w:rPr>
                <w:sz w:val="1"/>
                <w:szCs w:val="1"/>
                <w:color w:val="auto"/>
              </w:rPr>
            </w:pPr>
          </w:p>
        </w:tc>
      </w:tr>
      <w:tr>
        <w:trPr>
          <w:trHeight w:val="229"/>
        </w:trPr>
        <w:tc>
          <w:tcPr>
            <w:tcW w:w="4720" w:type="dxa"/>
            <w:vAlign w:val="bottom"/>
          </w:tcPr>
          <w:p>
            <w:pPr>
              <w:ind w:left="20"/>
              <w:spacing w:after="0"/>
              <w:rPr>
                <w:sz w:val="20"/>
                <w:szCs w:val="20"/>
                <w:color w:val="auto"/>
              </w:rPr>
            </w:pPr>
            <w:r>
              <w:rPr>
                <w:rFonts w:ascii="Arial" w:cs="Arial" w:eastAsia="Arial" w:hAnsi="Arial"/>
                <w:sz w:val="16"/>
                <w:szCs w:val="16"/>
                <w:color w:val="auto"/>
              </w:rPr>
              <w:t>Income (loss) from equity investments</w:t>
            </w: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34</w:t>
            </w: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341</w:t>
            </w: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283</w:t>
            </w:r>
          </w:p>
        </w:tc>
        <w:tc>
          <w:tcPr>
            <w:tcW w:w="960" w:type="dxa"/>
            <w:vAlign w:val="bottom"/>
          </w:tcPr>
          <w:p>
            <w:pPr>
              <w:jc w:val="right"/>
              <w:spacing w:after="0"/>
              <w:rPr>
                <w:sz w:val="20"/>
                <w:szCs w:val="20"/>
                <w:color w:val="auto"/>
              </w:rPr>
            </w:pPr>
            <w:r>
              <w:rPr>
                <w:rFonts w:ascii="Arial" w:cs="Arial" w:eastAsia="Arial" w:hAnsi="Arial"/>
                <w:sz w:val="16"/>
                <w:szCs w:val="16"/>
                <w:color w:val="auto"/>
              </w:rPr>
              <w:t>900</w:t>
            </w:r>
          </w:p>
        </w:tc>
        <w:tc>
          <w:tcPr>
            <w:tcW w:w="120" w:type="dxa"/>
            <w:vAlign w:val="bottom"/>
          </w:tcPr>
          <w:p>
            <w:pPr>
              <w:spacing w:after="0"/>
              <w:rPr>
                <w:sz w:val="19"/>
                <w:szCs w:val="19"/>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60" w:type="dxa"/>
            <w:vAlign w:val="bottom"/>
            <w:vMerge w:val="restart"/>
          </w:tcPr>
          <w:p>
            <w:pPr>
              <w:jc w:val="right"/>
              <w:ind w:right="7"/>
              <w:spacing w:after="0"/>
              <w:rPr>
                <w:sz w:val="20"/>
                <w:szCs w:val="20"/>
                <w:color w:val="auto"/>
              </w:rPr>
            </w:pPr>
            <w:r>
              <w:rPr>
                <w:rFonts w:ascii="Arial" w:cs="Arial" w:eastAsia="Arial" w:hAnsi="Arial"/>
                <w:sz w:val="11"/>
                <w:szCs w:val="11"/>
                <w:color w:val="auto"/>
              </w:rPr>
              <w:t>3</w:t>
            </w:r>
          </w:p>
        </w:tc>
        <w:tc>
          <w:tcPr>
            <w:tcW w:w="980" w:type="dxa"/>
            <w:vAlign w:val="bottom"/>
          </w:tcPr>
          <w:p>
            <w:pPr>
              <w:jc w:val="right"/>
              <w:spacing w:after="0"/>
              <w:rPr>
                <w:sz w:val="20"/>
                <w:szCs w:val="20"/>
                <w:color w:val="auto"/>
              </w:rPr>
            </w:pPr>
            <w:r>
              <w:rPr>
                <w:rFonts w:ascii="Arial" w:cs="Arial" w:eastAsia="Arial" w:hAnsi="Arial"/>
                <w:sz w:val="16"/>
                <w:szCs w:val="16"/>
                <w:color w:val="auto"/>
              </w:rPr>
              <w:t>1,558</w:t>
            </w:r>
          </w:p>
        </w:tc>
        <w:tc>
          <w:tcPr>
            <w:tcW w:w="0" w:type="dxa"/>
            <w:vAlign w:val="bottom"/>
          </w:tcPr>
          <w:p>
            <w:pPr>
              <w:spacing w:after="0"/>
              <w:rPr>
                <w:sz w:val="1"/>
                <w:szCs w:val="1"/>
                <w:color w:val="auto"/>
              </w:rPr>
            </w:pPr>
          </w:p>
        </w:tc>
      </w:tr>
      <w:tr>
        <w:trPr>
          <w:trHeight w:val="207"/>
        </w:trPr>
        <w:tc>
          <w:tcPr>
            <w:tcW w:w="4720" w:type="dxa"/>
            <w:vAlign w:val="bottom"/>
          </w:tcPr>
          <w:p>
            <w:pPr>
              <w:ind w:left="20"/>
              <w:spacing w:after="0" w:line="207" w:lineRule="exact"/>
              <w:rPr>
                <w:sz w:val="20"/>
                <w:szCs w:val="20"/>
                <w:color w:val="auto"/>
              </w:rPr>
            </w:pPr>
            <w:r>
              <w:rPr>
                <w:rFonts w:ascii="Arial" w:cs="Arial" w:eastAsia="Arial" w:hAnsi="Arial"/>
                <w:sz w:val="16"/>
                <w:szCs w:val="16"/>
                <w:color w:val="auto"/>
              </w:rPr>
              <w:t>Operating costs</w:t>
            </w:r>
            <w:r>
              <w:rPr>
                <w:rFonts w:ascii="Arial" w:cs="Arial" w:eastAsia="Arial" w:hAnsi="Arial"/>
                <w:sz w:val="21"/>
                <w:szCs w:val="21"/>
                <w:color w:val="auto"/>
                <w:vertAlign w:val="superscript"/>
              </w:rPr>
              <w:t>2</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(2,246)</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(2,381)</w:t>
            </w: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(132)</w:t>
            </w:r>
          </w:p>
        </w:tc>
        <w:tc>
          <w:tcPr>
            <w:tcW w:w="960" w:type="dxa"/>
            <w:vAlign w:val="bottom"/>
          </w:tcPr>
          <w:p>
            <w:pPr>
              <w:jc w:val="right"/>
              <w:spacing w:after="0"/>
              <w:rPr>
                <w:sz w:val="20"/>
                <w:szCs w:val="20"/>
                <w:color w:val="auto"/>
              </w:rPr>
            </w:pPr>
            <w:r>
              <w:rPr>
                <w:rFonts w:ascii="Arial" w:cs="Arial" w:eastAsia="Arial" w:hAnsi="Arial"/>
                <w:sz w:val="16"/>
                <w:szCs w:val="16"/>
                <w:color w:val="auto"/>
              </w:rPr>
              <w:t>(700)</w:t>
            </w:r>
          </w:p>
        </w:tc>
        <w:tc>
          <w:tcPr>
            <w:tcW w:w="1120" w:type="dxa"/>
            <w:vAlign w:val="bottom"/>
            <w:gridSpan w:val="2"/>
          </w:tcPr>
          <w:p>
            <w:pPr>
              <w:jc w:val="right"/>
              <w:ind w:right="19"/>
              <w:spacing w:after="0"/>
              <w:rPr>
                <w:sz w:val="20"/>
                <w:szCs w:val="20"/>
                <w:color w:val="auto"/>
              </w:rPr>
            </w:pPr>
            <w:r>
              <w:rPr>
                <w:rFonts w:ascii="Arial" w:cs="Arial" w:eastAsia="Arial" w:hAnsi="Arial"/>
                <w:sz w:val="16"/>
                <w:szCs w:val="16"/>
                <w:color w:val="auto"/>
              </w:rPr>
              <w:t>9</w:t>
            </w:r>
          </w:p>
        </w:tc>
        <w:tc>
          <w:tcPr>
            <w:tcW w:w="160" w:type="dxa"/>
            <w:vAlign w:val="bottom"/>
            <w:vMerge w:val="continue"/>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(5,450)</w:t>
            </w:r>
          </w:p>
        </w:tc>
        <w:tc>
          <w:tcPr>
            <w:tcW w:w="0" w:type="dxa"/>
            <w:vAlign w:val="bottom"/>
          </w:tcPr>
          <w:p>
            <w:pPr>
              <w:spacing w:after="0"/>
              <w:rPr>
                <w:sz w:val="1"/>
                <w:szCs w:val="1"/>
                <w:color w:val="auto"/>
              </w:rPr>
            </w:pPr>
          </w:p>
        </w:tc>
      </w:tr>
      <w:tr>
        <w:trPr>
          <w:trHeight w:val="252"/>
        </w:trPr>
        <w:tc>
          <w:tcPr>
            <w:tcW w:w="4720" w:type="dxa"/>
            <w:vAlign w:val="bottom"/>
          </w:tcPr>
          <w:p>
            <w:pPr>
              <w:ind w:left="20"/>
              <w:spacing w:after="0"/>
              <w:rPr>
                <w:sz w:val="20"/>
                <w:szCs w:val="20"/>
                <w:color w:val="auto"/>
              </w:rPr>
            </w:pPr>
            <w:r>
              <w:rPr>
                <w:rFonts w:ascii="Arial" w:cs="Arial" w:eastAsia="Arial" w:hAnsi="Arial"/>
                <w:sz w:val="16"/>
                <w:szCs w:val="16"/>
                <w:color w:val="auto"/>
              </w:rPr>
              <w:t>Depreciation and amortization</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(1,382)</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(955)</w:t>
            </w: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(92)</w:t>
            </w:r>
          </w:p>
        </w:tc>
        <w:tc>
          <w:tcPr>
            <w:tcW w:w="960" w:type="dxa"/>
            <w:vAlign w:val="bottom"/>
          </w:tcPr>
          <w:p>
            <w:pPr>
              <w:jc w:val="right"/>
              <w:spacing w:after="0"/>
              <w:rPr>
                <w:sz w:val="20"/>
                <w:szCs w:val="20"/>
                <w:color w:val="auto"/>
              </w:rPr>
            </w:pPr>
            <w:r>
              <w:rPr>
                <w:rFonts w:ascii="Arial" w:cs="Arial" w:eastAsia="Arial" w:hAnsi="Arial"/>
                <w:sz w:val="16"/>
                <w:szCs w:val="16"/>
                <w:color w:val="auto"/>
              </w:rPr>
              <w:t>(101)</w:t>
            </w: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(5)</w:t>
            </w:r>
          </w:p>
        </w:tc>
        <w:tc>
          <w:tcPr>
            <w:tcW w:w="160" w:type="dxa"/>
            <w:vAlign w:val="bottom"/>
          </w:tcPr>
          <w:p>
            <w:pPr>
              <w:jc w:val="right"/>
              <w:ind w:right="7"/>
              <w:spacing w:after="0"/>
              <w:rPr>
                <w:sz w:val="20"/>
                <w:szCs w:val="20"/>
                <w:color w:val="auto"/>
              </w:rPr>
            </w:pPr>
            <w:r>
              <w:rPr>
                <w:rFonts w:ascii="Arial" w:cs="Arial" w:eastAsia="Arial" w:hAnsi="Arial"/>
                <w:sz w:val="11"/>
                <w:szCs w:val="11"/>
                <w:color w:val="auto"/>
              </w:rPr>
              <w:t>3</w:t>
            </w:r>
          </w:p>
        </w:tc>
        <w:tc>
          <w:tcPr>
            <w:tcW w:w="980" w:type="dxa"/>
            <w:vAlign w:val="bottom"/>
          </w:tcPr>
          <w:p>
            <w:pPr>
              <w:jc w:val="right"/>
              <w:spacing w:after="0"/>
              <w:rPr>
                <w:sz w:val="20"/>
                <w:szCs w:val="20"/>
                <w:color w:val="auto"/>
              </w:rPr>
            </w:pPr>
            <w:r>
              <w:rPr>
                <w:rFonts w:ascii="Arial" w:cs="Arial" w:eastAsia="Arial" w:hAnsi="Arial"/>
                <w:sz w:val="16"/>
                <w:szCs w:val="16"/>
                <w:color w:val="auto"/>
              </w:rPr>
              <w:t>(2,535)</w:t>
            </w:r>
          </w:p>
        </w:tc>
        <w:tc>
          <w:tcPr>
            <w:tcW w:w="0" w:type="dxa"/>
            <w:vAlign w:val="bottom"/>
          </w:tcPr>
          <w:p>
            <w:pPr>
              <w:spacing w:after="0"/>
              <w:rPr>
                <w:sz w:val="1"/>
                <w:szCs w:val="1"/>
                <w:color w:val="auto"/>
              </w:rPr>
            </w:pPr>
          </w:p>
        </w:tc>
      </w:tr>
      <w:tr>
        <w:trPr>
          <w:trHeight w:val="245"/>
        </w:trPr>
        <w:tc>
          <w:tcPr>
            <w:tcW w:w="47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Other segmented items</w:t>
            </w:r>
            <w:r>
              <w:rPr>
                <w:rFonts w:ascii="Arial" w:cs="Arial" w:eastAsia="Arial" w:hAnsi="Arial"/>
                <w:sz w:val="21"/>
                <w:szCs w:val="21"/>
                <w:color w:val="auto"/>
                <w:vertAlign w:val="superscript"/>
              </w:rPr>
              <w:t>4</w:t>
            </w:r>
          </w:p>
        </w:tc>
        <w:tc>
          <w:tcPr>
            <w:tcW w:w="10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10</w:t>
            </w:r>
          </w:p>
        </w:tc>
        <w:tc>
          <w:tcPr>
            <w:tcW w:w="11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610</w:t>
            </w:r>
          </w:p>
        </w:tc>
        <w:tc>
          <w:tcPr>
            <w:tcW w:w="11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620</w:t>
            </w:r>
          </w:p>
        </w:tc>
        <w:tc>
          <w:tcPr>
            <w:tcW w:w="0" w:type="dxa"/>
            <w:vAlign w:val="bottom"/>
          </w:tcPr>
          <w:p>
            <w:pPr>
              <w:spacing w:after="0"/>
              <w:rPr>
                <w:sz w:val="1"/>
                <w:szCs w:val="1"/>
                <w:color w:val="auto"/>
              </w:rPr>
            </w:pPr>
          </w:p>
        </w:tc>
      </w:tr>
      <w:tr>
        <w:trPr>
          <w:trHeight w:val="217"/>
        </w:trPr>
        <w:tc>
          <w:tcPr>
            <w:tcW w:w="47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0D64EF"/>
              </w:rPr>
              <w:t>Segmented Earnings (Losses)</w:t>
            </w:r>
          </w:p>
        </w:tc>
        <w:tc>
          <w:tcPr>
            <w:tcW w:w="10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2,016</w:t>
            </w:r>
          </w:p>
        </w:tc>
        <w:tc>
          <w:tcPr>
            <w:tcW w:w="11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4,053</w:t>
            </w:r>
          </w:p>
        </w:tc>
        <w:tc>
          <w:tcPr>
            <w:tcW w:w="11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929</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1,102</w:t>
            </w: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(136)</w:t>
            </w:r>
          </w:p>
        </w:tc>
        <w:tc>
          <w:tcPr>
            <w:tcW w:w="160" w:type="dxa"/>
            <w:vAlign w:val="bottom"/>
            <w:tcBorders>
              <w:bottom w:val="single" w:sz="8" w:color="auto"/>
            </w:tcBorders>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7,964</w:t>
            </w:r>
          </w:p>
        </w:tc>
        <w:tc>
          <w:tcPr>
            <w:tcW w:w="0" w:type="dxa"/>
            <w:vAlign w:val="bottom"/>
          </w:tcPr>
          <w:p>
            <w:pPr>
              <w:spacing w:after="0"/>
              <w:rPr>
                <w:sz w:val="1"/>
                <w:szCs w:val="1"/>
                <w:color w:val="auto"/>
              </w:rPr>
            </w:pPr>
          </w:p>
        </w:tc>
      </w:tr>
      <w:tr>
        <w:trPr>
          <w:trHeight w:val="215"/>
        </w:trPr>
        <w:tc>
          <w:tcPr>
            <w:tcW w:w="472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10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(3,019)</w:t>
            </w:r>
          </w:p>
        </w:tc>
        <w:tc>
          <w:tcPr>
            <w:tcW w:w="0" w:type="dxa"/>
            <w:vAlign w:val="bottom"/>
          </w:tcPr>
          <w:p>
            <w:pPr>
              <w:spacing w:after="0"/>
              <w:rPr>
                <w:sz w:val="1"/>
                <w:szCs w:val="1"/>
                <w:color w:val="auto"/>
              </w:rPr>
            </w:pPr>
          </w:p>
        </w:tc>
      </w:tr>
      <w:tr>
        <w:trPr>
          <w:trHeight w:val="229"/>
        </w:trPr>
        <w:tc>
          <w:tcPr>
            <w:tcW w:w="4720" w:type="dxa"/>
            <w:vAlign w:val="bottom"/>
          </w:tcPr>
          <w:p>
            <w:pPr>
              <w:ind w:left="20"/>
              <w:spacing w:after="0"/>
              <w:rPr>
                <w:sz w:val="20"/>
                <w:szCs w:val="20"/>
                <w:color w:val="auto"/>
              </w:rPr>
            </w:pPr>
            <w:r>
              <w:rPr>
                <w:rFonts w:ascii="Arial" w:cs="Arial" w:eastAsia="Arial" w:hAnsi="Arial"/>
                <w:sz w:val="16"/>
                <w:szCs w:val="16"/>
                <w:color w:val="auto"/>
              </w:rPr>
              <w:t>Allowance for funds used during construction</w:t>
            </w:r>
          </w:p>
        </w:tc>
        <w:tc>
          <w:tcPr>
            <w:tcW w:w="10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784</w:t>
            </w:r>
          </w:p>
        </w:tc>
        <w:tc>
          <w:tcPr>
            <w:tcW w:w="0" w:type="dxa"/>
            <w:vAlign w:val="bottom"/>
          </w:tcPr>
          <w:p>
            <w:pPr>
              <w:spacing w:after="0"/>
              <w:rPr>
                <w:sz w:val="1"/>
                <w:szCs w:val="1"/>
                <w:color w:val="auto"/>
              </w:rPr>
            </w:pPr>
          </w:p>
        </w:tc>
      </w:tr>
      <w:tr>
        <w:trPr>
          <w:trHeight w:val="229"/>
        </w:trPr>
        <w:tc>
          <w:tcPr>
            <w:tcW w:w="4720" w:type="dxa"/>
            <w:vAlign w:val="bottom"/>
          </w:tcPr>
          <w:p>
            <w:pPr>
              <w:ind w:left="20"/>
              <w:spacing w:after="0"/>
              <w:rPr>
                <w:sz w:val="20"/>
                <w:szCs w:val="20"/>
                <w:color w:val="auto"/>
              </w:rPr>
            </w:pPr>
            <w:r>
              <w:rPr>
                <w:rFonts w:ascii="Arial" w:cs="Arial" w:eastAsia="Arial" w:hAnsi="Arial"/>
                <w:sz w:val="16"/>
                <w:szCs w:val="16"/>
                <w:color w:val="auto"/>
              </w:rPr>
              <w:t>Foreign exchange gains (losses), net</w:t>
            </w:r>
          </w:p>
        </w:tc>
        <w:tc>
          <w:tcPr>
            <w:tcW w:w="10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(147)</w:t>
            </w:r>
          </w:p>
        </w:tc>
        <w:tc>
          <w:tcPr>
            <w:tcW w:w="0" w:type="dxa"/>
            <w:vAlign w:val="bottom"/>
          </w:tcPr>
          <w:p>
            <w:pPr>
              <w:spacing w:after="0"/>
              <w:rPr>
                <w:sz w:val="1"/>
                <w:szCs w:val="1"/>
                <w:color w:val="auto"/>
              </w:rPr>
            </w:pPr>
          </w:p>
        </w:tc>
      </w:tr>
      <w:tr>
        <w:trPr>
          <w:trHeight w:val="238"/>
        </w:trPr>
        <w:tc>
          <w:tcPr>
            <w:tcW w:w="47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Interest income and other</w:t>
            </w:r>
          </w:p>
        </w:tc>
        <w:tc>
          <w:tcPr>
            <w:tcW w:w="10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324</w:t>
            </w:r>
          </w:p>
        </w:tc>
        <w:tc>
          <w:tcPr>
            <w:tcW w:w="0" w:type="dxa"/>
            <w:vAlign w:val="bottom"/>
          </w:tcPr>
          <w:p>
            <w:pPr>
              <w:spacing w:after="0"/>
              <w:rPr>
                <w:sz w:val="1"/>
                <w:szCs w:val="1"/>
                <w:color w:val="auto"/>
              </w:rPr>
            </w:pPr>
          </w:p>
        </w:tc>
      </w:tr>
      <w:tr>
        <w:trPr>
          <w:trHeight w:val="223"/>
        </w:trPr>
        <w:tc>
          <w:tcPr>
            <w:tcW w:w="5780" w:type="dxa"/>
            <w:vAlign w:val="bottom"/>
            <w:gridSpan w:val="2"/>
          </w:tcPr>
          <w:p>
            <w:pPr>
              <w:ind w:left="20"/>
              <w:spacing w:after="0"/>
              <w:rPr>
                <w:sz w:val="20"/>
                <w:szCs w:val="20"/>
                <w:color w:val="auto"/>
              </w:rPr>
            </w:pPr>
            <w:r>
              <w:rPr>
                <w:rFonts w:ascii="Arial" w:cs="Arial" w:eastAsia="Arial" w:hAnsi="Arial"/>
                <w:sz w:val="16"/>
                <w:szCs w:val="16"/>
                <w:b w:val="1"/>
                <w:bCs w:val="1"/>
                <w:color w:val="0D64EF"/>
              </w:rPr>
              <w:t>Income (Loss) from Continuing Operations before Income Taxes</w:t>
            </w:r>
          </w:p>
        </w:tc>
        <w:tc>
          <w:tcPr>
            <w:tcW w:w="1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5,906</w:t>
            </w:r>
          </w:p>
        </w:tc>
        <w:tc>
          <w:tcPr>
            <w:tcW w:w="0" w:type="dxa"/>
            <w:vAlign w:val="bottom"/>
          </w:tcPr>
          <w:p>
            <w:pPr>
              <w:spacing w:after="0"/>
              <w:rPr>
                <w:sz w:val="1"/>
                <w:szCs w:val="1"/>
                <w:color w:val="auto"/>
              </w:rPr>
            </w:pPr>
          </w:p>
        </w:tc>
      </w:tr>
      <w:tr>
        <w:trPr>
          <w:trHeight w:val="230"/>
        </w:trPr>
        <w:tc>
          <w:tcPr>
            <w:tcW w:w="47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Income tax (expense) recovery from continuing operations</w:t>
            </w:r>
          </w:p>
        </w:tc>
        <w:tc>
          <w:tcPr>
            <w:tcW w:w="10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(922)</w:t>
            </w:r>
          </w:p>
        </w:tc>
        <w:tc>
          <w:tcPr>
            <w:tcW w:w="0" w:type="dxa"/>
            <w:vAlign w:val="bottom"/>
          </w:tcPr>
          <w:p>
            <w:pPr>
              <w:spacing w:after="0"/>
              <w:rPr>
                <w:sz w:val="1"/>
                <w:szCs w:val="1"/>
                <w:color w:val="auto"/>
              </w:rPr>
            </w:pPr>
          </w:p>
        </w:tc>
      </w:tr>
      <w:tr>
        <w:trPr>
          <w:trHeight w:val="223"/>
        </w:trPr>
        <w:tc>
          <w:tcPr>
            <w:tcW w:w="4720" w:type="dxa"/>
            <w:vAlign w:val="bottom"/>
          </w:tcPr>
          <w:p>
            <w:pPr>
              <w:ind w:left="20"/>
              <w:spacing w:after="0"/>
              <w:rPr>
                <w:sz w:val="20"/>
                <w:szCs w:val="20"/>
                <w:color w:val="auto"/>
              </w:rPr>
            </w:pPr>
            <w:r>
              <w:rPr>
                <w:rFonts w:ascii="Arial" w:cs="Arial" w:eastAsia="Arial" w:hAnsi="Arial"/>
                <w:sz w:val="16"/>
                <w:szCs w:val="16"/>
                <w:b w:val="1"/>
                <w:bCs w:val="1"/>
                <w:color w:val="0D64EF"/>
              </w:rPr>
              <w:t>Net Income (Loss) from Continuing Operations</w:t>
            </w:r>
          </w:p>
        </w:tc>
        <w:tc>
          <w:tcPr>
            <w:tcW w:w="10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4,984</w:t>
            </w:r>
          </w:p>
        </w:tc>
        <w:tc>
          <w:tcPr>
            <w:tcW w:w="0" w:type="dxa"/>
            <w:vAlign w:val="bottom"/>
          </w:tcPr>
          <w:p>
            <w:pPr>
              <w:spacing w:after="0"/>
              <w:rPr>
                <w:sz w:val="1"/>
                <w:szCs w:val="1"/>
                <w:color w:val="auto"/>
              </w:rPr>
            </w:pPr>
          </w:p>
        </w:tc>
      </w:tr>
      <w:tr>
        <w:trPr>
          <w:trHeight w:val="233"/>
        </w:trPr>
        <w:tc>
          <w:tcPr>
            <w:tcW w:w="47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0D64EF"/>
              </w:rPr>
              <w:t>Net Income (Loss) from Discontinued Operations, Net of Tax</w:t>
            </w:r>
          </w:p>
        </w:tc>
        <w:tc>
          <w:tcPr>
            <w:tcW w:w="10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395</w:t>
            </w:r>
          </w:p>
        </w:tc>
        <w:tc>
          <w:tcPr>
            <w:tcW w:w="0" w:type="dxa"/>
            <w:vAlign w:val="bottom"/>
          </w:tcPr>
          <w:p>
            <w:pPr>
              <w:spacing w:after="0"/>
              <w:rPr>
                <w:sz w:val="1"/>
                <w:szCs w:val="1"/>
                <w:color w:val="auto"/>
              </w:rPr>
            </w:pPr>
          </w:p>
        </w:tc>
      </w:tr>
      <w:tr>
        <w:trPr>
          <w:trHeight w:val="220"/>
        </w:trPr>
        <w:tc>
          <w:tcPr>
            <w:tcW w:w="4720" w:type="dxa"/>
            <w:vAlign w:val="bottom"/>
          </w:tcPr>
          <w:p>
            <w:pPr>
              <w:ind w:left="20"/>
              <w:spacing w:after="0"/>
              <w:rPr>
                <w:sz w:val="20"/>
                <w:szCs w:val="20"/>
                <w:color w:val="auto"/>
              </w:rPr>
            </w:pPr>
            <w:r>
              <w:rPr>
                <w:rFonts w:ascii="Arial" w:cs="Arial" w:eastAsia="Arial" w:hAnsi="Arial"/>
                <w:sz w:val="16"/>
                <w:szCs w:val="16"/>
                <w:b w:val="1"/>
                <w:bCs w:val="1"/>
                <w:color w:val="0D64EF"/>
              </w:rPr>
              <w:t>Net Income (Loss)</w:t>
            </w:r>
          </w:p>
        </w:tc>
        <w:tc>
          <w:tcPr>
            <w:tcW w:w="10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5,379</w:t>
            </w:r>
          </w:p>
        </w:tc>
        <w:tc>
          <w:tcPr>
            <w:tcW w:w="0" w:type="dxa"/>
            <w:vAlign w:val="bottom"/>
          </w:tcPr>
          <w:p>
            <w:pPr>
              <w:spacing w:after="0"/>
              <w:rPr>
                <w:sz w:val="1"/>
                <w:szCs w:val="1"/>
                <w:color w:val="auto"/>
              </w:rPr>
            </w:pPr>
          </w:p>
        </w:tc>
      </w:tr>
      <w:tr>
        <w:trPr>
          <w:trHeight w:val="230"/>
        </w:trPr>
        <w:tc>
          <w:tcPr>
            <w:tcW w:w="47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Net (income) loss attributable to non-controlling interests</w:t>
            </w:r>
          </w:p>
        </w:tc>
        <w:tc>
          <w:tcPr>
            <w:tcW w:w="10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(681)</w:t>
            </w:r>
          </w:p>
        </w:tc>
        <w:tc>
          <w:tcPr>
            <w:tcW w:w="0" w:type="dxa"/>
            <w:vAlign w:val="bottom"/>
          </w:tcPr>
          <w:p>
            <w:pPr>
              <w:spacing w:after="0"/>
              <w:rPr>
                <w:sz w:val="1"/>
                <w:szCs w:val="1"/>
                <w:color w:val="auto"/>
              </w:rPr>
            </w:pPr>
          </w:p>
        </w:tc>
      </w:tr>
      <w:tr>
        <w:trPr>
          <w:trHeight w:val="223"/>
        </w:trPr>
        <w:tc>
          <w:tcPr>
            <w:tcW w:w="4720" w:type="dxa"/>
            <w:vAlign w:val="bottom"/>
          </w:tcPr>
          <w:p>
            <w:pPr>
              <w:ind w:left="20"/>
              <w:spacing w:after="0"/>
              <w:rPr>
                <w:sz w:val="20"/>
                <w:szCs w:val="20"/>
                <w:color w:val="auto"/>
              </w:rPr>
            </w:pPr>
            <w:r>
              <w:rPr>
                <w:rFonts w:ascii="Arial" w:cs="Arial" w:eastAsia="Arial" w:hAnsi="Arial"/>
                <w:sz w:val="16"/>
                <w:szCs w:val="16"/>
                <w:b w:val="1"/>
                <w:bCs w:val="1"/>
                <w:color w:val="0D64EF"/>
              </w:rPr>
              <w:t>Net Income (Loss) Attributable to Controlling Interests</w:t>
            </w:r>
          </w:p>
        </w:tc>
        <w:tc>
          <w:tcPr>
            <w:tcW w:w="10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4,698</w:t>
            </w:r>
          </w:p>
        </w:tc>
        <w:tc>
          <w:tcPr>
            <w:tcW w:w="0" w:type="dxa"/>
            <w:vAlign w:val="bottom"/>
          </w:tcPr>
          <w:p>
            <w:pPr>
              <w:spacing w:after="0"/>
              <w:rPr>
                <w:sz w:val="1"/>
                <w:szCs w:val="1"/>
                <w:color w:val="auto"/>
              </w:rPr>
            </w:pPr>
          </w:p>
        </w:tc>
      </w:tr>
      <w:tr>
        <w:trPr>
          <w:trHeight w:val="230"/>
        </w:trPr>
        <w:tc>
          <w:tcPr>
            <w:tcW w:w="47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Preferred share dividends</w:t>
            </w:r>
          </w:p>
        </w:tc>
        <w:tc>
          <w:tcPr>
            <w:tcW w:w="10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w:t>
            </w:r>
          </w:p>
        </w:tc>
        <w:tc>
          <w:tcPr>
            <w:tcW w:w="0" w:type="dxa"/>
            <w:vAlign w:val="bottom"/>
          </w:tcPr>
          <w:p>
            <w:pPr>
              <w:spacing w:after="0"/>
              <w:rPr>
                <w:sz w:val="1"/>
                <w:szCs w:val="1"/>
                <w:color w:val="auto"/>
              </w:rPr>
            </w:pPr>
          </w:p>
        </w:tc>
      </w:tr>
      <w:tr>
        <w:trPr>
          <w:trHeight w:val="226"/>
        </w:trPr>
        <w:tc>
          <w:tcPr>
            <w:tcW w:w="4720" w:type="dxa"/>
            <w:vAlign w:val="bottom"/>
            <w:tcBorders>
              <w:bottom w:val="single" w:sz="8" w:color="494949"/>
            </w:tcBorders>
          </w:tcPr>
          <w:p>
            <w:pPr>
              <w:ind w:left="20"/>
              <w:spacing w:after="0"/>
              <w:rPr>
                <w:sz w:val="20"/>
                <w:szCs w:val="20"/>
                <w:color w:val="auto"/>
              </w:rPr>
            </w:pPr>
            <w:r>
              <w:rPr>
                <w:rFonts w:ascii="Arial" w:cs="Arial" w:eastAsia="Arial" w:hAnsi="Arial"/>
                <w:sz w:val="16"/>
                <w:szCs w:val="16"/>
                <w:b w:val="1"/>
                <w:bCs w:val="1"/>
                <w:color w:val="0D64EF"/>
              </w:rPr>
              <w:t>Net Income (Loss) Attributable to Common Shares</w:t>
            </w:r>
          </w:p>
        </w:tc>
        <w:tc>
          <w:tcPr>
            <w:tcW w:w="1060" w:type="dxa"/>
            <w:vAlign w:val="bottom"/>
            <w:tcBorders>
              <w:bottom w:val="single" w:sz="8" w:color="494949"/>
            </w:tcBorders>
          </w:tcPr>
          <w:p>
            <w:pPr>
              <w:spacing w:after="0"/>
              <w:rPr>
                <w:sz w:val="19"/>
                <w:szCs w:val="19"/>
                <w:color w:val="auto"/>
              </w:rPr>
            </w:pPr>
          </w:p>
        </w:tc>
        <w:tc>
          <w:tcPr>
            <w:tcW w:w="1100" w:type="dxa"/>
            <w:vAlign w:val="bottom"/>
            <w:tcBorders>
              <w:bottom w:val="single" w:sz="8" w:color="494949"/>
            </w:tcBorders>
          </w:tcPr>
          <w:p>
            <w:pPr>
              <w:spacing w:after="0"/>
              <w:rPr>
                <w:sz w:val="19"/>
                <w:szCs w:val="19"/>
                <w:color w:val="auto"/>
              </w:rPr>
            </w:pPr>
          </w:p>
        </w:tc>
        <w:tc>
          <w:tcPr>
            <w:tcW w:w="1140" w:type="dxa"/>
            <w:vAlign w:val="bottom"/>
            <w:tcBorders>
              <w:bottom w:val="single" w:sz="8" w:color="494949"/>
            </w:tcBorders>
          </w:tcPr>
          <w:p>
            <w:pPr>
              <w:spacing w:after="0"/>
              <w:rPr>
                <w:sz w:val="19"/>
                <w:szCs w:val="19"/>
                <w:color w:val="auto"/>
              </w:rPr>
            </w:pPr>
          </w:p>
        </w:tc>
        <w:tc>
          <w:tcPr>
            <w:tcW w:w="960" w:type="dxa"/>
            <w:vAlign w:val="bottom"/>
            <w:tcBorders>
              <w:bottom w:val="single" w:sz="8" w:color="494949"/>
            </w:tcBorders>
          </w:tcPr>
          <w:p>
            <w:pPr>
              <w:spacing w:after="0"/>
              <w:rPr>
                <w:sz w:val="19"/>
                <w:szCs w:val="19"/>
                <w:color w:val="auto"/>
              </w:rPr>
            </w:pPr>
          </w:p>
        </w:tc>
        <w:tc>
          <w:tcPr>
            <w:tcW w:w="120" w:type="dxa"/>
            <w:vAlign w:val="bottom"/>
            <w:tcBorders>
              <w:bottom w:val="single" w:sz="8" w:color="494949"/>
            </w:tcBorders>
          </w:tcPr>
          <w:p>
            <w:pPr>
              <w:spacing w:after="0"/>
              <w:rPr>
                <w:sz w:val="19"/>
                <w:szCs w:val="19"/>
                <w:color w:val="auto"/>
              </w:rPr>
            </w:pPr>
          </w:p>
        </w:tc>
        <w:tc>
          <w:tcPr>
            <w:tcW w:w="1000" w:type="dxa"/>
            <w:vAlign w:val="bottom"/>
            <w:tcBorders>
              <w:bottom w:val="single" w:sz="8" w:color="494949"/>
            </w:tcBorders>
          </w:tcPr>
          <w:p>
            <w:pPr>
              <w:spacing w:after="0"/>
              <w:rPr>
                <w:sz w:val="19"/>
                <w:szCs w:val="19"/>
                <w:color w:val="auto"/>
              </w:rPr>
            </w:pPr>
          </w:p>
        </w:tc>
        <w:tc>
          <w:tcPr>
            <w:tcW w:w="160" w:type="dxa"/>
            <w:vAlign w:val="bottom"/>
            <w:tcBorders>
              <w:bottom w:val="single" w:sz="8" w:color="494949"/>
            </w:tcBorders>
          </w:tcPr>
          <w:p>
            <w:pPr>
              <w:spacing w:after="0"/>
              <w:rPr>
                <w:sz w:val="19"/>
                <w:szCs w:val="19"/>
                <w:color w:val="auto"/>
              </w:rPr>
            </w:pPr>
          </w:p>
        </w:tc>
        <w:tc>
          <w:tcPr>
            <w:tcW w:w="980" w:type="dxa"/>
            <w:vAlign w:val="bottom"/>
            <w:tcBorders>
              <w:bottom w:val="single" w:sz="8" w:color="494949"/>
            </w:tcBorders>
          </w:tcPr>
          <w:p>
            <w:pPr>
              <w:jc w:val="right"/>
              <w:spacing w:after="0"/>
              <w:rPr>
                <w:sz w:val="20"/>
                <w:szCs w:val="20"/>
                <w:color w:val="auto"/>
              </w:rPr>
            </w:pPr>
            <w:r>
              <w:rPr>
                <w:rFonts w:ascii="Arial" w:cs="Arial" w:eastAsia="Arial" w:hAnsi="Arial"/>
                <w:sz w:val="16"/>
                <w:szCs w:val="16"/>
                <w:color w:val="auto"/>
              </w:rPr>
              <w:t>4,594</w:t>
            </w:r>
          </w:p>
        </w:tc>
        <w:tc>
          <w:tcPr>
            <w:tcW w:w="0" w:type="dxa"/>
            <w:vAlign w:val="bottom"/>
          </w:tcPr>
          <w:p>
            <w:pPr>
              <w:spacing w:after="0"/>
              <w:rPr>
                <w:sz w:val="1"/>
                <w:szCs w:val="1"/>
                <w:color w:val="auto"/>
              </w:rPr>
            </w:pPr>
          </w:p>
        </w:tc>
      </w:tr>
      <w:tr>
        <w:trPr>
          <w:trHeight w:val="266"/>
        </w:trPr>
        <w:tc>
          <w:tcPr>
            <w:tcW w:w="4720" w:type="dxa"/>
            <w:vAlign w:val="bottom"/>
          </w:tcPr>
          <w:p>
            <w:pPr>
              <w:ind w:left="20"/>
              <w:spacing w:after="0"/>
              <w:rPr>
                <w:sz w:val="20"/>
                <w:szCs w:val="20"/>
                <w:color w:val="auto"/>
              </w:rPr>
            </w:pPr>
            <w:r>
              <w:rPr>
                <w:rFonts w:ascii="Arial" w:cs="Arial" w:eastAsia="Arial" w:hAnsi="Arial"/>
                <w:sz w:val="16"/>
                <w:szCs w:val="16"/>
                <w:b w:val="1"/>
                <w:bCs w:val="1"/>
                <w:color w:val="0D64EF"/>
              </w:rPr>
              <w:t>Capital Spending</w:t>
            </w:r>
            <w:r>
              <w:rPr>
                <w:rFonts w:ascii="Arial" w:cs="Arial" w:eastAsia="Arial" w:hAnsi="Arial"/>
                <w:sz w:val="21"/>
                <w:szCs w:val="21"/>
                <w:color w:val="002060"/>
                <w:vertAlign w:val="superscript"/>
              </w:rPr>
              <w:t>5</w:t>
            </w:r>
          </w:p>
        </w:tc>
        <w:tc>
          <w:tcPr>
            <w:tcW w:w="10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4720" w:type="dxa"/>
            <w:vAlign w:val="bottom"/>
          </w:tcPr>
          <w:p>
            <w:pPr>
              <w:ind w:left="20"/>
              <w:spacing w:after="0"/>
              <w:rPr>
                <w:sz w:val="20"/>
                <w:szCs w:val="20"/>
                <w:color w:val="auto"/>
              </w:rPr>
            </w:pPr>
            <w:r>
              <w:rPr>
                <w:rFonts w:ascii="Arial" w:cs="Arial" w:eastAsia="Arial" w:hAnsi="Arial"/>
                <w:sz w:val="16"/>
                <w:szCs w:val="16"/>
                <w:color w:val="auto"/>
              </w:rPr>
              <w:t>Capital expenditures</w:t>
            </w: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1,273</w:t>
            </w: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2,568</w:t>
            </w: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2,228</w:t>
            </w:r>
          </w:p>
        </w:tc>
        <w:tc>
          <w:tcPr>
            <w:tcW w:w="960" w:type="dxa"/>
            <w:vAlign w:val="bottom"/>
          </w:tcPr>
          <w:p>
            <w:pPr>
              <w:jc w:val="right"/>
              <w:spacing w:after="0"/>
              <w:rPr>
                <w:sz w:val="20"/>
                <w:szCs w:val="20"/>
                <w:color w:val="auto"/>
              </w:rPr>
            </w:pPr>
            <w:r>
              <w:rPr>
                <w:rFonts w:ascii="Arial" w:cs="Arial" w:eastAsia="Arial" w:hAnsi="Arial"/>
                <w:sz w:val="16"/>
                <w:szCs w:val="16"/>
                <w:color w:val="auto"/>
              </w:rPr>
              <w:t>62</w:t>
            </w:r>
          </w:p>
        </w:tc>
        <w:tc>
          <w:tcPr>
            <w:tcW w:w="1120" w:type="dxa"/>
            <w:vAlign w:val="bottom"/>
            <w:gridSpan w:val="2"/>
          </w:tcPr>
          <w:p>
            <w:pPr>
              <w:jc w:val="right"/>
              <w:ind w:right="19"/>
              <w:spacing w:after="0"/>
              <w:rPr>
                <w:sz w:val="20"/>
                <w:szCs w:val="20"/>
                <w:color w:val="auto"/>
              </w:rPr>
            </w:pPr>
            <w:r>
              <w:rPr>
                <w:rFonts w:ascii="Arial" w:cs="Arial" w:eastAsia="Arial" w:hAnsi="Arial"/>
                <w:sz w:val="16"/>
                <w:szCs w:val="16"/>
                <w:color w:val="auto"/>
              </w:rPr>
              <w:t>50</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6,181</w:t>
            </w:r>
          </w:p>
        </w:tc>
        <w:tc>
          <w:tcPr>
            <w:tcW w:w="0" w:type="dxa"/>
            <w:vAlign w:val="bottom"/>
          </w:tcPr>
          <w:p>
            <w:pPr>
              <w:spacing w:after="0"/>
              <w:rPr>
                <w:sz w:val="1"/>
                <w:szCs w:val="1"/>
                <w:color w:val="auto"/>
              </w:rPr>
            </w:pPr>
          </w:p>
        </w:tc>
      </w:tr>
      <w:tr>
        <w:trPr>
          <w:trHeight w:val="230"/>
        </w:trPr>
        <w:tc>
          <w:tcPr>
            <w:tcW w:w="4720" w:type="dxa"/>
            <w:vAlign w:val="bottom"/>
          </w:tcPr>
          <w:p>
            <w:pPr>
              <w:ind w:left="20"/>
              <w:spacing w:after="0"/>
              <w:rPr>
                <w:sz w:val="20"/>
                <w:szCs w:val="20"/>
                <w:color w:val="auto"/>
              </w:rPr>
            </w:pPr>
            <w:r>
              <w:rPr>
                <w:rFonts w:ascii="Arial" w:cs="Arial" w:eastAsia="Arial" w:hAnsi="Arial"/>
                <w:sz w:val="16"/>
                <w:szCs w:val="16"/>
                <w:color w:val="auto"/>
              </w:rPr>
              <w:t>Capital projects in development</w:t>
            </w: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5</w:t>
            </w: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45</w:t>
            </w:r>
          </w:p>
        </w:tc>
        <w:tc>
          <w:tcPr>
            <w:tcW w:w="120" w:type="dxa"/>
            <w:vAlign w:val="bottom"/>
          </w:tcPr>
          <w:p>
            <w:pPr>
              <w:spacing w:after="0"/>
              <w:rPr>
                <w:sz w:val="19"/>
                <w:szCs w:val="19"/>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245"/>
        </w:trPr>
        <w:tc>
          <w:tcPr>
            <w:tcW w:w="47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Contributions to equity investments</w:t>
            </w:r>
            <w:r>
              <w:rPr>
                <w:rFonts w:ascii="Arial" w:cs="Arial" w:eastAsia="Arial" w:hAnsi="Arial"/>
                <w:sz w:val="21"/>
                <w:szCs w:val="21"/>
                <w:color w:val="auto"/>
                <w:vertAlign w:val="superscript"/>
              </w:rPr>
              <w:t>6</w:t>
            </w:r>
          </w:p>
        </w:tc>
        <w:tc>
          <w:tcPr>
            <w:tcW w:w="10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827</w:t>
            </w:r>
          </w:p>
        </w:tc>
        <w:tc>
          <w:tcPr>
            <w:tcW w:w="11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w:t>
            </w:r>
          </w:p>
        </w:tc>
        <w:tc>
          <w:tcPr>
            <w:tcW w:w="11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717</w:t>
            </w: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1,546</w:t>
            </w:r>
          </w:p>
        </w:tc>
        <w:tc>
          <w:tcPr>
            <w:tcW w:w="0" w:type="dxa"/>
            <w:vAlign w:val="bottom"/>
          </w:tcPr>
          <w:p>
            <w:pPr>
              <w:spacing w:after="0"/>
              <w:rPr>
                <w:sz w:val="1"/>
                <w:szCs w:val="1"/>
                <w:color w:val="auto"/>
              </w:rPr>
            </w:pPr>
          </w:p>
        </w:tc>
      </w:tr>
      <w:tr>
        <w:trPr>
          <w:trHeight w:val="208"/>
        </w:trPr>
        <w:tc>
          <w:tcPr>
            <w:tcW w:w="4720" w:type="dxa"/>
            <w:vAlign w:val="bottom"/>
          </w:tcPr>
          <w:p>
            <w:pPr>
              <w:spacing w:after="0"/>
              <w:rPr>
                <w:sz w:val="18"/>
                <w:szCs w:val="18"/>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2,100</w:t>
            </w: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2,575</w:t>
            </w: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2,228</w:t>
            </w:r>
          </w:p>
        </w:tc>
        <w:tc>
          <w:tcPr>
            <w:tcW w:w="960" w:type="dxa"/>
            <w:vAlign w:val="bottom"/>
          </w:tcPr>
          <w:p>
            <w:pPr>
              <w:jc w:val="right"/>
              <w:spacing w:after="0"/>
              <w:rPr>
                <w:sz w:val="20"/>
                <w:szCs w:val="20"/>
                <w:color w:val="auto"/>
              </w:rPr>
            </w:pPr>
            <w:r>
              <w:rPr>
                <w:rFonts w:ascii="Arial" w:cs="Arial" w:eastAsia="Arial" w:hAnsi="Arial"/>
                <w:sz w:val="16"/>
                <w:szCs w:val="16"/>
                <w:color w:val="auto"/>
              </w:rPr>
              <w:t>824</w:t>
            </w:r>
          </w:p>
        </w:tc>
        <w:tc>
          <w:tcPr>
            <w:tcW w:w="1120" w:type="dxa"/>
            <w:vAlign w:val="bottom"/>
            <w:gridSpan w:val="2"/>
          </w:tcPr>
          <w:p>
            <w:pPr>
              <w:jc w:val="right"/>
              <w:ind w:right="19"/>
              <w:spacing w:after="0"/>
              <w:rPr>
                <w:sz w:val="20"/>
                <w:szCs w:val="20"/>
                <w:color w:val="auto"/>
              </w:rPr>
            </w:pPr>
            <w:r>
              <w:rPr>
                <w:rFonts w:ascii="Arial" w:cs="Arial" w:eastAsia="Arial" w:hAnsi="Arial"/>
                <w:sz w:val="16"/>
                <w:szCs w:val="16"/>
                <w:color w:val="auto"/>
              </w:rPr>
              <w:t>50</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7,777</w:t>
            </w:r>
          </w:p>
        </w:tc>
        <w:tc>
          <w:tcPr>
            <w:tcW w:w="0" w:type="dxa"/>
            <w:vAlign w:val="bottom"/>
          </w:tcPr>
          <w:p>
            <w:pPr>
              <w:spacing w:after="0"/>
              <w:rPr>
                <w:sz w:val="1"/>
                <w:szCs w:val="1"/>
                <w:color w:val="auto"/>
              </w:rPr>
            </w:pPr>
          </w:p>
        </w:tc>
      </w:tr>
      <w:tr>
        <w:trPr>
          <w:trHeight w:val="238"/>
        </w:trPr>
        <w:tc>
          <w:tcPr>
            <w:tcW w:w="47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Discontinued operations</w:t>
            </w:r>
          </w:p>
        </w:tc>
        <w:tc>
          <w:tcPr>
            <w:tcW w:w="10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w:t>
            </w:r>
          </w:p>
        </w:tc>
        <w:tc>
          <w:tcPr>
            <w:tcW w:w="0" w:type="dxa"/>
            <w:vAlign w:val="bottom"/>
          </w:tcPr>
          <w:p>
            <w:pPr>
              <w:spacing w:after="0"/>
              <w:rPr>
                <w:sz w:val="1"/>
                <w:szCs w:val="1"/>
                <w:color w:val="auto"/>
              </w:rPr>
            </w:pPr>
          </w:p>
        </w:tc>
      </w:tr>
      <w:tr>
        <w:trPr>
          <w:trHeight w:val="223"/>
        </w:trPr>
        <w:tc>
          <w:tcPr>
            <w:tcW w:w="47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7,904</w:t>
            </w: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340" w:hanging="332"/>
        <w:spacing w:after="0"/>
        <w:tabs>
          <w:tab w:leader="none" w:pos="340" w:val="left"/>
        </w:tabs>
        <w:numPr>
          <w:ilvl w:val="0"/>
          <w:numId w:val="80"/>
        </w:numPr>
        <w:rPr>
          <w:rFonts w:ascii="Arial" w:cs="Arial" w:eastAsia="Arial" w:hAnsi="Arial"/>
          <w:sz w:val="14"/>
          <w:szCs w:val="14"/>
          <w:color w:val="auto"/>
        </w:rPr>
      </w:pPr>
      <w:r>
        <w:rPr>
          <w:rFonts w:ascii="Arial" w:cs="Arial" w:eastAsia="Arial" w:hAnsi="Arial"/>
          <w:sz w:val="14"/>
          <w:szCs w:val="14"/>
          <w:color w:val="auto"/>
        </w:rPr>
        <w:t>Includes intersegment eliminations.</w:t>
      </w:r>
    </w:p>
    <w:p>
      <w:pPr>
        <w:spacing w:after="0" w:line="42" w:lineRule="exact"/>
        <w:rPr>
          <w:sz w:val="20"/>
          <w:szCs w:val="20"/>
          <w:color w:val="auto"/>
        </w:rPr>
      </w:pPr>
    </w:p>
    <w:p>
      <w:pPr>
        <w:ind w:left="340" w:hanging="332"/>
        <w:spacing w:after="0"/>
        <w:tabs>
          <w:tab w:leader="none" w:pos="340" w:val="left"/>
        </w:tabs>
        <w:numPr>
          <w:ilvl w:val="0"/>
          <w:numId w:val="81"/>
        </w:numPr>
        <w:rPr>
          <w:rFonts w:ascii="Arial" w:cs="Arial" w:eastAsia="Arial" w:hAnsi="Arial"/>
          <w:sz w:val="14"/>
          <w:szCs w:val="14"/>
          <w:color w:val="auto"/>
        </w:rPr>
      </w:pPr>
      <w:r>
        <w:rPr>
          <w:rFonts w:ascii="Arial" w:cs="Arial" w:eastAsia="Arial" w:hAnsi="Arial"/>
          <w:sz w:val="14"/>
          <w:szCs w:val="14"/>
          <w:color w:val="auto"/>
        </w:rPr>
        <w:t>The Company records intersegment sales at contracted rates. For segmented reporting, these transactions are included as Intersegment revenues in the segment</w:t>
      </w:r>
    </w:p>
    <w:p>
      <w:pPr>
        <w:spacing w:after="0" w:line="55" w:lineRule="exact"/>
        <w:rPr>
          <w:rFonts w:ascii="Arial" w:cs="Arial" w:eastAsia="Arial" w:hAnsi="Arial"/>
          <w:sz w:val="14"/>
          <w:szCs w:val="14"/>
          <w:color w:val="auto"/>
        </w:rPr>
      </w:pPr>
    </w:p>
    <w:p>
      <w:pPr>
        <w:ind w:left="340" w:right="60"/>
        <w:spacing w:after="0" w:line="311" w:lineRule="auto"/>
        <w:rPr>
          <w:rFonts w:ascii="Arial" w:cs="Arial" w:eastAsia="Arial" w:hAnsi="Arial"/>
          <w:sz w:val="14"/>
          <w:szCs w:val="14"/>
          <w:color w:val="auto"/>
        </w:rPr>
      </w:pPr>
      <w:r>
        <w:rPr>
          <w:rFonts w:ascii="Arial" w:cs="Arial" w:eastAsia="Arial" w:hAnsi="Arial"/>
          <w:sz w:val="14"/>
          <w:szCs w:val="14"/>
          <w:color w:val="auto"/>
        </w:rPr>
        <w:t>providing the service and Operating costs in the segment receiving the service. These transactions are eliminated on consolidation. Intersegment profit is recognized when the product or service has been provided to third parties or otherwise realized.</w:t>
      </w:r>
    </w:p>
    <w:p>
      <w:pPr>
        <w:spacing w:after="0" w:line="1" w:lineRule="exact"/>
        <w:rPr>
          <w:sz w:val="20"/>
          <w:szCs w:val="20"/>
          <w:color w:val="auto"/>
        </w:rPr>
      </w:pPr>
    </w:p>
    <w:p>
      <w:pPr>
        <w:ind w:left="340" w:right="440" w:hanging="332"/>
        <w:spacing w:after="0" w:line="311" w:lineRule="auto"/>
        <w:tabs>
          <w:tab w:leader="none" w:pos="339" w:val="left"/>
        </w:tabs>
        <w:numPr>
          <w:ilvl w:val="0"/>
          <w:numId w:val="82"/>
        </w:numPr>
        <w:rPr>
          <w:rFonts w:ascii="Arial" w:cs="Arial" w:eastAsia="Arial" w:hAnsi="Arial"/>
          <w:sz w:val="14"/>
          <w:szCs w:val="14"/>
          <w:color w:val="auto"/>
        </w:rPr>
      </w:pPr>
      <w:r>
        <w:rPr>
          <w:rFonts w:ascii="Arial" w:cs="Arial" w:eastAsia="Arial" w:hAnsi="Arial"/>
          <w:sz w:val="14"/>
          <w:szCs w:val="14"/>
          <w:color w:val="auto"/>
        </w:rPr>
        <w:t>Includes shared costs and depreciation previously allocated to the Liquids Pipelines segment. Refer to Note 4, Discontinued operations, in the Consolidated financial statements of our 2025 Annual Report for additional information.</w:t>
      </w:r>
    </w:p>
    <w:p>
      <w:pPr>
        <w:spacing w:after="0" w:line="1" w:lineRule="exact"/>
        <w:rPr>
          <w:sz w:val="20"/>
          <w:szCs w:val="20"/>
          <w:color w:val="auto"/>
        </w:rPr>
      </w:pPr>
    </w:p>
    <w:p>
      <w:pPr>
        <w:ind w:left="340" w:hanging="332"/>
        <w:spacing w:after="0"/>
        <w:tabs>
          <w:tab w:leader="none" w:pos="340" w:val="left"/>
        </w:tabs>
        <w:numPr>
          <w:ilvl w:val="0"/>
          <w:numId w:val="83"/>
        </w:numPr>
        <w:rPr>
          <w:rFonts w:ascii="Arial" w:cs="Arial" w:eastAsia="Arial" w:hAnsi="Arial"/>
          <w:sz w:val="14"/>
          <w:szCs w:val="14"/>
          <w:color w:val="auto"/>
        </w:rPr>
      </w:pPr>
      <w:r>
        <w:rPr>
          <w:rFonts w:ascii="Arial" w:cs="Arial" w:eastAsia="Arial" w:hAnsi="Arial"/>
          <w:sz w:val="14"/>
          <w:szCs w:val="14"/>
          <w:color w:val="auto"/>
        </w:rPr>
        <w:t>Other segment items include a Net gain (loss) on sale of assets.</w:t>
      </w:r>
    </w:p>
    <w:p>
      <w:pPr>
        <w:spacing w:after="0" w:line="42" w:lineRule="exact"/>
        <w:rPr>
          <w:sz w:val="20"/>
          <w:szCs w:val="20"/>
          <w:color w:val="auto"/>
        </w:rPr>
      </w:pPr>
    </w:p>
    <w:p>
      <w:pPr>
        <w:ind w:left="240" w:hanging="232"/>
        <w:spacing w:after="0"/>
        <w:tabs>
          <w:tab w:leader="none" w:pos="240" w:val="left"/>
        </w:tabs>
        <w:numPr>
          <w:ilvl w:val="0"/>
          <w:numId w:val="84"/>
        </w:numPr>
        <w:rPr>
          <w:rFonts w:ascii="Arial" w:cs="Arial" w:eastAsia="Arial" w:hAnsi="Arial"/>
          <w:sz w:val="14"/>
          <w:szCs w:val="14"/>
          <w:color w:val="auto"/>
        </w:rPr>
      </w:pPr>
      <w:r>
        <w:rPr>
          <w:rFonts w:ascii="Arial" w:cs="Arial" w:eastAsia="Arial" w:hAnsi="Arial"/>
          <w:sz w:val="14"/>
          <w:szCs w:val="14"/>
          <w:color w:val="auto"/>
        </w:rPr>
        <w:t>Included in Investing activities in the Condensed consolidated statement of cash flows.</w:t>
      </w:r>
    </w:p>
    <w:p>
      <w:pPr>
        <w:spacing w:after="0" w:line="55" w:lineRule="exact"/>
        <w:rPr>
          <w:sz w:val="20"/>
          <w:szCs w:val="20"/>
          <w:color w:val="auto"/>
        </w:rPr>
      </w:pPr>
    </w:p>
    <w:p>
      <w:pPr>
        <w:ind w:left="340" w:right="120" w:hanging="332"/>
        <w:spacing w:after="0" w:line="333" w:lineRule="auto"/>
        <w:tabs>
          <w:tab w:leader="none" w:pos="256" w:val="left"/>
        </w:tabs>
        <w:numPr>
          <w:ilvl w:val="0"/>
          <w:numId w:val="85"/>
        </w:numPr>
        <w:rPr>
          <w:rFonts w:ascii="Arial" w:cs="Arial" w:eastAsia="Arial" w:hAnsi="Arial"/>
          <w:sz w:val="14"/>
          <w:szCs w:val="14"/>
          <w:color w:val="auto"/>
        </w:rPr>
      </w:pPr>
      <w:r>
        <w:rPr>
          <w:rFonts w:ascii="Arial" w:cs="Arial" w:eastAsia="Arial" w:hAnsi="Arial"/>
          <w:sz w:val="14"/>
          <w:szCs w:val="14"/>
          <w:color w:val="auto"/>
        </w:rPr>
        <w:t>Contributions to equity investments in the Canadian Natural Gas Pipelines segment of $3.1 billion are offset by the equivalent amount in Other distributions from equity investments, although they are reported on a gross basis in the Company's Condensed consolidated statement of cash flows. Refer to Note 10, Equity investments, in the Consolidated financial statements of our 2025 Annual Report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38 | TC Energy </w:t>
      </w:r>
      <w:r>
        <w:rPr>
          <w:rFonts w:ascii="Arial" w:cs="Arial" w:eastAsia="Arial" w:hAnsi="Arial"/>
          <w:sz w:val="18"/>
          <w:szCs w:val="18"/>
          <w:b w:val="1"/>
          <w:bCs w:val="1"/>
          <w:color w:val="0D64EF"/>
        </w:rPr>
        <w:t>Fourth Quarter</w:t>
      </w:r>
      <w:r>
        <w:rPr>
          <w:rFonts w:ascii="Arial" w:cs="Arial" w:eastAsia="Arial" w:hAnsi="Arial"/>
          <w:sz w:val="18"/>
          <w:szCs w:val="18"/>
          <w:color w:val="auto"/>
        </w:rPr>
        <w:t xml:space="preserve"> News Release 2025</w:t>
      </w:r>
    </w:p>
    <w:p>
      <w:pPr>
        <w:sectPr>
          <w:pgSz w:w="11900" w:h="16838" w:orient="portrait"/>
          <w:cols w:equalWidth="0" w:num="1">
            <w:col w:w="11240"/>
          </w:cols>
          <w:pgMar w:left="320" w:top="1348" w:right="339" w:bottom="1440" w:gutter="0" w:footer="0" w:header="0"/>
        </w:sectPr>
      </w:pPr>
    </w:p>
    <w:bookmarkStart w:id="51" w:name="page52"/>
    <w:bookmarkEnd w:id="51"/>
    <w:p>
      <w:pPr>
        <w:spacing w:after="0"/>
        <w:rPr>
          <w:sz w:val="20"/>
          <w:szCs w:val="20"/>
          <w:color w:val="auto"/>
        </w:rPr>
      </w:pPr>
      <w:r>
        <w:rPr>
          <w:rFonts w:ascii="Arial" w:cs="Arial" w:eastAsia="Arial" w:hAnsi="Arial"/>
          <w:sz w:val="20"/>
          <w:szCs w:val="20"/>
          <w:b w:val="1"/>
          <w:bCs w:val="1"/>
          <w:color w:val="0D64EF"/>
        </w:rPr>
        <w:t>Total Assets by Segment</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5220" w:type="dxa"/>
            <w:vAlign w:val="bottom"/>
            <w:tcBorders>
              <w:top w:val="single" w:sz="8" w:color="0D64EF"/>
              <w:bottom w:val="single" w:sz="8" w:color="0D64EF"/>
            </w:tcBorders>
            <w:shd w:val="clear" w:color="auto" w:fill="D1D0CF"/>
          </w:tcPr>
          <w:p>
            <w:pPr>
              <w:ind w:left="20"/>
              <w:spacing w:after="0"/>
              <w:rPr>
                <w:sz w:val="20"/>
                <w:szCs w:val="20"/>
                <w:color w:val="auto"/>
              </w:rPr>
            </w:pPr>
            <w:r>
              <w:rPr>
                <w:rFonts w:ascii="Arial" w:cs="Arial" w:eastAsia="Arial" w:hAnsi="Arial"/>
                <w:sz w:val="16"/>
                <w:szCs w:val="16"/>
                <w:color w:val="auto"/>
              </w:rPr>
              <w:t>(unaudited - millions of Canadian $)</w:t>
            </w:r>
          </w:p>
        </w:tc>
        <w:tc>
          <w:tcPr>
            <w:tcW w:w="4320" w:type="dxa"/>
            <w:vAlign w:val="bottom"/>
            <w:tcBorders>
              <w:top w:val="single" w:sz="8" w:color="0D64EF"/>
              <w:bottom w:val="single" w:sz="8" w:color="0D64EF"/>
            </w:tcBorders>
            <w:shd w:val="clear" w:color="auto" w:fill="D1D0CF"/>
          </w:tcPr>
          <w:p>
            <w:pPr>
              <w:jc w:val="right"/>
              <w:ind w:right="139"/>
              <w:spacing w:after="0"/>
              <w:rPr>
                <w:sz w:val="20"/>
                <w:szCs w:val="20"/>
                <w:color w:val="auto"/>
              </w:rPr>
            </w:pPr>
            <w:r>
              <w:rPr>
                <w:rFonts w:ascii="Arial" w:cs="Arial" w:eastAsia="Arial" w:hAnsi="Arial"/>
                <w:sz w:val="16"/>
                <w:szCs w:val="16"/>
                <w:b w:val="1"/>
                <w:bCs w:val="1"/>
                <w:color w:val="auto"/>
              </w:rPr>
              <w:t>December 31, 2025</w:t>
            </w:r>
          </w:p>
        </w:tc>
        <w:tc>
          <w:tcPr>
            <w:tcW w:w="1700" w:type="dxa"/>
            <w:vAlign w:val="bottom"/>
            <w:tcBorders>
              <w:top w:val="single" w:sz="8" w:color="0D64EF"/>
              <w:bottom w:val="single" w:sz="8" w:color="0D64EF"/>
            </w:tcBorders>
            <w:shd w:val="clear" w:color="auto" w:fill="D1D0CF"/>
          </w:tcPr>
          <w:p>
            <w:pPr>
              <w:jc w:val="right"/>
              <w:spacing w:after="0"/>
              <w:rPr>
                <w:sz w:val="20"/>
                <w:szCs w:val="20"/>
                <w:color w:val="auto"/>
              </w:rPr>
            </w:pPr>
            <w:r>
              <w:rPr>
                <w:rFonts w:ascii="Arial" w:cs="Arial" w:eastAsia="Arial" w:hAnsi="Arial"/>
                <w:sz w:val="16"/>
                <w:szCs w:val="16"/>
                <w:b w:val="1"/>
                <w:bCs w:val="1"/>
                <w:color w:val="auto"/>
              </w:rPr>
              <w:t>December 31, 2024</w:t>
            </w:r>
          </w:p>
        </w:tc>
      </w:tr>
      <w:tr>
        <w:trPr>
          <w:trHeight w:val="259"/>
        </w:trPr>
        <w:tc>
          <w:tcPr>
            <w:tcW w:w="5220" w:type="dxa"/>
            <w:vAlign w:val="bottom"/>
          </w:tcPr>
          <w:p>
            <w:pPr>
              <w:ind w:left="20"/>
              <w:spacing w:after="0"/>
              <w:rPr>
                <w:sz w:val="20"/>
                <w:szCs w:val="20"/>
                <w:color w:val="auto"/>
              </w:rPr>
            </w:pPr>
            <w:r>
              <w:rPr>
                <w:rFonts w:ascii="Arial" w:cs="Arial" w:eastAsia="Arial" w:hAnsi="Arial"/>
                <w:sz w:val="16"/>
                <w:szCs w:val="16"/>
                <w:color w:val="auto"/>
              </w:rPr>
              <w:t>Canadian Natural Gas Pipelines</w:t>
            </w:r>
          </w:p>
        </w:tc>
        <w:tc>
          <w:tcPr>
            <w:tcW w:w="4320" w:type="dxa"/>
            <w:vAlign w:val="bottom"/>
          </w:tcPr>
          <w:p>
            <w:pPr>
              <w:jc w:val="right"/>
              <w:ind w:right="199"/>
              <w:spacing w:after="0"/>
              <w:rPr>
                <w:sz w:val="20"/>
                <w:szCs w:val="20"/>
                <w:color w:val="auto"/>
              </w:rPr>
            </w:pPr>
            <w:r>
              <w:rPr>
                <w:rFonts w:ascii="Arial" w:cs="Arial" w:eastAsia="Arial" w:hAnsi="Arial"/>
                <w:sz w:val="16"/>
                <w:szCs w:val="16"/>
                <w:b w:val="1"/>
                <w:bCs w:val="1"/>
                <w:color w:val="auto"/>
              </w:rPr>
              <w:t>31,371</w:t>
            </w:r>
          </w:p>
        </w:tc>
        <w:tc>
          <w:tcPr>
            <w:tcW w:w="1700" w:type="dxa"/>
            <w:vAlign w:val="bottom"/>
          </w:tcPr>
          <w:p>
            <w:pPr>
              <w:jc w:val="right"/>
              <w:spacing w:after="0"/>
              <w:rPr>
                <w:sz w:val="20"/>
                <w:szCs w:val="20"/>
                <w:color w:val="auto"/>
              </w:rPr>
            </w:pPr>
            <w:r>
              <w:rPr>
                <w:rFonts w:ascii="Arial" w:cs="Arial" w:eastAsia="Arial" w:hAnsi="Arial"/>
                <w:sz w:val="16"/>
                <w:szCs w:val="16"/>
                <w:color w:val="auto"/>
              </w:rPr>
              <w:t>31,167</w:t>
            </w:r>
          </w:p>
        </w:tc>
      </w:tr>
      <w:tr>
        <w:trPr>
          <w:trHeight w:val="229"/>
        </w:trPr>
        <w:tc>
          <w:tcPr>
            <w:tcW w:w="5220" w:type="dxa"/>
            <w:vAlign w:val="bottom"/>
          </w:tcPr>
          <w:p>
            <w:pPr>
              <w:ind w:left="20"/>
              <w:spacing w:after="0"/>
              <w:rPr>
                <w:sz w:val="20"/>
                <w:szCs w:val="20"/>
                <w:color w:val="auto"/>
              </w:rPr>
            </w:pPr>
            <w:r>
              <w:rPr>
                <w:rFonts w:ascii="Arial" w:cs="Arial" w:eastAsia="Arial" w:hAnsi="Arial"/>
                <w:sz w:val="16"/>
                <w:szCs w:val="16"/>
                <w:color w:val="auto"/>
              </w:rPr>
              <w:t>U.S. Natural Gas Pipelines</w:t>
            </w:r>
          </w:p>
        </w:tc>
        <w:tc>
          <w:tcPr>
            <w:tcW w:w="4320" w:type="dxa"/>
            <w:vAlign w:val="bottom"/>
          </w:tcPr>
          <w:p>
            <w:pPr>
              <w:jc w:val="right"/>
              <w:ind w:right="199"/>
              <w:spacing w:after="0"/>
              <w:rPr>
                <w:sz w:val="20"/>
                <w:szCs w:val="20"/>
                <w:color w:val="auto"/>
              </w:rPr>
            </w:pPr>
            <w:r>
              <w:rPr>
                <w:rFonts w:ascii="Arial" w:cs="Arial" w:eastAsia="Arial" w:hAnsi="Arial"/>
                <w:sz w:val="16"/>
                <w:szCs w:val="16"/>
                <w:b w:val="1"/>
                <w:bCs w:val="1"/>
                <w:color w:val="auto"/>
              </w:rPr>
              <w:t>56,617</w:t>
            </w:r>
          </w:p>
        </w:tc>
        <w:tc>
          <w:tcPr>
            <w:tcW w:w="1700" w:type="dxa"/>
            <w:vAlign w:val="bottom"/>
          </w:tcPr>
          <w:p>
            <w:pPr>
              <w:jc w:val="right"/>
              <w:spacing w:after="0"/>
              <w:rPr>
                <w:sz w:val="20"/>
                <w:szCs w:val="20"/>
                <w:color w:val="auto"/>
              </w:rPr>
            </w:pPr>
            <w:r>
              <w:rPr>
                <w:rFonts w:ascii="Arial" w:cs="Arial" w:eastAsia="Arial" w:hAnsi="Arial"/>
                <w:sz w:val="16"/>
                <w:szCs w:val="16"/>
                <w:color w:val="auto"/>
              </w:rPr>
              <w:t>56,304</w:t>
            </w:r>
          </w:p>
        </w:tc>
      </w:tr>
      <w:tr>
        <w:trPr>
          <w:trHeight w:val="230"/>
        </w:trPr>
        <w:tc>
          <w:tcPr>
            <w:tcW w:w="5220" w:type="dxa"/>
            <w:vAlign w:val="bottom"/>
          </w:tcPr>
          <w:p>
            <w:pPr>
              <w:ind w:left="20"/>
              <w:spacing w:after="0"/>
              <w:rPr>
                <w:sz w:val="20"/>
                <w:szCs w:val="20"/>
                <w:color w:val="auto"/>
              </w:rPr>
            </w:pPr>
            <w:r>
              <w:rPr>
                <w:rFonts w:ascii="Arial" w:cs="Arial" w:eastAsia="Arial" w:hAnsi="Arial"/>
                <w:sz w:val="16"/>
                <w:szCs w:val="16"/>
                <w:color w:val="auto"/>
              </w:rPr>
              <w:t>Mexico Natural Gas Pipelines</w:t>
            </w:r>
          </w:p>
        </w:tc>
        <w:tc>
          <w:tcPr>
            <w:tcW w:w="4320" w:type="dxa"/>
            <w:vAlign w:val="bottom"/>
          </w:tcPr>
          <w:p>
            <w:pPr>
              <w:jc w:val="right"/>
              <w:ind w:right="199"/>
              <w:spacing w:after="0"/>
              <w:rPr>
                <w:sz w:val="20"/>
                <w:szCs w:val="20"/>
                <w:color w:val="auto"/>
              </w:rPr>
            </w:pPr>
            <w:r>
              <w:rPr>
                <w:rFonts w:ascii="Arial" w:cs="Arial" w:eastAsia="Arial" w:hAnsi="Arial"/>
                <w:sz w:val="16"/>
                <w:szCs w:val="16"/>
                <w:b w:val="1"/>
                <w:bCs w:val="1"/>
                <w:color w:val="auto"/>
              </w:rPr>
              <w:t>16,342</w:t>
            </w:r>
          </w:p>
        </w:tc>
        <w:tc>
          <w:tcPr>
            <w:tcW w:w="1700" w:type="dxa"/>
            <w:vAlign w:val="bottom"/>
          </w:tcPr>
          <w:p>
            <w:pPr>
              <w:jc w:val="right"/>
              <w:spacing w:after="0"/>
              <w:rPr>
                <w:sz w:val="20"/>
                <w:szCs w:val="20"/>
                <w:color w:val="auto"/>
              </w:rPr>
            </w:pPr>
            <w:r>
              <w:rPr>
                <w:rFonts w:ascii="Arial" w:cs="Arial" w:eastAsia="Arial" w:hAnsi="Arial"/>
                <w:sz w:val="16"/>
                <w:szCs w:val="16"/>
                <w:color w:val="auto"/>
              </w:rPr>
              <w:t>15,995</w:t>
            </w:r>
          </w:p>
        </w:tc>
      </w:tr>
      <w:tr>
        <w:trPr>
          <w:trHeight w:val="229"/>
        </w:trPr>
        <w:tc>
          <w:tcPr>
            <w:tcW w:w="5220" w:type="dxa"/>
            <w:vAlign w:val="bottom"/>
          </w:tcPr>
          <w:p>
            <w:pPr>
              <w:ind w:left="20"/>
              <w:spacing w:after="0"/>
              <w:rPr>
                <w:sz w:val="20"/>
                <w:szCs w:val="20"/>
                <w:color w:val="auto"/>
              </w:rPr>
            </w:pPr>
            <w:r>
              <w:rPr>
                <w:rFonts w:ascii="Arial" w:cs="Arial" w:eastAsia="Arial" w:hAnsi="Arial"/>
                <w:sz w:val="16"/>
                <w:szCs w:val="16"/>
                <w:color w:val="auto"/>
              </w:rPr>
              <w:t>Power and Energy Solutions</w:t>
            </w:r>
          </w:p>
        </w:tc>
        <w:tc>
          <w:tcPr>
            <w:tcW w:w="4320" w:type="dxa"/>
            <w:vAlign w:val="bottom"/>
          </w:tcPr>
          <w:p>
            <w:pPr>
              <w:jc w:val="right"/>
              <w:ind w:right="199"/>
              <w:spacing w:after="0"/>
              <w:rPr>
                <w:sz w:val="20"/>
                <w:szCs w:val="20"/>
                <w:color w:val="auto"/>
              </w:rPr>
            </w:pPr>
            <w:r>
              <w:rPr>
                <w:rFonts w:ascii="Arial" w:cs="Arial" w:eastAsia="Arial" w:hAnsi="Arial"/>
                <w:sz w:val="16"/>
                <w:szCs w:val="16"/>
                <w:b w:val="1"/>
                <w:bCs w:val="1"/>
                <w:color w:val="auto"/>
              </w:rPr>
              <w:t>10,764</w:t>
            </w:r>
          </w:p>
        </w:tc>
        <w:tc>
          <w:tcPr>
            <w:tcW w:w="1700" w:type="dxa"/>
            <w:vAlign w:val="bottom"/>
          </w:tcPr>
          <w:p>
            <w:pPr>
              <w:jc w:val="right"/>
              <w:spacing w:after="0"/>
              <w:rPr>
                <w:sz w:val="20"/>
                <w:szCs w:val="20"/>
                <w:color w:val="auto"/>
              </w:rPr>
            </w:pPr>
            <w:r>
              <w:rPr>
                <w:rFonts w:ascii="Arial" w:cs="Arial" w:eastAsia="Arial" w:hAnsi="Arial"/>
                <w:sz w:val="16"/>
                <w:szCs w:val="16"/>
                <w:color w:val="auto"/>
              </w:rPr>
              <w:t>10,217</w:t>
            </w:r>
          </w:p>
        </w:tc>
      </w:tr>
      <w:tr>
        <w:trPr>
          <w:trHeight w:val="233"/>
        </w:trPr>
        <w:tc>
          <w:tcPr>
            <w:tcW w:w="52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Corporate</w:t>
            </w:r>
          </w:p>
        </w:tc>
        <w:tc>
          <w:tcPr>
            <w:tcW w:w="43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3,460</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4,189</w:t>
            </w:r>
          </w:p>
        </w:tc>
      </w:tr>
      <w:tr>
        <w:trPr>
          <w:trHeight w:val="220"/>
        </w:trPr>
        <w:tc>
          <w:tcPr>
            <w:tcW w:w="5220" w:type="dxa"/>
            <w:vAlign w:val="bottom"/>
          </w:tcPr>
          <w:p>
            <w:pPr>
              <w:spacing w:after="0"/>
              <w:rPr>
                <w:sz w:val="19"/>
                <w:szCs w:val="19"/>
                <w:color w:val="auto"/>
              </w:rPr>
            </w:pPr>
          </w:p>
        </w:tc>
        <w:tc>
          <w:tcPr>
            <w:tcW w:w="4320" w:type="dxa"/>
            <w:vAlign w:val="bottom"/>
          </w:tcPr>
          <w:p>
            <w:pPr>
              <w:jc w:val="right"/>
              <w:ind w:right="199"/>
              <w:spacing w:after="0"/>
              <w:rPr>
                <w:sz w:val="20"/>
                <w:szCs w:val="20"/>
                <w:color w:val="auto"/>
              </w:rPr>
            </w:pPr>
            <w:r>
              <w:rPr>
                <w:rFonts w:ascii="Arial" w:cs="Arial" w:eastAsia="Arial" w:hAnsi="Arial"/>
                <w:sz w:val="16"/>
                <w:szCs w:val="16"/>
                <w:b w:val="1"/>
                <w:bCs w:val="1"/>
                <w:color w:val="auto"/>
              </w:rPr>
              <w:t>118,554</w:t>
            </w:r>
          </w:p>
        </w:tc>
        <w:tc>
          <w:tcPr>
            <w:tcW w:w="1700" w:type="dxa"/>
            <w:vAlign w:val="bottom"/>
          </w:tcPr>
          <w:p>
            <w:pPr>
              <w:jc w:val="right"/>
              <w:spacing w:after="0"/>
              <w:rPr>
                <w:sz w:val="20"/>
                <w:szCs w:val="20"/>
                <w:color w:val="auto"/>
              </w:rPr>
            </w:pPr>
            <w:r>
              <w:rPr>
                <w:rFonts w:ascii="Arial" w:cs="Arial" w:eastAsia="Arial" w:hAnsi="Arial"/>
                <w:sz w:val="16"/>
                <w:szCs w:val="16"/>
                <w:color w:val="auto"/>
              </w:rPr>
              <w:t>117,872</w:t>
            </w:r>
          </w:p>
        </w:tc>
      </w:tr>
      <w:tr>
        <w:trPr>
          <w:trHeight w:val="233"/>
        </w:trPr>
        <w:tc>
          <w:tcPr>
            <w:tcW w:w="52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Discontinued Operations</w:t>
            </w:r>
          </w:p>
        </w:tc>
        <w:tc>
          <w:tcPr>
            <w:tcW w:w="43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197</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371</w:t>
            </w:r>
          </w:p>
        </w:tc>
      </w:tr>
      <w:tr>
        <w:trPr>
          <w:trHeight w:val="223"/>
        </w:trPr>
        <w:tc>
          <w:tcPr>
            <w:tcW w:w="5220" w:type="dxa"/>
            <w:vAlign w:val="bottom"/>
            <w:tcBorders>
              <w:bottom w:val="single" w:sz="8" w:color="auto"/>
            </w:tcBorders>
          </w:tcPr>
          <w:p>
            <w:pPr>
              <w:spacing w:after="0"/>
              <w:rPr>
                <w:sz w:val="19"/>
                <w:szCs w:val="19"/>
                <w:color w:val="auto"/>
              </w:rPr>
            </w:pPr>
          </w:p>
        </w:tc>
        <w:tc>
          <w:tcPr>
            <w:tcW w:w="43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118,751</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118,243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TC Energy </w:t>
      </w:r>
      <w:r>
        <w:rPr>
          <w:rFonts w:ascii="Arial" w:cs="Arial" w:eastAsia="Arial" w:hAnsi="Arial"/>
          <w:sz w:val="18"/>
          <w:szCs w:val="18"/>
          <w:b w:val="1"/>
          <w:bCs w:val="1"/>
          <w:color w:val="0D64EF"/>
        </w:rPr>
        <w:t>Fourth Quarter</w:t>
      </w:r>
      <w:r>
        <w:rPr>
          <w:rFonts w:ascii="Arial" w:cs="Arial" w:eastAsia="Arial" w:hAnsi="Arial"/>
          <w:sz w:val="18"/>
          <w:szCs w:val="18"/>
          <w:color w:val="auto"/>
        </w:rPr>
        <w:t xml:space="preserve"> News Release 2025 | 39</w:t>
      </w:r>
    </w:p>
    <w:p>
      <w:pPr>
        <w:sectPr>
          <w:pgSz w:w="11900" w:h="16838" w:orient="portrait"/>
          <w:cols w:equalWidth="0" w:num="1">
            <w:col w:w="11240"/>
          </w:cols>
          <w:pgMar w:left="320" w:top="1304" w:right="339" w:bottom="1440" w:gutter="0" w:footer="0" w:header="0"/>
        </w:sectPr>
      </w:pPr>
    </w:p>
    <w:bookmarkStart w:id="52" w:name="page53"/>
    <w:bookmarkEnd w:id="5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487CB0"/>
    <w:multiLevelType w:val="hybridMultilevel"/>
    <w:lvl w:ilvl="0">
      <w:lvlJc w:val="left"/>
      <w:lvlText w:val="•"/>
      <w:numFmt w:val="bullet"/>
      <w:start w:val="1"/>
    </w:lvl>
    <w:lvl w:ilvl="1">
      <w:lvlJc w:val="left"/>
      <w:lvlText w:val="◦"/>
      <w:numFmt w:val="bullet"/>
      <w:start w:val="1"/>
    </w:lvl>
  </w:abstractNum>
  <w:abstractNum w:abstractNumId="1">
    <w:nsid w:val="1D4ED43B"/>
    <w:multiLevelType w:val="hybridMultilevel"/>
    <w:lvl w:ilvl="0">
      <w:lvlJc w:val="left"/>
      <w:lvlText w:val="1"/>
      <w:numFmt w:val="bullet"/>
      <w:start w:val="1"/>
    </w:lvl>
  </w:abstractNum>
  <w:abstractNum w:abstractNumId="2">
    <w:nsid w:val="725A06FB"/>
    <w:multiLevelType w:val="hybridMultilevel"/>
    <w:lvl w:ilvl="0">
      <w:lvlJc w:val="left"/>
      <w:lvlText w:val="•"/>
      <w:numFmt w:val="bullet"/>
      <w:start w:val="1"/>
    </w:lvl>
    <w:lvl w:ilvl="1">
      <w:lvlJc w:val="left"/>
      <w:lvlText w:val="◦"/>
      <w:numFmt w:val="bullet"/>
      <w:start w:val="1"/>
    </w:lvl>
  </w:abstractNum>
  <w:abstractNum w:abstractNumId="3">
    <w:nsid w:val="2CD89A32"/>
    <w:multiLevelType w:val="hybridMultilevel"/>
    <w:lvl w:ilvl="0">
      <w:lvlJc w:val="left"/>
      <w:lvlText w:val="•"/>
      <w:numFmt w:val="bullet"/>
      <w:start w:val="1"/>
    </w:lvl>
    <w:lvl w:ilvl="1">
      <w:lvlJc w:val="left"/>
      <w:lvlText w:val="◦"/>
      <w:numFmt w:val="bullet"/>
      <w:start w:val="1"/>
    </w:lvl>
  </w:abstractNum>
  <w:abstractNum w:abstractNumId="4">
    <w:nsid w:val="57E4CCAF"/>
    <w:multiLevelType w:val="hybridMultilevel"/>
    <w:lvl w:ilvl="0">
      <w:lvlJc w:val="left"/>
      <w:lvlText w:val="•"/>
      <w:numFmt w:val="bullet"/>
      <w:start w:val="1"/>
    </w:lvl>
  </w:abstractNum>
  <w:abstractNum w:abstractNumId="5">
    <w:nsid w:val="7A6D8D3C"/>
    <w:multiLevelType w:val="hybridMultilevel"/>
    <w:lvl w:ilvl="0">
      <w:lvlJc w:val="left"/>
      <w:lvlText w:val="1"/>
      <w:numFmt w:val="bullet"/>
      <w:start w:val="1"/>
    </w:lvl>
  </w:abstractNum>
  <w:abstractNum w:abstractNumId="6">
    <w:nsid w:val="4B588F54"/>
    <w:multiLevelType w:val="hybridMultilevel"/>
    <w:lvl w:ilvl="0">
      <w:lvlJc w:val="left"/>
      <w:lvlText w:val="1"/>
      <w:numFmt w:val="bullet"/>
      <w:start w:val="1"/>
    </w:lvl>
  </w:abstractNum>
  <w:abstractNum w:abstractNumId="7">
    <w:nsid w:val="542289EC"/>
    <w:multiLevelType w:val="hybridMultilevel"/>
    <w:lvl w:ilvl="0">
      <w:lvlJc w:val="left"/>
      <w:lvlText w:val="2"/>
      <w:numFmt w:val="bullet"/>
      <w:start w:val="1"/>
    </w:lvl>
  </w:abstractNum>
  <w:abstractNum w:abstractNumId="8">
    <w:nsid w:val="6DE91B18"/>
    <w:multiLevelType w:val="hybridMultilevel"/>
    <w:lvl w:ilvl="0">
      <w:lvlJc w:val="left"/>
      <w:lvlText w:val="3"/>
      <w:numFmt w:val="bullet"/>
      <w:start w:val="1"/>
    </w:lvl>
  </w:abstractNum>
  <w:abstractNum w:abstractNumId="9">
    <w:nsid w:val="38437FDB"/>
    <w:multiLevelType w:val="hybridMultilevel"/>
    <w:lvl w:ilvl="0">
      <w:lvlJc w:val="left"/>
      <w:lvlText w:val="4"/>
      <w:numFmt w:val="bullet"/>
      <w:start w:val="1"/>
    </w:lvl>
  </w:abstractNum>
  <w:abstractNum w:abstractNumId="10">
    <w:nsid w:val="7644A45C"/>
    <w:multiLevelType w:val="hybridMultilevel"/>
    <w:lvl w:ilvl="0">
      <w:lvlJc w:val="left"/>
      <w:lvlText w:val="5"/>
      <w:numFmt w:val="bullet"/>
      <w:start w:val="1"/>
    </w:lvl>
  </w:abstractNum>
  <w:abstractNum w:abstractNumId="11">
    <w:nsid w:val="32FFF902"/>
    <w:multiLevelType w:val="hybridMultilevel"/>
    <w:lvl w:ilvl="0">
      <w:lvlJc w:val="left"/>
      <w:lvlText w:val="6"/>
      <w:numFmt w:val="bullet"/>
      <w:start w:val="1"/>
    </w:lvl>
  </w:abstractNum>
  <w:abstractNum w:abstractNumId="12">
    <w:nsid w:val="684A481A"/>
    <w:multiLevelType w:val="hybridMultilevel"/>
    <w:lvl w:ilvl="0">
      <w:lvlJc w:val="left"/>
      <w:lvlText w:val="1"/>
      <w:numFmt w:val="bullet"/>
      <w:start w:val="1"/>
    </w:lvl>
  </w:abstractNum>
  <w:abstractNum w:abstractNumId="13">
    <w:nsid w:val="579478FE"/>
    <w:multiLevelType w:val="hybridMultilevel"/>
    <w:lvl w:ilvl="0">
      <w:lvlJc w:val="left"/>
      <w:lvlText w:val="1"/>
      <w:numFmt w:val="bullet"/>
      <w:start w:val="1"/>
    </w:lvl>
  </w:abstractNum>
  <w:abstractNum w:abstractNumId="14">
    <w:nsid w:val="749ABB43"/>
    <w:multiLevelType w:val="hybridMultilevel"/>
    <w:lvl w:ilvl="0">
      <w:lvlJc w:val="left"/>
      <w:lvlText w:val="2"/>
      <w:numFmt w:val="bullet"/>
      <w:start w:val="1"/>
    </w:lvl>
  </w:abstractNum>
  <w:abstractNum w:abstractNumId="15">
    <w:nsid w:val="3DC240FB"/>
    <w:multiLevelType w:val="hybridMultilevel"/>
    <w:lvl w:ilvl="0">
      <w:lvlJc w:val="left"/>
      <w:lvlText w:val="4"/>
      <w:numFmt w:val="bullet"/>
      <w:start w:val="1"/>
    </w:lvl>
  </w:abstractNum>
  <w:abstractNum w:abstractNumId="16">
    <w:nsid w:val="1BA026FA"/>
    <w:multiLevelType w:val="hybridMultilevel"/>
    <w:lvl w:ilvl="0">
      <w:lvlJc w:val="left"/>
      <w:lvlText w:val="•"/>
      <w:numFmt w:val="bullet"/>
      <w:start w:val="1"/>
    </w:lvl>
  </w:abstractNum>
  <w:abstractNum w:abstractNumId="17">
    <w:nsid w:val="79A1DEAA"/>
    <w:multiLevelType w:val="hybridMultilevel"/>
    <w:lvl w:ilvl="0">
      <w:lvlJc w:val="left"/>
      <w:lvlText w:val="•"/>
      <w:numFmt w:val="bullet"/>
      <w:start w:val="1"/>
    </w:lvl>
  </w:abstractNum>
  <w:abstractNum w:abstractNumId="18">
    <w:nsid w:val="75C6C33A"/>
    <w:multiLevelType w:val="hybridMultilevel"/>
    <w:lvl w:ilvl="0">
      <w:lvlJc w:val="left"/>
      <w:lvlText w:val="•"/>
      <w:numFmt w:val="bullet"/>
      <w:start w:val="1"/>
    </w:lvl>
  </w:abstractNum>
  <w:abstractNum w:abstractNumId="19">
    <w:nsid w:val="12E685FB"/>
    <w:multiLevelType w:val="hybridMultilevel"/>
    <w:lvl w:ilvl="0">
      <w:lvlJc w:val="left"/>
      <w:lvlText w:val="•"/>
      <w:numFmt w:val="bullet"/>
      <w:start w:val="1"/>
    </w:lvl>
  </w:abstractNum>
  <w:abstractNum w:abstractNumId="20">
    <w:nsid w:val="70C6A529"/>
    <w:multiLevelType w:val="hybridMultilevel"/>
    <w:lvl w:ilvl="0">
      <w:lvlJc w:val="left"/>
      <w:lvlText w:val="1"/>
      <w:numFmt w:val="bullet"/>
      <w:start w:val="1"/>
    </w:lvl>
  </w:abstractNum>
  <w:abstractNum w:abstractNumId="21">
    <w:nsid w:val="520EEDD1"/>
    <w:multiLevelType w:val="hybridMultilevel"/>
    <w:lvl w:ilvl="0">
      <w:lvlJc w:val="left"/>
      <w:lvlText w:val="1"/>
      <w:numFmt w:val="bullet"/>
      <w:start w:val="1"/>
    </w:lvl>
  </w:abstractNum>
  <w:abstractNum w:abstractNumId="22">
    <w:nsid w:val="374A3FE6"/>
    <w:multiLevelType w:val="hybridMultilevel"/>
    <w:lvl w:ilvl="0">
      <w:lvlJc w:val="left"/>
      <w:lvlText w:val="2"/>
      <w:numFmt w:val="bullet"/>
      <w:start w:val="1"/>
    </w:lvl>
  </w:abstractNum>
  <w:abstractNum w:abstractNumId="23">
    <w:nsid w:val="4F4EF005"/>
    <w:multiLevelType w:val="hybridMultilevel"/>
    <w:lvl w:ilvl="0">
      <w:lvlJc w:val="left"/>
      <w:lvlText w:val="1"/>
      <w:numFmt w:val="bullet"/>
      <w:start w:val="1"/>
    </w:lvl>
  </w:abstractNum>
  <w:abstractNum w:abstractNumId="24">
    <w:nsid w:val="23F9C13C"/>
    <w:multiLevelType w:val="hybridMultilevel"/>
    <w:lvl w:ilvl="0">
      <w:lvlJc w:val="left"/>
      <w:lvlText w:val="1"/>
      <w:numFmt w:val="bullet"/>
      <w:start w:val="1"/>
    </w:lvl>
  </w:abstractNum>
  <w:abstractNum w:abstractNumId="25">
    <w:nsid w:val="649BB77C"/>
    <w:multiLevelType w:val="hybridMultilevel"/>
    <w:lvl w:ilvl="0">
      <w:lvlJc w:val="left"/>
      <w:lvlText w:val="•"/>
      <w:numFmt w:val="bullet"/>
      <w:start w:val="1"/>
    </w:lvl>
    <w:lvl w:ilvl="1">
      <w:lvlJc w:val="left"/>
      <w:lvlText w:val="◦"/>
      <w:numFmt w:val="bullet"/>
      <w:start w:val="1"/>
    </w:lvl>
  </w:abstractNum>
  <w:abstractNum w:abstractNumId="26">
    <w:nsid w:val="275AC794"/>
    <w:multiLevelType w:val="hybridMultilevel"/>
    <w:lvl w:ilvl="0">
      <w:lvlJc w:val="left"/>
      <w:lvlText w:val="•"/>
      <w:numFmt w:val="bullet"/>
      <w:start w:val="1"/>
    </w:lvl>
  </w:abstractNum>
  <w:abstractNum w:abstractNumId="27">
    <w:nsid w:val="39386575"/>
    <w:multiLevelType w:val="hybridMultilevel"/>
    <w:lvl w:ilvl="0">
      <w:lvlJc w:val="left"/>
      <w:lvlText w:val="•"/>
      <w:numFmt w:val="bullet"/>
      <w:start w:val="1"/>
    </w:lvl>
  </w:abstractNum>
  <w:abstractNum w:abstractNumId="28">
    <w:nsid w:val="1CF10FD8"/>
    <w:multiLevelType w:val="hybridMultilevel"/>
    <w:lvl w:ilvl="0">
      <w:lvlJc w:val="left"/>
      <w:lvlText w:val="•"/>
      <w:numFmt w:val="bullet"/>
      <w:start w:val="1"/>
    </w:lvl>
  </w:abstractNum>
  <w:abstractNum w:abstractNumId="29">
    <w:nsid w:val="180115BE"/>
    <w:multiLevelType w:val="hybridMultilevel"/>
    <w:lvl w:ilvl="0">
      <w:lvlJc w:val="left"/>
      <w:lvlText w:val="1"/>
      <w:numFmt w:val="bullet"/>
      <w:start w:val="1"/>
    </w:lvl>
  </w:abstractNum>
  <w:abstractNum w:abstractNumId="30">
    <w:nsid w:val="235BA861"/>
    <w:multiLevelType w:val="hybridMultilevel"/>
    <w:lvl w:ilvl="0">
      <w:lvlJc w:val="left"/>
      <w:lvlText w:val="2"/>
      <w:numFmt w:val="bullet"/>
      <w:start w:val="1"/>
    </w:lvl>
  </w:abstractNum>
  <w:abstractNum w:abstractNumId="31">
    <w:nsid w:val="47398C89"/>
    <w:multiLevelType w:val="hybridMultilevel"/>
    <w:lvl w:ilvl="0">
      <w:lvlJc w:val="left"/>
      <w:lvlText w:val="3"/>
      <w:numFmt w:val="bullet"/>
      <w:start w:val="1"/>
    </w:lvl>
  </w:abstractNum>
  <w:abstractNum w:abstractNumId="32">
    <w:nsid w:val="354FE9F9"/>
    <w:multiLevelType w:val="hybridMultilevel"/>
    <w:lvl w:ilvl="0">
      <w:lvlJc w:val="left"/>
      <w:lvlText w:val="4"/>
      <w:numFmt w:val="bullet"/>
      <w:start w:val="1"/>
    </w:lvl>
  </w:abstractNum>
  <w:abstractNum w:abstractNumId="33">
    <w:nsid w:val="15B5AF5C"/>
    <w:multiLevelType w:val="hybridMultilevel"/>
    <w:lvl w:ilvl="0">
      <w:lvlJc w:val="left"/>
      <w:lvlText w:val="6"/>
      <w:numFmt w:val="bullet"/>
      <w:start w:val="1"/>
    </w:lvl>
  </w:abstractNum>
  <w:abstractNum w:abstractNumId="34">
    <w:nsid w:val="741226BB"/>
    <w:multiLevelType w:val="hybridMultilevel"/>
    <w:lvl w:ilvl="0">
      <w:lvlJc w:val="left"/>
      <w:lvlText w:val="•"/>
      <w:numFmt w:val="bullet"/>
      <w:start w:val="1"/>
    </w:lvl>
  </w:abstractNum>
  <w:abstractNum w:abstractNumId="35">
    <w:nsid w:val="D34B6A8"/>
    <w:multiLevelType w:val="hybridMultilevel"/>
    <w:lvl w:ilvl="0">
      <w:lvlJc w:val="left"/>
      <w:lvlText w:val="•"/>
      <w:numFmt w:val="bullet"/>
      <w:start w:val="1"/>
    </w:lvl>
  </w:abstractNum>
  <w:abstractNum w:abstractNumId="36">
    <w:nsid w:val="10233C99"/>
    <w:multiLevelType w:val="hybridMultilevel"/>
    <w:lvl w:ilvl="0">
      <w:lvlJc w:val="left"/>
      <w:lvlText w:val="•"/>
      <w:numFmt w:val="bullet"/>
      <w:start w:val="1"/>
    </w:lvl>
  </w:abstractNum>
  <w:abstractNum w:abstractNumId="37">
    <w:nsid w:val="3F6AB60F"/>
    <w:multiLevelType w:val="hybridMultilevel"/>
    <w:lvl w:ilvl="0">
      <w:lvlJc w:val="left"/>
      <w:lvlText w:val="1"/>
      <w:numFmt w:val="bullet"/>
      <w:start w:val="1"/>
    </w:lvl>
  </w:abstractNum>
  <w:abstractNum w:abstractNumId="38">
    <w:nsid w:val="61574095"/>
    <w:multiLevelType w:val="hybridMultilevel"/>
    <w:lvl w:ilvl="0">
      <w:lvlJc w:val="left"/>
      <w:lvlText w:val="1"/>
      <w:numFmt w:val="bullet"/>
      <w:start w:val="1"/>
    </w:lvl>
  </w:abstractNum>
  <w:abstractNum w:abstractNumId="39">
    <w:nsid w:val="7E0C57B1"/>
    <w:multiLevelType w:val="hybridMultilevel"/>
    <w:lvl w:ilvl="0">
      <w:lvlJc w:val="left"/>
      <w:lvlText w:val="1"/>
      <w:numFmt w:val="bullet"/>
      <w:start w:val="1"/>
    </w:lvl>
  </w:abstractNum>
  <w:abstractNum w:abstractNumId="40">
    <w:nsid w:val="77AE35EB"/>
    <w:multiLevelType w:val="hybridMultilevel"/>
    <w:lvl w:ilvl="0">
      <w:lvlJc w:val="left"/>
      <w:lvlText w:val="•"/>
      <w:numFmt w:val="bullet"/>
      <w:start w:val="1"/>
    </w:lvl>
  </w:abstractNum>
  <w:abstractNum w:abstractNumId="41">
    <w:nsid w:val="579BE4F1"/>
    <w:multiLevelType w:val="hybridMultilevel"/>
    <w:lvl w:ilvl="0">
      <w:lvlJc w:val="left"/>
      <w:lvlText w:val="1"/>
      <w:numFmt w:val="bullet"/>
      <w:start w:val="1"/>
    </w:lvl>
  </w:abstractNum>
  <w:abstractNum w:abstractNumId="42">
    <w:nsid w:val="310C50B3"/>
    <w:multiLevelType w:val="hybridMultilevel"/>
    <w:lvl w:ilvl="0">
      <w:lvlJc w:val="left"/>
      <w:lvlText w:val="•"/>
      <w:numFmt w:val="bullet"/>
      <w:start w:val="1"/>
    </w:lvl>
  </w:abstractNum>
  <w:abstractNum w:abstractNumId="43">
    <w:nsid w:val="5FF87E05"/>
    <w:multiLevelType w:val="hybridMultilevel"/>
    <w:lvl w:ilvl="0">
      <w:lvlJc w:val="left"/>
      <w:lvlText w:val="1"/>
      <w:numFmt w:val="bullet"/>
      <w:start w:val="1"/>
    </w:lvl>
  </w:abstractNum>
  <w:abstractNum w:abstractNumId="44">
    <w:nsid w:val="2F305DEF"/>
    <w:multiLevelType w:val="hybridMultilevel"/>
    <w:lvl w:ilvl="0">
      <w:lvlJc w:val="left"/>
      <w:lvlText w:val="2"/>
      <w:numFmt w:val="bullet"/>
      <w:start w:val="1"/>
    </w:lvl>
  </w:abstractNum>
  <w:abstractNum w:abstractNumId="45">
    <w:nsid w:val="25A70BF7"/>
    <w:multiLevelType w:val="hybridMultilevel"/>
    <w:lvl w:ilvl="0">
      <w:lvlJc w:val="left"/>
      <w:lvlText w:val="•"/>
      <w:numFmt w:val="bullet"/>
      <w:start w:val="1"/>
    </w:lvl>
  </w:abstractNum>
  <w:abstractNum w:abstractNumId="46">
    <w:nsid w:val="1DBABF00"/>
    <w:multiLevelType w:val="hybridMultilevel"/>
    <w:lvl w:ilvl="0">
      <w:lvlJc w:val="left"/>
      <w:lvlText w:val="•"/>
      <w:numFmt w:val="bullet"/>
      <w:start w:val="1"/>
    </w:lvl>
  </w:abstractNum>
  <w:abstractNum w:abstractNumId="47">
    <w:nsid w:val="4AD084E9"/>
    <w:multiLevelType w:val="hybridMultilevel"/>
    <w:lvl w:ilvl="0">
      <w:lvlJc w:val="left"/>
      <w:lvlText w:val="1"/>
      <w:numFmt w:val="bullet"/>
      <w:start w:val="1"/>
    </w:lvl>
  </w:abstractNum>
  <w:abstractNum w:abstractNumId="48">
    <w:nsid w:val="1F48EAA1"/>
    <w:multiLevelType w:val="hybridMultilevel"/>
    <w:lvl w:ilvl="0">
      <w:lvlJc w:val="left"/>
      <w:lvlText w:val="2"/>
      <w:numFmt w:val="bullet"/>
      <w:start w:val="1"/>
    </w:lvl>
  </w:abstractNum>
  <w:abstractNum w:abstractNumId="49">
    <w:nsid w:val="1381823A"/>
    <w:multiLevelType w:val="hybridMultilevel"/>
    <w:lvl w:ilvl="0">
      <w:lvlJc w:val="left"/>
      <w:lvlText w:val="3"/>
      <w:numFmt w:val="bullet"/>
      <w:start w:val="1"/>
    </w:lvl>
  </w:abstractNum>
  <w:abstractNum w:abstractNumId="50">
    <w:nsid w:val="5DB70AE5"/>
    <w:multiLevelType w:val="hybridMultilevel"/>
    <w:lvl w:ilvl="0">
      <w:lvlJc w:val="left"/>
      <w:lvlText w:val="•"/>
      <w:numFmt w:val="bullet"/>
      <w:start w:val="1"/>
    </w:lvl>
  </w:abstractNum>
  <w:abstractNum w:abstractNumId="51">
    <w:nsid w:val="100F8FCA"/>
    <w:multiLevelType w:val="hybridMultilevel"/>
    <w:lvl w:ilvl="0">
      <w:lvlJc w:val="left"/>
      <w:lvlText w:val="•"/>
      <w:numFmt w:val="bullet"/>
      <w:start w:val="1"/>
    </w:lvl>
  </w:abstractNum>
  <w:abstractNum w:abstractNumId="52">
    <w:nsid w:val="6590700B"/>
    <w:multiLevelType w:val="hybridMultilevel"/>
    <w:lvl w:ilvl="0">
      <w:lvlJc w:val="left"/>
      <w:lvlText w:val="1"/>
      <w:numFmt w:val="bullet"/>
      <w:start w:val="1"/>
    </w:lvl>
  </w:abstractNum>
  <w:abstractNum w:abstractNumId="53">
    <w:nsid w:val="15014ACB"/>
    <w:multiLevelType w:val="hybridMultilevel"/>
    <w:lvl w:ilvl="0">
      <w:lvlJc w:val="left"/>
      <w:lvlText w:val="•"/>
      <w:numFmt w:val="bullet"/>
      <w:start w:val="1"/>
    </w:lvl>
  </w:abstractNum>
  <w:abstractNum w:abstractNumId="54">
    <w:nsid w:val="5F5E7FD0"/>
    <w:multiLevelType w:val="hybridMultilevel"/>
    <w:lvl w:ilvl="0">
      <w:lvlJc w:val="left"/>
      <w:lvlText w:val="•"/>
      <w:numFmt w:val="bullet"/>
      <w:start w:val="1"/>
    </w:lvl>
  </w:abstractNum>
  <w:abstractNum w:abstractNumId="55">
    <w:nsid w:val="98A3148"/>
    <w:multiLevelType w:val="hybridMultilevel"/>
    <w:lvl w:ilvl="0">
      <w:lvlJc w:val="left"/>
      <w:lvlText w:val="•"/>
      <w:numFmt w:val="bullet"/>
      <w:start w:val="1"/>
    </w:lvl>
  </w:abstractNum>
  <w:abstractNum w:abstractNumId="56">
    <w:nsid w:val="799D0247"/>
    <w:multiLevelType w:val="hybridMultilevel"/>
    <w:lvl w:ilvl="0">
      <w:lvlJc w:val="left"/>
      <w:lvlText w:val="1"/>
      <w:numFmt w:val="bullet"/>
      <w:start w:val="1"/>
    </w:lvl>
  </w:abstractNum>
  <w:abstractNum w:abstractNumId="57">
    <w:nsid w:val="6B94764"/>
    <w:multiLevelType w:val="hybridMultilevel"/>
    <w:lvl w:ilvl="0">
      <w:lvlJc w:val="left"/>
      <w:lvlText w:val="2"/>
      <w:numFmt w:val="bullet"/>
      <w:start w:val="1"/>
    </w:lvl>
  </w:abstractNum>
  <w:abstractNum w:abstractNumId="58">
    <w:nsid w:val="42C296BD"/>
    <w:multiLevelType w:val="hybridMultilevel"/>
    <w:lvl w:ilvl="0">
      <w:lvlJc w:val="left"/>
      <w:lvlText w:val="3"/>
      <w:numFmt w:val="bullet"/>
      <w:start w:val="1"/>
    </w:lvl>
  </w:abstractNum>
  <w:abstractNum w:abstractNumId="59">
    <w:nsid w:val="168E121F"/>
    <w:multiLevelType w:val="hybridMultilevel"/>
    <w:lvl w:ilvl="0">
      <w:lvlJc w:val="left"/>
      <w:lvlText w:val="•"/>
      <w:numFmt w:val="bullet"/>
      <w:start w:val="1"/>
    </w:lvl>
  </w:abstractNum>
  <w:abstractNum w:abstractNumId="60">
    <w:nsid w:val="1EBA5D23"/>
    <w:multiLevelType w:val="hybridMultilevel"/>
    <w:lvl w:ilvl="0">
      <w:lvlJc w:val="left"/>
      <w:lvlText w:val="1"/>
      <w:numFmt w:val="bullet"/>
      <w:start w:val="1"/>
    </w:lvl>
  </w:abstractNum>
  <w:abstractNum w:abstractNumId="61">
    <w:nsid w:val="661E3F1E"/>
    <w:multiLevelType w:val="hybridMultilevel"/>
    <w:lvl w:ilvl="0">
      <w:lvlJc w:val="left"/>
      <w:lvlText w:val="2"/>
      <w:numFmt w:val="bullet"/>
      <w:start w:val="1"/>
    </w:lvl>
  </w:abstractNum>
  <w:abstractNum w:abstractNumId="62">
    <w:nsid w:val="5DC79EA8"/>
    <w:multiLevelType w:val="hybridMultilevel"/>
    <w:lvl w:ilvl="0">
      <w:lvlJc w:val="left"/>
      <w:lvlText w:val="1"/>
      <w:numFmt w:val="bullet"/>
      <w:start w:val="1"/>
    </w:lvl>
  </w:abstractNum>
  <w:abstractNum w:abstractNumId="63">
    <w:nsid w:val="540A471C"/>
    <w:multiLevelType w:val="hybridMultilevel"/>
    <w:lvl w:ilvl="0">
      <w:lvlJc w:val="left"/>
      <w:lvlText w:val="2"/>
      <w:numFmt w:val="bullet"/>
      <w:start w:val="1"/>
    </w:lvl>
  </w:abstractNum>
  <w:abstractNum w:abstractNumId="64">
    <w:nsid w:val="7BD3EE7B"/>
    <w:multiLevelType w:val="hybridMultilevel"/>
    <w:lvl w:ilvl="0">
      <w:lvlJc w:val="left"/>
      <w:lvlText w:val="1"/>
      <w:numFmt w:val="bullet"/>
      <w:start w:val="1"/>
    </w:lvl>
  </w:abstractNum>
  <w:abstractNum w:abstractNumId="65">
    <w:nsid w:val="51D9C564"/>
    <w:multiLevelType w:val="hybridMultilevel"/>
    <w:lvl w:ilvl="0">
      <w:lvlJc w:val="left"/>
      <w:lvlText w:val="1"/>
      <w:numFmt w:val="bullet"/>
      <w:start w:val="1"/>
    </w:lvl>
  </w:abstractNum>
  <w:abstractNum w:abstractNumId="66">
    <w:nsid w:val="613EFDC5"/>
    <w:multiLevelType w:val="hybridMultilevel"/>
    <w:lvl w:ilvl="0">
      <w:lvlJc w:val="left"/>
      <w:lvlText w:val="2"/>
      <w:numFmt w:val="bullet"/>
      <w:start w:val="1"/>
    </w:lvl>
  </w:abstractNum>
  <w:abstractNum w:abstractNumId="67">
    <w:nsid w:val="BF72B14"/>
    <w:multiLevelType w:val="hybridMultilevel"/>
    <w:lvl w:ilvl="0">
      <w:lvlJc w:val="left"/>
      <w:lvlText w:val="1"/>
      <w:numFmt w:val="bullet"/>
      <w:start w:val="1"/>
    </w:lvl>
  </w:abstractNum>
  <w:abstractNum w:abstractNumId="68">
    <w:nsid w:val="11447B73"/>
    <w:multiLevelType w:val="hybridMultilevel"/>
    <w:lvl w:ilvl="0">
      <w:lvlJc w:val="left"/>
      <w:lvlText w:val="1"/>
      <w:numFmt w:val="bullet"/>
      <w:start w:val="1"/>
    </w:lvl>
  </w:abstractNum>
  <w:abstractNum w:abstractNumId="69">
    <w:nsid w:val="42963E5A"/>
    <w:multiLevelType w:val="hybridMultilevel"/>
    <w:lvl w:ilvl="0">
      <w:lvlJc w:val="left"/>
      <w:lvlText w:val="2"/>
      <w:numFmt w:val="bullet"/>
      <w:start w:val="1"/>
    </w:lvl>
  </w:abstractNum>
  <w:abstractNum w:abstractNumId="70">
    <w:nsid w:val="A0382C5"/>
    <w:multiLevelType w:val="hybridMultilevel"/>
    <w:lvl w:ilvl="0">
      <w:lvlJc w:val="left"/>
      <w:lvlText w:val="3"/>
      <w:numFmt w:val="bullet"/>
      <w:start w:val="1"/>
    </w:lvl>
  </w:abstractNum>
  <w:abstractNum w:abstractNumId="71">
    <w:nsid w:val="8F2B15E"/>
    <w:multiLevelType w:val="hybridMultilevel"/>
    <w:lvl w:ilvl="0">
      <w:lvlJc w:val="left"/>
      <w:lvlText w:val="1"/>
      <w:numFmt w:val="bullet"/>
      <w:start w:val="1"/>
    </w:lvl>
  </w:abstractNum>
  <w:abstractNum w:abstractNumId="72">
    <w:nsid w:val="1A32234B"/>
    <w:multiLevelType w:val="hybridMultilevel"/>
    <w:lvl w:ilvl="0">
      <w:lvlJc w:val="left"/>
      <w:lvlText w:val="2"/>
      <w:numFmt w:val="bullet"/>
      <w:start w:val="1"/>
    </w:lvl>
  </w:abstractNum>
  <w:abstractNum w:abstractNumId="73">
    <w:nsid w:val="3B0FD379"/>
    <w:multiLevelType w:val="hybridMultilevel"/>
    <w:lvl w:ilvl="0">
      <w:lvlJc w:val="left"/>
      <w:lvlText w:val="3"/>
      <w:numFmt w:val="bullet"/>
      <w:start w:val="1"/>
    </w:lvl>
  </w:abstractNum>
  <w:abstractNum w:abstractNumId="74">
    <w:nsid w:val="68EB2F63"/>
    <w:multiLevelType w:val="hybridMultilevel"/>
    <w:lvl w:ilvl="0">
      <w:lvlJc w:val="left"/>
      <w:lvlText w:val="4"/>
      <w:numFmt w:val="bullet"/>
      <w:start w:val="1"/>
    </w:lvl>
  </w:abstractNum>
  <w:abstractNum w:abstractNumId="75">
    <w:nsid w:val="4962813B"/>
    <w:multiLevelType w:val="hybridMultilevel"/>
    <w:lvl w:ilvl="0">
      <w:lvlJc w:val="left"/>
      <w:lvlText w:val="5"/>
      <w:numFmt w:val="bullet"/>
      <w:start w:val="1"/>
    </w:lvl>
  </w:abstractNum>
  <w:abstractNum w:abstractNumId="76">
    <w:nsid w:val="60B6DF70"/>
    <w:multiLevelType w:val="hybridMultilevel"/>
    <w:lvl w:ilvl="0">
      <w:lvlJc w:val="left"/>
      <w:lvlText w:val="1"/>
      <w:numFmt w:val="bullet"/>
      <w:start w:val="1"/>
    </w:lvl>
  </w:abstractNum>
  <w:abstractNum w:abstractNumId="77">
    <w:nsid w:val="6A5EE64"/>
    <w:multiLevelType w:val="hybridMultilevel"/>
    <w:lvl w:ilvl="0">
      <w:lvlJc w:val="left"/>
      <w:lvlText w:val="2"/>
      <w:numFmt w:val="bullet"/>
      <w:start w:val="1"/>
    </w:lvl>
  </w:abstractNum>
  <w:abstractNum w:abstractNumId="78">
    <w:nsid w:val="14330624"/>
    <w:multiLevelType w:val="hybridMultilevel"/>
    <w:lvl w:ilvl="0">
      <w:lvlJc w:val="left"/>
      <w:lvlText w:val="3"/>
      <w:numFmt w:val="bullet"/>
      <w:start w:val="1"/>
    </w:lvl>
  </w:abstractNum>
  <w:abstractNum w:abstractNumId="79">
    <w:nsid w:val="7FFFCA11"/>
    <w:multiLevelType w:val="hybridMultilevel"/>
    <w:lvl w:ilvl="0">
      <w:lvlJc w:val="left"/>
      <w:lvlText w:val="1"/>
      <w:numFmt w:val="bullet"/>
      <w:start w:val="1"/>
    </w:lvl>
  </w:abstractNum>
  <w:abstractNum w:abstractNumId="80">
    <w:nsid w:val="1A27709E"/>
    <w:multiLevelType w:val="hybridMultilevel"/>
    <w:lvl w:ilvl="0">
      <w:lvlJc w:val="left"/>
      <w:lvlText w:val="2"/>
      <w:numFmt w:val="bullet"/>
      <w:start w:val="1"/>
    </w:lvl>
  </w:abstractNum>
  <w:abstractNum w:abstractNumId="81">
    <w:nsid w:val="71EA1109"/>
    <w:multiLevelType w:val="hybridMultilevel"/>
    <w:lvl w:ilvl="0">
      <w:lvlJc w:val="left"/>
      <w:lvlText w:val="3"/>
      <w:numFmt w:val="bullet"/>
      <w:start w:val="1"/>
    </w:lvl>
  </w:abstractNum>
  <w:abstractNum w:abstractNumId="82">
    <w:nsid w:val="100F59DC"/>
    <w:multiLevelType w:val="hybridMultilevel"/>
    <w:lvl w:ilvl="0">
      <w:lvlJc w:val="left"/>
      <w:lvlText w:val="4"/>
      <w:numFmt w:val="bullet"/>
      <w:start w:val="1"/>
    </w:lvl>
  </w:abstractNum>
  <w:abstractNum w:abstractNumId="83">
    <w:nsid w:val="7FB7E0AA"/>
    <w:multiLevelType w:val="hybridMultilevel"/>
    <w:lvl w:ilvl="0">
      <w:lvlJc w:val="left"/>
      <w:lvlText w:val="5"/>
      <w:numFmt w:val="bullet"/>
      <w:start w:val="1"/>
    </w:lvl>
  </w:abstractNum>
  <w:abstractNum w:abstractNumId="84">
    <w:nsid w:val="6EB5BD4"/>
    <w:multiLevelType w:val="hybridMultilevel"/>
    <w:lvl w:ilvl="0">
      <w:lvlJc w:val="left"/>
      <w:lvlText w:val="6"/>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2026-02-13T05:39:57Z</dcterms:created>
  <dcterms:modified xsi:type="dcterms:W3CDTF">2026-02-13T05:39:57Z</dcterms:modified>
</cp:coreProperties>
</file>