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94"/>
        <w:spacing w:after="0"/>
        <w:rPr>
          <w:sz w:val="20"/>
          <w:szCs w:val="20"/>
          <w:color w:val="auto"/>
        </w:rPr>
      </w:pPr>
      <w:r>
        <w:rPr>
          <w:rFonts w:ascii="Arial" w:cs="Arial" w:eastAsia="Arial" w:hAnsi="Arial"/>
          <w:sz w:val="18"/>
          <w:szCs w:val="18"/>
          <w:b w:val="1"/>
          <w:bCs w:val="1"/>
          <w:color w:val="auto"/>
        </w:rPr>
        <w:t>SECURITIES AND EXCHANGE COMMISSION</w:t>
      </w:r>
    </w:p>
    <w:p>
      <w:pPr>
        <w:spacing w:after="0" w:line="104" w:lineRule="exact"/>
        <w:rPr>
          <w:sz w:val="24"/>
          <w:szCs w:val="24"/>
          <w:color w:val="auto"/>
        </w:rPr>
      </w:pPr>
    </w:p>
    <w:p>
      <w:pPr>
        <w:jc w:val="center"/>
        <w:ind w:right="-1094"/>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95" w:lineRule="exact"/>
        <w:rPr>
          <w:sz w:val="24"/>
          <w:szCs w:val="24"/>
          <w:color w:val="auto"/>
        </w:rPr>
      </w:pPr>
    </w:p>
    <w:p>
      <w:pPr>
        <w:ind w:left="5114"/>
        <w:spacing w:after="0"/>
        <w:rPr>
          <w:sz w:val="20"/>
          <w:szCs w:val="20"/>
          <w:color w:val="auto"/>
        </w:rPr>
      </w:pPr>
      <w:r>
        <w:rPr>
          <w:rFonts w:ascii="Arial" w:cs="Arial" w:eastAsia="Arial" w:hAnsi="Arial"/>
          <w:sz w:val="18"/>
          <w:szCs w:val="18"/>
          <w:b w:val="1"/>
          <w:bCs w:val="1"/>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ind w:left="1014" w:hanging="612"/>
        <w:spacing w:after="0"/>
        <w:tabs>
          <w:tab w:leader="none" w:pos="1014" w:val="left"/>
        </w:tabs>
        <w:numPr>
          <w:ilvl w:val="0"/>
          <w:numId w:val="1"/>
        </w:numPr>
        <w:rPr>
          <w:rFonts w:ascii="Wingdings" w:cs="Wingdings" w:eastAsia="Wingdings" w:hAnsi="Wingdings"/>
          <w:sz w:val="16"/>
          <w:szCs w:val="16"/>
          <w:b w:val="1"/>
          <w:bCs w:val="1"/>
          <w:color w:val="auto"/>
        </w:rPr>
      </w:pPr>
      <w:r>
        <w:rPr>
          <w:rFonts w:ascii="Arial" w:cs="Arial" w:eastAsia="Arial" w:hAnsi="Arial"/>
          <w:sz w:val="16"/>
          <w:szCs w:val="16"/>
          <w:b w:val="1"/>
          <w:bCs w:val="1"/>
          <w:color w:val="auto"/>
        </w:rPr>
        <w:t>ANNUAL REPORT PURSUANT TO SECTION 15(d) OF THE SECURITIES EXCHANGE ACT OF 1934</w:t>
      </w:r>
    </w:p>
    <w:p>
      <w:pPr>
        <w:spacing w:after="0" w:line="200" w:lineRule="exact"/>
        <w:rPr>
          <w:rFonts w:ascii="Wingdings" w:cs="Wingdings" w:eastAsia="Wingdings" w:hAnsi="Wingdings"/>
          <w:sz w:val="16"/>
          <w:szCs w:val="16"/>
          <w:b w:val="1"/>
          <w:bCs w:val="1"/>
          <w:color w:val="auto"/>
        </w:rPr>
      </w:pPr>
    </w:p>
    <w:p>
      <w:pPr>
        <w:spacing w:after="0" w:line="205" w:lineRule="exact"/>
        <w:rPr>
          <w:rFonts w:ascii="Wingdings" w:cs="Wingdings" w:eastAsia="Wingdings" w:hAnsi="Wingdings"/>
          <w:sz w:val="16"/>
          <w:szCs w:val="16"/>
          <w:b w:val="1"/>
          <w:bCs w:val="1"/>
          <w:color w:val="auto"/>
        </w:rPr>
      </w:pPr>
    </w:p>
    <w:p>
      <w:pPr>
        <w:ind w:left="4074"/>
        <w:spacing w:after="0"/>
        <w:rPr>
          <w:rFonts w:ascii="Wingdings" w:cs="Wingdings" w:eastAsia="Wingdings" w:hAnsi="Wingdings"/>
          <w:sz w:val="16"/>
          <w:szCs w:val="16"/>
          <w:b w:val="1"/>
          <w:bCs w:val="1"/>
          <w:color w:val="auto"/>
        </w:rPr>
      </w:pPr>
      <w:r>
        <w:rPr>
          <w:rFonts w:ascii="Arial" w:cs="Arial" w:eastAsia="Arial" w:hAnsi="Arial"/>
          <w:sz w:val="18"/>
          <w:szCs w:val="18"/>
          <w:b w:val="1"/>
          <w:bCs w:val="1"/>
          <w:color w:val="auto"/>
        </w:rPr>
        <w:t>For the fiscal year ended December 31, 2025.</w:t>
      </w:r>
    </w:p>
    <w:p>
      <w:pPr>
        <w:spacing w:after="0" w:line="200" w:lineRule="exact"/>
        <w:rPr>
          <w:rFonts w:ascii="Wingdings" w:cs="Wingdings" w:eastAsia="Wingdings" w:hAnsi="Wingdings"/>
          <w:sz w:val="16"/>
          <w:szCs w:val="16"/>
          <w:b w:val="1"/>
          <w:bCs w:val="1"/>
          <w:color w:val="auto"/>
        </w:rPr>
      </w:pPr>
    </w:p>
    <w:p>
      <w:pPr>
        <w:spacing w:after="0" w:line="214" w:lineRule="exact"/>
        <w:rPr>
          <w:rFonts w:ascii="Wingdings" w:cs="Wingdings" w:eastAsia="Wingdings" w:hAnsi="Wingdings"/>
          <w:sz w:val="16"/>
          <w:szCs w:val="16"/>
          <w:b w:val="1"/>
          <w:bCs w:val="1"/>
          <w:color w:val="auto"/>
        </w:rPr>
      </w:pPr>
    </w:p>
    <w:p>
      <w:pPr>
        <w:ind w:left="5454"/>
        <w:spacing w:after="0"/>
        <w:rPr>
          <w:rFonts w:ascii="Wingdings" w:cs="Wingdings" w:eastAsia="Wingdings" w:hAnsi="Wingdings"/>
          <w:sz w:val="16"/>
          <w:szCs w:val="16"/>
          <w:b w:val="1"/>
          <w:bCs w:val="1"/>
          <w:color w:val="auto"/>
        </w:rPr>
      </w:pPr>
      <w:r>
        <w:rPr>
          <w:rFonts w:ascii="Arial" w:cs="Arial" w:eastAsia="Arial" w:hAnsi="Arial"/>
          <w:sz w:val="18"/>
          <w:szCs w:val="18"/>
          <w:b w:val="1"/>
          <w:bCs w:val="1"/>
          <w:color w:val="auto"/>
        </w:rPr>
        <w:t>OR</w:t>
      </w:r>
    </w:p>
    <w:p>
      <w:pPr>
        <w:spacing w:after="0" w:line="200" w:lineRule="exact"/>
        <w:rPr>
          <w:sz w:val="24"/>
          <w:szCs w:val="24"/>
          <w:color w:val="auto"/>
        </w:rPr>
      </w:pPr>
    </w:p>
    <w:p>
      <w:pPr>
        <w:spacing w:after="0" w:line="232" w:lineRule="exact"/>
        <w:rPr>
          <w:sz w:val="24"/>
          <w:szCs w:val="24"/>
          <w:color w:val="auto"/>
        </w:rPr>
      </w:pPr>
    </w:p>
    <w:p>
      <w:pPr>
        <w:ind w:left="1014" w:hanging="600"/>
        <w:spacing w:after="0"/>
        <w:tabs>
          <w:tab w:leader="none" w:pos="1014"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15(d) OF THE SECURITIES EXCHANGE ACT OF 1934</w:t>
      </w:r>
    </w:p>
    <w:p>
      <w:pPr>
        <w:spacing w:after="0" w:line="200" w:lineRule="exact"/>
        <w:rPr>
          <w:rFonts w:ascii="MS PGothic" w:cs="MS PGothic" w:eastAsia="MS PGothic" w:hAnsi="MS PGothic"/>
          <w:sz w:val="16"/>
          <w:szCs w:val="16"/>
          <w:color w:val="auto"/>
        </w:rPr>
      </w:pPr>
    </w:p>
    <w:p>
      <w:pPr>
        <w:spacing w:after="0" w:line="245" w:lineRule="exact"/>
        <w:rPr>
          <w:rFonts w:ascii="MS PGothic" w:cs="MS PGothic" w:eastAsia="MS PGothic" w:hAnsi="MS PGothic"/>
          <w:sz w:val="16"/>
          <w:szCs w:val="16"/>
          <w:color w:val="auto"/>
        </w:rPr>
      </w:pPr>
    </w:p>
    <w:p>
      <w:pPr>
        <w:ind w:left="3574"/>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For the transition period from __________ to 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ind w:left="4354"/>
        <w:spacing w:after="0"/>
        <w:rPr>
          <w:sz w:val="20"/>
          <w:szCs w:val="20"/>
          <w:color w:val="auto"/>
        </w:rPr>
      </w:pPr>
      <w:r>
        <w:rPr>
          <w:rFonts w:ascii="Arial" w:cs="Arial" w:eastAsia="Arial" w:hAnsi="Arial"/>
          <w:sz w:val="18"/>
          <w:szCs w:val="18"/>
          <w:b w:val="1"/>
          <w:bCs w:val="1"/>
          <w:color w:val="auto"/>
        </w:rPr>
        <w:t>Commission File No. 1-31690</w:t>
      </w:r>
    </w:p>
    <w:p>
      <w:pPr>
        <w:spacing w:after="0" w:line="200" w:lineRule="exact"/>
        <w:rPr>
          <w:sz w:val="24"/>
          <w:szCs w:val="24"/>
          <w:color w:val="auto"/>
        </w:rPr>
      </w:pPr>
    </w:p>
    <w:p>
      <w:pPr>
        <w:spacing w:after="0" w:line="300" w:lineRule="exact"/>
        <w:rPr>
          <w:sz w:val="24"/>
          <w:szCs w:val="24"/>
          <w:color w:val="auto"/>
        </w:rPr>
      </w:pPr>
    </w:p>
    <w:p>
      <w:pPr>
        <w:ind w:left="1014" w:hanging="1014"/>
        <w:spacing w:after="0"/>
        <w:tabs>
          <w:tab w:leader="none" w:pos="1014" w:val="left"/>
        </w:tabs>
        <w:numPr>
          <w:ilvl w:val="0"/>
          <w:numId w:val="3"/>
        </w:numPr>
        <w:rPr>
          <w:rFonts w:ascii="Arial" w:cs="Arial" w:eastAsia="Arial" w:hAnsi="Arial"/>
          <w:sz w:val="16"/>
          <w:szCs w:val="16"/>
          <w:color w:val="auto"/>
        </w:rPr>
      </w:pPr>
      <w:r>
        <w:rPr>
          <w:rFonts w:ascii="Arial" w:cs="Arial" w:eastAsia="Arial" w:hAnsi="Arial"/>
          <w:sz w:val="16"/>
          <w:szCs w:val="16"/>
          <w:color w:val="auto"/>
        </w:rPr>
        <w:t>Full title of the plan and the address of the plan, if different from that of the issuer named below:</w:t>
      </w:r>
    </w:p>
    <w:p>
      <w:pPr>
        <w:spacing w:after="0" w:line="200" w:lineRule="exact"/>
        <w:rPr>
          <w:sz w:val="24"/>
          <w:szCs w:val="24"/>
          <w:color w:val="auto"/>
        </w:rPr>
      </w:pPr>
    </w:p>
    <w:p>
      <w:pPr>
        <w:spacing w:after="0" w:line="259" w:lineRule="exact"/>
        <w:rPr>
          <w:sz w:val="24"/>
          <w:szCs w:val="24"/>
          <w:color w:val="auto"/>
        </w:rPr>
      </w:pPr>
    </w:p>
    <w:p>
      <w:pPr>
        <w:ind w:left="4294"/>
        <w:spacing w:after="0"/>
        <w:rPr>
          <w:sz w:val="20"/>
          <w:szCs w:val="20"/>
          <w:color w:val="auto"/>
        </w:rPr>
      </w:pPr>
      <w:r>
        <w:rPr>
          <w:rFonts w:ascii="Arial" w:cs="Arial" w:eastAsia="Arial" w:hAnsi="Arial"/>
          <w:sz w:val="18"/>
          <w:szCs w:val="18"/>
          <w:b w:val="1"/>
          <w:bCs w:val="1"/>
          <w:color w:val="auto"/>
        </w:rPr>
        <w:t>TransCanada 401(k) and Savings Plan</w:t>
      </w:r>
    </w:p>
    <w:p>
      <w:pPr>
        <w:spacing w:after="0" w:line="104" w:lineRule="exact"/>
        <w:rPr>
          <w:sz w:val="24"/>
          <w:szCs w:val="24"/>
          <w:color w:val="auto"/>
        </w:rPr>
      </w:pPr>
    </w:p>
    <w:p>
      <w:pPr>
        <w:ind w:left="2874"/>
        <w:spacing w:after="0"/>
        <w:rPr>
          <w:sz w:val="20"/>
          <w:szCs w:val="20"/>
          <w:color w:val="auto"/>
        </w:rPr>
      </w:pPr>
      <w:r>
        <w:rPr>
          <w:rFonts w:ascii="Arial" w:cs="Arial" w:eastAsia="Arial" w:hAnsi="Arial"/>
          <w:sz w:val="18"/>
          <w:szCs w:val="18"/>
          <w:b w:val="1"/>
          <w:bCs w:val="1"/>
          <w:color w:val="auto"/>
        </w:rPr>
        <w:t>TransCanada USA Services Inc., 700 Louisiana Street, Suite 700</w:t>
      </w:r>
    </w:p>
    <w:p>
      <w:pPr>
        <w:spacing w:after="0" w:line="104" w:lineRule="exact"/>
        <w:rPr>
          <w:sz w:val="24"/>
          <w:szCs w:val="24"/>
          <w:color w:val="auto"/>
        </w:rPr>
      </w:pPr>
    </w:p>
    <w:p>
      <w:pPr>
        <w:ind w:left="4434"/>
        <w:spacing w:after="0"/>
        <w:rPr>
          <w:sz w:val="20"/>
          <w:szCs w:val="20"/>
          <w:color w:val="auto"/>
        </w:rPr>
      </w:pPr>
      <w:r>
        <w:rPr>
          <w:rFonts w:ascii="Arial" w:cs="Arial" w:eastAsia="Arial" w:hAnsi="Arial"/>
          <w:sz w:val="18"/>
          <w:szCs w:val="18"/>
          <w:b w:val="1"/>
          <w:bCs w:val="1"/>
          <w:color w:val="auto"/>
        </w:rPr>
        <w:t>Houston, Texas 77002-2700</w:t>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ind w:left="1014" w:hanging="1014"/>
        <w:spacing w:after="0"/>
        <w:tabs>
          <w:tab w:leader="none" w:pos="1014" w:val="left"/>
        </w:tabs>
        <w:numPr>
          <w:ilvl w:val="0"/>
          <w:numId w:val="4"/>
        </w:numPr>
        <w:rPr>
          <w:rFonts w:ascii="Arial" w:cs="Arial" w:eastAsia="Arial" w:hAnsi="Arial"/>
          <w:sz w:val="16"/>
          <w:szCs w:val="16"/>
          <w:color w:val="auto"/>
        </w:rPr>
      </w:pPr>
      <w:r>
        <w:rPr>
          <w:rFonts w:ascii="Arial" w:cs="Arial" w:eastAsia="Arial" w:hAnsi="Arial"/>
          <w:sz w:val="16"/>
          <w:szCs w:val="16"/>
          <w:color w:val="auto"/>
        </w:rPr>
        <w:t>Name of issuer of the securities held pursuant to the plan and the address of its principal executive office:</w:t>
      </w:r>
    </w:p>
    <w:p>
      <w:pPr>
        <w:spacing w:after="0" w:line="200" w:lineRule="exact"/>
        <w:rPr>
          <w:sz w:val="24"/>
          <w:szCs w:val="24"/>
          <w:color w:val="auto"/>
        </w:rPr>
      </w:pPr>
    </w:p>
    <w:p>
      <w:pPr>
        <w:spacing w:after="0" w:line="246" w:lineRule="exact"/>
        <w:rPr>
          <w:sz w:val="24"/>
          <w:szCs w:val="24"/>
          <w:color w:val="auto"/>
        </w:rPr>
      </w:pPr>
    </w:p>
    <w:p>
      <w:pPr>
        <w:jc w:val="center"/>
        <w:ind w:right="-1094"/>
        <w:spacing w:after="0"/>
        <w:rPr>
          <w:sz w:val="20"/>
          <w:szCs w:val="20"/>
          <w:color w:val="auto"/>
        </w:rPr>
      </w:pPr>
      <w:r>
        <w:rPr>
          <w:rFonts w:ascii="Arial" w:cs="Arial" w:eastAsia="Arial" w:hAnsi="Arial"/>
          <w:sz w:val="18"/>
          <w:szCs w:val="18"/>
          <w:b w:val="1"/>
          <w:bCs w:val="1"/>
          <w:color w:val="auto"/>
        </w:rPr>
        <w:t>TC Energy Corporation</w:t>
      </w:r>
    </w:p>
    <w:p>
      <w:pPr>
        <w:spacing w:after="0" w:line="117" w:lineRule="exact"/>
        <w:rPr>
          <w:sz w:val="24"/>
          <w:szCs w:val="24"/>
          <w:color w:val="auto"/>
        </w:rPr>
      </w:pPr>
    </w:p>
    <w:p>
      <w:pPr>
        <w:jc w:val="center"/>
        <w:ind w:right="-1094"/>
        <w:spacing w:after="0"/>
        <w:rPr>
          <w:sz w:val="20"/>
          <w:szCs w:val="20"/>
          <w:color w:val="auto"/>
        </w:rPr>
      </w:pPr>
      <w:r>
        <w:rPr>
          <w:rFonts w:ascii="Arial" w:cs="Arial" w:eastAsia="Arial" w:hAnsi="Arial"/>
          <w:sz w:val="18"/>
          <w:szCs w:val="18"/>
          <w:b w:val="1"/>
          <w:bCs w:val="1"/>
          <w:color w:val="auto"/>
        </w:rPr>
        <w:t>450 – 1 Street S.W., Calgary, Alberta, T2P 5H1, Canada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596265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3"/>
          </w:cols>
          <w:pgMar w:left="346" w:top="1066" w:right="1440" w:bottom="1440" w:gutter="0" w:footer="0" w:header="0"/>
        </w:sectPr>
      </w:pPr>
    </w:p>
    <w:bookmarkStart w:id="1" w:name="page2"/>
    <w:bookmarkEnd w:id="1"/>
    <w:p>
      <w:pPr>
        <w:spacing w:after="0"/>
        <w:rPr>
          <w:sz w:val="20"/>
          <w:szCs w:val="20"/>
          <w:color w:val="auto"/>
        </w:rPr>
      </w:pPr>
      <w:r>
        <w:rPr>
          <w:rFonts w:ascii="Arial" w:cs="Arial" w:eastAsia="Arial" w:hAnsi="Arial"/>
          <w:sz w:val="25"/>
          <w:szCs w:val="25"/>
          <w:color w:val="237CC1"/>
        </w:rPr>
        <w:t>TRANSCANADA 401(k) AND SAVINGS PLAN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460" w:type="dxa"/>
            <w:vAlign w:val="bottom"/>
          </w:tcPr>
          <w:p>
            <w:pPr>
              <w:spacing w:after="0"/>
              <w:rPr>
                <w:sz w:val="20"/>
                <w:szCs w:val="20"/>
                <w:color w:val="auto"/>
              </w:rPr>
            </w:pPr>
            <w:r>
              <w:rPr>
                <w:rFonts w:ascii="Arial" w:cs="Arial" w:eastAsia="Arial" w:hAnsi="Arial"/>
                <w:sz w:val="18"/>
                <w:szCs w:val="18"/>
                <w:b w:val="1"/>
                <w:bCs w:val="1"/>
                <w:color w:val="237CC1"/>
              </w:rPr>
              <w:t>TABLE OF CONTENTS</w:t>
            </w:r>
          </w:p>
        </w:tc>
        <w:tc>
          <w:tcPr>
            <w:tcW w:w="1740" w:type="dxa"/>
            <w:vAlign w:val="bottom"/>
          </w:tcPr>
          <w:p>
            <w:pPr>
              <w:spacing w:after="0"/>
              <w:rPr>
                <w:sz w:val="21"/>
                <w:szCs w:val="21"/>
                <w:color w:val="auto"/>
              </w:rPr>
            </w:pPr>
          </w:p>
        </w:tc>
      </w:tr>
      <w:tr>
        <w:trPr>
          <w:trHeight w:val="370"/>
        </w:trPr>
        <w:tc>
          <w:tcPr>
            <w:tcW w:w="9460" w:type="dxa"/>
            <w:vAlign w:val="bottom"/>
          </w:tcPr>
          <w:p>
            <w:pPr>
              <w:ind w:left="20"/>
              <w:spacing w:after="0"/>
              <w:rPr>
                <w:sz w:val="20"/>
                <w:szCs w:val="20"/>
                <w:color w:val="auto"/>
              </w:rPr>
            </w:pPr>
            <w:r>
              <w:rPr>
                <w:rFonts w:ascii="Arial" w:cs="Arial" w:eastAsia="Arial" w:hAnsi="Arial"/>
                <w:sz w:val="18"/>
                <w:szCs w:val="18"/>
                <w:color w:val="auto"/>
              </w:rPr>
              <w:t>Report of Independent Registered Public Accounting Firm</w:t>
            </w:r>
          </w:p>
        </w:tc>
        <w:tc>
          <w:tcPr>
            <w:tcW w:w="1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9460" w:type="dxa"/>
            <w:vAlign w:val="bottom"/>
          </w:tcPr>
          <w:p>
            <w:pPr>
              <w:ind w:left="20"/>
              <w:spacing w:after="0"/>
              <w:rPr>
                <w:sz w:val="20"/>
                <w:szCs w:val="20"/>
                <w:color w:val="auto"/>
              </w:rPr>
            </w:pPr>
            <w:r>
              <w:rPr>
                <w:rFonts w:ascii="Arial" w:cs="Arial" w:eastAsia="Arial" w:hAnsi="Arial"/>
                <w:sz w:val="18"/>
                <w:szCs w:val="18"/>
                <w:color w:val="auto"/>
              </w:rPr>
              <w:t>Financial Statements</w:t>
            </w:r>
          </w:p>
        </w:tc>
        <w:tc>
          <w:tcPr>
            <w:tcW w:w="1740" w:type="dxa"/>
            <w:vAlign w:val="bottom"/>
          </w:tcPr>
          <w:p>
            <w:pPr>
              <w:spacing w:after="0"/>
              <w:rPr>
                <w:sz w:val="24"/>
                <w:szCs w:val="24"/>
                <w:color w:val="auto"/>
              </w:rPr>
            </w:pPr>
          </w:p>
        </w:tc>
      </w:tr>
      <w:tr>
        <w:trPr>
          <w:trHeight w:val="311"/>
        </w:trPr>
        <w:tc>
          <w:tcPr>
            <w:tcW w:w="9460" w:type="dxa"/>
            <w:vAlign w:val="bottom"/>
          </w:tcPr>
          <w:p>
            <w:pPr>
              <w:ind w:left="120"/>
              <w:spacing w:after="0"/>
              <w:rPr>
                <w:sz w:val="20"/>
                <w:szCs w:val="20"/>
                <w:color w:val="auto"/>
              </w:rPr>
            </w:pPr>
            <w:r>
              <w:rPr>
                <w:rFonts w:ascii="Arial" w:cs="Arial" w:eastAsia="Arial" w:hAnsi="Arial"/>
                <w:sz w:val="18"/>
                <w:szCs w:val="18"/>
                <w:color w:val="auto"/>
              </w:rPr>
              <w:t>Statements of Net Assets Available for Benefits as of December 31, 2025 and 2024</w:t>
            </w:r>
          </w:p>
        </w:tc>
        <w:tc>
          <w:tcPr>
            <w:tcW w:w="17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64"/>
        </w:trPr>
        <w:tc>
          <w:tcPr>
            <w:tcW w:w="9460" w:type="dxa"/>
            <w:vAlign w:val="bottom"/>
          </w:tcPr>
          <w:p>
            <w:pPr>
              <w:ind w:left="120"/>
              <w:spacing w:after="0"/>
              <w:rPr>
                <w:sz w:val="20"/>
                <w:szCs w:val="20"/>
                <w:color w:val="auto"/>
              </w:rPr>
            </w:pPr>
            <w:r>
              <w:rPr>
                <w:rFonts w:ascii="Arial" w:cs="Arial" w:eastAsia="Arial" w:hAnsi="Arial"/>
                <w:sz w:val="18"/>
                <w:szCs w:val="18"/>
                <w:color w:val="auto"/>
              </w:rPr>
              <w:t>Statement of Changes in Net Assets Available for Benefits for the year ended December 31, 2025</w:t>
            </w:r>
          </w:p>
        </w:tc>
        <w:tc>
          <w:tcPr>
            <w:tcW w:w="1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64"/>
        </w:trPr>
        <w:tc>
          <w:tcPr>
            <w:tcW w:w="9460" w:type="dxa"/>
            <w:vAlign w:val="bottom"/>
          </w:tcPr>
          <w:p>
            <w:pPr>
              <w:ind w:left="120"/>
              <w:spacing w:after="0"/>
              <w:rPr>
                <w:sz w:val="20"/>
                <w:szCs w:val="20"/>
                <w:color w:val="auto"/>
              </w:rPr>
            </w:pPr>
            <w:r>
              <w:rPr>
                <w:rFonts w:ascii="Arial" w:cs="Arial" w:eastAsia="Arial" w:hAnsi="Arial"/>
                <w:sz w:val="18"/>
                <w:szCs w:val="18"/>
                <w:color w:val="auto"/>
              </w:rPr>
              <w:t>Notes to Financial Statements December 31, 2025 and 2024</w:t>
            </w:r>
          </w:p>
        </w:tc>
        <w:tc>
          <w:tcPr>
            <w:tcW w:w="17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65"/>
        </w:trPr>
        <w:tc>
          <w:tcPr>
            <w:tcW w:w="9460" w:type="dxa"/>
            <w:vAlign w:val="bottom"/>
          </w:tcPr>
          <w:p>
            <w:pPr>
              <w:ind w:left="20"/>
              <w:spacing w:after="0"/>
              <w:rPr>
                <w:sz w:val="20"/>
                <w:szCs w:val="20"/>
                <w:color w:val="auto"/>
              </w:rPr>
            </w:pPr>
            <w:r>
              <w:rPr>
                <w:rFonts w:ascii="Arial" w:cs="Arial" w:eastAsia="Arial" w:hAnsi="Arial"/>
                <w:sz w:val="18"/>
                <w:szCs w:val="18"/>
                <w:color w:val="auto"/>
              </w:rPr>
              <w:t>Supplemental Schedule</w:t>
            </w:r>
          </w:p>
        </w:tc>
        <w:tc>
          <w:tcPr>
            <w:tcW w:w="1740" w:type="dxa"/>
            <w:vAlign w:val="bottom"/>
          </w:tcPr>
          <w:p>
            <w:pPr>
              <w:spacing w:after="0"/>
              <w:rPr>
                <w:sz w:val="24"/>
                <w:szCs w:val="24"/>
                <w:color w:val="auto"/>
              </w:rPr>
            </w:pPr>
          </w:p>
        </w:tc>
      </w:tr>
      <w:tr>
        <w:trPr>
          <w:trHeight w:val="310"/>
        </w:trPr>
        <w:tc>
          <w:tcPr>
            <w:tcW w:w="9460" w:type="dxa"/>
            <w:vAlign w:val="bottom"/>
          </w:tcPr>
          <w:p>
            <w:pPr>
              <w:ind w:left="120"/>
              <w:spacing w:after="0"/>
              <w:rPr>
                <w:sz w:val="20"/>
                <w:szCs w:val="20"/>
                <w:color w:val="auto"/>
              </w:rPr>
            </w:pPr>
            <w:r>
              <w:rPr>
                <w:rFonts w:ascii="Arial" w:cs="Arial" w:eastAsia="Arial" w:hAnsi="Arial"/>
                <w:sz w:val="18"/>
                <w:szCs w:val="18"/>
                <w:color w:val="auto"/>
              </w:rPr>
              <w:t>Schedule H, Part IV, Line 4i – Schedule of Assets (Held at End of Year) as of December 31, 2025</w:t>
            </w:r>
          </w:p>
        </w:tc>
        <w:tc>
          <w:tcPr>
            <w:tcW w:w="17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65"/>
        </w:trPr>
        <w:tc>
          <w:tcPr>
            <w:tcW w:w="9460" w:type="dxa"/>
            <w:vAlign w:val="bottom"/>
          </w:tcPr>
          <w:p>
            <w:pPr>
              <w:ind w:left="20"/>
              <w:spacing w:after="0"/>
              <w:rPr>
                <w:sz w:val="20"/>
                <w:szCs w:val="20"/>
                <w:color w:val="auto"/>
              </w:rPr>
            </w:pPr>
            <w:r>
              <w:rPr>
                <w:rFonts w:ascii="Arial" w:cs="Arial" w:eastAsia="Arial" w:hAnsi="Arial"/>
                <w:sz w:val="18"/>
                <w:szCs w:val="18"/>
                <w:color w:val="auto"/>
              </w:rPr>
              <w:t>Exhibit Index</w:t>
            </w:r>
          </w:p>
        </w:tc>
        <w:tc>
          <w:tcPr>
            <w:tcW w:w="1740" w:type="dxa"/>
            <w:vAlign w:val="bottom"/>
          </w:tcPr>
          <w:p>
            <w:pPr>
              <w:spacing w:after="0"/>
              <w:rPr>
                <w:sz w:val="24"/>
                <w:szCs w:val="24"/>
                <w:color w:val="auto"/>
              </w:rPr>
            </w:pPr>
          </w:p>
        </w:tc>
      </w:tr>
      <w:tr>
        <w:trPr>
          <w:trHeight w:val="310"/>
        </w:trPr>
        <w:tc>
          <w:tcPr>
            <w:tcW w:w="9460" w:type="dxa"/>
            <w:vAlign w:val="bottom"/>
          </w:tcPr>
          <w:p>
            <w:pPr>
              <w:ind w:left="120"/>
              <w:spacing w:after="0"/>
              <w:rPr>
                <w:sz w:val="20"/>
                <w:szCs w:val="20"/>
                <w:color w:val="auto"/>
              </w:rPr>
            </w:pPr>
            <w:r>
              <w:rPr>
                <w:rFonts w:ascii="Arial" w:cs="Arial" w:eastAsia="Arial" w:hAnsi="Arial"/>
                <w:sz w:val="18"/>
                <w:szCs w:val="18"/>
                <w:color w:val="auto"/>
              </w:rPr>
              <w:t>Exhibit 23.1 Consent of Independent Registered Public Accounting Firm</w:t>
            </w:r>
          </w:p>
        </w:tc>
        <w:tc>
          <w:tcPr>
            <w:tcW w:w="1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1"/>
        </w:trPr>
        <w:tc>
          <w:tcPr>
            <w:tcW w:w="9460" w:type="dxa"/>
            <w:vAlign w:val="bottom"/>
          </w:tcPr>
          <w:p>
            <w:pPr>
              <w:ind w:left="20"/>
              <w:spacing w:after="0"/>
              <w:rPr>
                <w:sz w:val="20"/>
                <w:szCs w:val="20"/>
                <w:color w:val="auto"/>
              </w:rPr>
            </w:pPr>
            <w:r>
              <w:rPr>
                <w:rFonts w:ascii="Arial" w:cs="Arial" w:eastAsia="Arial" w:hAnsi="Arial"/>
                <w:sz w:val="18"/>
                <w:szCs w:val="18"/>
                <w:color w:val="auto"/>
              </w:rPr>
              <w:t>Signature</w:t>
            </w:r>
          </w:p>
        </w:tc>
        <w:tc>
          <w:tcPr>
            <w:tcW w:w="174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234" w:lineRule="exact"/>
        <w:rPr>
          <w:sz w:val="20"/>
          <w:szCs w:val="20"/>
          <w:color w:val="auto"/>
        </w:rPr>
      </w:pPr>
    </w:p>
    <w:p>
      <w:pPr>
        <w:ind w:right="460"/>
        <w:spacing w:after="0" w:line="350" w:lineRule="auto"/>
        <w:rPr>
          <w:sz w:val="20"/>
          <w:szCs w:val="20"/>
          <w:color w:val="auto"/>
        </w:rPr>
      </w:pPr>
      <w:r>
        <w:rPr>
          <w:rFonts w:ascii="Arial" w:cs="Arial" w:eastAsia="Arial" w:hAnsi="Arial"/>
          <w:sz w:val="18"/>
          <w:szCs w:val="18"/>
          <w:color w:val="auto"/>
        </w:rPr>
        <w:t>All other schedules required by 29 CFR 2520.103-10 of the Department of Labor’s Rules and Regulations for Reporting and Disclosure under the Employee Retirement Income Security Act of 1974 have been omitted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68" w:right="379" w:bottom="1440" w:gutter="0" w:footer="0" w:header="0"/>
        </w:sectPr>
      </w:pPr>
    </w:p>
    <w:bookmarkStart w:id="2" w:name="page3"/>
    <w:bookmarkEnd w:id="2"/>
    <w:p>
      <w:pPr>
        <w:spacing w:after="0"/>
        <w:rPr>
          <w:sz w:val="20"/>
          <w:szCs w:val="20"/>
          <w:color w:val="auto"/>
        </w:rPr>
      </w:pPr>
      <w:r>
        <w:rPr>
          <w:rFonts w:ascii="Arial" w:cs="Arial" w:eastAsia="Arial" w:hAnsi="Arial"/>
          <w:sz w:val="25"/>
          <w:szCs w:val="25"/>
          <w:color w:val="237CC1"/>
        </w:rPr>
        <w:t>Report of Independent Registered Public Accounting Firm</w:t>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237CC1"/>
        </w:rPr>
        <w:t>To the Plan Administrator, Investment Oversight Committee, and Plan participants of TransCanada 401(k) and</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237CC1"/>
        </w:rPr>
        <w:t>Savings Plan: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237CC1"/>
        </w:rPr>
        <w:t>Opinion on the Financial Statements</w:t>
      </w:r>
    </w:p>
    <w:p>
      <w:pPr>
        <w:spacing w:after="0" w:line="50" w:lineRule="exact"/>
        <w:rPr>
          <w:sz w:val="20"/>
          <w:szCs w:val="20"/>
          <w:color w:val="auto"/>
        </w:rPr>
      </w:pPr>
    </w:p>
    <w:p>
      <w:pPr>
        <w:ind w:right="40"/>
        <w:spacing w:after="0" w:line="311" w:lineRule="auto"/>
        <w:rPr>
          <w:sz w:val="20"/>
          <w:szCs w:val="20"/>
          <w:color w:val="auto"/>
        </w:rPr>
      </w:pPr>
      <w:r>
        <w:rPr>
          <w:rFonts w:ascii="Arial" w:cs="Arial" w:eastAsia="Arial" w:hAnsi="Arial"/>
          <w:sz w:val="18"/>
          <w:szCs w:val="18"/>
          <w:color w:val="auto"/>
        </w:rPr>
        <w:t>We have audited the accompanying statements of net assets available for benefits of the TransCanada 401(k) and Savings Plan (the Plan) as of December 31, 2025 and 2024, and the related statement of changes in net assets available for benefits for the year ended December 31, 2025, and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 ended December 31, 2025, in conformity with accounting principles generally accepted in the United States of America.</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237CC1"/>
        </w:rPr>
        <w:t>Basis for Opinion</w:t>
      </w:r>
    </w:p>
    <w:p>
      <w:pPr>
        <w:spacing w:after="0" w:line="50" w:lineRule="exact"/>
        <w:rPr>
          <w:sz w:val="20"/>
          <w:szCs w:val="20"/>
          <w:color w:val="auto"/>
        </w:rPr>
      </w:pPr>
    </w:p>
    <w:p>
      <w:pPr>
        <w:ind w:right="20"/>
        <w:spacing w:after="0" w:line="314"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78" w:lineRule="exact"/>
        <w:rPr>
          <w:sz w:val="20"/>
          <w:szCs w:val="20"/>
          <w:color w:val="auto"/>
        </w:rPr>
      </w:pPr>
    </w:p>
    <w:p>
      <w:pPr>
        <w:ind w:right="360"/>
        <w:spacing w:after="0" w:line="33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45" w:lineRule="exact"/>
        <w:rPr>
          <w:sz w:val="20"/>
          <w:szCs w:val="20"/>
          <w:color w:val="auto"/>
        </w:rPr>
      </w:pPr>
    </w:p>
    <w:p>
      <w:pPr>
        <w:ind w:right="160"/>
        <w:spacing w:after="0" w:line="314"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237CC1"/>
        </w:rPr>
        <w:t>Supplemental Information</w:t>
      </w:r>
    </w:p>
    <w:p>
      <w:pPr>
        <w:spacing w:after="0" w:line="50" w:lineRule="exact"/>
        <w:rPr>
          <w:sz w:val="20"/>
          <w:szCs w:val="20"/>
          <w:color w:val="auto"/>
        </w:rPr>
      </w:pPr>
    </w:p>
    <w:p>
      <w:pPr>
        <w:ind w:right="40"/>
        <w:spacing w:after="0" w:line="307" w:lineRule="auto"/>
        <w:rPr>
          <w:sz w:val="20"/>
          <w:szCs w:val="20"/>
          <w:color w:val="auto"/>
        </w:rPr>
      </w:pPr>
      <w:r>
        <w:rPr>
          <w:rFonts w:ascii="Arial" w:cs="Arial" w:eastAsia="Arial" w:hAnsi="Arial"/>
          <w:sz w:val="18"/>
          <w:szCs w:val="18"/>
          <w:color w:val="auto"/>
        </w:rPr>
        <w:t>The supplemental Schedule H, Line 4(i) – Schedule of Assets (Held at End of Year) as of December 31, 2025,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/s/ Caron &amp; Bletzer, PLLC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Plan’s auditor since 2016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Kingston, NH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June 18, 2026</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TransCanada 401(k) and Savings Plan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3" w:name="page4"/>
    <w:bookmarkEnd w:id="3"/>
    <w:p>
      <w:pPr>
        <w:spacing w:after="0"/>
        <w:rPr>
          <w:sz w:val="20"/>
          <w:szCs w:val="20"/>
          <w:color w:val="auto"/>
        </w:rPr>
      </w:pPr>
      <w:r>
        <w:rPr>
          <w:rFonts w:ascii="Arial" w:cs="Arial" w:eastAsia="Arial" w:hAnsi="Arial"/>
          <w:sz w:val="25"/>
          <w:szCs w:val="25"/>
          <w:color w:val="237CC1"/>
        </w:rPr>
        <w:t>Statements of net assets available for benefits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60" w:type="dxa"/>
            <w:vAlign w:val="bottom"/>
            <w:tcBorders>
              <w:top w:val="single" w:sz="8" w:color="237CC1"/>
              <w:bottom w:val="single" w:sz="8" w:color="237CC1"/>
            </w:tcBorders>
            <w:shd w:val="clear" w:color="auto" w:fill="D1D0CF"/>
          </w:tcPr>
          <w:p>
            <w:pPr>
              <w:ind w:left="20"/>
              <w:spacing w:after="0"/>
              <w:rPr>
                <w:sz w:val="20"/>
                <w:szCs w:val="20"/>
                <w:color w:val="auto"/>
              </w:rPr>
            </w:pPr>
            <w:r>
              <w:rPr>
                <w:rFonts w:ascii="Arial" w:cs="Arial" w:eastAsia="Arial" w:hAnsi="Arial"/>
                <w:sz w:val="16"/>
                <w:szCs w:val="16"/>
                <w:color w:val="auto"/>
              </w:rPr>
              <w:t>December 31 (thousands of U.S. dollars)</w:t>
            </w:r>
          </w:p>
        </w:tc>
        <w:tc>
          <w:tcPr>
            <w:tcW w:w="4120" w:type="dxa"/>
            <w:vAlign w:val="bottom"/>
            <w:tcBorders>
              <w:top w:val="single" w:sz="8" w:color="237CC1"/>
              <w:bottom w:val="single" w:sz="8" w:color="237CC1"/>
            </w:tcBorders>
            <w:shd w:val="clear" w:color="auto" w:fill="D1D0CF"/>
          </w:tcPr>
          <w:p>
            <w:pPr>
              <w:jc w:val="right"/>
              <w:ind w:right="379"/>
              <w:spacing w:after="0"/>
              <w:rPr>
                <w:sz w:val="20"/>
                <w:szCs w:val="20"/>
                <w:color w:val="auto"/>
              </w:rPr>
            </w:pPr>
            <w:r>
              <w:rPr>
                <w:rFonts w:ascii="Arial" w:cs="Arial" w:eastAsia="Arial" w:hAnsi="Arial"/>
                <w:sz w:val="16"/>
                <w:szCs w:val="16"/>
                <w:b w:val="1"/>
                <w:bCs w:val="1"/>
                <w:color w:val="auto"/>
              </w:rPr>
              <w:t>2025</w:t>
            </w:r>
          </w:p>
        </w:tc>
        <w:tc>
          <w:tcPr>
            <w:tcW w:w="1260" w:type="dxa"/>
            <w:vAlign w:val="bottom"/>
            <w:tcBorders>
              <w:top w:val="single" w:sz="8" w:color="237CC1"/>
              <w:bottom w:val="single" w:sz="8" w:color="237CC1"/>
            </w:tcBorders>
            <w:shd w:val="clear" w:color="auto" w:fill="D1D0CF"/>
          </w:tcPr>
          <w:p>
            <w:pPr>
              <w:jc w:val="right"/>
              <w:spacing w:after="0"/>
              <w:rPr>
                <w:sz w:val="20"/>
                <w:szCs w:val="20"/>
                <w:color w:val="auto"/>
              </w:rPr>
            </w:pPr>
            <w:r>
              <w:rPr>
                <w:rFonts w:ascii="Arial" w:cs="Arial" w:eastAsia="Arial" w:hAnsi="Arial"/>
                <w:sz w:val="16"/>
                <w:szCs w:val="16"/>
                <w:color w:val="auto"/>
              </w:rPr>
              <w:t>2024</w:t>
            </w:r>
          </w:p>
        </w:tc>
      </w:tr>
      <w:tr>
        <w:trPr>
          <w:trHeight w:val="210"/>
        </w:trPr>
        <w:tc>
          <w:tcPr>
            <w:tcW w:w="58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4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at fair value (Note 3)</w:t>
            </w:r>
          </w:p>
        </w:tc>
        <w:tc>
          <w:tcPr>
            <w:tcW w:w="4120" w:type="dxa"/>
            <w:vAlign w:val="bottom"/>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1,293,625</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1,107,054</w:t>
            </w:r>
          </w:p>
        </w:tc>
      </w:tr>
      <w:tr>
        <w:trPr>
          <w:trHeight w:val="216"/>
        </w:trPr>
        <w:tc>
          <w:tcPr>
            <w:tcW w:w="5860" w:type="dxa"/>
            <w:vAlign w:val="bottom"/>
          </w:tcPr>
          <w:p>
            <w:pPr>
              <w:ind w:left="20"/>
              <w:spacing w:after="0"/>
              <w:rPr>
                <w:sz w:val="20"/>
                <w:szCs w:val="20"/>
                <w:color w:val="auto"/>
              </w:rPr>
            </w:pPr>
            <w:r>
              <w:rPr>
                <w:rFonts w:ascii="Arial" w:cs="Arial" w:eastAsia="Arial" w:hAnsi="Arial"/>
                <w:sz w:val="16"/>
                <w:szCs w:val="16"/>
                <w:color w:val="auto"/>
              </w:rPr>
              <w:t>Notes receivable from participants</w:t>
            </w:r>
          </w:p>
        </w:tc>
        <w:tc>
          <w:tcPr>
            <w:tcW w:w="4120" w:type="dxa"/>
            <w:vAlign w:val="bottom"/>
          </w:tcPr>
          <w:p>
            <w:pPr>
              <w:jc w:val="right"/>
              <w:ind w:right="439"/>
              <w:spacing w:after="0"/>
              <w:rPr>
                <w:sz w:val="20"/>
                <w:szCs w:val="20"/>
                <w:color w:val="auto"/>
              </w:rPr>
            </w:pPr>
            <w:r>
              <w:rPr>
                <w:rFonts w:ascii="Arial" w:cs="Arial" w:eastAsia="Arial" w:hAnsi="Arial"/>
                <w:sz w:val="16"/>
                <w:szCs w:val="16"/>
                <w:b w:val="1"/>
                <w:bCs w:val="1"/>
                <w:color w:val="auto"/>
              </w:rPr>
              <w:t>16,441</w:t>
            </w:r>
          </w:p>
        </w:tc>
        <w:tc>
          <w:tcPr>
            <w:tcW w:w="1260" w:type="dxa"/>
            <w:vAlign w:val="bottom"/>
          </w:tcPr>
          <w:p>
            <w:pPr>
              <w:jc w:val="right"/>
              <w:spacing w:after="0"/>
              <w:rPr>
                <w:sz w:val="20"/>
                <w:szCs w:val="20"/>
                <w:color w:val="auto"/>
              </w:rPr>
            </w:pPr>
            <w:r>
              <w:rPr>
                <w:rFonts w:ascii="Arial" w:cs="Arial" w:eastAsia="Arial" w:hAnsi="Arial"/>
                <w:sz w:val="16"/>
                <w:szCs w:val="16"/>
                <w:color w:val="auto"/>
              </w:rPr>
              <w:t>15,289</w:t>
            </w:r>
          </w:p>
        </w:tc>
      </w:tr>
      <w:tr>
        <w:trPr>
          <w:trHeight w:val="216"/>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Employer contribution receivable</w:t>
            </w:r>
          </w:p>
        </w:tc>
        <w:tc>
          <w:tcPr>
            <w:tcW w:w="412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1,820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1,511</w:t>
            </w:r>
          </w:p>
        </w:tc>
      </w:tr>
      <w:tr>
        <w:trPr>
          <w:trHeight w:val="210"/>
        </w:trPr>
        <w:tc>
          <w:tcPr>
            <w:tcW w:w="5860" w:type="dxa"/>
            <w:vAlign w:val="bottom"/>
          </w:tcPr>
          <w:p>
            <w:pPr>
              <w:spacing w:after="0"/>
              <w:rPr>
                <w:sz w:val="18"/>
                <w:szCs w:val="18"/>
                <w:color w:val="auto"/>
              </w:rPr>
            </w:pPr>
          </w:p>
        </w:tc>
        <w:tc>
          <w:tcPr>
            <w:tcW w:w="4120" w:type="dxa"/>
            <w:vAlign w:val="bottom"/>
          </w:tcPr>
          <w:p>
            <w:pPr>
              <w:jc w:val="right"/>
              <w:ind w:right="439"/>
              <w:spacing w:after="0"/>
              <w:rPr>
                <w:sz w:val="20"/>
                <w:szCs w:val="20"/>
                <w:color w:val="auto"/>
              </w:rPr>
            </w:pPr>
            <w:r>
              <w:rPr>
                <w:rFonts w:ascii="Arial" w:cs="Arial" w:eastAsia="Arial" w:hAnsi="Arial"/>
                <w:sz w:val="16"/>
                <w:szCs w:val="16"/>
                <w:b w:val="1"/>
                <w:bCs w:val="1"/>
                <w:color w:val="auto"/>
              </w:rPr>
              <w:t>1,311,886</w:t>
            </w:r>
          </w:p>
        </w:tc>
        <w:tc>
          <w:tcPr>
            <w:tcW w:w="1260" w:type="dxa"/>
            <w:vAlign w:val="bottom"/>
          </w:tcPr>
          <w:p>
            <w:pPr>
              <w:jc w:val="right"/>
              <w:spacing w:after="0"/>
              <w:rPr>
                <w:sz w:val="20"/>
                <w:szCs w:val="20"/>
                <w:color w:val="auto"/>
              </w:rPr>
            </w:pPr>
            <w:r>
              <w:rPr>
                <w:rFonts w:ascii="Arial" w:cs="Arial" w:eastAsia="Arial" w:hAnsi="Arial"/>
                <w:sz w:val="16"/>
                <w:szCs w:val="16"/>
                <w:color w:val="auto"/>
              </w:rPr>
              <w:t>1,123,854</w:t>
            </w:r>
          </w:p>
        </w:tc>
      </w:tr>
      <w:tr>
        <w:trPr>
          <w:trHeight w:val="216"/>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4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6"/>
        </w:trPr>
        <w:tc>
          <w:tcPr>
            <w:tcW w:w="5860" w:type="dxa"/>
            <w:vAlign w:val="bottom"/>
          </w:tcPr>
          <w:p>
            <w:pPr>
              <w:ind w:left="20"/>
              <w:spacing w:after="0"/>
              <w:rPr>
                <w:sz w:val="20"/>
                <w:szCs w:val="20"/>
                <w:color w:val="auto"/>
              </w:rPr>
            </w:pPr>
            <w:r>
              <w:rPr>
                <w:rFonts w:ascii="Arial" w:cs="Arial" w:eastAsia="Arial" w:hAnsi="Arial"/>
                <w:sz w:val="16"/>
                <w:szCs w:val="16"/>
                <w:color w:val="auto"/>
              </w:rPr>
              <w:t>Accrued management fees</w:t>
            </w:r>
          </w:p>
        </w:tc>
        <w:tc>
          <w:tcPr>
            <w:tcW w:w="4120" w:type="dxa"/>
            <w:vAlign w:val="bottom"/>
          </w:tcPr>
          <w:p>
            <w:pPr>
              <w:jc w:val="right"/>
              <w:ind w:right="43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6"/>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liabilities (Note 4)</w:t>
            </w:r>
          </w:p>
        </w:tc>
        <w:tc>
          <w:tcPr>
            <w:tcW w:w="412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9</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09"/>
        </w:trPr>
        <w:tc>
          <w:tcPr>
            <w:tcW w:w="586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9</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Assets Available for Benefits</w:t>
            </w:r>
          </w:p>
        </w:tc>
        <w:tc>
          <w:tcPr>
            <w:tcW w:w="412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1,311,877</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1,123,846</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the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TransCanada 401(k) and Savings Plan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4" w:name="page5"/>
    <w:bookmarkEnd w:id="4"/>
    <w:p>
      <w:pPr>
        <w:spacing w:after="0"/>
        <w:rPr>
          <w:sz w:val="20"/>
          <w:szCs w:val="20"/>
          <w:color w:val="auto"/>
        </w:rPr>
      </w:pPr>
      <w:r>
        <w:rPr>
          <w:rFonts w:ascii="Arial" w:cs="Arial" w:eastAsia="Arial" w:hAnsi="Arial"/>
          <w:sz w:val="25"/>
          <w:szCs w:val="25"/>
          <w:color w:val="237CC1"/>
        </w:rPr>
        <w:t>Statement of changes in net assets available for benefits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Borders>
              <w:top w:val="single" w:sz="8" w:color="237CC1"/>
              <w:bottom w:val="single" w:sz="8" w:color="237CC1"/>
            </w:tcBorders>
            <w:shd w:val="clear" w:color="auto" w:fill="D1D0CF"/>
          </w:tcPr>
          <w:p>
            <w:pPr>
              <w:ind w:left="20"/>
              <w:spacing w:after="0"/>
              <w:rPr>
                <w:sz w:val="20"/>
                <w:szCs w:val="20"/>
                <w:color w:val="auto"/>
              </w:rPr>
            </w:pPr>
            <w:r>
              <w:rPr>
                <w:rFonts w:ascii="Arial" w:cs="Arial" w:eastAsia="Arial" w:hAnsi="Arial"/>
                <w:sz w:val="16"/>
                <w:szCs w:val="16"/>
                <w:color w:val="auto"/>
              </w:rPr>
              <w:t>Year ended December 31 (thousands of U.S. dollars)</w:t>
            </w:r>
          </w:p>
        </w:tc>
        <w:tc>
          <w:tcPr>
            <w:tcW w:w="3800" w:type="dxa"/>
            <w:vAlign w:val="bottom"/>
            <w:tcBorders>
              <w:top w:val="single" w:sz="8" w:color="237CC1"/>
              <w:bottom w:val="single" w:sz="8" w:color="237CC1"/>
            </w:tcBorders>
            <w:shd w:val="clear" w:color="auto" w:fill="D1D0CF"/>
          </w:tcPr>
          <w:p>
            <w:pPr>
              <w:jc w:val="right"/>
              <w:spacing w:after="0"/>
              <w:rPr>
                <w:sz w:val="20"/>
                <w:szCs w:val="20"/>
                <w:color w:val="auto"/>
              </w:rPr>
            </w:pPr>
            <w:r>
              <w:rPr>
                <w:rFonts w:ascii="Arial" w:cs="Arial" w:eastAsia="Arial" w:hAnsi="Arial"/>
                <w:sz w:val="16"/>
                <w:szCs w:val="16"/>
                <w:b w:val="1"/>
                <w:bCs w:val="1"/>
                <w:color w:val="auto"/>
              </w:rPr>
              <w:t>2025</w:t>
            </w:r>
          </w:p>
        </w:tc>
      </w:tr>
      <w:tr>
        <w:trPr>
          <w:trHeight w:val="209"/>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Additions</w:t>
            </w:r>
          </w:p>
        </w:tc>
        <w:tc>
          <w:tcPr>
            <w:tcW w:w="3800" w:type="dxa"/>
            <w:vAlign w:val="bottom"/>
          </w:tcPr>
          <w:p>
            <w:pPr>
              <w:spacing w:after="0"/>
              <w:rPr>
                <w:sz w:val="18"/>
                <w:szCs w:val="18"/>
                <w:color w:val="auto"/>
              </w:rPr>
            </w:pPr>
          </w:p>
        </w:tc>
      </w:tr>
      <w:tr>
        <w:trPr>
          <w:trHeight w:val="216"/>
        </w:trPr>
        <w:tc>
          <w:tcPr>
            <w:tcW w:w="7440" w:type="dxa"/>
            <w:vAlign w:val="bottom"/>
          </w:tcPr>
          <w:p>
            <w:pPr>
              <w:ind w:left="160"/>
              <w:spacing w:after="0"/>
              <w:rPr>
                <w:sz w:val="20"/>
                <w:szCs w:val="20"/>
                <w:color w:val="auto"/>
              </w:rPr>
            </w:pPr>
            <w:r>
              <w:rPr>
                <w:rFonts w:ascii="Arial" w:cs="Arial" w:eastAsia="Arial" w:hAnsi="Arial"/>
                <w:sz w:val="16"/>
                <w:szCs w:val="16"/>
                <w:color w:val="auto"/>
              </w:rPr>
              <w:t>Contributions</w:t>
            </w:r>
          </w:p>
        </w:tc>
        <w:tc>
          <w:tcPr>
            <w:tcW w:w="3800" w:type="dxa"/>
            <w:vAlign w:val="bottom"/>
          </w:tcPr>
          <w:p>
            <w:pPr>
              <w:spacing w:after="0"/>
              <w:rPr>
                <w:sz w:val="18"/>
                <w:szCs w:val="18"/>
                <w:color w:val="auto"/>
              </w:rPr>
            </w:pPr>
          </w:p>
        </w:tc>
      </w:tr>
      <w:tr>
        <w:trPr>
          <w:trHeight w:val="217"/>
        </w:trPr>
        <w:tc>
          <w:tcPr>
            <w:tcW w:w="74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Employee contributions</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43,912</w:t>
            </w:r>
          </w:p>
        </w:tc>
      </w:tr>
      <w:tr>
        <w:trPr>
          <w:trHeight w:val="216"/>
        </w:trPr>
        <w:tc>
          <w:tcPr>
            <w:tcW w:w="7440" w:type="dxa"/>
            <w:vAlign w:val="bottom"/>
          </w:tcPr>
          <w:p>
            <w:pPr>
              <w:ind w:left="260"/>
              <w:spacing w:after="0"/>
              <w:rPr>
                <w:sz w:val="20"/>
                <w:szCs w:val="20"/>
                <w:color w:val="auto"/>
              </w:rPr>
            </w:pPr>
            <w:r>
              <w:rPr>
                <w:rFonts w:ascii="Arial" w:cs="Arial" w:eastAsia="Arial" w:hAnsi="Arial"/>
                <w:sz w:val="16"/>
                <w:szCs w:val="16"/>
                <w:color w:val="auto"/>
              </w:rPr>
              <w:t>Employer contributions</w:t>
            </w:r>
          </w:p>
        </w:tc>
        <w:tc>
          <w:tcPr>
            <w:tcW w:w="3800" w:type="dxa"/>
            <w:vAlign w:val="bottom"/>
          </w:tcPr>
          <w:p>
            <w:pPr>
              <w:jc w:val="right"/>
              <w:spacing w:after="0"/>
              <w:rPr>
                <w:sz w:val="20"/>
                <w:szCs w:val="20"/>
                <w:color w:val="auto"/>
              </w:rPr>
            </w:pPr>
            <w:r>
              <w:rPr>
                <w:rFonts w:ascii="Arial" w:cs="Arial" w:eastAsia="Arial" w:hAnsi="Arial"/>
                <w:sz w:val="16"/>
                <w:szCs w:val="16"/>
                <w:b w:val="1"/>
                <w:bCs w:val="1"/>
                <w:color w:val="auto"/>
              </w:rPr>
              <w:t>42,721</w:t>
            </w:r>
          </w:p>
        </w:tc>
      </w:tr>
      <w:tr>
        <w:trPr>
          <w:trHeight w:val="216"/>
        </w:trPr>
        <w:tc>
          <w:tcPr>
            <w:tcW w:w="74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Employee rollovers</w:t>
            </w:r>
          </w:p>
        </w:tc>
        <w:tc>
          <w:tcPr>
            <w:tcW w:w="3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4,854</w:t>
            </w:r>
          </w:p>
        </w:tc>
      </w:tr>
      <w:tr>
        <w:trPr>
          <w:trHeight w:val="209"/>
        </w:trPr>
        <w:tc>
          <w:tcPr>
            <w:tcW w:w="7440" w:type="dxa"/>
            <w:vAlign w:val="bottom"/>
          </w:tcPr>
          <w:p>
            <w:pPr>
              <w:spacing w:after="0"/>
              <w:rPr>
                <w:sz w:val="18"/>
                <w:szCs w:val="18"/>
                <w:color w:val="auto"/>
              </w:rPr>
            </w:pPr>
          </w:p>
        </w:tc>
        <w:tc>
          <w:tcPr>
            <w:tcW w:w="3800" w:type="dxa"/>
            <w:vAlign w:val="bottom"/>
          </w:tcPr>
          <w:p>
            <w:pPr>
              <w:jc w:val="right"/>
              <w:spacing w:after="0"/>
              <w:rPr>
                <w:sz w:val="20"/>
                <w:szCs w:val="20"/>
                <w:color w:val="auto"/>
              </w:rPr>
            </w:pPr>
            <w:r>
              <w:rPr>
                <w:rFonts w:ascii="Arial" w:cs="Arial" w:eastAsia="Arial" w:hAnsi="Arial"/>
                <w:sz w:val="16"/>
                <w:szCs w:val="16"/>
                <w:b w:val="1"/>
                <w:bCs w:val="1"/>
                <w:color w:val="auto"/>
              </w:rPr>
              <w:t>91,487</w:t>
            </w:r>
          </w:p>
        </w:tc>
      </w:tr>
      <w:tr>
        <w:trPr>
          <w:trHeight w:val="216"/>
        </w:trPr>
        <w:tc>
          <w:tcPr>
            <w:tcW w:w="7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Investment Income</w:t>
            </w:r>
          </w:p>
        </w:tc>
        <w:tc>
          <w:tcPr>
            <w:tcW w:w="3800" w:type="dxa"/>
            <w:vAlign w:val="bottom"/>
            <w:shd w:val="clear" w:color="auto" w:fill="CCEEFF"/>
          </w:tcPr>
          <w:p>
            <w:pPr>
              <w:spacing w:after="0"/>
              <w:rPr>
                <w:sz w:val="18"/>
                <w:szCs w:val="18"/>
                <w:color w:val="auto"/>
              </w:rPr>
            </w:pPr>
          </w:p>
        </w:tc>
      </w:tr>
      <w:tr>
        <w:trPr>
          <w:trHeight w:val="216"/>
        </w:trPr>
        <w:tc>
          <w:tcPr>
            <w:tcW w:w="7440" w:type="dxa"/>
            <w:vAlign w:val="bottom"/>
          </w:tcPr>
          <w:p>
            <w:pPr>
              <w:ind w:left="260"/>
              <w:spacing w:after="0"/>
              <w:rPr>
                <w:sz w:val="20"/>
                <w:szCs w:val="20"/>
                <w:color w:val="auto"/>
              </w:rPr>
            </w:pPr>
            <w:r>
              <w:rPr>
                <w:rFonts w:ascii="Arial" w:cs="Arial" w:eastAsia="Arial" w:hAnsi="Arial"/>
                <w:sz w:val="16"/>
                <w:szCs w:val="16"/>
                <w:color w:val="auto"/>
              </w:rPr>
              <w:t>Net appreciation (depreciation) in fair value of investments</w:t>
            </w:r>
          </w:p>
        </w:tc>
        <w:tc>
          <w:tcPr>
            <w:tcW w:w="3800" w:type="dxa"/>
            <w:vAlign w:val="bottom"/>
          </w:tcPr>
          <w:p>
            <w:pPr>
              <w:jc w:val="right"/>
              <w:spacing w:after="0"/>
              <w:rPr>
                <w:sz w:val="20"/>
                <w:szCs w:val="20"/>
                <w:color w:val="auto"/>
              </w:rPr>
            </w:pPr>
            <w:r>
              <w:rPr>
                <w:rFonts w:ascii="Arial" w:cs="Arial" w:eastAsia="Arial" w:hAnsi="Arial"/>
                <w:sz w:val="16"/>
                <w:szCs w:val="16"/>
                <w:b w:val="1"/>
                <w:bCs w:val="1"/>
                <w:color w:val="auto"/>
              </w:rPr>
              <w:t>187,042</w:t>
            </w:r>
          </w:p>
        </w:tc>
      </w:tr>
      <w:tr>
        <w:trPr>
          <w:trHeight w:val="216"/>
        </w:trPr>
        <w:tc>
          <w:tcPr>
            <w:tcW w:w="74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Interest and dividend income</w:t>
            </w:r>
          </w:p>
        </w:tc>
        <w:tc>
          <w:tcPr>
            <w:tcW w:w="3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12,182</w:t>
            </w:r>
          </w:p>
        </w:tc>
      </w:tr>
      <w:tr>
        <w:trPr>
          <w:trHeight w:val="209"/>
        </w:trPr>
        <w:tc>
          <w:tcPr>
            <w:tcW w:w="7440" w:type="dxa"/>
            <w:vAlign w:val="bottom"/>
          </w:tcPr>
          <w:p>
            <w:pPr>
              <w:spacing w:after="0"/>
              <w:rPr>
                <w:sz w:val="18"/>
                <w:szCs w:val="18"/>
                <w:color w:val="auto"/>
              </w:rPr>
            </w:pPr>
          </w:p>
        </w:tc>
        <w:tc>
          <w:tcPr>
            <w:tcW w:w="3800" w:type="dxa"/>
            <w:vAlign w:val="bottom"/>
          </w:tcPr>
          <w:p>
            <w:pPr>
              <w:jc w:val="right"/>
              <w:spacing w:after="0"/>
              <w:rPr>
                <w:sz w:val="20"/>
                <w:szCs w:val="20"/>
                <w:color w:val="auto"/>
              </w:rPr>
            </w:pPr>
            <w:r>
              <w:rPr>
                <w:rFonts w:ascii="Arial" w:cs="Arial" w:eastAsia="Arial" w:hAnsi="Arial"/>
                <w:sz w:val="16"/>
                <w:szCs w:val="16"/>
                <w:b w:val="1"/>
                <w:bCs w:val="1"/>
                <w:color w:val="auto"/>
              </w:rPr>
              <w:t>199,224</w:t>
            </w:r>
          </w:p>
        </w:tc>
      </w:tr>
      <w:tr>
        <w:trPr>
          <w:trHeight w:val="216"/>
        </w:trPr>
        <w:tc>
          <w:tcPr>
            <w:tcW w:w="7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Interest on notes receivable from participants</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1,351</w:t>
            </w:r>
          </w:p>
        </w:tc>
      </w:tr>
      <w:tr>
        <w:trPr>
          <w:trHeight w:val="216"/>
        </w:trPr>
        <w:tc>
          <w:tcPr>
            <w:tcW w:w="74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Other revenue</w:t>
            </w:r>
          </w:p>
        </w:tc>
        <w:tc>
          <w:tcPr>
            <w:tcW w:w="3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393</w:t>
            </w:r>
          </w:p>
        </w:tc>
      </w:tr>
      <w:tr>
        <w:trPr>
          <w:trHeight w:val="210"/>
        </w:trPr>
        <w:tc>
          <w:tcPr>
            <w:tcW w:w="7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Additions</w:t>
            </w:r>
          </w:p>
        </w:tc>
        <w:tc>
          <w:tcPr>
            <w:tcW w:w="3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292,455</w:t>
            </w:r>
          </w:p>
        </w:tc>
      </w:tr>
      <w:tr>
        <w:trPr>
          <w:trHeight w:val="209"/>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Deductions</w:t>
            </w:r>
          </w:p>
        </w:tc>
        <w:tc>
          <w:tcPr>
            <w:tcW w:w="3800" w:type="dxa"/>
            <w:vAlign w:val="bottom"/>
          </w:tcPr>
          <w:p>
            <w:pPr>
              <w:spacing w:after="0"/>
              <w:rPr>
                <w:sz w:val="18"/>
                <w:szCs w:val="18"/>
                <w:color w:val="auto"/>
              </w:rPr>
            </w:pPr>
          </w:p>
        </w:tc>
      </w:tr>
      <w:tr>
        <w:trPr>
          <w:trHeight w:val="216"/>
        </w:trPr>
        <w:tc>
          <w:tcPr>
            <w:tcW w:w="7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Benefits paid to participants</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104,194</w:t>
            </w:r>
          </w:p>
        </w:tc>
      </w:tr>
      <w:tr>
        <w:trPr>
          <w:trHeight w:val="216"/>
        </w:trPr>
        <w:tc>
          <w:tcPr>
            <w:tcW w:w="744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Administrative expenses</w:t>
            </w:r>
          </w:p>
        </w:tc>
        <w:tc>
          <w:tcPr>
            <w:tcW w:w="3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230</w:t>
            </w:r>
          </w:p>
        </w:tc>
      </w:tr>
      <w:tr>
        <w:trPr>
          <w:trHeight w:val="209"/>
        </w:trPr>
        <w:tc>
          <w:tcPr>
            <w:tcW w:w="7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Deductions</w:t>
            </w:r>
          </w:p>
        </w:tc>
        <w:tc>
          <w:tcPr>
            <w:tcW w:w="3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104,424</w:t>
            </w:r>
          </w:p>
        </w:tc>
      </w:tr>
      <w:tr>
        <w:trPr>
          <w:trHeight w:val="209"/>
        </w:trPr>
        <w:tc>
          <w:tcPr>
            <w:tcW w:w="7440" w:type="dxa"/>
            <w:vAlign w:val="bottom"/>
          </w:tcPr>
          <w:p>
            <w:pPr>
              <w:ind w:left="20"/>
              <w:spacing w:after="0"/>
              <w:rPr>
                <w:sz w:val="20"/>
                <w:szCs w:val="20"/>
                <w:color w:val="auto"/>
              </w:rPr>
            </w:pPr>
            <w:r>
              <w:rPr>
                <w:rFonts w:ascii="Arial" w:cs="Arial" w:eastAsia="Arial" w:hAnsi="Arial"/>
                <w:sz w:val="16"/>
                <w:szCs w:val="16"/>
                <w:b w:val="1"/>
                <w:bCs w:val="1"/>
                <w:color w:val="auto"/>
              </w:rPr>
              <w:t>Increase (Decrease) in Net Assets Available for Benefits</w:t>
            </w:r>
          </w:p>
        </w:tc>
        <w:tc>
          <w:tcPr>
            <w:tcW w:w="3800" w:type="dxa"/>
            <w:vAlign w:val="bottom"/>
          </w:tcPr>
          <w:p>
            <w:pPr>
              <w:jc w:val="right"/>
              <w:spacing w:after="0"/>
              <w:rPr>
                <w:sz w:val="20"/>
                <w:szCs w:val="20"/>
                <w:color w:val="auto"/>
              </w:rPr>
            </w:pPr>
            <w:r>
              <w:rPr>
                <w:rFonts w:ascii="Arial" w:cs="Arial" w:eastAsia="Arial" w:hAnsi="Arial"/>
                <w:sz w:val="16"/>
                <w:szCs w:val="16"/>
                <w:b w:val="1"/>
                <w:bCs w:val="1"/>
                <w:color w:val="auto"/>
              </w:rPr>
              <w:t>188,031</w:t>
            </w:r>
          </w:p>
        </w:tc>
      </w:tr>
      <w:tr>
        <w:trPr>
          <w:trHeight w:val="216"/>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Assets Available for Benefits</w:t>
            </w:r>
          </w:p>
        </w:tc>
        <w:tc>
          <w:tcPr>
            <w:tcW w:w="3800" w:type="dxa"/>
            <w:vAlign w:val="bottom"/>
            <w:shd w:val="clear" w:color="auto" w:fill="CCEEFF"/>
          </w:tcPr>
          <w:p>
            <w:pPr>
              <w:spacing w:after="0"/>
              <w:rPr>
                <w:sz w:val="18"/>
                <w:szCs w:val="18"/>
                <w:color w:val="auto"/>
              </w:rPr>
            </w:pPr>
          </w:p>
        </w:tc>
      </w:tr>
      <w:tr>
        <w:trPr>
          <w:trHeight w:val="216"/>
        </w:trPr>
        <w:tc>
          <w:tcPr>
            <w:tcW w:w="744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Beginning of Year</w:t>
            </w:r>
          </w:p>
        </w:tc>
        <w:tc>
          <w:tcPr>
            <w:tcW w:w="3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1,123,846</w:t>
            </w:r>
          </w:p>
        </w:tc>
      </w:tr>
      <w:tr>
        <w:trPr>
          <w:trHeight w:val="209"/>
        </w:trPr>
        <w:tc>
          <w:tcPr>
            <w:tcW w:w="74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End of Year</w:t>
            </w:r>
          </w:p>
        </w:tc>
        <w:tc>
          <w:tcPr>
            <w:tcW w:w="3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1,311,877</w:t>
            </w: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the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TransCanada 401(k) and Savings Plan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5" w:name="page6"/>
    <w:bookmarkEnd w:id="5"/>
    <w:p>
      <w:pPr>
        <w:spacing w:after="0"/>
        <w:rPr>
          <w:sz w:val="20"/>
          <w:szCs w:val="20"/>
          <w:color w:val="auto"/>
        </w:rPr>
      </w:pPr>
      <w:r>
        <w:rPr>
          <w:rFonts w:ascii="Arial" w:cs="Arial" w:eastAsia="Arial" w:hAnsi="Arial"/>
          <w:sz w:val="25"/>
          <w:szCs w:val="25"/>
          <w:color w:val="237CC1"/>
        </w:rPr>
        <w:t>Notes to financial statements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Year ended December 31, 2025 and 2024</w:t>
      </w:r>
    </w:p>
    <w:p>
      <w:pPr>
        <w:spacing w:after="0" w:line="167" w:lineRule="exact"/>
        <w:rPr>
          <w:sz w:val="20"/>
          <w:szCs w:val="20"/>
          <w:color w:val="auto"/>
        </w:rPr>
      </w:pPr>
    </w:p>
    <w:p>
      <w:pPr>
        <w:spacing w:after="0"/>
        <w:rPr>
          <w:sz w:val="20"/>
          <w:szCs w:val="20"/>
          <w:color w:val="auto"/>
        </w:rPr>
      </w:pPr>
      <w:r>
        <w:rPr>
          <w:rFonts w:ascii="Arial" w:cs="Arial" w:eastAsia="Arial" w:hAnsi="Arial"/>
          <w:sz w:val="25"/>
          <w:szCs w:val="25"/>
          <w:color w:val="237CC1"/>
        </w:rPr>
        <w:t>1. Description of plan</w:t>
      </w:r>
    </w:p>
    <w:p>
      <w:pPr>
        <w:spacing w:after="0" w:line="324" w:lineRule="exact"/>
        <w:rPr>
          <w:sz w:val="20"/>
          <w:szCs w:val="20"/>
          <w:color w:val="auto"/>
        </w:rPr>
      </w:pPr>
    </w:p>
    <w:p>
      <w:pPr>
        <w:ind w:right="20"/>
        <w:spacing w:after="0" w:line="311" w:lineRule="auto"/>
        <w:rPr>
          <w:sz w:val="20"/>
          <w:szCs w:val="20"/>
          <w:color w:val="auto"/>
        </w:rPr>
      </w:pPr>
      <w:r>
        <w:rPr>
          <w:rFonts w:ascii="Arial" w:cs="Arial" w:eastAsia="Arial" w:hAnsi="Arial"/>
          <w:sz w:val="18"/>
          <w:szCs w:val="18"/>
          <w:color w:val="auto"/>
        </w:rPr>
        <w:t xml:space="preserve">The TransCanada 401(k) and Savings Plan (the Plan) is a defined contribution plan that provides retirement benefits for employees of TransCanada USA Services Inc. (TCUSA or the Company) or its subsidiaries not covered by a collective bargaining agreement, unless participation is required by the agreement. The Plan excludes employees hired under the Company’s student program, until they reach age 21 and have completed at least 1,000 hours of service, special project employees, non-resident persons with no income from a United States source and non-resident persons who have been non-residents for a period of 183 days or more, unless the employee remains on the Company's payroll. The Plan is subject to the provisions of the </w:t>
      </w:r>
      <w:r>
        <w:rPr>
          <w:rFonts w:ascii="Arial" w:cs="Arial" w:eastAsia="Arial" w:hAnsi="Arial"/>
          <w:sz w:val="18"/>
          <w:szCs w:val="18"/>
          <w:i w:val="1"/>
          <w:iCs w:val="1"/>
          <w:color w:val="auto"/>
        </w:rPr>
        <w:t>Employee Retirement Income Security Act of 1974</w:t>
      </w:r>
      <w:r>
        <w:rPr>
          <w:rFonts w:ascii="Arial" w:cs="Arial" w:eastAsia="Arial" w:hAnsi="Arial"/>
          <w:sz w:val="18"/>
          <w:szCs w:val="18"/>
          <w:color w:val="auto"/>
        </w:rPr>
        <w:t>, as amended (ERISA).</w:t>
      </w:r>
    </w:p>
    <w:p>
      <w:pPr>
        <w:spacing w:after="0" w:line="65" w:lineRule="exact"/>
        <w:rPr>
          <w:sz w:val="20"/>
          <w:szCs w:val="20"/>
          <w:color w:val="auto"/>
        </w:rPr>
      </w:pPr>
    </w:p>
    <w:p>
      <w:pPr>
        <w:ind w:right="120"/>
        <w:spacing w:after="0" w:line="314" w:lineRule="auto"/>
        <w:rPr>
          <w:sz w:val="20"/>
          <w:szCs w:val="20"/>
          <w:color w:val="auto"/>
        </w:rPr>
      </w:pPr>
      <w:r>
        <w:rPr>
          <w:rFonts w:ascii="Arial" w:cs="Arial" w:eastAsia="Arial" w:hAnsi="Arial"/>
          <w:sz w:val="18"/>
          <w:szCs w:val="18"/>
          <w:color w:val="auto"/>
        </w:rPr>
        <w:t>The Board of Directors of TCUSA (the Board) has appointed the TransCanada USA Investment Committee and TransCanada USA Benefits Committee as the plan administrators and fiduciaries of the Plan. The Board has also appointed Fidelity Management Trust Company (Fidelity or the Trustee) as custodian and trustee of the Plan’s assets. Fidelity Investments Institutional Operations Company serves as the record keeper for the Plan.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237CC1"/>
        </w:rPr>
        <w:t>Employee and Employer Contributions</w:t>
      </w:r>
    </w:p>
    <w:p>
      <w:pPr>
        <w:spacing w:after="0" w:line="171" w:lineRule="exact"/>
        <w:rPr>
          <w:sz w:val="20"/>
          <w:szCs w:val="20"/>
          <w:color w:val="auto"/>
        </w:rPr>
      </w:pPr>
    </w:p>
    <w:p>
      <w:pPr>
        <w:ind w:right="40"/>
        <w:spacing w:after="0" w:line="334" w:lineRule="auto"/>
        <w:rPr>
          <w:sz w:val="20"/>
          <w:szCs w:val="20"/>
          <w:color w:val="auto"/>
        </w:rPr>
      </w:pPr>
      <w:r>
        <w:rPr>
          <w:rFonts w:ascii="Arial" w:cs="Arial" w:eastAsia="Arial" w:hAnsi="Arial"/>
          <w:sz w:val="18"/>
          <w:szCs w:val="18"/>
          <w:color w:val="auto"/>
        </w:rPr>
        <w:t>Participants are automatically enrolled at a pre-tax contribution rate of five percent, which increases by 1 percent each January until reaching 10 percent. Participants may contact the Trustee to opt out of the automatic annual increase.</w:t>
      </w:r>
    </w:p>
    <w:p>
      <w:pPr>
        <w:spacing w:after="0" w:line="45" w:lineRule="exact"/>
        <w:rPr>
          <w:sz w:val="20"/>
          <w:szCs w:val="20"/>
          <w:color w:val="auto"/>
        </w:rPr>
      </w:pPr>
    </w:p>
    <w:p>
      <w:pPr>
        <w:ind w:right="60"/>
        <w:spacing w:after="0" w:line="309" w:lineRule="auto"/>
        <w:rPr>
          <w:sz w:val="20"/>
          <w:szCs w:val="20"/>
          <w:color w:val="auto"/>
        </w:rPr>
      </w:pPr>
      <w:r>
        <w:rPr>
          <w:rFonts w:ascii="Arial" w:cs="Arial" w:eastAsia="Arial" w:hAnsi="Arial"/>
          <w:sz w:val="18"/>
          <w:szCs w:val="18"/>
          <w:color w:val="auto"/>
        </w:rPr>
        <w:t>Each year participants may elect to defer up to 60 percent of their eligible compensation into the Plan on a pre-tax basis, Roth after-tax basis or a combination of both, subject to certain limitations under the Internal Revenue Code of 1986, as amended (the Code). Participants may also elect to contribute up to 25 percent of their compensation as an after-tax contribution, subject to certain limitations under the Code. Participants aged 50 or older who are making deferral contributions may also make catch-up contributions of up to $7,500. Effective January 1, 2025, participants aged 60 - 63 making deferral contributions may also make additional catch-up contributions of up to $3,750 for a total of $11,250. Subject to the deferral limit, eligible employees may contribute from 1 percent to 100 percent of any bonuses designated by the Company. The Company will match 100 percent of each participant’s contributions up to a maximum of the first five percent of the participant’s eligible compensation for the Plan year.</w:t>
      </w:r>
    </w:p>
    <w:p>
      <w:pPr>
        <w:spacing w:after="0" w:line="69" w:lineRule="exact"/>
        <w:rPr>
          <w:sz w:val="20"/>
          <w:szCs w:val="20"/>
          <w:color w:val="auto"/>
        </w:rPr>
      </w:pPr>
    </w:p>
    <w:p>
      <w:pPr>
        <w:ind w:right="20"/>
        <w:spacing w:after="0" w:line="310" w:lineRule="auto"/>
        <w:rPr>
          <w:sz w:val="20"/>
          <w:szCs w:val="20"/>
          <w:color w:val="auto"/>
        </w:rPr>
      </w:pPr>
      <w:r>
        <w:rPr>
          <w:rFonts w:ascii="Arial" w:cs="Arial" w:eastAsia="Arial" w:hAnsi="Arial"/>
          <w:sz w:val="18"/>
          <w:szCs w:val="18"/>
          <w:color w:val="auto"/>
        </w:rPr>
        <w:t>The Company will also make annual enhanced profit sharing contributions in an amount equal to seven percent of a participant’s base salary, if the participant has elected, or is deemed to have elected, not to accrue credited service under the TransCanada USA Services Inc. Retirement Plan. Collectively bargained employees may be eligible for a different match and/or enhanced profit sharing contribution as defined in their collective bargaining agreement. In 2025, the Company made enhanced contributions of $20,237,846. Participants may also contribute amounts transferred to the Plan from another qualified plan at the participant’s request (rollover).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237CC1"/>
        </w:rPr>
        <w:t>Participant Accounts</w:t>
      </w:r>
    </w:p>
    <w:p>
      <w:pPr>
        <w:spacing w:after="0" w:line="50" w:lineRule="exact"/>
        <w:rPr>
          <w:sz w:val="20"/>
          <w:szCs w:val="20"/>
          <w:color w:val="auto"/>
        </w:rPr>
      </w:pPr>
    </w:p>
    <w:p>
      <w:pPr>
        <w:ind w:right="180"/>
        <w:spacing w:after="0" w:line="334" w:lineRule="auto"/>
        <w:rPr>
          <w:sz w:val="20"/>
          <w:szCs w:val="20"/>
          <w:color w:val="auto"/>
        </w:rPr>
      </w:pPr>
      <w:r>
        <w:rPr>
          <w:rFonts w:ascii="Arial" w:cs="Arial" w:eastAsia="Arial" w:hAnsi="Arial"/>
          <w:sz w:val="18"/>
          <w:szCs w:val="18"/>
          <w:color w:val="auto"/>
        </w:rPr>
        <w:t>Each participant’s account is credited with the participant’s and Company’s contributions and an allocation of Plan earnings. Earnings are allocated from a particular fund based on the ratio of a participant’s account invested in the fund to all participants’ investments in that fund.</w:t>
      </w:r>
    </w:p>
    <w:p>
      <w:pPr>
        <w:spacing w:after="0" w:line="58" w:lineRule="exact"/>
        <w:rPr>
          <w:sz w:val="20"/>
          <w:szCs w:val="20"/>
          <w:color w:val="auto"/>
        </w:rPr>
      </w:pPr>
    </w:p>
    <w:p>
      <w:pPr>
        <w:ind w:right="20"/>
        <w:spacing w:after="0" w:line="334" w:lineRule="auto"/>
        <w:rPr>
          <w:sz w:val="20"/>
          <w:szCs w:val="20"/>
          <w:color w:val="auto"/>
        </w:rPr>
      </w:pPr>
      <w:r>
        <w:rPr>
          <w:rFonts w:ascii="Arial" w:cs="Arial" w:eastAsia="Arial" w:hAnsi="Arial"/>
          <w:sz w:val="18"/>
          <w:szCs w:val="18"/>
          <w:color w:val="auto"/>
        </w:rPr>
        <w:t>Participants are responsible for investment decisions relating to the investment of assets in their account. In the event investment instructions are not received from the participant, contributions are allocated to the Plan's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TransCanada 401(k) and Savings Plan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qualified default option, the Vanguard Target Retirement funds, based upon the participant's expected retirement date.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237CC1"/>
        </w:rPr>
        <w:t>Investment in TC Energy Corporation</w:t>
      </w:r>
    </w:p>
    <w:p>
      <w:pPr>
        <w:spacing w:after="0" w:line="63" w:lineRule="exact"/>
        <w:rPr>
          <w:sz w:val="20"/>
          <w:szCs w:val="20"/>
          <w:color w:val="auto"/>
        </w:rPr>
      </w:pPr>
    </w:p>
    <w:p>
      <w:pPr>
        <w:ind w:right="40"/>
        <w:spacing w:after="0" w:line="310" w:lineRule="auto"/>
        <w:rPr>
          <w:sz w:val="20"/>
          <w:szCs w:val="20"/>
          <w:color w:val="auto"/>
        </w:rPr>
      </w:pPr>
      <w:r>
        <w:rPr>
          <w:rFonts w:ascii="Arial" w:cs="Arial" w:eastAsia="Arial" w:hAnsi="Arial"/>
          <w:sz w:val="18"/>
          <w:szCs w:val="18"/>
          <w:color w:val="auto"/>
        </w:rPr>
        <w:t>Investment options available to participants include a TC Energy Corporation (TC Energy) stock fund (the TC Energy Stock Fund). TC Energy is the indirect parent company to TCUSA. Participants may elect to invest up to 20 percent of contributions in the TC Energy Stock Fund. Participants may also elect to exchange up to 20 percent of their existing account balance into the TC Energy Stock Fund, subject to a 20 percent maximum account value. Additionally, no more than 20 percent of any rollover contribution can be invested in the TC Energy Stock Fund.</w:t>
      </w:r>
    </w:p>
    <w:p>
      <w:pPr>
        <w:spacing w:after="0" w:line="67" w:lineRule="exact"/>
        <w:rPr>
          <w:sz w:val="20"/>
          <w:szCs w:val="20"/>
          <w:color w:val="auto"/>
        </w:rPr>
      </w:pPr>
    </w:p>
    <w:p>
      <w:pPr>
        <w:ind w:right="40"/>
        <w:spacing w:after="0" w:line="314" w:lineRule="auto"/>
        <w:rPr>
          <w:sz w:val="20"/>
          <w:szCs w:val="20"/>
          <w:color w:val="auto"/>
        </w:rPr>
      </w:pPr>
      <w:r>
        <w:rPr>
          <w:rFonts w:ascii="Arial" w:cs="Arial" w:eastAsia="Arial" w:hAnsi="Arial"/>
          <w:sz w:val="18"/>
          <w:szCs w:val="18"/>
          <w:color w:val="auto"/>
        </w:rPr>
        <w:t>On October 1, 2024, the indirect parent company of TCUSA, TC Energy, completed the spinoff of its Liquids Pipelines business into the new public company, South Bow Corporation (South Bow) (the Spinoff Transaction). As part of the Spinoff Transaction, shareholders of TC Energy common stock in the Plan received one new TC Energy common share and 0.2 of a South Bow common stock in exchange for each TC Energy common share held. South Bow common stock as a result of the Spinoff Transaction can be held as an investment; however, any net new additional South Bow common stock are not available as an investment option under the Plan.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237CC1"/>
        </w:rPr>
        <w:t>Vesting</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immediately vested in their contributions, including rollovers, employer contributions and any earnings thereon</w:t>
      </w:r>
      <w:r>
        <w:rPr>
          <w:rFonts w:ascii="Arial" w:cs="Arial" w:eastAsia="Arial" w:hAnsi="Arial"/>
          <w:sz w:val="21"/>
          <w:szCs w:val="2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7CC1"/>
        </w:rPr>
        <w:t>Notes Receivable from Participants</w:t>
      </w:r>
    </w:p>
    <w:p>
      <w:pPr>
        <w:spacing w:after="0" w:line="63" w:lineRule="exact"/>
        <w:rPr>
          <w:sz w:val="20"/>
          <w:szCs w:val="20"/>
          <w:color w:val="auto"/>
        </w:rPr>
      </w:pPr>
    </w:p>
    <w:p>
      <w:pPr>
        <w:spacing w:after="0" w:line="307" w:lineRule="auto"/>
        <w:rPr>
          <w:sz w:val="20"/>
          <w:szCs w:val="20"/>
          <w:color w:val="auto"/>
        </w:rPr>
      </w:pPr>
      <w:r>
        <w:rPr>
          <w:rFonts w:ascii="Arial" w:cs="Arial" w:eastAsia="Arial" w:hAnsi="Arial"/>
          <w:sz w:val="18"/>
          <w:szCs w:val="18"/>
          <w:color w:val="auto"/>
        </w:rPr>
        <w:t>Participants may borrow from their fund accounts a minimum of $1,000 up to a maximum equal to the lesser of $50,000 reduced by the highest outstanding note balance in their account during the prior 12 month period or 50 percent of their vested account balance. Participants may only have two loans outstanding at any given time and may not refinance an existing loan or obtain an additional loan for the purpose of paying off an existing loan. Note terms range up to five years for general notes or up to 15 years for the purchase of a primary residence. The notes are secured by the balance in the participant’s account and bear interest at a reasonable interest rate, as determined by the Plan Administrator, based on prevailing market interest rates at the time. Interest rates remain fixed throughout the duration of the term. Interest rates on notes outstanding at December 31, 2025 and 2024 ranged from 3.25 percent to 9.5 percent. Principal and interest are paid through payroll deductions.</w:t>
      </w:r>
    </w:p>
    <w:p>
      <w:pPr>
        <w:spacing w:after="0" w:line="69" w:lineRule="exact"/>
        <w:rPr>
          <w:sz w:val="20"/>
          <w:szCs w:val="20"/>
          <w:color w:val="auto"/>
        </w:rPr>
      </w:pPr>
    </w:p>
    <w:p>
      <w:pPr>
        <w:jc w:val="both"/>
        <w:ind w:right="40"/>
        <w:spacing w:after="0" w:line="323" w:lineRule="auto"/>
        <w:rPr>
          <w:sz w:val="20"/>
          <w:szCs w:val="20"/>
          <w:color w:val="auto"/>
        </w:rPr>
      </w:pPr>
      <w:r>
        <w:rPr>
          <w:rFonts w:ascii="Arial" w:cs="Arial" w:eastAsia="Arial" w:hAnsi="Arial"/>
          <w:sz w:val="18"/>
          <w:szCs w:val="18"/>
          <w:color w:val="auto"/>
        </w:rPr>
        <w:t>A note receivable from a participant shall be considered in default if any scheduled repayment remains unpaid as of the last business day of the calendar quarter following the calendar quarter in which the note is initially considered past due. In the event of a default or termination of employment, the entire outstanding note and accrued interest is considered to be a deemed distribution to the participant.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237CC1"/>
        </w:rPr>
        <w:t>Payment of Benefits</w:t>
      </w:r>
    </w:p>
    <w:p>
      <w:pPr>
        <w:spacing w:after="0" w:line="63" w:lineRule="exact"/>
        <w:rPr>
          <w:sz w:val="20"/>
          <w:szCs w:val="20"/>
          <w:color w:val="auto"/>
        </w:rPr>
      </w:pPr>
    </w:p>
    <w:p>
      <w:pPr>
        <w:ind w:right="60"/>
        <w:spacing w:after="0" w:line="315" w:lineRule="auto"/>
        <w:rPr>
          <w:sz w:val="20"/>
          <w:szCs w:val="20"/>
          <w:color w:val="auto"/>
        </w:rPr>
      </w:pPr>
      <w:r>
        <w:rPr>
          <w:rFonts w:ascii="Arial" w:cs="Arial" w:eastAsia="Arial" w:hAnsi="Arial"/>
          <w:sz w:val="18"/>
          <w:szCs w:val="18"/>
          <w:color w:val="auto"/>
        </w:rPr>
        <w:t>Participants are eligible to request a distribution of their vested amounts upon retirement, death, disability, severance of employment with the Company or, in very limited circumstances, in the event of financial hardship. Participants may withdraw rollover contributions at any time. Distributions are made in the form of a lump-sum payment, installment payments or a rollover to another qualified account.</w:t>
      </w:r>
    </w:p>
    <w:p>
      <w:pPr>
        <w:spacing w:after="0" w:line="76" w:lineRule="exact"/>
        <w:rPr>
          <w:sz w:val="20"/>
          <w:szCs w:val="20"/>
          <w:color w:val="auto"/>
        </w:rPr>
      </w:pPr>
    </w:p>
    <w:p>
      <w:pPr>
        <w:ind w:right="180"/>
        <w:spacing w:after="0" w:line="334" w:lineRule="auto"/>
        <w:rPr>
          <w:sz w:val="20"/>
          <w:szCs w:val="20"/>
          <w:color w:val="auto"/>
        </w:rPr>
      </w:pPr>
      <w:r>
        <w:rPr>
          <w:rFonts w:ascii="Arial" w:cs="Arial" w:eastAsia="Arial" w:hAnsi="Arial"/>
          <w:sz w:val="18"/>
          <w:szCs w:val="18"/>
          <w:color w:val="auto"/>
        </w:rPr>
        <w:t>A participant’s normal retirement age is 65; however, participants may elect to withdraw all or a portion of their contributions after the age of 59½, subject to certain conditions.</w:t>
      </w:r>
    </w:p>
    <w:p>
      <w:pPr>
        <w:spacing w:after="0" w:line="31" w:lineRule="exact"/>
        <w:rPr>
          <w:sz w:val="20"/>
          <w:szCs w:val="20"/>
          <w:color w:val="auto"/>
        </w:rPr>
      </w:pPr>
    </w:p>
    <w:p>
      <w:pPr>
        <w:ind w:right="40"/>
        <w:spacing w:after="0" w:line="334" w:lineRule="auto"/>
        <w:rPr>
          <w:sz w:val="20"/>
          <w:szCs w:val="20"/>
          <w:color w:val="auto"/>
        </w:rPr>
      </w:pPr>
      <w:r>
        <w:rPr>
          <w:rFonts w:ascii="Arial" w:cs="Arial" w:eastAsia="Arial" w:hAnsi="Arial"/>
          <w:sz w:val="18"/>
          <w:szCs w:val="18"/>
          <w:color w:val="auto"/>
        </w:rPr>
        <w:t>In certain circumstances, participants may elect to withdraw all or a portion of their vested matching and profit sharing contributions that have been in their account for at least 24 months or after they have at least 60 months of participation in the Plan.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237CC1"/>
        </w:rPr>
        <w:t>Forfeitures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 participants are immediately 100 percent vested in their account balance, there are no forfeitures.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TransCanada 401(k) and Savings Plan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237CC1"/>
        </w:rPr>
        <w:t>Administrative Expenses</w:t>
      </w:r>
    </w:p>
    <w:p>
      <w:pPr>
        <w:spacing w:after="0" w:line="50" w:lineRule="exact"/>
        <w:rPr>
          <w:sz w:val="20"/>
          <w:szCs w:val="20"/>
          <w:color w:val="auto"/>
        </w:rPr>
      </w:pPr>
    </w:p>
    <w:p>
      <w:pPr>
        <w:ind w:right="200"/>
        <w:spacing w:after="0" w:line="314" w:lineRule="auto"/>
        <w:rPr>
          <w:sz w:val="20"/>
          <w:szCs w:val="20"/>
          <w:color w:val="auto"/>
        </w:rPr>
      </w:pPr>
      <w:r>
        <w:rPr>
          <w:rFonts w:ascii="Arial" w:cs="Arial" w:eastAsia="Arial" w:hAnsi="Arial"/>
          <w:sz w:val="18"/>
          <w:szCs w:val="18"/>
          <w:color w:val="auto"/>
        </w:rPr>
        <w:t>The Plan Administrator is responsible for filing all required reports on behalf of the Plan. The Company provides or pays for certain accounting, legal and management services on behalf of the Plan. The Company has not charged the Plan for these expenses or services. Loans and other transaction-specific fees are charged to the accounts of participants electing such transaction. Certain investment-related expenses, including management fees, are deducted from the funds in which the Plan invests, including those sponsored by an affiliate of Fidelity. These expenses are presented as a reduction of investment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237CC1"/>
        </w:rPr>
        <w:t>Plan Termination</w:t>
      </w:r>
    </w:p>
    <w:p>
      <w:pPr>
        <w:spacing w:after="0" w:line="50" w:lineRule="exact"/>
        <w:rPr>
          <w:sz w:val="20"/>
          <w:szCs w:val="20"/>
          <w:color w:val="auto"/>
        </w:rPr>
      </w:pPr>
    </w:p>
    <w:p>
      <w:pPr>
        <w:ind w:right="800"/>
        <w:spacing w:after="0" w:line="350" w:lineRule="auto"/>
        <w:rPr>
          <w:sz w:val="20"/>
          <w:szCs w:val="20"/>
          <w:color w:val="auto"/>
        </w:rPr>
      </w:pPr>
      <w:r>
        <w:rPr>
          <w:rFonts w:ascii="Arial" w:cs="Arial" w:eastAsia="Arial" w:hAnsi="Arial"/>
          <w:sz w:val="18"/>
          <w:szCs w:val="18"/>
          <w:color w:val="auto"/>
        </w:rPr>
        <w:t>Although it has not expressed any intent to do so, with approval from the Board, TCUSA has the right under the Plan to discontinue contributions at any time and to terminate the Plan, subject to the provisions of ERISA.</w:t>
      </w:r>
    </w:p>
    <w:p>
      <w:pPr>
        <w:spacing w:after="0" w:line="189" w:lineRule="exact"/>
        <w:rPr>
          <w:sz w:val="20"/>
          <w:szCs w:val="20"/>
          <w:color w:val="auto"/>
        </w:rPr>
      </w:pPr>
    </w:p>
    <w:p>
      <w:pPr>
        <w:spacing w:after="0"/>
        <w:rPr>
          <w:sz w:val="20"/>
          <w:szCs w:val="20"/>
          <w:color w:val="auto"/>
        </w:rPr>
      </w:pPr>
      <w:r>
        <w:rPr>
          <w:rFonts w:ascii="Arial" w:cs="Arial" w:eastAsia="Arial" w:hAnsi="Arial"/>
          <w:sz w:val="25"/>
          <w:szCs w:val="25"/>
          <w:color w:val="237CC1"/>
        </w:rPr>
        <w:t>2. Summary of accounting policies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237CC1"/>
        </w:rPr>
        <w:t>Basis of Accounting</w:t>
      </w:r>
    </w:p>
    <w:p>
      <w:pPr>
        <w:spacing w:after="0" w:line="63" w:lineRule="exact"/>
        <w:rPr>
          <w:sz w:val="20"/>
          <w:szCs w:val="20"/>
          <w:color w:val="auto"/>
        </w:rPr>
      </w:pPr>
    </w:p>
    <w:p>
      <w:pPr>
        <w:ind w:right="60"/>
        <w:spacing w:after="0" w:line="334" w:lineRule="auto"/>
        <w:rPr>
          <w:sz w:val="20"/>
          <w:szCs w:val="20"/>
          <w:color w:val="auto"/>
        </w:rPr>
      </w:pPr>
      <w:r>
        <w:rPr>
          <w:rFonts w:ascii="Arial" w:cs="Arial" w:eastAsia="Arial" w:hAnsi="Arial"/>
          <w:sz w:val="18"/>
          <w:szCs w:val="18"/>
          <w:color w:val="auto"/>
        </w:rPr>
        <w:t>The financial statements of the Plan are presented on an accrual basis of accounting in accordance with U.S. generally accepted accounting principles (GAAP). Amounts are stated in U.S. dollars unless otherwise indicated.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237CC1"/>
        </w:rPr>
        <w:t>Use of Estimates</w:t>
      </w:r>
    </w:p>
    <w:p>
      <w:pPr>
        <w:spacing w:after="0" w:line="63" w:lineRule="exact"/>
        <w:rPr>
          <w:sz w:val="20"/>
          <w:szCs w:val="20"/>
          <w:color w:val="auto"/>
        </w:rPr>
      </w:pPr>
    </w:p>
    <w:p>
      <w:pPr>
        <w:ind w:right="180"/>
        <w:spacing w:after="0" w:line="315"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changes therein, and disclosure of contingent assets and liabilities. Actual results could differ from these estimates.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237CC1"/>
        </w:rPr>
        <w:t>Investment Valuation and Income Recognition</w:t>
      </w:r>
    </w:p>
    <w:p>
      <w:pPr>
        <w:spacing w:after="0" w:line="50" w:lineRule="exact"/>
        <w:rPr>
          <w:sz w:val="20"/>
          <w:szCs w:val="20"/>
          <w:color w:val="auto"/>
        </w:rPr>
      </w:pPr>
    </w:p>
    <w:p>
      <w:pPr>
        <w:ind w:right="240"/>
        <w:spacing w:after="0" w:line="334" w:lineRule="auto"/>
        <w:rPr>
          <w:sz w:val="20"/>
          <w:szCs w:val="20"/>
          <w:color w:val="auto"/>
        </w:rPr>
      </w:pPr>
      <w:r>
        <w:rPr>
          <w:rFonts w:ascii="Arial" w:cs="Arial" w:eastAsia="Arial" w:hAnsi="Arial"/>
          <w:sz w:val="18"/>
          <w:szCs w:val="18"/>
          <w:color w:val="auto"/>
        </w:rPr>
        <w:t>The Plan’s investments are stated at fair value. Fair value is the price that would be received to sell an asset or paid to transfer a liability in an orderly transaction between market participants at the measurement date. See Note 3 for discussion of fair value measurements.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is recorded on the accrual basis and dividends are recorded on the ex-dividend date.</w:t>
      </w:r>
    </w:p>
    <w:p>
      <w:pPr>
        <w:spacing w:after="0" w:line="158" w:lineRule="exact"/>
        <w:rPr>
          <w:sz w:val="20"/>
          <w:szCs w:val="20"/>
          <w:color w:val="auto"/>
        </w:rPr>
      </w:pPr>
    </w:p>
    <w:p>
      <w:pPr>
        <w:ind w:right="40"/>
        <w:spacing w:after="0" w:line="323" w:lineRule="auto"/>
        <w:rPr>
          <w:sz w:val="20"/>
          <w:szCs w:val="20"/>
          <w:color w:val="auto"/>
        </w:rPr>
      </w:pPr>
      <w:r>
        <w:rPr>
          <w:rFonts w:ascii="Arial" w:cs="Arial" w:eastAsia="Arial" w:hAnsi="Arial"/>
          <w:sz w:val="18"/>
          <w:szCs w:val="18"/>
          <w:color w:val="auto"/>
        </w:rPr>
        <w:t>Net appreciation (depreciation) in fair value of investments consists of: (1) the unrealized gains or losses on investments held during the year and (2) the realized gains or losses recognized on the sale of investments during the year. Realized gains and losses from security transactions are reported on the average cost basis.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Purchases and sales of securities are recorded on a trade-date basis.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237CC1"/>
        </w:rPr>
        <w:t>Notes Receivable from Participants</w:t>
      </w:r>
    </w:p>
    <w:p>
      <w:pPr>
        <w:spacing w:after="0" w:line="63" w:lineRule="exact"/>
        <w:rPr>
          <w:sz w:val="20"/>
          <w:szCs w:val="20"/>
          <w:color w:val="auto"/>
        </w:rPr>
      </w:pPr>
    </w:p>
    <w:p>
      <w:pPr>
        <w:ind w:right="820"/>
        <w:spacing w:after="0" w:line="334" w:lineRule="auto"/>
        <w:rPr>
          <w:sz w:val="20"/>
          <w:szCs w:val="20"/>
          <w:color w:val="auto"/>
        </w:rPr>
      </w:pPr>
      <w:r>
        <w:rPr>
          <w:rFonts w:ascii="Arial" w:cs="Arial" w:eastAsia="Arial" w:hAnsi="Arial"/>
          <w:sz w:val="18"/>
          <w:szCs w:val="18"/>
          <w:color w:val="auto"/>
        </w:rPr>
        <w:t>Notes receivable from participants includes the unpaid principal balance plus any accrued interest. Defaulted notes receivable from participants are recorded as a distribution based upon the terms of the plan document.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237CC1"/>
        </w:rPr>
        <w:t>Contributions</w:t>
      </w:r>
    </w:p>
    <w:p>
      <w:pPr>
        <w:spacing w:after="0" w:line="63" w:lineRule="exact"/>
        <w:rPr>
          <w:sz w:val="20"/>
          <w:szCs w:val="20"/>
          <w:color w:val="auto"/>
        </w:rPr>
      </w:pPr>
    </w:p>
    <w:p>
      <w:pPr>
        <w:ind w:right="600"/>
        <w:spacing w:after="0" w:line="334" w:lineRule="auto"/>
        <w:rPr>
          <w:sz w:val="20"/>
          <w:szCs w:val="20"/>
          <w:color w:val="auto"/>
        </w:rPr>
      </w:pPr>
      <w:r>
        <w:rPr>
          <w:rFonts w:ascii="Arial" w:cs="Arial" w:eastAsia="Arial" w:hAnsi="Arial"/>
          <w:sz w:val="18"/>
          <w:szCs w:val="18"/>
          <w:color w:val="auto"/>
        </w:rPr>
        <w:t>Contributions from Plan participants and the matching contributions from the employer are recorded in the year in which the employee contributions are withheld from compensation.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237CC1"/>
        </w:rPr>
        <w:t>Other Revenue</w:t>
      </w:r>
    </w:p>
    <w:p>
      <w:pPr>
        <w:spacing w:after="0" w:line="63" w:lineRule="exact"/>
        <w:rPr>
          <w:sz w:val="20"/>
          <w:szCs w:val="20"/>
          <w:color w:val="auto"/>
        </w:rPr>
      </w:pPr>
    </w:p>
    <w:p>
      <w:pPr>
        <w:ind w:right="100"/>
        <w:spacing w:after="0" w:line="310" w:lineRule="auto"/>
        <w:rPr>
          <w:sz w:val="20"/>
          <w:szCs w:val="20"/>
          <w:color w:val="auto"/>
        </w:rPr>
      </w:pPr>
      <w:r>
        <w:rPr>
          <w:rFonts w:ascii="Arial" w:cs="Arial" w:eastAsia="Arial" w:hAnsi="Arial"/>
          <w:sz w:val="18"/>
          <w:szCs w:val="18"/>
          <w:color w:val="auto"/>
        </w:rPr>
        <w:t>Certain mutual fund companies share their management fees with the Trustee. The agreement between the Trustee and the Plan includes a revenue sharing arrangement whereby the Trustee shares this revenue with the Plan. These deposits are included in the other revenue amount in the Statement of changes in net assets available for benefits. The funds can be allocated to participants. Income from revenue sharing during 2025 was $384,506, none of which was used to pay plan expenses. During 2025, $280,103 was allocated to participants. At December 31, 2025, $106,765 remained available for future allocation to participants in the revenue sharing account (2024 – nil).</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TransCanada 401(k) and Savings Plan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8" w:name="page9"/>
    <w:bookmarkEnd w:id="8"/>
    <w:p>
      <w:pPr>
        <w:ind w:right="60"/>
        <w:spacing w:after="0" w:line="323" w:lineRule="auto"/>
        <w:rPr>
          <w:sz w:val="20"/>
          <w:szCs w:val="20"/>
          <w:color w:val="auto"/>
        </w:rPr>
      </w:pPr>
      <w:r>
        <w:rPr>
          <w:rFonts w:ascii="Arial" w:cs="Arial" w:eastAsia="Arial" w:hAnsi="Arial"/>
          <w:sz w:val="18"/>
          <w:szCs w:val="18"/>
          <w:color w:val="auto"/>
        </w:rPr>
        <w:t>Other revenue during 2025 also includes $8,323 from a class action lawsuit commenced by former shareholders of Columbia Pipeline Group Inc. (CPG) related to the acquisition of CPG by TC Energy in 2016. During 2025, $498,713 of the proceeds received in 2024 from the class action lawsuit was allocated to participants.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237CC1"/>
        </w:rPr>
        <w:t>Payment of Benefits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Benefits are recorded when paid.</w:t>
      </w:r>
    </w:p>
    <w:p>
      <w:pPr>
        <w:spacing w:after="0" w:line="316" w:lineRule="exact"/>
        <w:rPr>
          <w:sz w:val="20"/>
          <w:szCs w:val="20"/>
          <w:color w:val="auto"/>
        </w:rPr>
      </w:pPr>
    </w:p>
    <w:p>
      <w:pPr>
        <w:spacing w:after="0"/>
        <w:rPr>
          <w:sz w:val="20"/>
          <w:szCs w:val="20"/>
          <w:color w:val="auto"/>
        </w:rPr>
      </w:pPr>
      <w:r>
        <w:rPr>
          <w:rFonts w:ascii="Arial" w:cs="Arial" w:eastAsia="Arial" w:hAnsi="Arial"/>
          <w:sz w:val="25"/>
          <w:szCs w:val="25"/>
          <w:color w:val="237CC1"/>
        </w:rPr>
        <w:t>3. Investments</w:t>
      </w:r>
    </w:p>
    <w:p>
      <w:pPr>
        <w:spacing w:after="0" w:line="324" w:lineRule="exact"/>
        <w:rPr>
          <w:sz w:val="20"/>
          <w:szCs w:val="20"/>
          <w:color w:val="auto"/>
        </w:rPr>
      </w:pPr>
    </w:p>
    <w:p>
      <w:pPr>
        <w:ind w:right="140"/>
        <w:spacing w:after="0" w:line="310" w:lineRule="auto"/>
        <w:rPr>
          <w:sz w:val="20"/>
          <w:szCs w:val="20"/>
          <w:color w:val="auto"/>
        </w:rPr>
      </w:pPr>
      <w:r>
        <w:rPr>
          <w:rFonts w:ascii="Arial" w:cs="Arial" w:eastAsia="Arial" w:hAnsi="Arial"/>
          <w:sz w:val="18"/>
          <w:szCs w:val="18"/>
          <w:color w:val="auto"/>
        </w:rPr>
        <w:t>Participants direct the investment of their account balances into a broad range of investment securities offered by the Plan. Refer to Note 1, Description of plan, for additional information. Investment securities are exposed to various risks, such as counterparty credit risk, liquidity risk and market risk. Due to the level of risk associated with certain investment securities and the level of uncertainty related to changes in value of these investments, it is reasonably possible that changes in the values of investment securities may occur in the near term and that such changes could materially affect participant account balances and the amounts reported in the financial statements.</w:t>
      </w:r>
    </w:p>
    <w:p>
      <w:pPr>
        <w:spacing w:after="0" w:line="81" w:lineRule="exact"/>
        <w:rPr>
          <w:sz w:val="20"/>
          <w:szCs w:val="20"/>
          <w:color w:val="auto"/>
        </w:rPr>
      </w:pPr>
    </w:p>
    <w:p>
      <w:pPr>
        <w:ind w:right="160"/>
        <w:spacing w:after="0" w:line="314" w:lineRule="auto"/>
        <w:rPr>
          <w:sz w:val="20"/>
          <w:szCs w:val="20"/>
          <w:color w:val="auto"/>
        </w:rPr>
      </w:pPr>
      <w:r>
        <w:rPr>
          <w:rFonts w:ascii="Arial" w:cs="Arial" w:eastAsia="Arial" w:hAnsi="Arial"/>
          <w:sz w:val="18"/>
          <w:szCs w:val="18"/>
          <w:color w:val="auto"/>
        </w:rPr>
        <w:t>The Plan offers alternatives that may mitigate participant risks, including the opportunity to diversify investments across multiple participant-directed fund elections including active and passively managed funds covering multiple asset classes. Additionally, the investments within each participant-directed fund election are further diversified into various financial instruments, with the exception of the TC Energy Stock Fund, which invests in securities of a single issuer.</w:t>
      </w:r>
    </w:p>
    <w:p>
      <w:pPr>
        <w:spacing w:after="0" w:line="64" w:lineRule="exact"/>
        <w:rPr>
          <w:sz w:val="20"/>
          <w:szCs w:val="20"/>
          <w:color w:val="auto"/>
        </w:rPr>
      </w:pPr>
    </w:p>
    <w:p>
      <w:pPr>
        <w:ind w:right="140"/>
        <w:spacing w:after="0" w:line="323" w:lineRule="auto"/>
        <w:rPr>
          <w:sz w:val="20"/>
          <w:szCs w:val="20"/>
          <w:color w:val="auto"/>
        </w:rPr>
      </w:pPr>
      <w:r>
        <w:rPr>
          <w:rFonts w:ascii="Arial" w:cs="Arial" w:eastAsia="Arial" w:hAnsi="Arial"/>
          <w:sz w:val="18"/>
          <w:szCs w:val="18"/>
          <w:color w:val="auto"/>
        </w:rPr>
        <w:t>The Plan’s exposure to credit loss in the event of nonperformance of investments is limited to the carrying value of such instruments. The Plan’s concentrations of credit risk, interest rate risk and market risk are dictated by the Plan’s provisions as well as those of ERISA and the participants’ investment preference.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237CC1"/>
        </w:rPr>
        <w:t>Fair Value Hierarchy</w:t>
      </w:r>
    </w:p>
    <w:p>
      <w:pPr>
        <w:spacing w:after="0" w:line="50" w:lineRule="exact"/>
        <w:rPr>
          <w:sz w:val="20"/>
          <w:szCs w:val="20"/>
          <w:color w:val="auto"/>
        </w:rPr>
      </w:pPr>
    </w:p>
    <w:p>
      <w:pPr>
        <w:ind w:right="140"/>
        <w:spacing w:after="0" w:line="308" w:lineRule="auto"/>
        <w:rPr>
          <w:sz w:val="20"/>
          <w:szCs w:val="20"/>
          <w:color w:val="auto"/>
        </w:rPr>
      </w:pPr>
      <w:r>
        <w:rPr>
          <w:rFonts w:ascii="Arial" w:cs="Arial" w:eastAsia="Arial" w:hAnsi="Arial"/>
          <w:sz w:val="18"/>
          <w:szCs w:val="18"/>
          <w:color w:val="auto"/>
        </w:rPr>
        <w:t>The Plan’s financial assets and liabilities recorded at fair value have been categorized into three levels based on a fair value hierarchy. In Level I, the fair value of assets and liabilities is determined by reference to quoted prices in active markets for identical assets and liabilities. In Level II, determination of the fair value of assets and liabilities includes valuations using inputs, other than quoted prices, for which all significant inputs are observable, directly or indirectly. This category includes fair value determined using valuation techniques, such as option pricing models and extrapolation using observable inputs. In Level III, determination of the fair value of assets and liabilities is based on inputs that are not readily observable and are significant to the overall fair value measurement. There were no Level II or Level III investments or transfers between levels in 2025 or 2024.</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Interest bearing cash: </w:t>
      </w:r>
      <w:r>
        <w:rPr>
          <w:rFonts w:ascii="Arial" w:cs="Arial" w:eastAsia="Arial" w:hAnsi="Arial"/>
          <w:sz w:val="18"/>
          <w:szCs w:val="18"/>
          <w:color w:val="auto"/>
        </w:rPr>
        <w:t>Stated at cost which approximates fair value.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Common stock and exchange-traded funds: </w:t>
      </w:r>
      <w:r>
        <w:rPr>
          <w:rFonts w:ascii="Arial" w:cs="Arial" w:eastAsia="Arial" w:hAnsi="Arial"/>
          <w:sz w:val="18"/>
          <w:szCs w:val="18"/>
          <w:color w:val="auto"/>
        </w:rPr>
        <w:t>Valued at the closing price reported on the New York Stock Exchange.</w:t>
      </w:r>
    </w:p>
    <w:p>
      <w:pPr>
        <w:spacing w:after="0" w:line="158" w:lineRule="exact"/>
        <w:rPr>
          <w:sz w:val="20"/>
          <w:szCs w:val="20"/>
          <w:color w:val="auto"/>
        </w:rPr>
      </w:pPr>
    </w:p>
    <w:p>
      <w:pPr>
        <w:ind w:right="80"/>
        <w:spacing w:after="0" w:line="323" w:lineRule="auto"/>
        <w:rPr>
          <w:sz w:val="20"/>
          <w:szCs w:val="20"/>
          <w:color w:val="auto"/>
        </w:rPr>
      </w:pPr>
      <w:r>
        <w:rPr>
          <w:rFonts w:ascii="Arial" w:cs="Arial" w:eastAsia="Arial" w:hAnsi="Arial"/>
          <w:sz w:val="18"/>
          <w:szCs w:val="18"/>
          <w:b w:val="1"/>
          <w:bCs w:val="1"/>
          <w:i w:val="1"/>
          <w:iCs w:val="1"/>
          <w:color w:val="auto"/>
        </w:rPr>
        <w:t xml:space="preserve">Mutual funds: </w:t>
      </w:r>
      <w:r>
        <w:rPr>
          <w:rFonts w:ascii="Arial" w:cs="Arial" w:eastAsia="Arial" w:hAnsi="Arial"/>
          <w:sz w:val="18"/>
          <w:szCs w:val="18"/>
          <w:color w:val="auto"/>
        </w:rPr>
        <w:t>Valued at the daily closing price reported by the fund. Mutual funds held by the Plan are open end mutual funds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with the Securities and Exchange Commission. These funds are required to publish their daily net asset value and transact at that price. The mutual funds held by the Plan are deemed to be actively traded.</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Participant directed brokerage account: </w:t>
      </w:r>
      <w:r>
        <w:rPr>
          <w:rFonts w:ascii="Arial" w:cs="Arial" w:eastAsia="Arial" w:hAnsi="Arial"/>
          <w:sz w:val="18"/>
          <w:szCs w:val="18"/>
          <w:color w:val="auto"/>
        </w:rPr>
        <w:t>Consists of mutual funds, exchange-traded funds and interest bearing cash.</w:t>
      </w:r>
    </w:p>
    <w:p>
      <w:pPr>
        <w:spacing w:after="0" w:line="171" w:lineRule="exact"/>
        <w:rPr>
          <w:sz w:val="20"/>
          <w:szCs w:val="20"/>
          <w:color w:val="auto"/>
        </w:rPr>
      </w:pPr>
    </w:p>
    <w:p>
      <w:pPr>
        <w:jc w:val="both"/>
        <w:ind w:right="80"/>
        <w:spacing w:after="0" w:line="314" w:lineRule="auto"/>
        <w:rPr>
          <w:sz w:val="20"/>
          <w:szCs w:val="20"/>
          <w:color w:val="auto"/>
        </w:rPr>
      </w:pPr>
      <w:r>
        <w:rPr>
          <w:rFonts w:ascii="Arial" w:cs="Arial" w:eastAsia="Arial" w:hAnsi="Arial"/>
          <w:sz w:val="18"/>
          <w:szCs w:val="18"/>
          <w:b w:val="1"/>
          <w:bCs w:val="1"/>
          <w:i w:val="1"/>
          <w:iCs w:val="1"/>
          <w:color w:val="auto"/>
        </w:rPr>
        <w:t xml:space="preserve">Common collective trusts: </w:t>
      </w:r>
      <w:r>
        <w:rPr>
          <w:rFonts w:ascii="Arial" w:cs="Arial" w:eastAsia="Arial" w:hAnsi="Arial"/>
          <w:sz w:val="18"/>
          <w:szCs w:val="18"/>
          <w:color w:val="auto"/>
        </w:rPr>
        <w:t>Common collective trusts hold underlying investments that have prices which are derived from quoted prices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active markets. The fair value of the Plan's interest in these funds is based on the funds' daily net asset value (NAV), which is considered to be the best approximation of fair value. The funds’ underlying assets are principally short-term money market funds, marketable equities and fixed income securities.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TransCanada 401(k) and Savings Plan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9" w:name="page10"/>
    <w:bookmarkEnd w:id="9"/>
    <w:p>
      <w:pPr>
        <w:spacing w:after="0" w:line="323" w:lineRule="auto"/>
        <w:rPr>
          <w:sz w:val="20"/>
          <w:szCs w:val="20"/>
          <w:color w:val="auto"/>
        </w:rPr>
      </w:pPr>
      <w:r>
        <w:rPr>
          <w:rFonts w:ascii="Arial" w:cs="Arial" w:eastAsia="Arial" w:hAnsi="Arial"/>
          <w:sz w:val="18"/>
          <w:szCs w:val="18"/>
          <w:color w:val="auto"/>
        </w:rPr>
        <w:t>Units held in common collective trusts are valued at the unit value as reported by the investment managers as of December 31, 2025 and 2024. Participants are allowed to redeem units of common collective trusts held by the Plan on a daily basis; however, the Plan is subject to a twelve-month redemption notice period for the Mellon Stable Value Fund. There are no unfunded commitments.</w:t>
      </w:r>
    </w:p>
    <w:p>
      <w:pPr>
        <w:spacing w:after="0" w:line="55" w:lineRule="exact"/>
        <w:rPr>
          <w:sz w:val="20"/>
          <w:szCs w:val="20"/>
          <w:color w:val="auto"/>
        </w:rPr>
      </w:pPr>
    </w:p>
    <w:p>
      <w:pPr>
        <w:jc w:val="both"/>
        <w:ind w:right="300"/>
        <w:spacing w:after="0" w:line="314" w:lineRule="auto"/>
        <w:rPr>
          <w:sz w:val="20"/>
          <w:szCs w:val="20"/>
          <w:color w:val="auto"/>
        </w:rPr>
      </w:pPr>
      <w:r>
        <w:rPr>
          <w:rFonts w:ascii="Arial" w:cs="Arial" w:eastAsia="Arial" w:hAnsi="Arial"/>
          <w:sz w:val="18"/>
          <w:szCs w:val="18"/>
          <w:color w:val="auto"/>
        </w:rPr>
        <w:t>The method described above for common collective trusts may produce a fair value calculation that may not be indicative of net realizable value or reflective of future fair values. Furthermore, while the Plan’s valuation methods are appropriate and consistent with other market participants, the use of different methodologies or assumptions to determine the fair value of certain financial instruments could result in a different estimate of fair value at the reporting date.</w:t>
      </w:r>
    </w:p>
    <w:p>
      <w:pPr>
        <w:spacing w:after="0" w:line="64" w:lineRule="exact"/>
        <w:rPr>
          <w:sz w:val="20"/>
          <w:szCs w:val="20"/>
          <w:color w:val="auto"/>
        </w:rPr>
      </w:pPr>
    </w:p>
    <w:p>
      <w:pPr>
        <w:ind w:right="80"/>
        <w:spacing w:after="0" w:line="323" w:lineRule="auto"/>
        <w:rPr>
          <w:sz w:val="20"/>
          <w:szCs w:val="20"/>
          <w:color w:val="auto"/>
        </w:rPr>
      </w:pPr>
      <w:r>
        <w:rPr>
          <w:rFonts w:ascii="Arial" w:cs="Arial" w:eastAsia="Arial" w:hAnsi="Arial"/>
          <w:sz w:val="18"/>
          <w:szCs w:val="18"/>
          <w:color w:val="auto"/>
        </w:rPr>
        <w:t>The following tables set forth, by level within the fair value hierarchy, the Plan’s investment assets at fair value as of December 31, 2025 and 2024. As required, assets and liabilities are classified in their entirety based on the lowest level of input that is significant to the fair value measurement: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20" w:type="dxa"/>
            <w:vAlign w:val="bottom"/>
            <w:tcBorders>
              <w:top w:val="single" w:sz="8" w:color="237CC1"/>
              <w:bottom w:val="single" w:sz="8" w:color="D1D0CF"/>
            </w:tcBorders>
            <w:shd w:val="clear" w:color="auto" w:fill="D1D0CF"/>
          </w:tcPr>
          <w:p>
            <w:pPr>
              <w:spacing w:after="0"/>
              <w:rPr>
                <w:sz w:val="19"/>
                <w:szCs w:val="19"/>
                <w:color w:val="auto"/>
              </w:rPr>
            </w:pPr>
          </w:p>
        </w:tc>
        <w:tc>
          <w:tcPr>
            <w:tcW w:w="1440" w:type="dxa"/>
            <w:vAlign w:val="bottom"/>
            <w:tcBorders>
              <w:top w:val="single" w:sz="8" w:color="237CC1"/>
              <w:bottom w:val="single" w:sz="8" w:color="237CC1"/>
            </w:tcBorders>
            <w:shd w:val="clear" w:color="auto" w:fill="D1D0CF"/>
          </w:tcPr>
          <w:p>
            <w:pPr>
              <w:spacing w:after="0"/>
              <w:rPr>
                <w:sz w:val="19"/>
                <w:szCs w:val="19"/>
                <w:color w:val="auto"/>
              </w:rPr>
            </w:pPr>
          </w:p>
        </w:tc>
        <w:tc>
          <w:tcPr>
            <w:tcW w:w="4200" w:type="dxa"/>
            <w:vAlign w:val="bottom"/>
            <w:tcBorders>
              <w:top w:val="single" w:sz="8" w:color="237CC1"/>
              <w:bottom w:val="single" w:sz="8" w:color="237CC1"/>
            </w:tcBorders>
            <w:gridSpan w:val="3"/>
            <w:shd w:val="clear" w:color="auto" w:fill="D1D0CF"/>
          </w:tcPr>
          <w:p>
            <w:pPr>
              <w:ind w:left="160"/>
              <w:spacing w:after="0"/>
              <w:rPr>
                <w:sz w:val="20"/>
                <w:szCs w:val="20"/>
                <w:color w:val="auto"/>
              </w:rPr>
            </w:pPr>
            <w:r>
              <w:rPr>
                <w:rFonts w:ascii="Arial" w:cs="Arial" w:eastAsia="Arial" w:hAnsi="Arial"/>
                <w:sz w:val="16"/>
                <w:szCs w:val="16"/>
                <w:b w:val="1"/>
                <w:bCs w:val="1"/>
                <w:color w:val="auto"/>
              </w:rPr>
              <w:t>Fair Value Measurements at December 31, 2025</w:t>
            </w:r>
          </w:p>
        </w:tc>
        <w:tc>
          <w:tcPr>
            <w:tcW w:w="1180" w:type="dxa"/>
            <w:vAlign w:val="bottom"/>
            <w:tcBorders>
              <w:top w:val="single" w:sz="8" w:color="237CC1"/>
              <w:bottom w:val="single" w:sz="8" w:color="237CC1"/>
            </w:tcBorders>
            <w:shd w:val="clear" w:color="auto" w:fill="D1D0CF"/>
          </w:tcPr>
          <w:p>
            <w:pPr>
              <w:spacing w:after="0"/>
              <w:rPr>
                <w:sz w:val="19"/>
                <w:szCs w:val="19"/>
                <w:color w:val="auto"/>
              </w:rPr>
            </w:pPr>
          </w:p>
        </w:tc>
      </w:tr>
      <w:tr>
        <w:trPr>
          <w:trHeight w:val="210"/>
        </w:trPr>
        <w:tc>
          <w:tcPr>
            <w:tcW w:w="4420" w:type="dxa"/>
            <w:vAlign w:val="bottom"/>
            <w:tcBorders>
              <w:bottom w:val="single" w:sz="8" w:color="237CC1"/>
            </w:tcBorders>
            <w:shd w:val="clear" w:color="auto" w:fill="D1D0CF"/>
          </w:tcPr>
          <w:p>
            <w:pPr>
              <w:ind w:left="20"/>
              <w:spacing w:after="0"/>
              <w:rPr>
                <w:sz w:val="20"/>
                <w:szCs w:val="20"/>
                <w:color w:val="auto"/>
              </w:rPr>
            </w:pPr>
            <w:r>
              <w:rPr>
                <w:rFonts w:ascii="Arial" w:cs="Arial" w:eastAsia="Arial" w:hAnsi="Arial"/>
                <w:sz w:val="16"/>
                <w:szCs w:val="16"/>
                <w:color w:val="auto"/>
              </w:rPr>
              <w:t>(thousands of U.S. dollars)</w:t>
            </w:r>
          </w:p>
        </w:tc>
        <w:tc>
          <w:tcPr>
            <w:tcW w:w="1440" w:type="dxa"/>
            <w:vAlign w:val="bottom"/>
            <w:tcBorders>
              <w:bottom w:val="single" w:sz="8" w:color="237CC1"/>
            </w:tcBorders>
            <w:shd w:val="clear" w:color="auto" w:fill="D1D0CF"/>
          </w:tcPr>
          <w:p>
            <w:pPr>
              <w:jc w:val="right"/>
              <w:ind w:right="479"/>
              <w:spacing w:after="0"/>
              <w:rPr>
                <w:sz w:val="20"/>
                <w:szCs w:val="20"/>
                <w:color w:val="auto"/>
              </w:rPr>
            </w:pPr>
            <w:r>
              <w:rPr>
                <w:rFonts w:ascii="Arial" w:cs="Arial" w:eastAsia="Arial" w:hAnsi="Arial"/>
                <w:sz w:val="16"/>
                <w:szCs w:val="16"/>
                <w:b w:val="1"/>
                <w:bCs w:val="1"/>
                <w:color w:val="auto"/>
              </w:rPr>
              <w:t>Total</w:t>
            </w:r>
          </w:p>
        </w:tc>
        <w:tc>
          <w:tcPr>
            <w:tcW w:w="1460" w:type="dxa"/>
            <w:vAlign w:val="bottom"/>
            <w:tcBorders>
              <w:bottom w:val="single" w:sz="8" w:color="237CC1"/>
            </w:tcBorders>
            <w:shd w:val="clear" w:color="auto" w:fill="D1D0CF"/>
          </w:tcPr>
          <w:p>
            <w:pPr>
              <w:jc w:val="right"/>
              <w:ind w:right="519"/>
              <w:spacing w:after="0"/>
              <w:rPr>
                <w:sz w:val="20"/>
                <w:szCs w:val="20"/>
                <w:color w:val="auto"/>
              </w:rPr>
            </w:pPr>
            <w:r>
              <w:rPr>
                <w:rFonts w:ascii="Arial" w:cs="Arial" w:eastAsia="Arial" w:hAnsi="Arial"/>
                <w:sz w:val="16"/>
                <w:szCs w:val="16"/>
                <w:b w:val="1"/>
                <w:bCs w:val="1"/>
                <w:color w:val="auto"/>
              </w:rPr>
              <w:t>Level I</w:t>
            </w:r>
          </w:p>
        </w:tc>
        <w:tc>
          <w:tcPr>
            <w:tcW w:w="1340" w:type="dxa"/>
            <w:vAlign w:val="bottom"/>
            <w:tcBorders>
              <w:bottom w:val="single" w:sz="8" w:color="237CC1"/>
            </w:tcBorders>
            <w:shd w:val="clear" w:color="auto" w:fill="D1D0CF"/>
          </w:tcPr>
          <w:p>
            <w:pPr>
              <w:ind w:left="240"/>
              <w:spacing w:after="0"/>
              <w:rPr>
                <w:sz w:val="20"/>
                <w:szCs w:val="20"/>
                <w:color w:val="auto"/>
              </w:rPr>
            </w:pPr>
            <w:r>
              <w:rPr>
                <w:rFonts w:ascii="Arial" w:cs="Arial" w:eastAsia="Arial" w:hAnsi="Arial"/>
                <w:sz w:val="16"/>
                <w:szCs w:val="16"/>
                <w:b w:val="1"/>
                <w:bCs w:val="1"/>
                <w:color w:val="auto"/>
              </w:rPr>
              <w:t>Level II</w:t>
            </w:r>
          </w:p>
        </w:tc>
        <w:tc>
          <w:tcPr>
            <w:tcW w:w="1400" w:type="dxa"/>
            <w:vAlign w:val="bottom"/>
            <w:tcBorders>
              <w:bottom w:val="single" w:sz="8" w:color="237CC1"/>
            </w:tcBorders>
            <w:shd w:val="clear" w:color="auto" w:fill="D1D0CF"/>
          </w:tcPr>
          <w:p>
            <w:pPr>
              <w:ind w:left="240"/>
              <w:spacing w:after="0"/>
              <w:rPr>
                <w:sz w:val="20"/>
                <w:szCs w:val="20"/>
                <w:color w:val="auto"/>
              </w:rPr>
            </w:pPr>
            <w:r>
              <w:rPr>
                <w:rFonts w:ascii="Arial" w:cs="Arial" w:eastAsia="Arial" w:hAnsi="Arial"/>
                <w:sz w:val="16"/>
                <w:szCs w:val="16"/>
                <w:b w:val="1"/>
                <w:bCs w:val="1"/>
                <w:color w:val="auto"/>
              </w:rPr>
              <w:t>Level III</w:t>
            </w:r>
          </w:p>
        </w:tc>
        <w:tc>
          <w:tcPr>
            <w:tcW w:w="1180" w:type="dxa"/>
            <w:vAlign w:val="bottom"/>
            <w:tcBorders>
              <w:bottom w:val="single" w:sz="8" w:color="237CC1"/>
            </w:tcBorders>
            <w:shd w:val="clear" w:color="auto" w:fill="D1D0CF"/>
          </w:tcPr>
          <w:p>
            <w:pPr>
              <w:jc w:val="right"/>
              <w:ind w:right="359"/>
              <w:spacing w:after="0" w:line="210" w:lineRule="exact"/>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1</w:t>
            </w:r>
          </w:p>
        </w:tc>
      </w:tr>
      <w:tr>
        <w:trPr>
          <w:trHeight w:val="34"/>
        </w:trPr>
        <w:tc>
          <w:tcPr>
            <w:tcW w:w="4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bearing cash</w:t>
            </w: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w:t>
            </w:r>
          </w:p>
        </w:tc>
        <w:tc>
          <w:tcPr>
            <w:tcW w:w="14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w:t>
            </w:r>
          </w:p>
        </w:tc>
        <w:tc>
          <w:tcPr>
            <w:tcW w:w="1340" w:type="dxa"/>
            <w:vAlign w:val="bottom"/>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Mutual funds</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183,029</w:t>
            </w:r>
          </w:p>
        </w:tc>
        <w:tc>
          <w:tcPr>
            <w:tcW w:w="1460" w:type="dxa"/>
            <w:vAlign w:val="bottom"/>
          </w:tcPr>
          <w:p>
            <w:pPr>
              <w:jc w:val="right"/>
              <w:ind w:right="159"/>
              <w:spacing w:after="0"/>
              <w:rPr>
                <w:sz w:val="20"/>
                <w:szCs w:val="20"/>
                <w:color w:val="auto"/>
              </w:rPr>
            </w:pPr>
            <w:r>
              <w:rPr>
                <w:rFonts w:ascii="Arial" w:cs="Arial" w:eastAsia="Arial" w:hAnsi="Arial"/>
                <w:sz w:val="16"/>
                <w:szCs w:val="16"/>
                <w:color w:val="auto"/>
              </w:rPr>
              <w:t>183,029</w:t>
            </w:r>
          </w:p>
        </w:tc>
        <w:tc>
          <w:tcPr>
            <w:tcW w:w="1340" w:type="dxa"/>
            <w:vAlign w:val="bottom"/>
          </w:tcPr>
          <w:p>
            <w:pPr>
              <w:ind w:left="960"/>
              <w:spacing w:after="0"/>
              <w:rPr>
                <w:sz w:val="20"/>
                <w:szCs w:val="20"/>
                <w:color w:val="auto"/>
              </w:rPr>
            </w:pPr>
            <w:r>
              <w:rPr>
                <w:rFonts w:ascii="Arial" w:cs="Arial" w:eastAsia="Arial" w:hAnsi="Arial"/>
                <w:sz w:val="16"/>
                <w:szCs w:val="16"/>
                <w:color w:val="auto"/>
              </w:rPr>
              <w:t>—</w:t>
            </w:r>
          </w:p>
        </w:tc>
        <w:tc>
          <w:tcPr>
            <w:tcW w:w="1400" w:type="dxa"/>
            <w:vAlign w:val="bottom"/>
          </w:tcPr>
          <w:p>
            <w:pPr>
              <w:ind w:left="9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Participant directed brokerage account</w:t>
            </w: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14,541</w:t>
            </w:r>
          </w:p>
        </w:tc>
        <w:tc>
          <w:tcPr>
            <w:tcW w:w="14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14,541</w:t>
            </w:r>
          </w:p>
        </w:tc>
        <w:tc>
          <w:tcPr>
            <w:tcW w:w="1340" w:type="dxa"/>
            <w:vAlign w:val="bottom"/>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420" w:type="dxa"/>
            <w:vAlign w:val="bottom"/>
          </w:tcPr>
          <w:p>
            <w:pPr>
              <w:ind w:left="20"/>
              <w:spacing w:after="0"/>
              <w:rPr>
                <w:sz w:val="20"/>
                <w:szCs w:val="20"/>
                <w:color w:val="auto"/>
              </w:rPr>
            </w:pPr>
            <w:r>
              <w:rPr>
                <w:rFonts w:ascii="Arial" w:cs="Arial" w:eastAsia="Arial" w:hAnsi="Arial"/>
                <w:sz w:val="16"/>
                <w:szCs w:val="16"/>
                <w:color w:val="auto"/>
              </w:rPr>
              <w:t>Common collective trusts</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1,083,323</w:t>
            </w:r>
          </w:p>
        </w:tc>
        <w:tc>
          <w:tcPr>
            <w:tcW w:w="14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tcPr>
          <w:p>
            <w:pPr>
              <w:ind w:left="960"/>
              <w:spacing w:after="0"/>
              <w:rPr>
                <w:sz w:val="20"/>
                <w:szCs w:val="20"/>
                <w:color w:val="auto"/>
              </w:rPr>
            </w:pPr>
            <w:r>
              <w:rPr>
                <w:rFonts w:ascii="Arial" w:cs="Arial" w:eastAsia="Arial" w:hAnsi="Arial"/>
                <w:sz w:val="16"/>
                <w:szCs w:val="16"/>
                <w:color w:val="auto"/>
              </w:rPr>
              <w:t>—</w:t>
            </w:r>
          </w:p>
        </w:tc>
        <w:tc>
          <w:tcPr>
            <w:tcW w:w="1400" w:type="dxa"/>
            <w:vAlign w:val="bottom"/>
          </w:tcPr>
          <w:p>
            <w:pPr>
              <w:ind w:left="9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1,083,323</w:t>
            </w:r>
          </w:p>
        </w:tc>
      </w:tr>
      <w:tr>
        <w:trPr>
          <w:trHeight w:val="217"/>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TC Energy common stock</w:t>
            </w: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11,733</w:t>
            </w:r>
          </w:p>
        </w:tc>
        <w:tc>
          <w:tcPr>
            <w:tcW w:w="14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11,733</w:t>
            </w:r>
          </w:p>
        </w:tc>
        <w:tc>
          <w:tcPr>
            <w:tcW w:w="1340" w:type="dxa"/>
            <w:vAlign w:val="bottom"/>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South Bow common stock</w:t>
            </w: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990</w:t>
            </w:r>
          </w:p>
        </w:tc>
        <w:tc>
          <w:tcPr>
            <w:tcW w:w="14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990</w:t>
            </w:r>
          </w:p>
        </w:tc>
        <w:tc>
          <w:tcPr>
            <w:tcW w:w="134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4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1,293,625</w:t>
            </w:r>
          </w:p>
        </w:tc>
        <w:tc>
          <w:tcPr>
            <w:tcW w:w="14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210,302</w:t>
            </w:r>
          </w:p>
        </w:tc>
        <w:tc>
          <w:tcPr>
            <w:tcW w:w="134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1,083,323</w:t>
            </w:r>
          </w:p>
        </w:tc>
      </w:tr>
    </w:tbl>
    <w:p>
      <w:pPr>
        <w:spacing w:after="0" w:line="193"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3"/>
          <w:szCs w:val="13"/>
          <w:color w:val="auto"/>
        </w:rPr>
      </w:pPr>
      <w:r>
        <w:rPr>
          <w:rFonts w:ascii="Arial" w:cs="Arial" w:eastAsia="Arial" w:hAnsi="Arial"/>
          <w:sz w:val="14"/>
          <w:szCs w:val="14"/>
          <w:color w:val="auto"/>
        </w:rPr>
        <w:t>Fair value is measured using net asset value as a practical expedient, and is therefore excluded from the fair value hierarchy.</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20" w:type="dxa"/>
            <w:vAlign w:val="bottom"/>
            <w:tcBorders>
              <w:top w:val="single" w:sz="8" w:color="237CC1"/>
              <w:bottom w:val="single" w:sz="8" w:color="D1D0CF"/>
            </w:tcBorders>
            <w:shd w:val="clear" w:color="auto" w:fill="D1D0CF"/>
          </w:tcPr>
          <w:p>
            <w:pPr>
              <w:spacing w:after="0"/>
              <w:rPr>
                <w:sz w:val="19"/>
                <w:szCs w:val="19"/>
                <w:color w:val="auto"/>
              </w:rPr>
            </w:pPr>
          </w:p>
        </w:tc>
        <w:tc>
          <w:tcPr>
            <w:tcW w:w="1440" w:type="dxa"/>
            <w:vAlign w:val="bottom"/>
            <w:tcBorders>
              <w:top w:val="single" w:sz="8" w:color="237CC1"/>
              <w:bottom w:val="single" w:sz="8" w:color="237CC1"/>
            </w:tcBorders>
            <w:shd w:val="clear" w:color="auto" w:fill="D1D0CF"/>
          </w:tcPr>
          <w:p>
            <w:pPr>
              <w:spacing w:after="0"/>
              <w:rPr>
                <w:sz w:val="19"/>
                <w:szCs w:val="19"/>
                <w:color w:val="auto"/>
              </w:rPr>
            </w:pPr>
          </w:p>
        </w:tc>
        <w:tc>
          <w:tcPr>
            <w:tcW w:w="4200" w:type="dxa"/>
            <w:vAlign w:val="bottom"/>
            <w:tcBorders>
              <w:top w:val="single" w:sz="8" w:color="237CC1"/>
              <w:bottom w:val="single" w:sz="8" w:color="237CC1"/>
            </w:tcBorders>
            <w:gridSpan w:val="3"/>
            <w:shd w:val="clear" w:color="auto" w:fill="D1D0CF"/>
          </w:tcPr>
          <w:p>
            <w:pPr>
              <w:ind w:left="160"/>
              <w:spacing w:after="0"/>
              <w:rPr>
                <w:sz w:val="20"/>
                <w:szCs w:val="20"/>
                <w:color w:val="auto"/>
              </w:rPr>
            </w:pPr>
            <w:r>
              <w:rPr>
                <w:rFonts w:ascii="Arial" w:cs="Arial" w:eastAsia="Arial" w:hAnsi="Arial"/>
                <w:sz w:val="16"/>
                <w:szCs w:val="16"/>
                <w:b w:val="1"/>
                <w:bCs w:val="1"/>
                <w:color w:val="auto"/>
              </w:rPr>
              <w:t>Fair Value Measurements at December 31, 2024</w:t>
            </w:r>
          </w:p>
        </w:tc>
        <w:tc>
          <w:tcPr>
            <w:tcW w:w="1180" w:type="dxa"/>
            <w:vAlign w:val="bottom"/>
            <w:tcBorders>
              <w:top w:val="single" w:sz="8" w:color="237CC1"/>
              <w:bottom w:val="single" w:sz="8" w:color="237CC1"/>
            </w:tcBorders>
            <w:shd w:val="clear" w:color="auto" w:fill="D1D0CF"/>
          </w:tcPr>
          <w:p>
            <w:pPr>
              <w:spacing w:after="0"/>
              <w:rPr>
                <w:sz w:val="19"/>
                <w:szCs w:val="19"/>
                <w:color w:val="auto"/>
              </w:rPr>
            </w:pPr>
          </w:p>
        </w:tc>
      </w:tr>
      <w:tr>
        <w:trPr>
          <w:trHeight w:val="210"/>
        </w:trPr>
        <w:tc>
          <w:tcPr>
            <w:tcW w:w="4420" w:type="dxa"/>
            <w:vAlign w:val="bottom"/>
            <w:tcBorders>
              <w:bottom w:val="single" w:sz="8" w:color="237CC1"/>
            </w:tcBorders>
            <w:shd w:val="clear" w:color="auto" w:fill="D1D0CF"/>
          </w:tcPr>
          <w:p>
            <w:pPr>
              <w:ind w:left="20"/>
              <w:spacing w:after="0"/>
              <w:rPr>
                <w:sz w:val="20"/>
                <w:szCs w:val="20"/>
                <w:color w:val="auto"/>
              </w:rPr>
            </w:pPr>
            <w:r>
              <w:rPr>
                <w:rFonts w:ascii="Arial" w:cs="Arial" w:eastAsia="Arial" w:hAnsi="Arial"/>
                <w:sz w:val="16"/>
                <w:szCs w:val="16"/>
                <w:color w:val="auto"/>
              </w:rPr>
              <w:t>(thousands of U.S. dollars)</w:t>
            </w:r>
          </w:p>
        </w:tc>
        <w:tc>
          <w:tcPr>
            <w:tcW w:w="1440" w:type="dxa"/>
            <w:vAlign w:val="bottom"/>
            <w:tcBorders>
              <w:bottom w:val="single" w:sz="8" w:color="237CC1"/>
            </w:tcBorders>
            <w:shd w:val="clear" w:color="auto" w:fill="D1D0CF"/>
          </w:tcPr>
          <w:p>
            <w:pPr>
              <w:jc w:val="right"/>
              <w:ind w:right="479"/>
              <w:spacing w:after="0"/>
              <w:rPr>
                <w:sz w:val="20"/>
                <w:szCs w:val="20"/>
                <w:color w:val="auto"/>
              </w:rPr>
            </w:pPr>
            <w:r>
              <w:rPr>
                <w:rFonts w:ascii="Arial" w:cs="Arial" w:eastAsia="Arial" w:hAnsi="Arial"/>
                <w:sz w:val="16"/>
                <w:szCs w:val="16"/>
                <w:b w:val="1"/>
                <w:bCs w:val="1"/>
                <w:color w:val="auto"/>
              </w:rPr>
              <w:t>Total</w:t>
            </w:r>
          </w:p>
        </w:tc>
        <w:tc>
          <w:tcPr>
            <w:tcW w:w="1460" w:type="dxa"/>
            <w:vAlign w:val="bottom"/>
            <w:tcBorders>
              <w:bottom w:val="single" w:sz="8" w:color="237CC1"/>
            </w:tcBorders>
            <w:shd w:val="clear" w:color="auto" w:fill="D1D0CF"/>
          </w:tcPr>
          <w:p>
            <w:pPr>
              <w:jc w:val="right"/>
              <w:ind w:right="519"/>
              <w:spacing w:after="0"/>
              <w:rPr>
                <w:sz w:val="20"/>
                <w:szCs w:val="20"/>
                <w:color w:val="auto"/>
              </w:rPr>
            </w:pPr>
            <w:r>
              <w:rPr>
                <w:rFonts w:ascii="Arial" w:cs="Arial" w:eastAsia="Arial" w:hAnsi="Arial"/>
                <w:sz w:val="16"/>
                <w:szCs w:val="16"/>
                <w:b w:val="1"/>
                <w:bCs w:val="1"/>
                <w:color w:val="auto"/>
              </w:rPr>
              <w:t>Level I</w:t>
            </w:r>
          </w:p>
        </w:tc>
        <w:tc>
          <w:tcPr>
            <w:tcW w:w="1340" w:type="dxa"/>
            <w:vAlign w:val="bottom"/>
            <w:tcBorders>
              <w:bottom w:val="single" w:sz="8" w:color="237CC1"/>
            </w:tcBorders>
            <w:shd w:val="clear" w:color="auto" w:fill="D1D0CF"/>
          </w:tcPr>
          <w:p>
            <w:pPr>
              <w:ind w:left="240"/>
              <w:spacing w:after="0"/>
              <w:rPr>
                <w:sz w:val="20"/>
                <w:szCs w:val="20"/>
                <w:color w:val="auto"/>
              </w:rPr>
            </w:pPr>
            <w:r>
              <w:rPr>
                <w:rFonts w:ascii="Arial" w:cs="Arial" w:eastAsia="Arial" w:hAnsi="Arial"/>
                <w:sz w:val="16"/>
                <w:szCs w:val="16"/>
                <w:b w:val="1"/>
                <w:bCs w:val="1"/>
                <w:color w:val="auto"/>
              </w:rPr>
              <w:t>Level II</w:t>
            </w:r>
          </w:p>
        </w:tc>
        <w:tc>
          <w:tcPr>
            <w:tcW w:w="1400" w:type="dxa"/>
            <w:vAlign w:val="bottom"/>
            <w:tcBorders>
              <w:bottom w:val="single" w:sz="8" w:color="237CC1"/>
            </w:tcBorders>
            <w:shd w:val="clear" w:color="auto" w:fill="D1D0CF"/>
          </w:tcPr>
          <w:p>
            <w:pPr>
              <w:ind w:left="240"/>
              <w:spacing w:after="0"/>
              <w:rPr>
                <w:sz w:val="20"/>
                <w:szCs w:val="20"/>
                <w:color w:val="auto"/>
              </w:rPr>
            </w:pPr>
            <w:r>
              <w:rPr>
                <w:rFonts w:ascii="Arial" w:cs="Arial" w:eastAsia="Arial" w:hAnsi="Arial"/>
                <w:sz w:val="16"/>
                <w:szCs w:val="16"/>
                <w:b w:val="1"/>
                <w:bCs w:val="1"/>
                <w:color w:val="auto"/>
              </w:rPr>
              <w:t>Level III</w:t>
            </w:r>
          </w:p>
        </w:tc>
        <w:tc>
          <w:tcPr>
            <w:tcW w:w="1180" w:type="dxa"/>
            <w:vAlign w:val="bottom"/>
            <w:tcBorders>
              <w:bottom w:val="single" w:sz="8" w:color="237CC1"/>
            </w:tcBorders>
            <w:shd w:val="clear" w:color="auto" w:fill="D1D0CF"/>
          </w:tcPr>
          <w:p>
            <w:pPr>
              <w:jc w:val="right"/>
              <w:ind w:right="359"/>
              <w:spacing w:after="0" w:line="210" w:lineRule="exact"/>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1</w:t>
            </w:r>
          </w:p>
        </w:tc>
      </w:tr>
      <w:tr>
        <w:trPr>
          <w:trHeight w:val="34"/>
        </w:trPr>
        <w:tc>
          <w:tcPr>
            <w:tcW w:w="4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bearing cash</w:t>
            </w: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w:t>
            </w:r>
          </w:p>
        </w:tc>
        <w:tc>
          <w:tcPr>
            <w:tcW w:w="14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w:t>
            </w:r>
          </w:p>
        </w:tc>
        <w:tc>
          <w:tcPr>
            <w:tcW w:w="1340" w:type="dxa"/>
            <w:vAlign w:val="bottom"/>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420" w:type="dxa"/>
            <w:vAlign w:val="bottom"/>
          </w:tcPr>
          <w:p>
            <w:pPr>
              <w:ind w:left="20"/>
              <w:spacing w:after="0" w:line="216" w:lineRule="exact"/>
              <w:rPr>
                <w:sz w:val="20"/>
                <w:szCs w:val="20"/>
                <w:color w:val="auto"/>
              </w:rPr>
            </w:pPr>
            <w:r>
              <w:rPr>
                <w:rFonts w:ascii="Arial" w:cs="Arial" w:eastAsia="Arial" w:hAnsi="Arial"/>
                <w:sz w:val="16"/>
                <w:szCs w:val="16"/>
                <w:color w:val="auto"/>
              </w:rPr>
              <w:t>Mutual funds</w:t>
            </w:r>
            <w:r>
              <w:rPr>
                <w:rFonts w:ascii="Arial" w:cs="Arial" w:eastAsia="Arial" w:hAnsi="Arial"/>
                <w:sz w:val="21"/>
                <w:szCs w:val="21"/>
                <w:color w:val="auto"/>
                <w:vertAlign w:val="superscript"/>
              </w:rPr>
              <w:t>2</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172,371</w:t>
            </w:r>
          </w:p>
        </w:tc>
        <w:tc>
          <w:tcPr>
            <w:tcW w:w="1460" w:type="dxa"/>
            <w:vAlign w:val="bottom"/>
          </w:tcPr>
          <w:p>
            <w:pPr>
              <w:jc w:val="right"/>
              <w:ind w:right="159"/>
              <w:spacing w:after="0"/>
              <w:rPr>
                <w:sz w:val="20"/>
                <w:szCs w:val="20"/>
                <w:color w:val="auto"/>
              </w:rPr>
            </w:pPr>
            <w:r>
              <w:rPr>
                <w:rFonts w:ascii="Arial" w:cs="Arial" w:eastAsia="Arial" w:hAnsi="Arial"/>
                <w:sz w:val="16"/>
                <w:szCs w:val="16"/>
                <w:color w:val="auto"/>
              </w:rPr>
              <w:t>172,371</w:t>
            </w:r>
          </w:p>
        </w:tc>
        <w:tc>
          <w:tcPr>
            <w:tcW w:w="1340" w:type="dxa"/>
            <w:vAlign w:val="bottom"/>
          </w:tcPr>
          <w:p>
            <w:pPr>
              <w:ind w:left="960"/>
              <w:spacing w:after="0"/>
              <w:rPr>
                <w:sz w:val="20"/>
                <w:szCs w:val="20"/>
                <w:color w:val="auto"/>
              </w:rPr>
            </w:pPr>
            <w:r>
              <w:rPr>
                <w:rFonts w:ascii="Arial" w:cs="Arial" w:eastAsia="Arial" w:hAnsi="Arial"/>
                <w:sz w:val="16"/>
                <w:szCs w:val="16"/>
                <w:color w:val="auto"/>
              </w:rPr>
              <w:t>—</w:t>
            </w:r>
          </w:p>
        </w:tc>
        <w:tc>
          <w:tcPr>
            <w:tcW w:w="1400" w:type="dxa"/>
            <w:vAlign w:val="bottom"/>
          </w:tcPr>
          <w:p>
            <w:pPr>
              <w:ind w:left="9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Participant directed brokerage account</w:t>
            </w: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2,418</w:t>
            </w:r>
          </w:p>
        </w:tc>
        <w:tc>
          <w:tcPr>
            <w:tcW w:w="14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2,418</w:t>
            </w:r>
          </w:p>
        </w:tc>
        <w:tc>
          <w:tcPr>
            <w:tcW w:w="1340" w:type="dxa"/>
            <w:vAlign w:val="bottom"/>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420" w:type="dxa"/>
            <w:vAlign w:val="bottom"/>
          </w:tcPr>
          <w:p>
            <w:pPr>
              <w:ind w:left="20"/>
              <w:spacing w:after="0" w:line="216" w:lineRule="exact"/>
              <w:rPr>
                <w:sz w:val="20"/>
                <w:szCs w:val="20"/>
                <w:color w:val="auto"/>
              </w:rPr>
            </w:pPr>
            <w:r>
              <w:rPr>
                <w:rFonts w:ascii="Arial" w:cs="Arial" w:eastAsia="Arial" w:hAnsi="Arial"/>
                <w:sz w:val="16"/>
                <w:szCs w:val="16"/>
                <w:color w:val="auto"/>
              </w:rPr>
              <w:t>Common collective trusts</w:t>
            </w:r>
            <w:r>
              <w:rPr>
                <w:rFonts w:ascii="Arial" w:cs="Arial" w:eastAsia="Arial" w:hAnsi="Arial"/>
                <w:sz w:val="21"/>
                <w:szCs w:val="21"/>
                <w:color w:val="auto"/>
                <w:vertAlign w:val="superscript"/>
              </w:rPr>
              <w:t>2</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920,741</w:t>
            </w:r>
          </w:p>
        </w:tc>
        <w:tc>
          <w:tcPr>
            <w:tcW w:w="14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tcPr>
          <w:p>
            <w:pPr>
              <w:ind w:left="960"/>
              <w:spacing w:after="0"/>
              <w:rPr>
                <w:sz w:val="20"/>
                <w:szCs w:val="20"/>
                <w:color w:val="auto"/>
              </w:rPr>
            </w:pPr>
            <w:r>
              <w:rPr>
                <w:rFonts w:ascii="Arial" w:cs="Arial" w:eastAsia="Arial" w:hAnsi="Arial"/>
                <w:sz w:val="16"/>
                <w:szCs w:val="16"/>
                <w:color w:val="auto"/>
              </w:rPr>
              <w:t>—</w:t>
            </w:r>
          </w:p>
        </w:tc>
        <w:tc>
          <w:tcPr>
            <w:tcW w:w="1400" w:type="dxa"/>
            <w:vAlign w:val="bottom"/>
          </w:tcPr>
          <w:p>
            <w:pPr>
              <w:ind w:left="9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920,741</w:t>
            </w: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TC Energy common stock</w:t>
            </w: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10,494</w:t>
            </w:r>
          </w:p>
        </w:tc>
        <w:tc>
          <w:tcPr>
            <w:tcW w:w="14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10,494</w:t>
            </w:r>
          </w:p>
        </w:tc>
        <w:tc>
          <w:tcPr>
            <w:tcW w:w="1340" w:type="dxa"/>
            <w:vAlign w:val="bottom"/>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South Bow common stock</w:t>
            </w: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1,022</w:t>
            </w:r>
          </w:p>
        </w:tc>
        <w:tc>
          <w:tcPr>
            <w:tcW w:w="14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1,022</w:t>
            </w:r>
          </w:p>
        </w:tc>
        <w:tc>
          <w:tcPr>
            <w:tcW w:w="134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4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1,107,054</w:t>
            </w:r>
          </w:p>
        </w:tc>
        <w:tc>
          <w:tcPr>
            <w:tcW w:w="14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186,313</w:t>
            </w:r>
          </w:p>
        </w:tc>
        <w:tc>
          <w:tcPr>
            <w:tcW w:w="134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920,741</w:t>
            </w:r>
          </w:p>
        </w:tc>
      </w:tr>
    </w:tbl>
    <w:p>
      <w:pPr>
        <w:spacing w:after="0" w:line="180"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3"/>
          <w:szCs w:val="13"/>
          <w:color w:val="auto"/>
        </w:rPr>
      </w:pPr>
      <w:r>
        <w:rPr>
          <w:rFonts w:ascii="Arial" w:cs="Arial" w:eastAsia="Arial" w:hAnsi="Arial"/>
          <w:sz w:val="14"/>
          <w:szCs w:val="14"/>
          <w:color w:val="auto"/>
        </w:rPr>
        <w:t>Fair value is measured using net asset value as a practical expedient, and is therefore excluded from the fair value hierarchy.</w:t>
      </w:r>
    </w:p>
    <w:p>
      <w:pPr>
        <w:spacing w:after="0" w:line="55" w:lineRule="exact"/>
        <w:rPr>
          <w:sz w:val="20"/>
          <w:szCs w:val="20"/>
          <w:color w:val="auto"/>
        </w:rPr>
      </w:pPr>
    </w:p>
    <w:p>
      <w:pPr>
        <w:ind w:left="340" w:right="480" w:hanging="332"/>
        <w:spacing w:after="0" w:line="365" w:lineRule="auto"/>
        <w:tabs>
          <w:tab w:leader="none" w:pos="329" w:val="left"/>
        </w:tabs>
        <w:numPr>
          <w:ilvl w:val="0"/>
          <w:numId w:val="7"/>
        </w:numPr>
        <w:rPr>
          <w:rFonts w:ascii="Arial" w:cs="Arial" w:eastAsia="Arial" w:hAnsi="Arial"/>
          <w:sz w:val="13"/>
          <w:szCs w:val="13"/>
          <w:color w:val="auto"/>
        </w:rPr>
      </w:pPr>
      <w:r>
        <w:rPr>
          <w:rFonts w:ascii="Arial" w:cs="Arial" w:eastAsia="Arial" w:hAnsi="Arial"/>
          <w:sz w:val="14"/>
          <w:szCs w:val="14"/>
          <w:color w:val="auto"/>
        </w:rPr>
        <w:t>In 2024, the Fidelity® 500 Index Fund, Fidelity® Extended Market Index Fund, and Vanguard Total International Stock Index Fund were replaced with other common collective trusts.</w:t>
      </w:r>
    </w:p>
    <w:p>
      <w:pPr>
        <w:spacing w:after="0" w:line="199" w:lineRule="exact"/>
        <w:rPr>
          <w:sz w:val="20"/>
          <w:szCs w:val="20"/>
          <w:color w:val="auto"/>
        </w:rPr>
      </w:pPr>
    </w:p>
    <w:p>
      <w:pPr>
        <w:spacing w:after="0"/>
        <w:rPr>
          <w:sz w:val="20"/>
          <w:szCs w:val="20"/>
          <w:color w:val="auto"/>
        </w:rPr>
      </w:pPr>
      <w:r>
        <w:rPr>
          <w:rFonts w:ascii="Arial" w:cs="Arial" w:eastAsia="Arial" w:hAnsi="Arial"/>
          <w:sz w:val="25"/>
          <w:szCs w:val="25"/>
          <w:color w:val="237CC1"/>
        </w:rPr>
        <w:t>4. Other liabilities</w:t>
      </w:r>
    </w:p>
    <w:p>
      <w:pPr>
        <w:spacing w:after="0" w:line="310" w:lineRule="exact"/>
        <w:rPr>
          <w:sz w:val="20"/>
          <w:szCs w:val="20"/>
          <w:color w:val="auto"/>
        </w:rPr>
      </w:pPr>
    </w:p>
    <w:p>
      <w:pPr>
        <w:ind w:right="100"/>
        <w:spacing w:after="0" w:line="323" w:lineRule="auto"/>
        <w:rPr>
          <w:sz w:val="20"/>
          <w:szCs w:val="20"/>
          <w:color w:val="auto"/>
        </w:rPr>
      </w:pPr>
      <w:r>
        <w:rPr>
          <w:rFonts w:ascii="Arial" w:cs="Arial" w:eastAsia="Arial" w:hAnsi="Arial"/>
          <w:sz w:val="18"/>
          <w:szCs w:val="18"/>
          <w:color w:val="auto"/>
        </w:rPr>
        <w:t>Other liabilities consist of non-monetary balances from an investment account that was separately managed by Baron Capital specifically for the Plan. Active investment in this account was discontinued in August 2024. Other liabilities as of December 31, 2025 and 2024 relate to outstanding amounts associated with this investment account.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TransCanada 401(k) and Savings Plan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10" w:name="page11"/>
    <w:bookmarkEnd w:id="10"/>
    <w:p>
      <w:pPr>
        <w:spacing w:after="0"/>
        <w:rPr>
          <w:sz w:val="20"/>
          <w:szCs w:val="20"/>
          <w:color w:val="auto"/>
        </w:rPr>
      </w:pPr>
      <w:r>
        <w:rPr>
          <w:rFonts w:ascii="Arial" w:cs="Arial" w:eastAsia="Arial" w:hAnsi="Arial"/>
          <w:sz w:val="25"/>
          <w:szCs w:val="25"/>
          <w:color w:val="237CC1"/>
        </w:rPr>
        <w:t>5. Income taxes</w:t>
      </w:r>
    </w:p>
    <w:p>
      <w:pPr>
        <w:spacing w:after="0" w:line="310" w:lineRule="exact"/>
        <w:rPr>
          <w:sz w:val="20"/>
          <w:szCs w:val="20"/>
          <w:color w:val="auto"/>
        </w:rPr>
      </w:pPr>
    </w:p>
    <w:p>
      <w:pPr>
        <w:jc w:val="both"/>
        <w:ind w:right="40"/>
        <w:spacing w:after="0" w:line="314" w:lineRule="auto"/>
        <w:rPr>
          <w:sz w:val="20"/>
          <w:szCs w:val="20"/>
          <w:color w:val="auto"/>
        </w:rPr>
      </w:pPr>
      <w:r>
        <w:rPr>
          <w:rFonts w:ascii="Arial" w:cs="Arial" w:eastAsia="Arial" w:hAnsi="Arial"/>
          <w:sz w:val="18"/>
          <w:szCs w:val="18"/>
          <w:color w:val="auto"/>
        </w:rPr>
        <w:t>The pre-approved plan document sponsor obtained an advisory opinion on June 30, 2020 in which the Internal Revenue Service stated that the Plan, as then designed, was in compliance with the applicable requirements of the Code. Although the Plan was amended after receiving the opinion letter, the Plan Administrator believes that the Plan is designed and is currently being operated in compliance with the applicable requirements of the Code. The Plan is exempt from federal income taxes. Accordingly, no provision for federal income taxes has been made in the accompanying financial statements.</w:t>
      </w:r>
    </w:p>
    <w:p>
      <w:pPr>
        <w:spacing w:after="0" w:line="63" w:lineRule="exact"/>
        <w:rPr>
          <w:sz w:val="20"/>
          <w:szCs w:val="20"/>
          <w:color w:val="auto"/>
        </w:rPr>
      </w:pPr>
    </w:p>
    <w:p>
      <w:pPr>
        <w:ind w:right="100"/>
        <w:spacing w:after="0" w:line="314" w:lineRule="auto"/>
        <w:rPr>
          <w:sz w:val="20"/>
          <w:szCs w:val="20"/>
          <w:color w:val="auto"/>
        </w:rPr>
      </w:pPr>
      <w:r>
        <w:rPr>
          <w:rFonts w:ascii="Arial" w:cs="Arial" w:eastAsia="Arial" w:hAnsi="Arial"/>
          <w:sz w:val="18"/>
          <w:szCs w:val="18"/>
          <w:color w:val="auto"/>
        </w:rPr>
        <w:t>The Plan Administrator has analyzed any income tax assets and liabilities of the Plan and has concluded that as of December 31, 2025 and 2024, there are no uncertain income tax positions taken or expected to be taken that would require recognition of a liability or asset, or disclosure in the financial statements. The Plan is subject to audits by taxing jurisdictions. However, there are currently no audits in progress for any tax periods.</w:t>
      </w:r>
    </w:p>
    <w:p>
      <w:pPr>
        <w:spacing w:after="0" w:line="223" w:lineRule="exact"/>
        <w:rPr>
          <w:sz w:val="20"/>
          <w:szCs w:val="20"/>
          <w:color w:val="auto"/>
        </w:rPr>
      </w:pPr>
    </w:p>
    <w:p>
      <w:pPr>
        <w:spacing w:after="0"/>
        <w:rPr>
          <w:sz w:val="20"/>
          <w:szCs w:val="20"/>
          <w:color w:val="auto"/>
        </w:rPr>
      </w:pPr>
      <w:r>
        <w:rPr>
          <w:rFonts w:ascii="Arial" w:cs="Arial" w:eastAsia="Arial" w:hAnsi="Arial"/>
          <w:sz w:val="25"/>
          <w:szCs w:val="25"/>
          <w:color w:val="237CC1"/>
        </w:rPr>
        <w:t>6. Party-in-interest and related party transactions</w:t>
      </w:r>
    </w:p>
    <w:p>
      <w:pPr>
        <w:spacing w:after="0" w:line="324" w:lineRule="exact"/>
        <w:rPr>
          <w:sz w:val="20"/>
          <w:szCs w:val="20"/>
          <w:color w:val="auto"/>
        </w:rPr>
      </w:pPr>
    </w:p>
    <w:p>
      <w:pPr>
        <w:ind w:right="220"/>
        <w:spacing w:after="0" w:line="314" w:lineRule="auto"/>
        <w:rPr>
          <w:sz w:val="20"/>
          <w:szCs w:val="20"/>
          <w:color w:val="auto"/>
        </w:rPr>
      </w:pPr>
      <w:r>
        <w:rPr>
          <w:rFonts w:ascii="Arial" w:cs="Arial" w:eastAsia="Arial" w:hAnsi="Arial"/>
          <w:sz w:val="18"/>
          <w:szCs w:val="18"/>
          <w:color w:val="auto"/>
        </w:rPr>
        <w:t>Parties-in-interest are defined under Department of Labor Regulations as any fiduciary of the Plan, any party rendering service to the Plan, the Company, and certain others. Transactions resulting in Plan assets being transferred to or used by a related party are prohibited under ERISA unless a specific exemption is applied. Transactions involving the investments described below are permitted party-in-interest transactions.</w:t>
      </w:r>
    </w:p>
    <w:p>
      <w:pPr>
        <w:spacing w:after="0" w:line="51" w:lineRule="exact"/>
        <w:rPr>
          <w:sz w:val="20"/>
          <w:szCs w:val="20"/>
          <w:color w:val="auto"/>
        </w:rPr>
      </w:pPr>
    </w:p>
    <w:p>
      <w:pPr>
        <w:ind w:right="40"/>
        <w:spacing w:after="0" w:line="334" w:lineRule="auto"/>
        <w:rPr>
          <w:sz w:val="20"/>
          <w:szCs w:val="20"/>
          <w:color w:val="auto"/>
        </w:rPr>
      </w:pPr>
      <w:r>
        <w:rPr>
          <w:rFonts w:ascii="Arial" w:cs="Arial" w:eastAsia="Arial" w:hAnsi="Arial"/>
          <w:sz w:val="18"/>
          <w:szCs w:val="18"/>
          <w:color w:val="auto"/>
        </w:rPr>
        <w:t>Fidelity is a party-in-interest as defined by ERISA given its position as record keeper and custodian of the Plan's assets. The Plan holds units of mutual funds and common collective trusts that are managed by an affiliate of Fidelity.</w:t>
      </w:r>
    </w:p>
    <w:p>
      <w:pPr>
        <w:spacing w:after="0" w:line="31" w:lineRule="exact"/>
        <w:rPr>
          <w:sz w:val="20"/>
          <w:szCs w:val="20"/>
          <w:color w:val="auto"/>
        </w:rPr>
      </w:pPr>
    </w:p>
    <w:p>
      <w:pPr>
        <w:ind w:right="260"/>
        <w:spacing w:after="0" w:line="334" w:lineRule="auto"/>
        <w:rPr>
          <w:sz w:val="20"/>
          <w:szCs w:val="20"/>
          <w:color w:val="auto"/>
        </w:rPr>
      </w:pPr>
      <w:r>
        <w:rPr>
          <w:rFonts w:ascii="Arial" w:cs="Arial" w:eastAsia="Arial" w:hAnsi="Arial"/>
          <w:sz w:val="18"/>
          <w:szCs w:val="18"/>
          <w:color w:val="auto"/>
        </w:rPr>
        <w:t>TC Energy is a party-in-interest as the indirect parent of the Plan Sponsor. At December 31, 2025, Plan investments included $11,723,574 (2024 – $10,485,420) of TC Energy common stock and $9,061 (2024 – $8,438) in a stock purchase account.</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color w:val="237CC1"/>
        </w:rPr>
        <w:t>7. Subsequent events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The Plan has evaluated subsequent events through June 18, 2026, the date these financial statements were available to be issued.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TransCanada 401(k) and Savings Plan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TRANSCANADA 401(k) AND SAVINGS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EIN #: 98-0460263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 001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H, PART IV, LINE 4i – SCHEDULE OF ASSETS (HELD AT END OF YEAR)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0" w:type="dxa"/>
            <w:vAlign w:val="bottom"/>
            <w:tcBorders>
              <w:top w:val="single" w:sz="8" w:color="237CC1"/>
              <w:bottom w:val="single" w:sz="8" w:color="237CC1"/>
            </w:tcBorders>
            <w:shd w:val="clear" w:color="auto" w:fill="D1D0CF"/>
          </w:tcPr>
          <w:p>
            <w:pPr>
              <w:jc w:val="center"/>
              <w:ind w:left="19"/>
              <w:spacing w:after="0"/>
              <w:rPr>
                <w:sz w:val="20"/>
                <w:szCs w:val="20"/>
                <w:color w:val="auto"/>
              </w:rPr>
            </w:pPr>
            <w:r>
              <w:rPr>
                <w:rFonts w:ascii="Arial" w:cs="Arial" w:eastAsia="Arial" w:hAnsi="Arial"/>
                <w:sz w:val="16"/>
                <w:szCs w:val="16"/>
                <w:color w:val="auto"/>
              </w:rPr>
              <w:t>(a)</w:t>
            </w:r>
          </w:p>
        </w:tc>
        <w:tc>
          <w:tcPr>
            <w:tcW w:w="4320" w:type="dxa"/>
            <w:vAlign w:val="bottom"/>
            <w:tcBorders>
              <w:top w:val="single" w:sz="8" w:color="237CC1"/>
              <w:bottom w:val="single" w:sz="8" w:color="237CC1"/>
            </w:tcBorders>
            <w:shd w:val="clear" w:color="auto" w:fill="D1D0CF"/>
          </w:tcPr>
          <w:p>
            <w:pPr>
              <w:ind w:left="120"/>
              <w:spacing w:after="0"/>
              <w:rPr>
                <w:sz w:val="20"/>
                <w:szCs w:val="20"/>
                <w:color w:val="auto"/>
              </w:rPr>
            </w:pPr>
            <w:r>
              <w:rPr>
                <w:rFonts w:ascii="Arial" w:cs="Arial" w:eastAsia="Arial" w:hAnsi="Arial"/>
                <w:sz w:val="16"/>
                <w:szCs w:val="16"/>
                <w:color w:val="auto"/>
              </w:rPr>
              <w:t>(b) Identity of Issue, Borrower, Lessor or Similar Party</w:t>
            </w:r>
          </w:p>
        </w:tc>
        <w:tc>
          <w:tcPr>
            <w:tcW w:w="2700" w:type="dxa"/>
            <w:vAlign w:val="bottom"/>
            <w:tcBorders>
              <w:top w:val="single" w:sz="8" w:color="237CC1"/>
              <w:bottom w:val="single" w:sz="8" w:color="237CC1"/>
            </w:tcBorders>
            <w:shd w:val="clear" w:color="auto" w:fill="D1D0CF"/>
          </w:tcPr>
          <w:p>
            <w:pPr>
              <w:jc w:val="center"/>
              <w:ind w:left="99"/>
              <w:spacing w:after="0"/>
              <w:rPr>
                <w:sz w:val="20"/>
                <w:szCs w:val="20"/>
                <w:color w:val="auto"/>
              </w:rPr>
            </w:pPr>
            <w:r>
              <w:rPr>
                <w:rFonts w:ascii="Arial" w:cs="Arial" w:eastAsia="Arial" w:hAnsi="Arial"/>
                <w:sz w:val="16"/>
                <w:szCs w:val="16"/>
                <w:color w:val="auto"/>
              </w:rPr>
              <w:t>(c) Description of Investment</w:t>
            </w:r>
          </w:p>
        </w:tc>
        <w:tc>
          <w:tcPr>
            <w:tcW w:w="2100" w:type="dxa"/>
            <w:vAlign w:val="bottom"/>
            <w:tcBorders>
              <w:top w:val="single" w:sz="8" w:color="237CC1"/>
              <w:bottom w:val="single" w:sz="8" w:color="237CC1"/>
            </w:tcBorders>
            <w:gridSpan w:val="2"/>
            <w:shd w:val="clear" w:color="auto" w:fill="D1D0CF"/>
          </w:tcPr>
          <w:p>
            <w:pPr>
              <w:jc w:val="right"/>
              <w:ind w:right="139"/>
              <w:spacing w:after="0"/>
              <w:rPr>
                <w:sz w:val="20"/>
                <w:szCs w:val="20"/>
                <w:color w:val="auto"/>
              </w:rPr>
            </w:pPr>
            <w:r>
              <w:rPr>
                <w:rFonts w:ascii="Arial" w:cs="Arial" w:eastAsia="Arial" w:hAnsi="Arial"/>
                <w:sz w:val="16"/>
                <w:szCs w:val="16"/>
                <w:color w:val="auto"/>
              </w:rPr>
              <w:t>(d) Cost of Investment**</w:t>
            </w:r>
          </w:p>
        </w:tc>
        <w:tc>
          <w:tcPr>
            <w:tcW w:w="1540" w:type="dxa"/>
            <w:vAlign w:val="bottom"/>
            <w:tcBorders>
              <w:top w:val="single" w:sz="8" w:color="237CC1"/>
              <w:bottom w:val="single" w:sz="8" w:color="237CC1"/>
            </w:tcBorders>
            <w:shd w:val="clear" w:color="auto" w:fill="D1D0CF"/>
          </w:tcPr>
          <w:p>
            <w:pPr>
              <w:jc w:val="right"/>
              <w:ind w:right="159"/>
              <w:spacing w:after="0"/>
              <w:rPr>
                <w:sz w:val="20"/>
                <w:szCs w:val="20"/>
                <w:color w:val="auto"/>
              </w:rPr>
            </w:pPr>
            <w:r>
              <w:rPr>
                <w:rFonts w:ascii="Arial" w:cs="Arial" w:eastAsia="Arial" w:hAnsi="Arial"/>
                <w:sz w:val="16"/>
                <w:szCs w:val="16"/>
                <w:color w:val="auto"/>
              </w:rPr>
              <w:t>(e) Current Value</w:t>
            </w: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18"/>
                <w:szCs w:val="18"/>
                <w:color w:val="auto"/>
              </w:rPr>
            </w:pPr>
          </w:p>
        </w:tc>
        <w:tc>
          <w:tcPr>
            <w:tcW w:w="4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Bearing Cash</w:t>
            </w:r>
          </w:p>
        </w:tc>
        <w:tc>
          <w:tcPr>
            <w:tcW w:w="270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96"/>
              </w:rPr>
              <w:t>Cash</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8,751</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18"/>
                <w:szCs w:val="18"/>
                <w:color w:val="auto"/>
              </w:rPr>
            </w:pPr>
          </w:p>
        </w:tc>
        <w:tc>
          <w:tcPr>
            <w:tcW w:w="4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Vanguard Federal Money Market Fund</w:t>
            </w:r>
          </w:p>
        </w:tc>
        <w:tc>
          <w:tcPr>
            <w:tcW w:w="2700" w:type="dxa"/>
            <w:vAlign w:val="bottom"/>
            <w:shd w:val="clear" w:color="auto" w:fill="CCEEFF"/>
          </w:tcPr>
          <w:p>
            <w:pPr>
              <w:jc w:val="center"/>
              <w:ind w:left="79"/>
              <w:spacing w:after="0"/>
              <w:rPr>
                <w:sz w:val="20"/>
                <w:szCs w:val="20"/>
                <w:color w:val="auto"/>
              </w:rPr>
            </w:pPr>
            <w:r>
              <w:rPr>
                <w:rFonts w:ascii="Arial" w:cs="Arial" w:eastAsia="Arial" w:hAnsi="Arial"/>
                <w:sz w:val="16"/>
                <w:szCs w:val="16"/>
                <w:color w:val="auto"/>
              </w:rPr>
              <w:t>Mutual Fund</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43,013,194</w:t>
            </w: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320" w:type="dxa"/>
            <w:vAlign w:val="bottom"/>
          </w:tcPr>
          <w:p>
            <w:pPr>
              <w:ind w:left="120"/>
              <w:spacing w:after="0"/>
              <w:rPr>
                <w:sz w:val="20"/>
                <w:szCs w:val="20"/>
                <w:color w:val="auto"/>
              </w:rPr>
            </w:pPr>
            <w:r>
              <w:rPr>
                <w:rFonts w:ascii="Arial" w:cs="Arial" w:eastAsia="Arial" w:hAnsi="Arial"/>
                <w:sz w:val="16"/>
                <w:szCs w:val="16"/>
                <w:color w:val="auto"/>
              </w:rPr>
              <w:t>JPMorgan Equity Income Fund Class R6</w:t>
            </w:r>
          </w:p>
        </w:tc>
        <w:tc>
          <w:tcPr>
            <w:tcW w:w="2700" w:type="dxa"/>
            <w:vAlign w:val="bottom"/>
          </w:tcPr>
          <w:p>
            <w:pPr>
              <w:jc w:val="center"/>
              <w:ind w:left="79"/>
              <w:spacing w:after="0"/>
              <w:rPr>
                <w:sz w:val="20"/>
                <w:szCs w:val="20"/>
                <w:color w:val="auto"/>
              </w:rPr>
            </w:pPr>
            <w:r>
              <w:rPr>
                <w:rFonts w:ascii="Arial" w:cs="Arial" w:eastAsia="Arial" w:hAnsi="Arial"/>
                <w:sz w:val="16"/>
                <w:szCs w:val="16"/>
                <w:color w:val="auto"/>
              </w:rPr>
              <w:t>Mutual Fund</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42,699,870</w:t>
            </w:r>
          </w:p>
        </w:tc>
        <w:tc>
          <w:tcPr>
            <w:tcW w:w="0" w:type="dxa"/>
            <w:vAlign w:val="bottom"/>
          </w:tcPr>
          <w:p>
            <w:pPr>
              <w:spacing w:after="0"/>
              <w:rPr>
                <w:sz w:val="1"/>
                <w:szCs w:val="1"/>
                <w:color w:val="auto"/>
              </w:rPr>
            </w:pPr>
          </w:p>
        </w:tc>
      </w:tr>
      <w:tr>
        <w:trPr>
          <w:trHeight w:val="217"/>
        </w:trPr>
        <w:tc>
          <w:tcPr>
            <w:tcW w:w="580" w:type="dxa"/>
            <w:vAlign w:val="bottom"/>
            <w:shd w:val="clear" w:color="auto" w:fill="CCEEFF"/>
          </w:tcPr>
          <w:p>
            <w:pPr>
              <w:spacing w:after="0"/>
              <w:rPr>
                <w:sz w:val="18"/>
                <w:szCs w:val="18"/>
                <w:color w:val="auto"/>
              </w:rPr>
            </w:pPr>
          </w:p>
        </w:tc>
        <w:tc>
          <w:tcPr>
            <w:tcW w:w="4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MFS International Diversification Fund R3</w:t>
            </w:r>
          </w:p>
        </w:tc>
        <w:tc>
          <w:tcPr>
            <w:tcW w:w="2700" w:type="dxa"/>
            <w:vAlign w:val="bottom"/>
            <w:shd w:val="clear" w:color="auto" w:fill="CCEEFF"/>
          </w:tcPr>
          <w:p>
            <w:pPr>
              <w:jc w:val="center"/>
              <w:ind w:left="79"/>
              <w:spacing w:after="0"/>
              <w:rPr>
                <w:sz w:val="20"/>
                <w:szCs w:val="20"/>
                <w:color w:val="auto"/>
              </w:rPr>
            </w:pPr>
            <w:r>
              <w:rPr>
                <w:rFonts w:ascii="Arial" w:cs="Arial" w:eastAsia="Arial" w:hAnsi="Arial"/>
                <w:sz w:val="16"/>
                <w:szCs w:val="16"/>
                <w:color w:val="auto"/>
              </w:rPr>
              <w:t>Mutual Fund</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32,510,779</w:t>
            </w: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320" w:type="dxa"/>
            <w:vAlign w:val="bottom"/>
          </w:tcPr>
          <w:p>
            <w:pPr>
              <w:ind w:left="120"/>
              <w:spacing w:after="0"/>
              <w:rPr>
                <w:sz w:val="20"/>
                <w:szCs w:val="20"/>
                <w:color w:val="auto"/>
              </w:rPr>
            </w:pPr>
            <w:r>
              <w:rPr>
                <w:rFonts w:ascii="Arial" w:cs="Arial" w:eastAsia="Arial" w:hAnsi="Arial"/>
                <w:sz w:val="16"/>
                <w:szCs w:val="16"/>
                <w:color w:val="auto"/>
              </w:rPr>
              <w:t>Janus Henderson Enterprise Fund Class T</w:t>
            </w:r>
          </w:p>
        </w:tc>
        <w:tc>
          <w:tcPr>
            <w:tcW w:w="2700" w:type="dxa"/>
            <w:vAlign w:val="bottom"/>
          </w:tcPr>
          <w:p>
            <w:pPr>
              <w:jc w:val="center"/>
              <w:ind w:left="79"/>
              <w:spacing w:after="0"/>
              <w:rPr>
                <w:sz w:val="20"/>
                <w:szCs w:val="20"/>
                <w:color w:val="auto"/>
              </w:rPr>
            </w:pPr>
            <w:r>
              <w:rPr>
                <w:rFonts w:ascii="Arial" w:cs="Arial" w:eastAsia="Arial" w:hAnsi="Arial"/>
                <w:sz w:val="16"/>
                <w:szCs w:val="16"/>
                <w:color w:val="auto"/>
              </w:rPr>
              <w:t>Mutual Fund</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21,020,581</w:t>
            </w:r>
          </w:p>
        </w:tc>
        <w:tc>
          <w:tcPr>
            <w:tcW w:w="0" w:type="dxa"/>
            <w:vAlign w:val="bottom"/>
          </w:tcPr>
          <w:p>
            <w:pPr>
              <w:spacing w:after="0"/>
              <w:rPr>
                <w:sz w:val="1"/>
                <w:szCs w:val="1"/>
                <w:color w:val="auto"/>
              </w:rPr>
            </w:pPr>
          </w:p>
        </w:tc>
      </w:tr>
      <w:tr>
        <w:trPr>
          <w:trHeight w:val="217"/>
        </w:trPr>
        <w:tc>
          <w:tcPr>
            <w:tcW w:w="58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5"/>
              </w:rPr>
              <w:t>*</w:t>
            </w:r>
          </w:p>
        </w:tc>
        <w:tc>
          <w:tcPr>
            <w:tcW w:w="4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Fidelity® U.S. Bond Index Fund</w:t>
            </w:r>
          </w:p>
        </w:tc>
        <w:tc>
          <w:tcPr>
            <w:tcW w:w="2700" w:type="dxa"/>
            <w:vAlign w:val="bottom"/>
            <w:shd w:val="clear" w:color="auto" w:fill="CCEEFF"/>
          </w:tcPr>
          <w:p>
            <w:pPr>
              <w:jc w:val="center"/>
              <w:ind w:left="79"/>
              <w:spacing w:after="0"/>
              <w:rPr>
                <w:sz w:val="20"/>
                <w:szCs w:val="20"/>
                <w:color w:val="auto"/>
              </w:rPr>
            </w:pPr>
            <w:r>
              <w:rPr>
                <w:rFonts w:ascii="Arial" w:cs="Arial" w:eastAsia="Arial" w:hAnsi="Arial"/>
                <w:sz w:val="16"/>
                <w:szCs w:val="16"/>
                <w:color w:val="auto"/>
              </w:rPr>
              <w:t>Mutual Fund</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20,044,720</w:t>
            </w: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320" w:type="dxa"/>
            <w:vAlign w:val="bottom"/>
          </w:tcPr>
          <w:p>
            <w:pPr>
              <w:ind w:left="120"/>
              <w:spacing w:after="0"/>
              <w:rPr>
                <w:sz w:val="20"/>
                <w:szCs w:val="20"/>
                <w:color w:val="auto"/>
              </w:rPr>
            </w:pPr>
            <w:r>
              <w:rPr>
                <w:rFonts w:ascii="Arial" w:cs="Arial" w:eastAsia="Arial" w:hAnsi="Arial"/>
                <w:sz w:val="16"/>
                <w:szCs w:val="16"/>
                <w:color w:val="auto"/>
              </w:rPr>
              <w:t>Baird Core Plus Bond Fund</w:t>
            </w:r>
          </w:p>
        </w:tc>
        <w:tc>
          <w:tcPr>
            <w:tcW w:w="2700" w:type="dxa"/>
            <w:vAlign w:val="bottom"/>
          </w:tcPr>
          <w:p>
            <w:pPr>
              <w:jc w:val="center"/>
              <w:ind w:left="79"/>
              <w:spacing w:after="0"/>
              <w:rPr>
                <w:sz w:val="20"/>
                <w:szCs w:val="20"/>
                <w:color w:val="auto"/>
              </w:rPr>
            </w:pPr>
            <w:r>
              <w:rPr>
                <w:rFonts w:ascii="Arial" w:cs="Arial" w:eastAsia="Arial" w:hAnsi="Arial"/>
                <w:sz w:val="16"/>
                <w:szCs w:val="16"/>
                <w:color w:val="auto"/>
              </w:rPr>
              <w:t>Mutual Fund</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18,172,467</w:t>
            </w:r>
          </w:p>
        </w:tc>
        <w:tc>
          <w:tcPr>
            <w:tcW w:w="0" w:type="dxa"/>
            <w:vAlign w:val="bottom"/>
          </w:tcPr>
          <w:p>
            <w:pPr>
              <w:spacing w:after="0"/>
              <w:rPr>
                <w:sz w:val="1"/>
                <w:szCs w:val="1"/>
                <w:color w:val="auto"/>
              </w:rPr>
            </w:pPr>
          </w:p>
        </w:tc>
      </w:tr>
      <w:tr>
        <w:trPr>
          <w:trHeight w:val="217"/>
        </w:trPr>
        <w:tc>
          <w:tcPr>
            <w:tcW w:w="58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5"/>
              </w:rPr>
              <w:t>*</w:t>
            </w:r>
          </w:p>
        </w:tc>
        <w:tc>
          <w:tcPr>
            <w:tcW w:w="4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Fidelity® Inflation-Protected Bond Index Fund</w:t>
            </w:r>
          </w:p>
        </w:tc>
        <w:tc>
          <w:tcPr>
            <w:tcW w:w="2700" w:type="dxa"/>
            <w:vAlign w:val="bottom"/>
            <w:shd w:val="clear" w:color="auto" w:fill="CCEEFF"/>
          </w:tcPr>
          <w:p>
            <w:pPr>
              <w:jc w:val="center"/>
              <w:ind w:left="79"/>
              <w:spacing w:after="0"/>
              <w:rPr>
                <w:sz w:val="20"/>
                <w:szCs w:val="20"/>
                <w:color w:val="auto"/>
              </w:rPr>
            </w:pPr>
            <w:r>
              <w:rPr>
                <w:rFonts w:ascii="Arial" w:cs="Arial" w:eastAsia="Arial" w:hAnsi="Arial"/>
                <w:sz w:val="16"/>
                <w:szCs w:val="16"/>
                <w:color w:val="auto"/>
              </w:rPr>
              <w:t>Mutual Fund</w:t>
            </w:r>
          </w:p>
        </w:tc>
        <w:tc>
          <w:tcPr>
            <w:tcW w:w="19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5,567,696</w:t>
            </w:r>
          </w:p>
        </w:tc>
        <w:tc>
          <w:tcPr>
            <w:tcW w:w="0" w:type="dxa"/>
            <w:vAlign w:val="bottom"/>
          </w:tcPr>
          <w:p>
            <w:pPr>
              <w:spacing w:after="0"/>
              <w:rPr>
                <w:sz w:val="1"/>
                <w:szCs w:val="1"/>
                <w:color w:val="auto"/>
              </w:rPr>
            </w:pPr>
          </w:p>
        </w:tc>
      </w:tr>
      <w:tr>
        <w:trPr>
          <w:trHeight w:val="209"/>
        </w:trPr>
        <w:tc>
          <w:tcPr>
            <w:tcW w:w="580" w:type="dxa"/>
            <w:vAlign w:val="bottom"/>
            <w:tcBorders>
              <w:bottom w:val="single" w:sz="8" w:color="CCEEFF"/>
            </w:tcBorders>
          </w:tcPr>
          <w:p>
            <w:pPr>
              <w:spacing w:after="0"/>
              <w:rPr>
                <w:sz w:val="18"/>
                <w:szCs w:val="18"/>
                <w:color w:val="auto"/>
              </w:rPr>
            </w:pPr>
          </w:p>
        </w:tc>
        <w:tc>
          <w:tcPr>
            <w:tcW w:w="43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Total mutual funds</w:t>
            </w:r>
          </w:p>
        </w:tc>
        <w:tc>
          <w:tcPr>
            <w:tcW w:w="270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183,029,307</w:t>
            </w:r>
          </w:p>
        </w:tc>
        <w:tc>
          <w:tcPr>
            <w:tcW w:w="0" w:type="dxa"/>
            <w:vAlign w:val="bottom"/>
          </w:tcPr>
          <w:p>
            <w:pPr>
              <w:spacing w:after="0"/>
              <w:rPr>
                <w:sz w:val="1"/>
                <w:szCs w:val="1"/>
                <w:color w:val="auto"/>
              </w:rPr>
            </w:pPr>
          </w:p>
        </w:tc>
      </w:tr>
      <w:tr>
        <w:trPr>
          <w:trHeight w:val="251"/>
        </w:trPr>
        <w:tc>
          <w:tcPr>
            <w:tcW w:w="580" w:type="dxa"/>
            <w:vAlign w:val="bottom"/>
            <w:shd w:val="clear" w:color="auto" w:fill="CCEEFF"/>
          </w:tcPr>
          <w:p>
            <w:pPr>
              <w:spacing w:after="0"/>
              <w:rPr>
                <w:sz w:val="21"/>
                <w:szCs w:val="21"/>
                <w:color w:val="auto"/>
              </w:rPr>
            </w:pPr>
          </w:p>
        </w:tc>
        <w:tc>
          <w:tcPr>
            <w:tcW w:w="4320" w:type="dxa"/>
            <w:vAlign w:val="bottom"/>
            <w:shd w:val="clear" w:color="auto" w:fill="CCEEFF"/>
          </w:tcPr>
          <w:p>
            <w:pPr>
              <w:spacing w:after="0"/>
              <w:rPr>
                <w:sz w:val="21"/>
                <w:szCs w:val="21"/>
                <w:color w:val="auto"/>
              </w:rPr>
            </w:pPr>
          </w:p>
        </w:tc>
        <w:tc>
          <w:tcPr>
            <w:tcW w:w="270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80" w:type="dxa"/>
            <w:vAlign w:val="bottom"/>
          </w:tcPr>
          <w:p>
            <w:pPr>
              <w:jc w:val="center"/>
              <w:ind w:left="39"/>
              <w:spacing w:after="0"/>
              <w:rPr>
                <w:sz w:val="20"/>
                <w:szCs w:val="20"/>
                <w:color w:val="auto"/>
              </w:rPr>
            </w:pPr>
            <w:r>
              <w:rPr>
                <w:rFonts w:ascii="Arial" w:cs="Arial" w:eastAsia="Arial" w:hAnsi="Arial"/>
                <w:sz w:val="16"/>
                <w:szCs w:val="16"/>
                <w:color w:val="auto"/>
                <w:w w:val="95"/>
              </w:rPr>
              <w:t>*</w:t>
            </w:r>
          </w:p>
        </w:tc>
        <w:tc>
          <w:tcPr>
            <w:tcW w:w="4320" w:type="dxa"/>
            <w:vAlign w:val="bottom"/>
          </w:tcPr>
          <w:p>
            <w:pPr>
              <w:ind w:left="120"/>
              <w:spacing w:after="0"/>
              <w:rPr>
                <w:sz w:val="20"/>
                <w:szCs w:val="20"/>
                <w:color w:val="auto"/>
              </w:rPr>
            </w:pPr>
            <w:r>
              <w:rPr>
                <w:rFonts w:ascii="Arial" w:cs="Arial" w:eastAsia="Arial" w:hAnsi="Arial"/>
                <w:sz w:val="16"/>
                <w:szCs w:val="16"/>
                <w:color w:val="auto"/>
              </w:rPr>
              <w:t>Fidelity® Growth Company Commingled Pool</w:t>
            </w:r>
          </w:p>
        </w:tc>
        <w:tc>
          <w:tcPr>
            <w:tcW w:w="2700" w:type="dxa"/>
            <w:vAlign w:val="bottom"/>
          </w:tcPr>
          <w:p>
            <w:pPr>
              <w:jc w:val="center"/>
              <w:ind w:left="99"/>
              <w:spacing w:after="0"/>
              <w:rPr>
                <w:sz w:val="20"/>
                <w:szCs w:val="20"/>
                <w:color w:val="auto"/>
              </w:rPr>
            </w:pPr>
            <w:r>
              <w:rPr>
                <w:rFonts w:ascii="Arial" w:cs="Arial" w:eastAsia="Arial" w:hAnsi="Arial"/>
                <w:sz w:val="16"/>
                <w:szCs w:val="16"/>
                <w:color w:val="auto"/>
              </w:rPr>
              <w:t>Common Collective Trust</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214,492,897</w:t>
            </w:r>
          </w:p>
        </w:tc>
        <w:tc>
          <w:tcPr>
            <w:tcW w:w="0" w:type="dxa"/>
            <w:vAlign w:val="bottom"/>
          </w:tcPr>
          <w:p>
            <w:pPr>
              <w:spacing w:after="0"/>
              <w:rPr>
                <w:sz w:val="1"/>
                <w:szCs w:val="1"/>
                <w:color w:val="auto"/>
              </w:rPr>
            </w:pPr>
          </w:p>
        </w:tc>
      </w:tr>
      <w:tr>
        <w:trPr>
          <w:trHeight w:val="217"/>
        </w:trPr>
        <w:tc>
          <w:tcPr>
            <w:tcW w:w="58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5"/>
              </w:rPr>
              <w:t>*</w:t>
            </w:r>
          </w:p>
        </w:tc>
        <w:tc>
          <w:tcPr>
            <w:tcW w:w="4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Fidelity® Spartan 500 Index Pool</w:t>
            </w:r>
          </w:p>
        </w:tc>
        <w:tc>
          <w:tcPr>
            <w:tcW w:w="270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Common Collective Trust</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172,071,481</w:t>
            </w: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320" w:type="dxa"/>
            <w:vAlign w:val="bottom"/>
          </w:tcPr>
          <w:p>
            <w:pPr>
              <w:ind w:left="120"/>
              <w:spacing w:after="0"/>
              <w:rPr>
                <w:sz w:val="20"/>
                <w:szCs w:val="20"/>
                <w:color w:val="auto"/>
              </w:rPr>
            </w:pPr>
            <w:r>
              <w:rPr>
                <w:rFonts w:ascii="Arial" w:cs="Arial" w:eastAsia="Arial" w:hAnsi="Arial"/>
                <w:sz w:val="16"/>
                <w:szCs w:val="16"/>
                <w:color w:val="auto"/>
              </w:rPr>
              <w:t>Vanguard Target Retirement 2050</w:t>
            </w:r>
          </w:p>
        </w:tc>
        <w:tc>
          <w:tcPr>
            <w:tcW w:w="2700" w:type="dxa"/>
            <w:vAlign w:val="bottom"/>
          </w:tcPr>
          <w:p>
            <w:pPr>
              <w:jc w:val="center"/>
              <w:ind w:left="99"/>
              <w:spacing w:after="0"/>
              <w:rPr>
                <w:sz w:val="20"/>
                <w:szCs w:val="20"/>
                <w:color w:val="auto"/>
              </w:rPr>
            </w:pPr>
            <w:r>
              <w:rPr>
                <w:rFonts w:ascii="Arial" w:cs="Arial" w:eastAsia="Arial" w:hAnsi="Arial"/>
                <w:sz w:val="16"/>
                <w:szCs w:val="16"/>
                <w:color w:val="auto"/>
              </w:rPr>
              <w:t>Common Collective Trust</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97,564,699</w:t>
            </w:r>
          </w:p>
        </w:tc>
        <w:tc>
          <w:tcPr>
            <w:tcW w:w="0" w:type="dxa"/>
            <w:vAlign w:val="bottom"/>
          </w:tcPr>
          <w:p>
            <w:pPr>
              <w:spacing w:after="0"/>
              <w:rPr>
                <w:sz w:val="1"/>
                <w:szCs w:val="1"/>
                <w:color w:val="auto"/>
              </w:rPr>
            </w:pPr>
          </w:p>
        </w:tc>
      </w:tr>
      <w:tr>
        <w:trPr>
          <w:trHeight w:val="217"/>
        </w:trPr>
        <w:tc>
          <w:tcPr>
            <w:tcW w:w="580" w:type="dxa"/>
            <w:vAlign w:val="bottom"/>
            <w:shd w:val="clear" w:color="auto" w:fill="CCEEFF"/>
          </w:tcPr>
          <w:p>
            <w:pPr>
              <w:spacing w:after="0"/>
              <w:rPr>
                <w:sz w:val="18"/>
                <w:szCs w:val="18"/>
                <w:color w:val="auto"/>
              </w:rPr>
            </w:pPr>
          </w:p>
        </w:tc>
        <w:tc>
          <w:tcPr>
            <w:tcW w:w="4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Vanguard Target Retirement 2040</w:t>
            </w:r>
          </w:p>
        </w:tc>
        <w:tc>
          <w:tcPr>
            <w:tcW w:w="270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Common Collective Trust</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91,963,662</w:t>
            </w: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320" w:type="dxa"/>
            <w:vAlign w:val="bottom"/>
          </w:tcPr>
          <w:p>
            <w:pPr>
              <w:ind w:left="120"/>
              <w:spacing w:after="0"/>
              <w:rPr>
                <w:sz w:val="20"/>
                <w:szCs w:val="20"/>
                <w:color w:val="auto"/>
              </w:rPr>
            </w:pPr>
            <w:r>
              <w:rPr>
                <w:rFonts w:ascii="Arial" w:cs="Arial" w:eastAsia="Arial" w:hAnsi="Arial"/>
                <w:sz w:val="16"/>
                <w:szCs w:val="16"/>
                <w:color w:val="auto"/>
              </w:rPr>
              <w:t>Vanguard Target Retirement 2045</w:t>
            </w:r>
          </w:p>
        </w:tc>
        <w:tc>
          <w:tcPr>
            <w:tcW w:w="2700" w:type="dxa"/>
            <w:vAlign w:val="bottom"/>
          </w:tcPr>
          <w:p>
            <w:pPr>
              <w:jc w:val="center"/>
              <w:ind w:left="99"/>
              <w:spacing w:after="0"/>
              <w:rPr>
                <w:sz w:val="20"/>
                <w:szCs w:val="20"/>
                <w:color w:val="auto"/>
              </w:rPr>
            </w:pPr>
            <w:r>
              <w:rPr>
                <w:rFonts w:ascii="Arial" w:cs="Arial" w:eastAsia="Arial" w:hAnsi="Arial"/>
                <w:sz w:val="16"/>
                <w:szCs w:val="16"/>
                <w:color w:val="auto"/>
              </w:rPr>
              <w:t>Common Collective Trust</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81,753,832</w:t>
            </w:r>
          </w:p>
        </w:tc>
        <w:tc>
          <w:tcPr>
            <w:tcW w:w="0" w:type="dxa"/>
            <w:vAlign w:val="bottom"/>
          </w:tcPr>
          <w:p>
            <w:pPr>
              <w:spacing w:after="0"/>
              <w:rPr>
                <w:sz w:val="1"/>
                <w:szCs w:val="1"/>
                <w:color w:val="auto"/>
              </w:rPr>
            </w:pPr>
          </w:p>
        </w:tc>
      </w:tr>
      <w:tr>
        <w:trPr>
          <w:trHeight w:val="217"/>
        </w:trPr>
        <w:tc>
          <w:tcPr>
            <w:tcW w:w="580" w:type="dxa"/>
            <w:vAlign w:val="bottom"/>
            <w:shd w:val="clear" w:color="auto" w:fill="CCEEFF"/>
          </w:tcPr>
          <w:p>
            <w:pPr>
              <w:spacing w:after="0"/>
              <w:rPr>
                <w:sz w:val="18"/>
                <w:szCs w:val="18"/>
                <w:color w:val="auto"/>
              </w:rPr>
            </w:pPr>
          </w:p>
        </w:tc>
        <w:tc>
          <w:tcPr>
            <w:tcW w:w="4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Vanguard Target Retirement 2030</w:t>
            </w:r>
          </w:p>
        </w:tc>
        <w:tc>
          <w:tcPr>
            <w:tcW w:w="270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Common Collective Trust</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76,487,374</w:t>
            </w: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320" w:type="dxa"/>
            <w:vAlign w:val="bottom"/>
          </w:tcPr>
          <w:p>
            <w:pPr>
              <w:ind w:left="120"/>
              <w:spacing w:after="0"/>
              <w:rPr>
                <w:sz w:val="20"/>
                <w:szCs w:val="20"/>
                <w:color w:val="auto"/>
              </w:rPr>
            </w:pPr>
            <w:r>
              <w:rPr>
                <w:rFonts w:ascii="Arial" w:cs="Arial" w:eastAsia="Arial" w:hAnsi="Arial"/>
                <w:sz w:val="16"/>
                <w:szCs w:val="16"/>
                <w:color w:val="auto"/>
              </w:rPr>
              <w:t>Vanguard Target Retirement 2035</w:t>
            </w:r>
          </w:p>
        </w:tc>
        <w:tc>
          <w:tcPr>
            <w:tcW w:w="2700" w:type="dxa"/>
            <w:vAlign w:val="bottom"/>
          </w:tcPr>
          <w:p>
            <w:pPr>
              <w:jc w:val="center"/>
              <w:ind w:left="99"/>
              <w:spacing w:after="0"/>
              <w:rPr>
                <w:sz w:val="20"/>
                <w:szCs w:val="20"/>
                <w:color w:val="auto"/>
              </w:rPr>
            </w:pPr>
            <w:r>
              <w:rPr>
                <w:rFonts w:ascii="Arial" w:cs="Arial" w:eastAsia="Arial" w:hAnsi="Arial"/>
                <w:sz w:val="16"/>
                <w:szCs w:val="16"/>
                <w:color w:val="auto"/>
              </w:rPr>
              <w:t>Common Collective Trust</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71,642,692</w:t>
            </w:r>
          </w:p>
        </w:tc>
        <w:tc>
          <w:tcPr>
            <w:tcW w:w="0" w:type="dxa"/>
            <w:vAlign w:val="bottom"/>
          </w:tcPr>
          <w:p>
            <w:pPr>
              <w:spacing w:after="0"/>
              <w:rPr>
                <w:sz w:val="1"/>
                <w:szCs w:val="1"/>
                <w:color w:val="auto"/>
              </w:rPr>
            </w:pPr>
          </w:p>
        </w:tc>
      </w:tr>
      <w:tr>
        <w:trPr>
          <w:trHeight w:val="217"/>
        </w:trPr>
        <w:tc>
          <w:tcPr>
            <w:tcW w:w="580" w:type="dxa"/>
            <w:vAlign w:val="bottom"/>
            <w:shd w:val="clear" w:color="auto" w:fill="CCEEFF"/>
          </w:tcPr>
          <w:p>
            <w:pPr>
              <w:spacing w:after="0"/>
              <w:rPr>
                <w:sz w:val="18"/>
                <w:szCs w:val="18"/>
                <w:color w:val="auto"/>
              </w:rPr>
            </w:pPr>
          </w:p>
        </w:tc>
        <w:tc>
          <w:tcPr>
            <w:tcW w:w="4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Vanguard Target Retirement 2055</w:t>
            </w:r>
          </w:p>
        </w:tc>
        <w:tc>
          <w:tcPr>
            <w:tcW w:w="270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Common Collective Trust</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70,290,954</w:t>
            </w:r>
          </w:p>
        </w:tc>
        <w:tc>
          <w:tcPr>
            <w:tcW w:w="0" w:type="dxa"/>
            <w:vAlign w:val="bottom"/>
          </w:tcPr>
          <w:p>
            <w:pPr>
              <w:spacing w:after="0"/>
              <w:rPr>
                <w:sz w:val="1"/>
                <w:szCs w:val="1"/>
                <w:color w:val="auto"/>
              </w:rPr>
            </w:pPr>
          </w:p>
        </w:tc>
      </w:tr>
      <w:tr>
        <w:trPr>
          <w:trHeight w:val="215"/>
        </w:trPr>
        <w:tc>
          <w:tcPr>
            <w:tcW w:w="580" w:type="dxa"/>
            <w:vAlign w:val="bottom"/>
          </w:tcPr>
          <w:p>
            <w:pPr>
              <w:jc w:val="center"/>
              <w:ind w:left="39"/>
              <w:spacing w:after="0"/>
              <w:rPr>
                <w:sz w:val="20"/>
                <w:szCs w:val="20"/>
                <w:color w:val="auto"/>
              </w:rPr>
            </w:pPr>
            <w:r>
              <w:rPr>
                <w:rFonts w:ascii="Arial" w:cs="Arial" w:eastAsia="Arial" w:hAnsi="Arial"/>
                <w:sz w:val="16"/>
                <w:szCs w:val="16"/>
                <w:color w:val="auto"/>
                <w:w w:val="95"/>
              </w:rPr>
              <w:t>*</w:t>
            </w:r>
          </w:p>
        </w:tc>
        <w:tc>
          <w:tcPr>
            <w:tcW w:w="4320" w:type="dxa"/>
            <w:vAlign w:val="bottom"/>
          </w:tcPr>
          <w:p>
            <w:pPr>
              <w:ind w:left="120"/>
              <w:spacing w:after="0"/>
              <w:rPr>
                <w:sz w:val="20"/>
                <w:szCs w:val="20"/>
                <w:color w:val="auto"/>
              </w:rPr>
            </w:pPr>
            <w:r>
              <w:rPr>
                <w:rFonts w:ascii="Arial" w:cs="Arial" w:eastAsia="Arial" w:hAnsi="Arial"/>
                <w:sz w:val="16"/>
                <w:szCs w:val="16"/>
                <w:color w:val="auto"/>
              </w:rPr>
              <w:t>Fidelity® Spartan Extended Market Index Pool</w:t>
            </w:r>
          </w:p>
        </w:tc>
        <w:tc>
          <w:tcPr>
            <w:tcW w:w="2700" w:type="dxa"/>
            <w:vAlign w:val="bottom"/>
          </w:tcPr>
          <w:p>
            <w:pPr>
              <w:jc w:val="center"/>
              <w:ind w:left="99"/>
              <w:spacing w:after="0"/>
              <w:rPr>
                <w:sz w:val="20"/>
                <w:szCs w:val="20"/>
                <w:color w:val="auto"/>
              </w:rPr>
            </w:pPr>
            <w:r>
              <w:rPr>
                <w:rFonts w:ascii="Arial" w:cs="Arial" w:eastAsia="Arial" w:hAnsi="Arial"/>
                <w:sz w:val="16"/>
                <w:szCs w:val="16"/>
                <w:color w:val="auto"/>
              </w:rPr>
              <w:t>Common Collective Trust</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55,345,283</w:t>
            </w:r>
          </w:p>
        </w:tc>
        <w:tc>
          <w:tcPr>
            <w:tcW w:w="0" w:type="dxa"/>
            <w:vAlign w:val="bottom"/>
          </w:tcPr>
          <w:p>
            <w:pPr>
              <w:spacing w:after="0"/>
              <w:rPr>
                <w:sz w:val="1"/>
                <w:szCs w:val="1"/>
                <w:color w:val="auto"/>
              </w:rPr>
            </w:pPr>
          </w:p>
        </w:tc>
      </w:tr>
      <w:tr>
        <w:trPr>
          <w:trHeight w:val="217"/>
        </w:trPr>
        <w:tc>
          <w:tcPr>
            <w:tcW w:w="580" w:type="dxa"/>
            <w:vAlign w:val="bottom"/>
            <w:shd w:val="clear" w:color="auto" w:fill="CCEEFF"/>
          </w:tcPr>
          <w:p>
            <w:pPr>
              <w:spacing w:after="0"/>
              <w:rPr>
                <w:sz w:val="18"/>
                <w:szCs w:val="18"/>
                <w:color w:val="auto"/>
              </w:rPr>
            </w:pPr>
          </w:p>
        </w:tc>
        <w:tc>
          <w:tcPr>
            <w:tcW w:w="4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Vanguard Target Retirement 2025</w:t>
            </w:r>
          </w:p>
        </w:tc>
        <w:tc>
          <w:tcPr>
            <w:tcW w:w="270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Common Collective Trust</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40,887,098</w:t>
            </w: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320" w:type="dxa"/>
            <w:vAlign w:val="bottom"/>
          </w:tcPr>
          <w:p>
            <w:pPr>
              <w:ind w:left="120"/>
              <w:spacing w:after="0"/>
              <w:rPr>
                <w:sz w:val="20"/>
                <w:szCs w:val="20"/>
                <w:color w:val="auto"/>
              </w:rPr>
            </w:pPr>
            <w:r>
              <w:rPr>
                <w:rFonts w:ascii="Arial" w:cs="Arial" w:eastAsia="Arial" w:hAnsi="Arial"/>
                <w:sz w:val="16"/>
                <w:szCs w:val="16"/>
                <w:color w:val="auto"/>
              </w:rPr>
              <w:t>Vanguard Target Retirement 2060</w:t>
            </w:r>
          </w:p>
        </w:tc>
        <w:tc>
          <w:tcPr>
            <w:tcW w:w="2700" w:type="dxa"/>
            <w:vAlign w:val="bottom"/>
          </w:tcPr>
          <w:p>
            <w:pPr>
              <w:jc w:val="center"/>
              <w:ind w:left="99"/>
              <w:spacing w:after="0"/>
              <w:rPr>
                <w:sz w:val="20"/>
                <w:szCs w:val="20"/>
                <w:color w:val="auto"/>
              </w:rPr>
            </w:pPr>
            <w:r>
              <w:rPr>
                <w:rFonts w:ascii="Arial" w:cs="Arial" w:eastAsia="Arial" w:hAnsi="Arial"/>
                <w:sz w:val="16"/>
                <w:szCs w:val="16"/>
                <w:color w:val="auto"/>
              </w:rPr>
              <w:t>Common Collective Trust</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30,077,175</w:t>
            </w:r>
          </w:p>
        </w:tc>
        <w:tc>
          <w:tcPr>
            <w:tcW w:w="0" w:type="dxa"/>
            <w:vAlign w:val="bottom"/>
          </w:tcPr>
          <w:p>
            <w:pPr>
              <w:spacing w:after="0"/>
              <w:rPr>
                <w:sz w:val="1"/>
                <w:szCs w:val="1"/>
                <w:color w:val="auto"/>
              </w:rPr>
            </w:pPr>
          </w:p>
        </w:tc>
      </w:tr>
      <w:tr>
        <w:trPr>
          <w:trHeight w:val="217"/>
        </w:trPr>
        <w:tc>
          <w:tcPr>
            <w:tcW w:w="58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5"/>
              </w:rPr>
              <w:t>*</w:t>
            </w:r>
          </w:p>
        </w:tc>
        <w:tc>
          <w:tcPr>
            <w:tcW w:w="4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Fidelity® Spartan Total International Index Pool</w:t>
            </w:r>
          </w:p>
        </w:tc>
        <w:tc>
          <w:tcPr>
            <w:tcW w:w="270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Common Collective Trust</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20,575,819</w:t>
            </w: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320" w:type="dxa"/>
            <w:vAlign w:val="bottom"/>
          </w:tcPr>
          <w:p>
            <w:pPr>
              <w:ind w:left="120"/>
              <w:spacing w:after="0"/>
              <w:rPr>
                <w:sz w:val="20"/>
                <w:szCs w:val="20"/>
                <w:color w:val="auto"/>
              </w:rPr>
            </w:pPr>
            <w:r>
              <w:rPr>
                <w:rFonts w:ascii="Arial" w:cs="Arial" w:eastAsia="Arial" w:hAnsi="Arial"/>
                <w:sz w:val="16"/>
                <w:szCs w:val="16"/>
                <w:color w:val="auto"/>
              </w:rPr>
              <w:t>Allspring Special Mid-Cap Value</w:t>
            </w:r>
          </w:p>
        </w:tc>
        <w:tc>
          <w:tcPr>
            <w:tcW w:w="2700" w:type="dxa"/>
            <w:vAlign w:val="bottom"/>
          </w:tcPr>
          <w:p>
            <w:pPr>
              <w:jc w:val="center"/>
              <w:ind w:left="99"/>
              <w:spacing w:after="0"/>
              <w:rPr>
                <w:sz w:val="20"/>
                <w:szCs w:val="20"/>
                <w:color w:val="auto"/>
              </w:rPr>
            </w:pPr>
            <w:r>
              <w:rPr>
                <w:rFonts w:ascii="Arial" w:cs="Arial" w:eastAsia="Arial" w:hAnsi="Arial"/>
                <w:sz w:val="16"/>
                <w:szCs w:val="16"/>
                <w:color w:val="auto"/>
              </w:rPr>
              <w:t>Common Collective Trust</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15,747,633</w:t>
            </w:r>
          </w:p>
        </w:tc>
        <w:tc>
          <w:tcPr>
            <w:tcW w:w="0" w:type="dxa"/>
            <w:vAlign w:val="bottom"/>
          </w:tcPr>
          <w:p>
            <w:pPr>
              <w:spacing w:after="0"/>
              <w:rPr>
                <w:sz w:val="1"/>
                <w:szCs w:val="1"/>
                <w:color w:val="auto"/>
              </w:rPr>
            </w:pPr>
          </w:p>
        </w:tc>
      </w:tr>
      <w:tr>
        <w:trPr>
          <w:trHeight w:val="217"/>
        </w:trPr>
        <w:tc>
          <w:tcPr>
            <w:tcW w:w="580" w:type="dxa"/>
            <w:vAlign w:val="bottom"/>
            <w:shd w:val="clear" w:color="auto" w:fill="CCEEFF"/>
          </w:tcPr>
          <w:p>
            <w:pPr>
              <w:spacing w:after="0"/>
              <w:rPr>
                <w:sz w:val="18"/>
                <w:szCs w:val="18"/>
                <w:color w:val="auto"/>
              </w:rPr>
            </w:pPr>
          </w:p>
        </w:tc>
        <w:tc>
          <w:tcPr>
            <w:tcW w:w="4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Vanguard Target Retirement 2020</w:t>
            </w:r>
          </w:p>
        </w:tc>
        <w:tc>
          <w:tcPr>
            <w:tcW w:w="270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Common Collective Trust</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14,593,246</w:t>
            </w: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320" w:type="dxa"/>
            <w:vAlign w:val="bottom"/>
          </w:tcPr>
          <w:p>
            <w:pPr>
              <w:ind w:left="120"/>
              <w:spacing w:after="0"/>
              <w:rPr>
                <w:sz w:val="20"/>
                <w:szCs w:val="20"/>
                <w:color w:val="auto"/>
              </w:rPr>
            </w:pPr>
            <w:r>
              <w:rPr>
                <w:rFonts w:ascii="Arial" w:cs="Arial" w:eastAsia="Arial" w:hAnsi="Arial"/>
                <w:sz w:val="16"/>
                <w:szCs w:val="16"/>
                <w:color w:val="auto"/>
              </w:rPr>
              <w:t>Vanguard Institutional Target Retirement Income Fund</w:t>
            </w:r>
          </w:p>
        </w:tc>
        <w:tc>
          <w:tcPr>
            <w:tcW w:w="2700" w:type="dxa"/>
            <w:vAlign w:val="bottom"/>
          </w:tcPr>
          <w:p>
            <w:pPr>
              <w:jc w:val="center"/>
              <w:ind w:left="99"/>
              <w:spacing w:after="0"/>
              <w:rPr>
                <w:sz w:val="20"/>
                <w:szCs w:val="20"/>
                <w:color w:val="auto"/>
              </w:rPr>
            </w:pPr>
            <w:r>
              <w:rPr>
                <w:rFonts w:ascii="Arial" w:cs="Arial" w:eastAsia="Arial" w:hAnsi="Arial"/>
                <w:sz w:val="16"/>
                <w:szCs w:val="16"/>
                <w:color w:val="auto"/>
              </w:rPr>
              <w:t>Common Collective Trust</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13,725,389</w:t>
            </w:r>
          </w:p>
        </w:tc>
        <w:tc>
          <w:tcPr>
            <w:tcW w:w="0" w:type="dxa"/>
            <w:vAlign w:val="bottom"/>
          </w:tcPr>
          <w:p>
            <w:pPr>
              <w:spacing w:after="0"/>
              <w:rPr>
                <w:sz w:val="1"/>
                <w:szCs w:val="1"/>
                <w:color w:val="auto"/>
              </w:rPr>
            </w:pPr>
          </w:p>
        </w:tc>
      </w:tr>
      <w:tr>
        <w:trPr>
          <w:trHeight w:val="217"/>
        </w:trPr>
        <w:tc>
          <w:tcPr>
            <w:tcW w:w="580" w:type="dxa"/>
            <w:vAlign w:val="bottom"/>
            <w:shd w:val="clear" w:color="auto" w:fill="CCEEFF"/>
          </w:tcPr>
          <w:p>
            <w:pPr>
              <w:spacing w:after="0"/>
              <w:rPr>
                <w:sz w:val="18"/>
                <w:szCs w:val="18"/>
                <w:color w:val="auto"/>
              </w:rPr>
            </w:pPr>
          </w:p>
        </w:tc>
        <w:tc>
          <w:tcPr>
            <w:tcW w:w="4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Mellon Stable Value</w:t>
            </w:r>
          </w:p>
        </w:tc>
        <w:tc>
          <w:tcPr>
            <w:tcW w:w="270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Common Collective Trust</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9,909,444</w:t>
            </w: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320" w:type="dxa"/>
            <w:vAlign w:val="bottom"/>
          </w:tcPr>
          <w:p>
            <w:pPr>
              <w:ind w:left="120"/>
              <w:spacing w:after="0"/>
              <w:rPr>
                <w:sz w:val="20"/>
                <w:szCs w:val="20"/>
                <w:color w:val="auto"/>
              </w:rPr>
            </w:pPr>
            <w:r>
              <w:rPr>
                <w:rFonts w:ascii="Arial" w:cs="Arial" w:eastAsia="Arial" w:hAnsi="Arial"/>
                <w:sz w:val="16"/>
                <w:szCs w:val="16"/>
                <w:color w:val="auto"/>
              </w:rPr>
              <w:t>Vanguard Target Retirement 2065</w:t>
            </w:r>
          </w:p>
        </w:tc>
        <w:tc>
          <w:tcPr>
            <w:tcW w:w="2700" w:type="dxa"/>
            <w:vAlign w:val="bottom"/>
          </w:tcPr>
          <w:p>
            <w:pPr>
              <w:jc w:val="center"/>
              <w:ind w:left="99"/>
              <w:spacing w:after="0"/>
              <w:rPr>
                <w:sz w:val="20"/>
                <w:szCs w:val="20"/>
                <w:color w:val="auto"/>
              </w:rPr>
            </w:pPr>
            <w:r>
              <w:rPr>
                <w:rFonts w:ascii="Arial" w:cs="Arial" w:eastAsia="Arial" w:hAnsi="Arial"/>
                <w:sz w:val="16"/>
                <w:szCs w:val="16"/>
                <w:color w:val="auto"/>
              </w:rPr>
              <w:t>Common Collective Trust</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5,232,014</w:t>
            </w:r>
          </w:p>
        </w:tc>
        <w:tc>
          <w:tcPr>
            <w:tcW w:w="0" w:type="dxa"/>
            <w:vAlign w:val="bottom"/>
          </w:tcPr>
          <w:p>
            <w:pPr>
              <w:spacing w:after="0"/>
              <w:rPr>
                <w:sz w:val="1"/>
                <w:szCs w:val="1"/>
                <w:color w:val="auto"/>
              </w:rPr>
            </w:pPr>
          </w:p>
        </w:tc>
      </w:tr>
      <w:tr>
        <w:trPr>
          <w:trHeight w:val="217"/>
        </w:trPr>
        <w:tc>
          <w:tcPr>
            <w:tcW w:w="580" w:type="dxa"/>
            <w:vAlign w:val="bottom"/>
            <w:shd w:val="clear" w:color="auto" w:fill="CCEEFF"/>
          </w:tcPr>
          <w:p>
            <w:pPr>
              <w:spacing w:after="0"/>
              <w:rPr>
                <w:sz w:val="18"/>
                <w:szCs w:val="18"/>
                <w:color w:val="auto"/>
              </w:rPr>
            </w:pPr>
          </w:p>
        </w:tc>
        <w:tc>
          <w:tcPr>
            <w:tcW w:w="4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Vanguard Target Retirement 2070</w:t>
            </w:r>
          </w:p>
        </w:tc>
        <w:tc>
          <w:tcPr>
            <w:tcW w:w="270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Common Collective Trust</w:t>
            </w:r>
          </w:p>
        </w:tc>
        <w:tc>
          <w:tcPr>
            <w:tcW w:w="19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962,641</w:t>
            </w:r>
          </w:p>
        </w:tc>
        <w:tc>
          <w:tcPr>
            <w:tcW w:w="0" w:type="dxa"/>
            <w:vAlign w:val="bottom"/>
          </w:tcPr>
          <w:p>
            <w:pPr>
              <w:spacing w:after="0"/>
              <w:rPr>
                <w:sz w:val="1"/>
                <w:szCs w:val="1"/>
                <w:color w:val="auto"/>
              </w:rPr>
            </w:pPr>
          </w:p>
        </w:tc>
      </w:tr>
      <w:tr>
        <w:trPr>
          <w:trHeight w:val="209"/>
        </w:trPr>
        <w:tc>
          <w:tcPr>
            <w:tcW w:w="580" w:type="dxa"/>
            <w:vAlign w:val="bottom"/>
            <w:tcBorders>
              <w:bottom w:val="single" w:sz="8" w:color="CCEEFF"/>
            </w:tcBorders>
          </w:tcPr>
          <w:p>
            <w:pPr>
              <w:spacing w:after="0"/>
              <w:rPr>
                <w:sz w:val="18"/>
                <w:szCs w:val="18"/>
                <w:color w:val="auto"/>
              </w:rPr>
            </w:pPr>
          </w:p>
        </w:tc>
        <w:tc>
          <w:tcPr>
            <w:tcW w:w="43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Total common collective trusts</w:t>
            </w:r>
          </w:p>
        </w:tc>
        <w:tc>
          <w:tcPr>
            <w:tcW w:w="270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1,083,323,333</w:t>
            </w:r>
          </w:p>
        </w:tc>
        <w:tc>
          <w:tcPr>
            <w:tcW w:w="0" w:type="dxa"/>
            <w:vAlign w:val="bottom"/>
          </w:tcPr>
          <w:p>
            <w:pPr>
              <w:spacing w:after="0"/>
              <w:rPr>
                <w:sz w:val="1"/>
                <w:szCs w:val="1"/>
                <w:color w:val="auto"/>
              </w:rPr>
            </w:pPr>
          </w:p>
        </w:tc>
      </w:tr>
      <w:tr>
        <w:trPr>
          <w:trHeight w:val="251"/>
        </w:trPr>
        <w:tc>
          <w:tcPr>
            <w:tcW w:w="580" w:type="dxa"/>
            <w:vAlign w:val="bottom"/>
            <w:shd w:val="clear" w:color="auto" w:fill="CCEEFF"/>
          </w:tcPr>
          <w:p>
            <w:pPr>
              <w:spacing w:after="0"/>
              <w:rPr>
                <w:sz w:val="21"/>
                <w:szCs w:val="21"/>
                <w:color w:val="auto"/>
              </w:rPr>
            </w:pPr>
          </w:p>
        </w:tc>
        <w:tc>
          <w:tcPr>
            <w:tcW w:w="4320" w:type="dxa"/>
            <w:vAlign w:val="bottom"/>
            <w:shd w:val="clear" w:color="auto" w:fill="CCEEFF"/>
          </w:tcPr>
          <w:p>
            <w:pPr>
              <w:spacing w:after="0"/>
              <w:rPr>
                <w:sz w:val="21"/>
                <w:szCs w:val="21"/>
                <w:color w:val="auto"/>
              </w:rPr>
            </w:pPr>
          </w:p>
        </w:tc>
        <w:tc>
          <w:tcPr>
            <w:tcW w:w="270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80" w:type="dxa"/>
            <w:vAlign w:val="bottom"/>
          </w:tcPr>
          <w:p>
            <w:pPr>
              <w:jc w:val="center"/>
              <w:ind w:left="39"/>
              <w:spacing w:after="0"/>
              <w:rPr>
                <w:sz w:val="20"/>
                <w:szCs w:val="20"/>
                <w:color w:val="auto"/>
              </w:rPr>
            </w:pPr>
            <w:r>
              <w:rPr>
                <w:rFonts w:ascii="Arial" w:cs="Arial" w:eastAsia="Arial" w:hAnsi="Arial"/>
                <w:sz w:val="16"/>
                <w:szCs w:val="16"/>
                <w:color w:val="auto"/>
                <w:w w:val="95"/>
              </w:rPr>
              <w:t>*</w:t>
            </w:r>
          </w:p>
        </w:tc>
        <w:tc>
          <w:tcPr>
            <w:tcW w:w="4320" w:type="dxa"/>
            <w:vAlign w:val="bottom"/>
          </w:tcPr>
          <w:p>
            <w:pPr>
              <w:ind w:left="120"/>
              <w:spacing w:after="0"/>
              <w:rPr>
                <w:sz w:val="20"/>
                <w:szCs w:val="20"/>
                <w:color w:val="auto"/>
              </w:rPr>
            </w:pPr>
            <w:r>
              <w:rPr>
                <w:rFonts w:ascii="Arial" w:cs="Arial" w:eastAsia="Arial" w:hAnsi="Arial"/>
                <w:sz w:val="16"/>
                <w:szCs w:val="16"/>
                <w:color w:val="auto"/>
              </w:rPr>
              <w:t>TC Energy Corporation</w:t>
            </w:r>
          </w:p>
        </w:tc>
        <w:tc>
          <w:tcPr>
            <w:tcW w:w="2700" w:type="dxa"/>
            <w:vAlign w:val="bottom"/>
          </w:tcPr>
          <w:p>
            <w:pPr>
              <w:jc w:val="center"/>
              <w:ind w:left="99"/>
              <w:spacing w:after="0"/>
              <w:rPr>
                <w:sz w:val="20"/>
                <w:szCs w:val="20"/>
                <w:color w:val="auto"/>
              </w:rPr>
            </w:pPr>
            <w:r>
              <w:rPr>
                <w:rFonts w:ascii="Arial" w:cs="Arial" w:eastAsia="Arial" w:hAnsi="Arial"/>
                <w:sz w:val="16"/>
                <w:szCs w:val="16"/>
                <w:color w:val="auto"/>
              </w:rPr>
              <w:t>Common Stock</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11,723,574</w:t>
            </w:r>
          </w:p>
        </w:tc>
        <w:tc>
          <w:tcPr>
            <w:tcW w:w="0" w:type="dxa"/>
            <w:vAlign w:val="bottom"/>
          </w:tcPr>
          <w:p>
            <w:pPr>
              <w:spacing w:after="0"/>
              <w:rPr>
                <w:sz w:val="1"/>
                <w:szCs w:val="1"/>
                <w:color w:val="auto"/>
              </w:rPr>
            </w:pPr>
          </w:p>
        </w:tc>
      </w:tr>
      <w:tr>
        <w:trPr>
          <w:trHeight w:val="217"/>
        </w:trPr>
        <w:tc>
          <w:tcPr>
            <w:tcW w:w="58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5"/>
              </w:rPr>
              <w:t>*</w:t>
            </w:r>
          </w:p>
        </w:tc>
        <w:tc>
          <w:tcPr>
            <w:tcW w:w="4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TC Energy Stock Fund</w:t>
            </w:r>
          </w:p>
        </w:tc>
        <w:tc>
          <w:tcPr>
            <w:tcW w:w="270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Stock Purchase Account</w:t>
            </w:r>
          </w:p>
        </w:tc>
        <w:tc>
          <w:tcPr>
            <w:tcW w:w="19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9,061</w:t>
            </w:r>
          </w:p>
        </w:tc>
        <w:tc>
          <w:tcPr>
            <w:tcW w:w="0" w:type="dxa"/>
            <w:vAlign w:val="bottom"/>
          </w:tcPr>
          <w:p>
            <w:pPr>
              <w:spacing w:after="0"/>
              <w:rPr>
                <w:sz w:val="1"/>
                <w:szCs w:val="1"/>
                <w:color w:val="auto"/>
              </w:rPr>
            </w:pPr>
          </w:p>
        </w:tc>
      </w:tr>
      <w:tr>
        <w:trPr>
          <w:trHeight w:val="209"/>
        </w:trPr>
        <w:tc>
          <w:tcPr>
            <w:tcW w:w="580" w:type="dxa"/>
            <w:vAlign w:val="bottom"/>
            <w:tcBorders>
              <w:bottom w:val="single" w:sz="8" w:color="CCEEFF"/>
            </w:tcBorders>
          </w:tcPr>
          <w:p>
            <w:pPr>
              <w:spacing w:after="0"/>
              <w:rPr>
                <w:sz w:val="18"/>
                <w:szCs w:val="18"/>
                <w:color w:val="auto"/>
              </w:rPr>
            </w:pPr>
          </w:p>
        </w:tc>
        <w:tc>
          <w:tcPr>
            <w:tcW w:w="43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Total TC Energy common stock</w:t>
            </w:r>
          </w:p>
        </w:tc>
        <w:tc>
          <w:tcPr>
            <w:tcW w:w="270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11,732,635</w:t>
            </w:r>
          </w:p>
        </w:tc>
        <w:tc>
          <w:tcPr>
            <w:tcW w:w="0" w:type="dxa"/>
            <w:vAlign w:val="bottom"/>
          </w:tcPr>
          <w:p>
            <w:pPr>
              <w:spacing w:after="0"/>
              <w:rPr>
                <w:sz w:val="1"/>
                <w:szCs w:val="1"/>
                <w:color w:val="auto"/>
              </w:rPr>
            </w:pPr>
          </w:p>
        </w:tc>
      </w:tr>
      <w:tr>
        <w:trPr>
          <w:trHeight w:val="251"/>
        </w:trPr>
        <w:tc>
          <w:tcPr>
            <w:tcW w:w="580" w:type="dxa"/>
            <w:vAlign w:val="bottom"/>
            <w:shd w:val="clear" w:color="auto" w:fill="CCEEFF"/>
          </w:tcPr>
          <w:p>
            <w:pPr>
              <w:spacing w:after="0"/>
              <w:rPr>
                <w:sz w:val="21"/>
                <w:szCs w:val="21"/>
                <w:color w:val="auto"/>
              </w:rPr>
            </w:pPr>
          </w:p>
        </w:tc>
        <w:tc>
          <w:tcPr>
            <w:tcW w:w="4320" w:type="dxa"/>
            <w:vAlign w:val="bottom"/>
            <w:shd w:val="clear" w:color="auto" w:fill="CCEEFF"/>
          </w:tcPr>
          <w:p>
            <w:pPr>
              <w:spacing w:after="0"/>
              <w:rPr>
                <w:sz w:val="21"/>
                <w:szCs w:val="21"/>
                <w:color w:val="auto"/>
              </w:rPr>
            </w:pPr>
          </w:p>
        </w:tc>
        <w:tc>
          <w:tcPr>
            <w:tcW w:w="270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580" w:type="dxa"/>
            <w:vAlign w:val="bottom"/>
            <w:vMerge w:val="restart"/>
          </w:tcPr>
          <w:p>
            <w:pPr>
              <w:jc w:val="center"/>
              <w:ind w:left="39"/>
              <w:spacing w:after="0"/>
              <w:rPr>
                <w:sz w:val="20"/>
                <w:szCs w:val="20"/>
                <w:color w:val="auto"/>
              </w:rPr>
            </w:pPr>
            <w:r>
              <w:rPr>
                <w:rFonts w:ascii="Arial" w:cs="Arial" w:eastAsia="Arial" w:hAnsi="Arial"/>
                <w:sz w:val="16"/>
                <w:szCs w:val="16"/>
                <w:color w:val="auto"/>
                <w:w w:val="95"/>
              </w:rPr>
              <w:t>*</w:t>
            </w:r>
          </w:p>
        </w:tc>
        <w:tc>
          <w:tcPr>
            <w:tcW w:w="4320" w:type="dxa"/>
            <w:vAlign w:val="bottom"/>
            <w:vMerge w:val="restart"/>
          </w:tcPr>
          <w:p>
            <w:pPr>
              <w:ind w:left="120"/>
              <w:spacing w:after="0"/>
              <w:rPr>
                <w:sz w:val="20"/>
                <w:szCs w:val="20"/>
                <w:color w:val="auto"/>
              </w:rPr>
            </w:pPr>
            <w:r>
              <w:rPr>
                <w:rFonts w:ascii="Arial" w:cs="Arial" w:eastAsia="Arial" w:hAnsi="Arial"/>
                <w:sz w:val="16"/>
                <w:szCs w:val="16"/>
                <w:color w:val="auto"/>
              </w:rPr>
              <w:t>Fidelity® BrokerageLink</w:t>
            </w:r>
          </w:p>
        </w:tc>
        <w:tc>
          <w:tcPr>
            <w:tcW w:w="2700" w:type="dxa"/>
            <w:vAlign w:val="bottom"/>
          </w:tcPr>
          <w:p>
            <w:pPr>
              <w:jc w:val="center"/>
              <w:ind w:left="99"/>
              <w:spacing w:after="0" w:line="162" w:lineRule="exact"/>
              <w:rPr>
                <w:sz w:val="20"/>
                <w:szCs w:val="20"/>
                <w:color w:val="auto"/>
              </w:rPr>
            </w:pPr>
            <w:r>
              <w:rPr>
                <w:rFonts w:ascii="Arial" w:cs="Arial" w:eastAsia="Arial" w:hAnsi="Arial"/>
                <w:sz w:val="16"/>
                <w:szCs w:val="16"/>
                <w:color w:val="auto"/>
              </w:rPr>
              <w:t>Participant Directed Brokerage</w:t>
            </w: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14,541,518</w:t>
            </w:r>
          </w:p>
        </w:tc>
        <w:tc>
          <w:tcPr>
            <w:tcW w:w="0" w:type="dxa"/>
            <w:vAlign w:val="bottom"/>
          </w:tcPr>
          <w:p>
            <w:pPr>
              <w:spacing w:after="0"/>
              <w:rPr>
                <w:sz w:val="1"/>
                <w:szCs w:val="1"/>
                <w:color w:val="auto"/>
              </w:rPr>
            </w:pPr>
          </w:p>
        </w:tc>
      </w:tr>
      <w:tr>
        <w:trPr>
          <w:trHeight w:val="133"/>
        </w:trPr>
        <w:tc>
          <w:tcPr>
            <w:tcW w:w="580" w:type="dxa"/>
            <w:vAlign w:val="bottom"/>
            <w:vMerge w:val="continue"/>
          </w:tcPr>
          <w:p>
            <w:pPr>
              <w:spacing w:after="0"/>
              <w:rPr>
                <w:sz w:val="11"/>
                <w:szCs w:val="11"/>
                <w:color w:val="auto"/>
              </w:rPr>
            </w:pPr>
          </w:p>
        </w:tc>
        <w:tc>
          <w:tcPr>
            <w:tcW w:w="4320" w:type="dxa"/>
            <w:vAlign w:val="bottom"/>
            <w:vMerge w:val="continue"/>
          </w:tcPr>
          <w:p>
            <w:pPr>
              <w:spacing w:after="0"/>
              <w:rPr>
                <w:sz w:val="11"/>
                <w:szCs w:val="11"/>
                <w:color w:val="auto"/>
              </w:rPr>
            </w:pPr>
          </w:p>
        </w:tc>
        <w:tc>
          <w:tcPr>
            <w:tcW w:w="2700" w:type="dxa"/>
            <w:vAlign w:val="bottom"/>
            <w:vMerge w:val="restart"/>
          </w:tcPr>
          <w:p>
            <w:pPr>
              <w:jc w:val="center"/>
              <w:ind w:left="99"/>
              <w:spacing w:after="0"/>
              <w:rPr>
                <w:sz w:val="20"/>
                <w:szCs w:val="20"/>
                <w:color w:val="auto"/>
              </w:rPr>
            </w:pPr>
            <w:r>
              <w:rPr>
                <w:rFonts w:ascii="Arial" w:cs="Arial" w:eastAsia="Arial" w:hAnsi="Arial"/>
                <w:sz w:val="16"/>
                <w:szCs w:val="16"/>
                <w:color w:val="auto"/>
              </w:rPr>
              <w:t>Account</w:t>
            </w:r>
          </w:p>
        </w:tc>
        <w:tc>
          <w:tcPr>
            <w:tcW w:w="1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580" w:type="dxa"/>
            <w:vAlign w:val="bottom"/>
          </w:tcPr>
          <w:p>
            <w:pPr>
              <w:spacing w:after="0"/>
              <w:rPr>
                <w:sz w:val="7"/>
                <w:szCs w:val="7"/>
                <w:color w:val="auto"/>
              </w:rPr>
            </w:pPr>
          </w:p>
        </w:tc>
        <w:tc>
          <w:tcPr>
            <w:tcW w:w="4320" w:type="dxa"/>
            <w:vAlign w:val="bottom"/>
          </w:tcPr>
          <w:p>
            <w:pPr>
              <w:spacing w:after="0"/>
              <w:rPr>
                <w:sz w:val="7"/>
                <w:szCs w:val="7"/>
                <w:color w:val="auto"/>
              </w:rPr>
            </w:pPr>
          </w:p>
        </w:tc>
        <w:tc>
          <w:tcPr>
            <w:tcW w:w="2700" w:type="dxa"/>
            <w:vAlign w:val="bottom"/>
            <w:vMerge w:val="continue"/>
          </w:tcPr>
          <w:p>
            <w:pPr>
              <w:spacing w:after="0"/>
              <w:rPr>
                <w:sz w:val="7"/>
                <w:szCs w:val="7"/>
                <w:color w:val="auto"/>
              </w:rPr>
            </w:pPr>
          </w:p>
        </w:tc>
        <w:tc>
          <w:tcPr>
            <w:tcW w:w="1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TransCanada 401(k) and Savings Plan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9"/>
        </w:trPr>
        <w:tc>
          <w:tcPr>
            <w:tcW w:w="580" w:type="dxa"/>
            <w:vAlign w:val="bottom"/>
            <w:tcBorders>
              <w:top w:val="single" w:sz="8" w:color="237CC1"/>
              <w:bottom w:val="single" w:sz="8" w:color="237CC1"/>
            </w:tcBorders>
            <w:shd w:val="clear" w:color="auto" w:fill="D1D0CF"/>
          </w:tcPr>
          <w:p>
            <w:pPr>
              <w:jc w:val="center"/>
              <w:ind w:left="19"/>
              <w:spacing w:after="0"/>
              <w:rPr>
                <w:sz w:val="20"/>
                <w:szCs w:val="20"/>
                <w:color w:val="auto"/>
              </w:rPr>
            </w:pPr>
            <w:r>
              <w:rPr>
                <w:rFonts w:ascii="Arial" w:cs="Arial" w:eastAsia="Arial" w:hAnsi="Arial"/>
                <w:sz w:val="16"/>
                <w:szCs w:val="16"/>
                <w:color w:val="auto"/>
              </w:rPr>
              <w:t>(a)</w:t>
            </w:r>
          </w:p>
        </w:tc>
        <w:tc>
          <w:tcPr>
            <w:tcW w:w="4220" w:type="dxa"/>
            <w:vAlign w:val="bottom"/>
            <w:tcBorders>
              <w:top w:val="single" w:sz="8" w:color="237CC1"/>
              <w:bottom w:val="single" w:sz="8" w:color="237CC1"/>
            </w:tcBorders>
            <w:shd w:val="clear" w:color="auto" w:fill="D1D0CF"/>
          </w:tcPr>
          <w:p>
            <w:pPr>
              <w:ind w:left="120"/>
              <w:spacing w:after="0"/>
              <w:rPr>
                <w:sz w:val="20"/>
                <w:szCs w:val="20"/>
                <w:color w:val="auto"/>
              </w:rPr>
            </w:pPr>
            <w:r>
              <w:rPr>
                <w:rFonts w:ascii="Arial" w:cs="Arial" w:eastAsia="Arial" w:hAnsi="Arial"/>
                <w:sz w:val="16"/>
                <w:szCs w:val="16"/>
                <w:color w:val="auto"/>
              </w:rPr>
              <w:t>(b) Identity of Issue, Borrower, Lessor or Similar Party</w:t>
            </w:r>
          </w:p>
        </w:tc>
        <w:tc>
          <w:tcPr>
            <w:tcW w:w="2900" w:type="dxa"/>
            <w:vAlign w:val="bottom"/>
            <w:tcBorders>
              <w:top w:val="single" w:sz="8" w:color="237CC1"/>
              <w:bottom w:val="single" w:sz="8" w:color="237CC1"/>
            </w:tcBorders>
            <w:shd w:val="clear" w:color="auto" w:fill="D1D0CF"/>
          </w:tcPr>
          <w:p>
            <w:pPr>
              <w:jc w:val="center"/>
              <w:ind w:left="99"/>
              <w:spacing w:after="0"/>
              <w:rPr>
                <w:sz w:val="20"/>
                <w:szCs w:val="20"/>
                <w:color w:val="auto"/>
              </w:rPr>
            </w:pPr>
            <w:r>
              <w:rPr>
                <w:rFonts w:ascii="Arial" w:cs="Arial" w:eastAsia="Arial" w:hAnsi="Arial"/>
                <w:sz w:val="16"/>
                <w:szCs w:val="16"/>
                <w:color w:val="auto"/>
              </w:rPr>
              <w:t>(c) Description of Investment</w:t>
            </w:r>
          </w:p>
        </w:tc>
        <w:tc>
          <w:tcPr>
            <w:tcW w:w="2000" w:type="dxa"/>
            <w:vAlign w:val="bottom"/>
            <w:tcBorders>
              <w:top w:val="single" w:sz="8" w:color="237CC1"/>
              <w:bottom w:val="single" w:sz="8" w:color="237CC1"/>
            </w:tcBorders>
            <w:gridSpan w:val="2"/>
            <w:shd w:val="clear" w:color="auto" w:fill="D1D0CF"/>
          </w:tcPr>
          <w:p>
            <w:pPr>
              <w:jc w:val="right"/>
              <w:ind w:right="139"/>
              <w:spacing w:after="0"/>
              <w:rPr>
                <w:sz w:val="20"/>
                <w:szCs w:val="20"/>
                <w:color w:val="auto"/>
              </w:rPr>
            </w:pPr>
            <w:r>
              <w:rPr>
                <w:rFonts w:ascii="Arial" w:cs="Arial" w:eastAsia="Arial" w:hAnsi="Arial"/>
                <w:sz w:val="16"/>
                <w:szCs w:val="16"/>
                <w:color w:val="auto"/>
              </w:rPr>
              <w:t>(d) Cost of Investment**</w:t>
            </w:r>
          </w:p>
        </w:tc>
        <w:tc>
          <w:tcPr>
            <w:tcW w:w="1540" w:type="dxa"/>
            <w:vAlign w:val="bottom"/>
            <w:tcBorders>
              <w:top w:val="single" w:sz="8" w:color="237CC1"/>
              <w:bottom w:val="single" w:sz="8" w:color="237CC1"/>
            </w:tcBorders>
            <w:shd w:val="clear" w:color="auto" w:fill="D1D0CF"/>
          </w:tcPr>
          <w:p>
            <w:pPr>
              <w:jc w:val="right"/>
              <w:ind w:right="159"/>
              <w:spacing w:after="0"/>
              <w:rPr>
                <w:sz w:val="20"/>
                <w:szCs w:val="20"/>
                <w:color w:val="auto"/>
              </w:rPr>
            </w:pPr>
            <w:r>
              <w:rPr>
                <w:rFonts w:ascii="Arial" w:cs="Arial" w:eastAsia="Arial" w:hAnsi="Arial"/>
                <w:sz w:val="16"/>
                <w:szCs w:val="16"/>
                <w:color w:val="auto"/>
              </w:rPr>
              <w:t>(e) Current Value</w:t>
            </w:r>
          </w:p>
        </w:tc>
        <w:tc>
          <w:tcPr>
            <w:tcW w:w="0" w:type="dxa"/>
            <w:vAlign w:val="bottom"/>
          </w:tcPr>
          <w:p>
            <w:pPr>
              <w:spacing w:after="0"/>
              <w:rPr>
                <w:sz w:val="1"/>
                <w:szCs w:val="1"/>
                <w:color w:val="auto"/>
              </w:rPr>
            </w:pPr>
          </w:p>
        </w:tc>
      </w:tr>
      <w:tr>
        <w:trPr>
          <w:trHeight w:val="129"/>
        </w:trPr>
        <w:tc>
          <w:tcPr>
            <w:tcW w:w="58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spacing w:after="0"/>
              <w:rPr>
                <w:sz w:val="18"/>
                <w:szCs w:val="18"/>
                <w:color w:val="auto"/>
              </w:rPr>
            </w:pPr>
          </w:p>
        </w:tc>
        <w:tc>
          <w:tcPr>
            <w:tcW w:w="4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South Bow Corporation</w:t>
            </w:r>
          </w:p>
        </w:tc>
        <w:tc>
          <w:tcPr>
            <w:tcW w:w="290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rPr>
              <w:t>Common Stock</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988,388</w:t>
            </w:r>
          </w:p>
        </w:tc>
        <w:tc>
          <w:tcPr>
            <w:tcW w:w="0" w:type="dxa"/>
            <w:vAlign w:val="bottom"/>
          </w:tcPr>
          <w:p>
            <w:pPr>
              <w:spacing w:after="0"/>
              <w:rPr>
                <w:sz w:val="1"/>
                <w:szCs w:val="1"/>
                <w:color w:val="auto"/>
              </w:rPr>
            </w:pPr>
          </w:p>
        </w:tc>
      </w:tr>
      <w:tr>
        <w:trPr>
          <w:trHeight w:val="215"/>
        </w:trPr>
        <w:tc>
          <w:tcPr>
            <w:tcW w:w="580" w:type="dxa"/>
            <w:vAlign w:val="bottom"/>
            <w:tcBorders>
              <w:bottom w:val="single" w:sz="8" w:color="CCEEFF"/>
            </w:tcBorders>
          </w:tcPr>
          <w:p>
            <w:pPr>
              <w:spacing w:after="0"/>
              <w:rPr>
                <w:sz w:val="18"/>
                <w:szCs w:val="18"/>
                <w:color w:val="auto"/>
              </w:rPr>
            </w:pPr>
          </w:p>
        </w:tc>
        <w:tc>
          <w:tcPr>
            <w:tcW w:w="42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South Bow Stock Fund</w:t>
            </w:r>
          </w:p>
        </w:tc>
        <w:tc>
          <w:tcPr>
            <w:tcW w:w="2900" w:type="dxa"/>
            <w:vAlign w:val="bottom"/>
            <w:tcBorders>
              <w:bottom w:val="single" w:sz="8" w:color="CCEEFF"/>
            </w:tcBorders>
          </w:tcPr>
          <w:p>
            <w:pPr>
              <w:jc w:val="center"/>
              <w:ind w:left="99"/>
              <w:spacing w:after="0"/>
              <w:rPr>
                <w:sz w:val="20"/>
                <w:szCs w:val="20"/>
                <w:color w:val="auto"/>
              </w:rPr>
            </w:pPr>
            <w:r>
              <w:rPr>
                <w:rFonts w:ascii="Arial" w:cs="Arial" w:eastAsia="Arial" w:hAnsi="Arial"/>
                <w:sz w:val="16"/>
                <w:szCs w:val="16"/>
                <w:color w:val="auto"/>
              </w:rPr>
              <w:t>Stock Purchase Account</w:t>
            </w:r>
          </w:p>
        </w:tc>
        <w:tc>
          <w:tcPr>
            <w:tcW w:w="18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1,366</w:t>
            </w:r>
          </w:p>
        </w:tc>
        <w:tc>
          <w:tcPr>
            <w:tcW w:w="0" w:type="dxa"/>
            <w:vAlign w:val="bottom"/>
          </w:tcPr>
          <w:p>
            <w:pPr>
              <w:spacing w:after="0"/>
              <w:rPr>
                <w:sz w:val="1"/>
                <w:szCs w:val="1"/>
                <w:color w:val="auto"/>
              </w:rPr>
            </w:pPr>
          </w:p>
        </w:tc>
      </w:tr>
      <w:tr>
        <w:trPr>
          <w:trHeight w:val="210"/>
        </w:trPr>
        <w:tc>
          <w:tcPr>
            <w:tcW w:w="580" w:type="dxa"/>
            <w:vAlign w:val="bottom"/>
            <w:shd w:val="clear" w:color="auto" w:fill="CCEEFF"/>
          </w:tcPr>
          <w:p>
            <w:pPr>
              <w:spacing w:after="0"/>
              <w:rPr>
                <w:sz w:val="18"/>
                <w:szCs w:val="18"/>
                <w:color w:val="auto"/>
              </w:rPr>
            </w:pPr>
          </w:p>
        </w:tc>
        <w:tc>
          <w:tcPr>
            <w:tcW w:w="4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South Bow common stock</w:t>
            </w:r>
          </w:p>
        </w:tc>
        <w:tc>
          <w:tcPr>
            <w:tcW w:w="29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989,754</w:t>
            </w:r>
          </w:p>
        </w:tc>
        <w:tc>
          <w:tcPr>
            <w:tcW w:w="0" w:type="dxa"/>
            <w:vAlign w:val="bottom"/>
          </w:tcPr>
          <w:p>
            <w:pPr>
              <w:spacing w:after="0"/>
              <w:rPr>
                <w:sz w:val="1"/>
                <w:szCs w:val="1"/>
                <w:color w:val="auto"/>
              </w:rPr>
            </w:pPr>
          </w:p>
        </w:tc>
      </w:tr>
      <w:tr>
        <w:trPr>
          <w:trHeight w:val="251"/>
        </w:trPr>
        <w:tc>
          <w:tcPr>
            <w:tcW w:w="580" w:type="dxa"/>
            <w:vAlign w:val="bottom"/>
            <w:tcBorders>
              <w:bottom w:val="single" w:sz="8" w:color="auto"/>
            </w:tcBorders>
          </w:tcPr>
          <w:p>
            <w:pPr>
              <w:spacing w:after="0"/>
              <w:rPr>
                <w:sz w:val="21"/>
                <w:szCs w:val="21"/>
                <w:color w:val="auto"/>
              </w:rPr>
            </w:pPr>
          </w:p>
        </w:tc>
        <w:tc>
          <w:tcPr>
            <w:tcW w:w="422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580" w:type="dxa"/>
            <w:vAlign w:val="bottom"/>
            <w:shd w:val="clear" w:color="auto" w:fill="CCEEFF"/>
          </w:tcPr>
          <w:p>
            <w:pPr>
              <w:spacing w:after="0"/>
              <w:rPr>
                <w:sz w:val="13"/>
                <w:szCs w:val="13"/>
                <w:color w:val="auto"/>
              </w:rPr>
            </w:pPr>
          </w:p>
        </w:tc>
        <w:tc>
          <w:tcPr>
            <w:tcW w:w="4220" w:type="dxa"/>
            <w:vAlign w:val="bottom"/>
            <w:shd w:val="clear" w:color="auto" w:fill="CCEEFF"/>
          </w:tcPr>
          <w:p>
            <w:pPr>
              <w:ind w:left="120"/>
              <w:spacing w:after="0" w:line="155" w:lineRule="exact"/>
              <w:rPr>
                <w:sz w:val="20"/>
                <w:szCs w:val="20"/>
                <w:color w:val="auto"/>
              </w:rPr>
            </w:pPr>
            <w:r>
              <w:rPr>
                <w:rFonts w:ascii="Arial" w:cs="Arial" w:eastAsia="Arial" w:hAnsi="Arial"/>
                <w:sz w:val="16"/>
                <w:szCs w:val="16"/>
                <w:b w:val="1"/>
                <w:bCs w:val="1"/>
                <w:color w:val="auto"/>
              </w:rPr>
              <w:t>Total investments on the Statement of net assets</w:t>
            </w:r>
          </w:p>
        </w:tc>
        <w:tc>
          <w:tcPr>
            <w:tcW w:w="2900" w:type="dxa"/>
            <w:vAlign w:val="bottom"/>
            <w:shd w:val="clear" w:color="auto" w:fill="CCEEFF"/>
          </w:tcPr>
          <w:p>
            <w:pPr>
              <w:spacing w:after="0"/>
              <w:rPr>
                <w:sz w:val="13"/>
                <w:szCs w:val="13"/>
                <w:color w:val="auto"/>
              </w:rPr>
            </w:pPr>
          </w:p>
        </w:tc>
        <w:tc>
          <w:tcPr>
            <w:tcW w:w="20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1,293,625,298</w:t>
            </w:r>
          </w:p>
        </w:tc>
        <w:tc>
          <w:tcPr>
            <w:tcW w:w="0" w:type="dxa"/>
            <w:vAlign w:val="bottom"/>
          </w:tcPr>
          <w:p>
            <w:pPr>
              <w:spacing w:after="0"/>
              <w:rPr>
                <w:sz w:val="1"/>
                <w:szCs w:val="1"/>
                <w:color w:val="auto"/>
              </w:rPr>
            </w:pPr>
          </w:p>
        </w:tc>
      </w:tr>
      <w:tr>
        <w:trPr>
          <w:trHeight w:val="141"/>
        </w:trPr>
        <w:tc>
          <w:tcPr>
            <w:tcW w:w="580" w:type="dxa"/>
            <w:vAlign w:val="bottom"/>
            <w:shd w:val="clear" w:color="auto" w:fill="CCEEFF"/>
          </w:tcPr>
          <w:p>
            <w:pPr>
              <w:spacing w:after="0"/>
              <w:rPr>
                <w:sz w:val="12"/>
                <w:szCs w:val="12"/>
                <w:color w:val="auto"/>
              </w:rPr>
            </w:pPr>
          </w:p>
        </w:tc>
        <w:tc>
          <w:tcPr>
            <w:tcW w:w="4220" w:type="dxa"/>
            <w:vAlign w:val="bottom"/>
            <w:vMerge w:val="restart"/>
            <w:shd w:val="clear" w:color="auto" w:fill="CCEEFF"/>
          </w:tcPr>
          <w:p>
            <w:pPr>
              <w:ind w:left="120"/>
              <w:spacing w:after="0"/>
              <w:rPr>
                <w:sz w:val="20"/>
                <w:szCs w:val="20"/>
                <w:color w:val="auto"/>
              </w:rPr>
            </w:pPr>
            <w:r>
              <w:rPr>
                <w:rFonts w:ascii="Arial" w:cs="Arial" w:eastAsia="Arial" w:hAnsi="Arial"/>
                <w:sz w:val="16"/>
                <w:szCs w:val="16"/>
                <w:b w:val="1"/>
                <w:bCs w:val="1"/>
                <w:color w:val="auto"/>
              </w:rPr>
              <w:t>available for benefits</w:t>
            </w:r>
          </w:p>
        </w:tc>
        <w:tc>
          <w:tcPr>
            <w:tcW w:w="2900" w:type="dxa"/>
            <w:vAlign w:val="bottom"/>
            <w:shd w:val="clear" w:color="auto" w:fill="CCEEFF"/>
          </w:tcPr>
          <w:p>
            <w:pPr>
              <w:spacing w:after="0"/>
              <w:rPr>
                <w:sz w:val="12"/>
                <w:szCs w:val="12"/>
                <w:color w:val="auto"/>
              </w:rPr>
            </w:pPr>
          </w:p>
        </w:tc>
        <w:tc>
          <w:tcPr>
            <w:tcW w:w="2000" w:type="dxa"/>
            <w:vAlign w:val="bottom"/>
            <w:gridSpan w:val="2"/>
            <w:vMerge w:val="continue"/>
            <w:shd w:val="clear" w:color="auto" w:fill="CCEEFF"/>
          </w:tcPr>
          <w:p>
            <w:pPr>
              <w:spacing w:after="0"/>
              <w:rPr>
                <w:sz w:val="12"/>
                <w:szCs w:val="12"/>
                <w:color w:val="auto"/>
              </w:rPr>
            </w:pPr>
          </w:p>
        </w:tc>
        <w:tc>
          <w:tcPr>
            <w:tcW w:w="15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580" w:type="dxa"/>
            <w:vAlign w:val="bottom"/>
            <w:tcBorders>
              <w:bottom w:val="single" w:sz="8" w:color="auto"/>
            </w:tcBorders>
            <w:shd w:val="clear" w:color="auto" w:fill="CCEEFF"/>
          </w:tcPr>
          <w:p>
            <w:pPr>
              <w:spacing w:after="0"/>
              <w:rPr>
                <w:sz w:val="6"/>
                <w:szCs w:val="6"/>
                <w:color w:val="auto"/>
              </w:rPr>
            </w:pPr>
          </w:p>
        </w:tc>
        <w:tc>
          <w:tcPr>
            <w:tcW w:w="4220" w:type="dxa"/>
            <w:vAlign w:val="bottom"/>
            <w:tcBorders>
              <w:bottom w:val="single" w:sz="8" w:color="auto"/>
            </w:tcBorders>
            <w:vMerge w:val="continue"/>
            <w:shd w:val="clear" w:color="auto" w:fill="CCEEFF"/>
          </w:tcPr>
          <w:p>
            <w:pPr>
              <w:spacing w:after="0"/>
              <w:rPr>
                <w:sz w:val="6"/>
                <w:szCs w:val="6"/>
                <w:color w:val="auto"/>
              </w:rPr>
            </w:pPr>
          </w:p>
        </w:tc>
        <w:tc>
          <w:tcPr>
            <w:tcW w:w="2900" w:type="dxa"/>
            <w:vAlign w:val="bottom"/>
            <w:tcBorders>
              <w:bottom w:val="single" w:sz="8" w:color="auto"/>
            </w:tcBorders>
            <w:shd w:val="clear" w:color="auto" w:fill="CCEEFF"/>
          </w:tcPr>
          <w:p>
            <w:pPr>
              <w:spacing w:after="0"/>
              <w:rPr>
                <w:sz w:val="6"/>
                <w:szCs w:val="6"/>
                <w:color w:val="auto"/>
              </w:rPr>
            </w:pPr>
          </w:p>
        </w:tc>
        <w:tc>
          <w:tcPr>
            <w:tcW w:w="182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4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42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5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422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Participant Loans</w:t>
            </w:r>
          </w:p>
        </w:tc>
        <w:tc>
          <w:tcPr>
            <w:tcW w:w="2900" w:type="dxa"/>
            <w:vAlign w:val="bottom"/>
            <w:shd w:val="clear" w:color="auto" w:fill="CCEEFF"/>
          </w:tcPr>
          <w:p>
            <w:pPr>
              <w:jc w:val="center"/>
              <w:ind w:left="99"/>
              <w:spacing w:after="0" w:line="162" w:lineRule="exact"/>
              <w:rPr>
                <w:sz w:val="20"/>
                <w:szCs w:val="20"/>
                <w:color w:val="auto"/>
              </w:rPr>
            </w:pPr>
            <w:r>
              <w:rPr>
                <w:rFonts w:ascii="Arial" w:cs="Arial" w:eastAsia="Arial" w:hAnsi="Arial"/>
                <w:sz w:val="16"/>
                <w:szCs w:val="16"/>
                <w:color w:val="auto"/>
              </w:rPr>
              <w:t>Interest rates ranging from 3.25% to</w:t>
            </w:r>
          </w:p>
        </w:tc>
        <w:tc>
          <w:tcPr>
            <w:tcW w:w="1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16,440,591</w:t>
            </w:r>
          </w:p>
        </w:tc>
        <w:tc>
          <w:tcPr>
            <w:tcW w:w="0" w:type="dxa"/>
            <w:vAlign w:val="bottom"/>
          </w:tcPr>
          <w:p>
            <w:pPr>
              <w:spacing w:after="0"/>
              <w:rPr>
                <w:sz w:val="1"/>
                <w:szCs w:val="1"/>
                <w:color w:val="auto"/>
              </w:rPr>
            </w:pPr>
          </w:p>
        </w:tc>
      </w:tr>
      <w:tr>
        <w:trPr>
          <w:trHeight w:val="133"/>
        </w:trPr>
        <w:tc>
          <w:tcPr>
            <w:tcW w:w="580" w:type="dxa"/>
            <w:vAlign w:val="bottom"/>
            <w:vMerge w:val="continue"/>
            <w:shd w:val="clear" w:color="auto" w:fill="CCEEFF"/>
          </w:tcPr>
          <w:p>
            <w:pPr>
              <w:spacing w:after="0"/>
              <w:rPr>
                <w:sz w:val="11"/>
                <w:szCs w:val="11"/>
                <w:color w:val="auto"/>
              </w:rPr>
            </w:pPr>
          </w:p>
        </w:tc>
        <w:tc>
          <w:tcPr>
            <w:tcW w:w="4220" w:type="dxa"/>
            <w:vAlign w:val="bottom"/>
            <w:vMerge w:val="continue"/>
            <w:shd w:val="clear" w:color="auto" w:fill="CCEEFF"/>
          </w:tcPr>
          <w:p>
            <w:pPr>
              <w:spacing w:after="0"/>
              <w:rPr>
                <w:sz w:val="11"/>
                <w:szCs w:val="11"/>
                <w:color w:val="auto"/>
              </w:rPr>
            </w:pPr>
          </w:p>
        </w:tc>
        <w:tc>
          <w:tcPr>
            <w:tcW w:w="2900" w:type="dxa"/>
            <w:vAlign w:val="bottom"/>
            <w:vMerge w:val="restart"/>
            <w:shd w:val="clear" w:color="auto" w:fill="CCEEFF"/>
          </w:tcPr>
          <w:p>
            <w:pPr>
              <w:jc w:val="center"/>
              <w:ind w:left="99"/>
              <w:spacing w:after="0"/>
              <w:rPr>
                <w:sz w:val="20"/>
                <w:szCs w:val="20"/>
                <w:color w:val="auto"/>
              </w:rPr>
            </w:pPr>
            <w:r>
              <w:rPr>
                <w:rFonts w:ascii="Arial" w:cs="Arial" w:eastAsia="Arial" w:hAnsi="Arial"/>
                <w:sz w:val="16"/>
                <w:szCs w:val="16"/>
                <w:color w:val="auto"/>
              </w:rPr>
              <w:t>9.50% maturing through 2041</w:t>
            </w:r>
          </w:p>
        </w:tc>
        <w:tc>
          <w:tcPr>
            <w:tcW w:w="1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5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580" w:type="dxa"/>
            <w:vAlign w:val="bottom"/>
            <w:tcBorders>
              <w:bottom w:val="single" w:sz="8" w:color="auto"/>
            </w:tcBorders>
            <w:shd w:val="clear" w:color="auto" w:fill="CCEEFF"/>
          </w:tcPr>
          <w:p>
            <w:pPr>
              <w:spacing w:after="0"/>
              <w:rPr>
                <w:sz w:val="7"/>
                <w:szCs w:val="7"/>
                <w:color w:val="auto"/>
              </w:rPr>
            </w:pPr>
          </w:p>
        </w:tc>
        <w:tc>
          <w:tcPr>
            <w:tcW w:w="4220" w:type="dxa"/>
            <w:vAlign w:val="bottom"/>
            <w:tcBorders>
              <w:bottom w:val="single" w:sz="8" w:color="auto"/>
            </w:tcBorders>
            <w:shd w:val="clear" w:color="auto" w:fill="CCEEFF"/>
          </w:tcPr>
          <w:p>
            <w:pPr>
              <w:spacing w:after="0"/>
              <w:rPr>
                <w:sz w:val="7"/>
                <w:szCs w:val="7"/>
                <w:color w:val="auto"/>
              </w:rPr>
            </w:pPr>
          </w:p>
        </w:tc>
        <w:tc>
          <w:tcPr>
            <w:tcW w:w="2900" w:type="dxa"/>
            <w:vAlign w:val="bottom"/>
            <w:tcBorders>
              <w:bottom w:val="single" w:sz="8" w:color="auto"/>
            </w:tcBorders>
            <w:vMerge w:val="continue"/>
            <w:shd w:val="clear" w:color="auto" w:fill="CCEEFF"/>
          </w:tcPr>
          <w:p>
            <w:pPr>
              <w:spacing w:after="0"/>
              <w:rPr>
                <w:sz w:val="7"/>
                <w:szCs w:val="7"/>
                <w:color w:val="auto"/>
              </w:rPr>
            </w:pPr>
          </w:p>
        </w:tc>
        <w:tc>
          <w:tcPr>
            <w:tcW w:w="1820" w:type="dxa"/>
            <w:vAlign w:val="bottom"/>
            <w:tcBorders>
              <w:bottom w:val="single" w:sz="8" w:color="auto"/>
            </w:tcBorders>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154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580" w:type="dxa"/>
            <w:vAlign w:val="bottom"/>
            <w:tcBorders>
              <w:bottom w:val="single" w:sz="8" w:color="auto"/>
            </w:tcBorders>
          </w:tcPr>
          <w:p>
            <w:pPr>
              <w:spacing w:after="0"/>
              <w:rPr>
                <w:sz w:val="18"/>
                <w:szCs w:val="18"/>
                <w:color w:val="auto"/>
              </w:rPr>
            </w:pPr>
          </w:p>
        </w:tc>
        <w:tc>
          <w:tcPr>
            <w:tcW w:w="42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Total Assets Held</w:t>
            </w:r>
          </w:p>
        </w:tc>
        <w:tc>
          <w:tcPr>
            <w:tcW w:w="29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1,310,065,889</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 Represents a party-in-interest (Note 6).</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 Cost omitted for participant-directed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TransCanada 401(k) and Savings Plan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13" w:name="page14"/>
    <w:bookmarkEnd w:id="13"/>
    <w:p>
      <w:pPr>
        <w:jc w:val="center"/>
        <w:ind w:right="180"/>
        <w:spacing w:after="0"/>
        <w:rPr>
          <w:sz w:val="20"/>
          <w:szCs w:val="20"/>
          <w:color w:val="auto"/>
        </w:rPr>
      </w:pPr>
      <w:r>
        <w:rPr>
          <w:rFonts w:ascii="Arial" w:cs="Arial" w:eastAsia="Arial" w:hAnsi="Arial"/>
          <w:sz w:val="20"/>
          <w:szCs w:val="20"/>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720" w:val="left"/>
        </w:tabs>
        <w:rPr>
          <w:sz w:val="20"/>
          <w:szCs w:val="20"/>
          <w:color w:val="auto"/>
        </w:rPr>
      </w:pPr>
      <w:r>
        <w:rPr>
          <w:rFonts w:ascii="Arial" w:cs="Arial" w:eastAsia="Arial" w:hAnsi="Arial"/>
          <w:sz w:val="16"/>
          <w:szCs w:val="16"/>
          <w:color w:val="auto"/>
        </w:rPr>
        <w:t>23.1</w:t>
      </w:r>
      <w:r>
        <w:rPr>
          <w:sz w:val="20"/>
          <w:szCs w:val="20"/>
          <w:color w:val="auto"/>
        </w:rPr>
        <w:tab/>
      </w:r>
      <w:r>
        <w:rPr>
          <w:rFonts w:ascii="Arial" w:cs="Arial" w:eastAsia="Arial" w:hAnsi="Arial"/>
          <w:sz w:val="17"/>
          <w:szCs w:val="17"/>
          <w:u w:val="single" w:color="auto"/>
          <w:color w:val="0000FF"/>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TransCanada 401(k) and Savings Plan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88265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953"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0"/>
          <w:szCs w:val="20"/>
          <w:b w:val="1"/>
          <w:bCs w:val="1"/>
          <w:color w:val="auto"/>
        </w:rPr>
        <w:t>SIGNATURE</w:t>
      </w:r>
    </w:p>
    <w:p>
      <w:pPr>
        <w:spacing w:after="0" w:line="200" w:lineRule="exact"/>
        <w:rPr>
          <w:sz w:val="20"/>
          <w:szCs w:val="20"/>
          <w:color w:val="auto"/>
        </w:rPr>
      </w:pPr>
    </w:p>
    <w:p>
      <w:pPr>
        <w:spacing w:after="0" w:line="290" w:lineRule="exact"/>
        <w:rPr>
          <w:sz w:val="20"/>
          <w:szCs w:val="20"/>
          <w:color w:val="auto"/>
        </w:rPr>
      </w:pPr>
    </w:p>
    <w:p>
      <w:pPr>
        <w:ind w:right="60"/>
        <w:spacing w:after="0" w:line="350" w:lineRule="auto"/>
        <w:rPr>
          <w:sz w:val="20"/>
          <w:szCs w:val="20"/>
          <w:color w:val="auto"/>
        </w:rPr>
      </w:pPr>
      <w:r>
        <w:rPr>
          <w:rFonts w:ascii="Arial" w:cs="Arial" w:eastAsia="Arial" w:hAnsi="Arial"/>
          <w:sz w:val="18"/>
          <w:szCs w:val="18"/>
          <w:color w:val="auto"/>
        </w:rPr>
        <w:t>Pursuant to the requirements of the Securities Exchange Act of 1934, the Plan Administrator has duly caused this annual report to be signed on its behalf by the undersigned thereunto duly authorized.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Date: June 18, 2026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00"/>
        <w:spacing w:after="0"/>
        <w:rPr>
          <w:sz w:val="20"/>
          <w:szCs w:val="20"/>
          <w:color w:val="auto"/>
        </w:rPr>
      </w:pPr>
      <w:r>
        <w:rPr>
          <w:rFonts w:ascii="Arial" w:cs="Arial" w:eastAsia="Arial" w:hAnsi="Arial"/>
          <w:sz w:val="16"/>
          <w:szCs w:val="16"/>
          <w:b w:val="1"/>
          <w:bCs w:val="1"/>
          <w:color w:val="auto"/>
        </w:rPr>
        <w:t>TransCanada 401(k) and Savings Plan</w:t>
      </w:r>
    </w:p>
    <w:p>
      <w:pPr>
        <w:spacing w:after="0" w:line="289" w:lineRule="exact"/>
        <w:rPr>
          <w:sz w:val="20"/>
          <w:szCs w:val="20"/>
          <w:color w:val="auto"/>
        </w:rPr>
      </w:pPr>
    </w:p>
    <w:p>
      <w:pPr>
        <w:ind w:left="4900"/>
        <w:spacing w:after="0"/>
        <w:tabs>
          <w:tab w:leader="none" w:pos="5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u w:val="single" w:color="auto"/>
          <w:color w:val="auto"/>
        </w:rPr>
        <w:t>/s/ Craig Rutkunas</w:t>
      </w:r>
    </w:p>
    <w:p>
      <w:pPr>
        <w:spacing w:after="0" w:line="26"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Craig Rutkunas</w:t>
      </w:r>
    </w:p>
    <w:p>
      <w:pPr>
        <w:ind w:left="5780"/>
        <w:spacing w:after="0" w:line="211" w:lineRule="auto"/>
        <w:rPr>
          <w:sz w:val="20"/>
          <w:szCs w:val="20"/>
          <w:color w:val="auto"/>
        </w:rPr>
      </w:pPr>
      <w:r>
        <w:rPr>
          <w:rFonts w:ascii="Arial" w:cs="Arial" w:eastAsia="Arial" w:hAnsi="Arial"/>
          <w:sz w:val="16"/>
          <w:szCs w:val="16"/>
          <w:color w:val="auto"/>
        </w:rPr>
        <w:t>Chair</w:t>
      </w:r>
    </w:p>
    <w:p>
      <w:pPr>
        <w:ind w:left="5780"/>
        <w:spacing w:after="0"/>
        <w:rPr>
          <w:sz w:val="20"/>
          <w:szCs w:val="20"/>
          <w:color w:val="auto"/>
        </w:rPr>
      </w:pPr>
      <w:r>
        <w:rPr>
          <w:rFonts w:ascii="Arial" w:cs="Arial" w:eastAsia="Arial" w:hAnsi="Arial"/>
          <w:sz w:val="16"/>
          <w:szCs w:val="16"/>
          <w:color w:val="auto"/>
        </w:rPr>
        <w:t>TransCanada USA Investment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TransCanada 401(k) and Savings Plan 13</w:t>
      </w:r>
    </w:p>
    <w:p>
      <w:pPr>
        <w:sectPr>
          <w:pgSz w:w="11900" w:h="16838" w:orient="portrait"/>
          <w:cols w:equalWidth="0" w:num="1">
            <w:col w:w="11240"/>
          </w:cols>
          <w:pgMar w:left="320" w:top="953"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00" w:lineRule="exact"/>
        <w:rPr>
          <w:sz w:val="20"/>
          <w:szCs w:val="20"/>
          <w:color w:val="auto"/>
        </w:rPr>
      </w:pPr>
    </w:p>
    <w:p>
      <w:pPr>
        <w:spacing w:after="0" w:line="24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We consent to the incorporation by reference in the Registration Statement (No. 333-184074, No. 333-151736 and No. 333-227114) on Form S-8 of the TransCanada 401(k) and Savings Plan of our report dated June 18, 2026 with respect to the statements of net assets available for benefits of the TransCanada 401(k) and Savings Plan as of December 31, 2025 and 2024 and the related statement of changes in net assets available for benefits for the year ended December 31, 2025, and the related supplemental schedule as of December 31, 2025, which report appears in the December 31, 2025 annual report on Form 11-K of the TransCanada 401(k) and Savings Plan.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Caron &amp; Bletzer, PLLC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Kingston, NH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18, 2026</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x"/>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upperLetter"/>
      <w:start w:val="1"/>
    </w:lvl>
  </w:abstractNum>
  <w:abstractNum w:abstractNumId="3">
    <w:nsid w:val="3D1B58BA"/>
    <w:multiLevelType w:val="hybridMultilevel"/>
    <w:lvl w:ilvl="0">
      <w:lvlJc w:val="left"/>
      <w:lvlText w:val="%1."/>
      <w:numFmt w:val="upperLetter"/>
      <w:start w:val="2"/>
    </w:lvl>
  </w:abstractNum>
  <w:abstractNum w:abstractNumId="4">
    <w:nsid w:val="507ED7AB"/>
    <w:multiLevelType w:val="hybridMultilevel"/>
    <w:lvl w:ilvl="0">
      <w:lvlJc w:val="left"/>
      <w:lvlText w:val="1"/>
      <w:numFmt w:val="bullet"/>
      <w:start w:val="1"/>
    </w:lvl>
  </w:abstractNum>
  <w:abstractNum w:abstractNumId="5">
    <w:nsid w:val="2EB141F2"/>
    <w:multiLevelType w:val="hybridMultilevel"/>
    <w:lvl w:ilvl="0">
      <w:lvlJc w:val="left"/>
      <w:lvlText w:val="1"/>
      <w:numFmt w:val="bullet"/>
      <w:start w:val="1"/>
    </w:lvl>
  </w:abstractNum>
  <w:abstractNum w:abstractNumId="6">
    <w:nsid w:val="41B71EFB"/>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2026-06-18T14:47:24Z</dcterms:created>
  <dcterms:modified xsi:type="dcterms:W3CDTF">2026-06-18T14:47:24Z</dcterms:modified>
</cp:coreProperties>
</file>