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63"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Pursuant to Rule 13a-16 or 15d-16 of</w:t>
      </w:r>
    </w:p>
    <w:p>
      <w:pPr>
        <w:spacing w:after="0" w:line="35"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the Securities Exchange Act of 1934</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March 2026</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TC Energy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No. 1-31690)</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TransCanada PipeLines Limited</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No. 1-8887)</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(Translation of Registrants’ Names into English)</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450 - 1 Street S.W., Calgary, Alberta, T2P 5H1, Canada</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3" w:lineRule="exact"/>
        <w:rPr>
          <w:sz w:val="24"/>
          <w:szCs w:val="24"/>
          <w:color w:val="auto"/>
        </w:rPr>
      </w:pPr>
    </w:p>
    <w:p>
      <w:pPr>
        <w:ind w:left="2980"/>
        <w:spacing w:after="0" w:line="207" w:lineRule="exact"/>
        <w:tabs>
          <w:tab w:leader="none" w:pos="4900" w:val="left"/>
          <w:tab w:leader="none" w:pos="6160" w:val="left"/>
          <w:tab w:leader="none" w:pos="80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59" w:lineRule="exact"/>
        <w:rPr>
          <w:sz w:val="24"/>
          <w:szCs w:val="24"/>
          <w:color w:val="auto"/>
        </w:rPr>
      </w:pPr>
    </w:p>
    <w:p>
      <w:pPr>
        <w:jc w:val="both"/>
        <w:spacing w:after="0" w:line="282" w:lineRule="auto"/>
        <w:rPr>
          <w:sz w:val="20"/>
          <w:szCs w:val="20"/>
          <w:color w:val="auto"/>
        </w:rPr>
      </w:pPr>
      <w:r>
        <w:rPr>
          <w:rFonts w:ascii="Arial" w:cs="Arial" w:eastAsia="Arial" w:hAnsi="Arial"/>
          <w:sz w:val="18"/>
          <w:szCs w:val="18"/>
          <w:color w:val="auto"/>
        </w:rPr>
        <w:t>Exhibit 99.1 to this report, filed on Form 6-K, shall be incorporated by reference into each of the following Registration Statements under the Securities Act of 1933, as amended: Form S-8 (File Nos. 333-5916, 333-8470, 333-9130, 333-151736, 333-184074, 333-227114 and 333-237979), Form F-3 (File Nos. 33-13564 and 333-6132) and Form F-10 (File Nos. 333-252123, 333-267323 and 333-283633).</w:t>
      </w:r>
    </w:p>
    <w:p>
      <w:pPr>
        <w:sectPr>
          <w:pgSz w:w="11900" w:h="16838" w:orient="portrait"/>
          <w:cols w:equalWidth="0" w:num="1">
            <w:col w:w="11240"/>
          </w:cols>
          <w:pgMar w:left="320" w:top="1249" w:right="339" w:bottom="1440" w:gutter="0" w:footer="0" w:header="0"/>
        </w:sectPr>
      </w:pPr>
    </w:p>
    <w:bookmarkStart w:id="1" w:name="page2"/>
    <w:bookmarkEnd w:id="1"/>
    <w:p>
      <w:pPr>
        <w:jc w:val="center"/>
        <w:ind w:right="-359"/>
        <w:spacing w:after="0"/>
        <w:rPr>
          <w:sz w:val="20"/>
          <w:szCs w:val="20"/>
          <w:color w:val="auto"/>
        </w:rPr>
      </w:pPr>
      <w:r>
        <w:rPr>
          <w:rFonts w:ascii="Arial" w:cs="Arial" w:eastAsia="Arial" w:hAnsi="Arial"/>
          <w:sz w:val="18"/>
          <w:szCs w:val="18"/>
          <w:b w:val="1"/>
          <w:bCs w:val="1"/>
          <w:color w:val="auto"/>
        </w:rPr>
        <w:t>Explanatory Note</w:t>
      </w:r>
    </w:p>
    <w:p>
      <w:pPr>
        <w:spacing w:after="0" w:line="263"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TransCanada PipeLines Limited (“TransCanada PipeLines”) is a wholly owned subsidiary of TC Energy Corporation (“TC Energy”). TransCanada PipeLines is relying on the continuous disclosure documents filed by TC Energy pursuant to an exemption from the requirements of National Instrument 51-102 - Continuous Disclosure Obligations and as provided in the decision of the Alberta Securities Commission and Ontario Securities Commission in Re TransCanada Corporation, 2019 ABASC 1, issued on January 3, 2019. Consistent with the exemptive relief, information contained in this Form 6-K is that provided by TC Energy.</w:t>
      </w:r>
    </w:p>
    <w:p>
      <w:pPr>
        <w:sectPr>
          <w:pgSz w:w="11900" w:h="16838" w:orient="portrait"/>
          <w:cols w:equalWidth="0" w:num="1">
            <w:col w:w="10880"/>
          </w:cols>
          <w:pgMar w:left="320" w:top="1142" w:right="699" w:bottom="1440" w:gutter="0" w:footer="0" w:header="0"/>
        </w:sectPr>
      </w:pPr>
    </w:p>
    <w:bookmarkStart w:id="2" w:name="page3"/>
    <w:bookmarkEnd w:id="2"/>
    <w:p>
      <w:pPr>
        <w:jc w:val="center"/>
        <w:ind w:right="-4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u w:val="single" w:color="auto"/>
          <w:color w:val="0000FF"/>
        </w:rPr>
        <w:t>Management Information Circular of TC Energy Corporation dated March 5, 2026.</w:t>
      </w:r>
    </w:p>
    <w:p>
      <w:pPr>
        <w:sectPr>
          <w:pgSz w:w="11900" w:h="16838" w:orient="portrait"/>
          <w:cols w:equalWidth="0" w:num="1">
            <w:col w:w="10139"/>
          </w:cols>
          <w:pgMar w:left="320" w:top="887"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05"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w:t>
        <w:tab/>
        <w:t>March 20, 2026</w:t>
      </w:r>
    </w:p>
    <w:p>
      <w:pPr>
        <w:spacing w:after="0" w:line="39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TC ENERGY CORPORATION</w:t>
      </w:r>
    </w:p>
    <w:p>
      <w:pPr>
        <w:spacing w:after="0" w:line="3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TRANSCANADA PIPELINES LIMITED</w:t>
      </w:r>
    </w:p>
    <w:p>
      <w:pPr>
        <w:spacing w:after="0" w:line="200" w:lineRule="exact"/>
        <w:rPr>
          <w:sz w:val="20"/>
          <w:szCs w:val="20"/>
          <w:color w:val="auto"/>
        </w:rPr>
      </w:pPr>
    </w:p>
    <w:p>
      <w:pPr>
        <w:spacing w:after="0" w:line="301"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Jane M. Brindle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17145</wp:posOffset>
            </wp:positionV>
            <wp:extent cx="2175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5510" cy="825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Jane M. Brindle</w:t>
      </w:r>
    </w:p>
    <w:p>
      <w:pPr>
        <w:spacing w:after="0" w:line="3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Vice-President, Law and Corporate Secretary</w:t>
      </w:r>
    </w:p>
    <w:p>
      <w:pPr>
        <w:spacing w:after="0" w:line="200" w:lineRule="exact"/>
        <w:rPr>
          <w:sz w:val="20"/>
          <w:szCs w:val="20"/>
          <w:color w:val="auto"/>
        </w:rPr>
      </w:pPr>
    </w:p>
    <w:p>
      <w:pPr>
        <w:spacing w:after="0" w:line="322"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David R. Marchand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17145</wp:posOffset>
            </wp:positionV>
            <wp:extent cx="2175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5510" cy="825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R. Marchand</w:t>
      </w:r>
    </w:p>
    <w:p>
      <w:pPr>
        <w:spacing w:after="0" w:line="3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Vice-President, Finance and Treasurer</w:t>
      </w:r>
    </w:p>
    <w:p>
      <w:pPr>
        <w:sectPr>
          <w:pgSz w:w="11900" w:h="16838" w:orient="portrait"/>
          <w:cols w:equalWidth="0" w:num="1">
            <w:col w:w="11240"/>
          </w:cols>
          <w:pgMar w:left="320" w:top="900" w:right="339" w:bottom="1440" w:gutter="0" w:footer="0" w:header="0"/>
        </w:sectPr>
      </w:pPr>
    </w:p>
    <w:bookmarkStart w:id="4" w:name="page5"/>
    <w:bookmarkEnd w:id="4"/>
    <w:p>
      <w:pPr>
        <w:ind w:left="9140"/>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626110</wp:posOffset>
            </wp:positionV>
            <wp:extent cx="5528945" cy="7201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8945" cy="7201535"/>
                    </a:xfrm>
                    <a:prstGeom prst="rect">
                      <a:avLst/>
                    </a:prstGeom>
                    <a:noFill/>
                  </pic:spPr>
                </pic:pic>
              </a:graphicData>
            </a:graphic>
          </wp:anchor>
        </w:drawing>
      </w:r>
    </w:p>
    <w:p>
      <w:pPr>
        <w:sectPr>
          <w:pgSz w:w="11900" w:h="16838" w:orient="portrait"/>
          <w:cols w:equalWidth="0" w:num="1">
            <w:col w:w="10120"/>
          </w:cols>
          <w:pgMar w:left="1440" w:top="703"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1095375</wp:posOffset>
            </wp:positionH>
            <wp:positionV relativeFrom="page">
              <wp:posOffset>831215</wp:posOffset>
            </wp:positionV>
            <wp:extent cx="5528945" cy="7201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528945" cy="7201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29"/>
          <w:szCs w:val="29"/>
          <w:color w:val="0D64EF"/>
        </w:rPr>
        <w:t>Letter to Shareholders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5, 2026</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Dear Shareholder:</w:t>
      </w:r>
    </w:p>
    <w:p>
      <w:pPr>
        <w:spacing w:after="0" w:line="219" w:lineRule="exact"/>
        <w:rPr>
          <w:sz w:val="20"/>
          <w:szCs w:val="20"/>
          <w:color w:val="auto"/>
        </w:rPr>
      </w:pPr>
    </w:p>
    <w:p>
      <w:pPr>
        <w:ind w:left="40" w:right="60"/>
        <w:spacing w:after="0" w:line="306" w:lineRule="auto"/>
        <w:rPr>
          <w:sz w:val="20"/>
          <w:szCs w:val="20"/>
          <w:color w:val="auto"/>
        </w:rPr>
      </w:pPr>
      <w:r>
        <w:rPr>
          <w:rFonts w:ascii="Arial" w:cs="Arial" w:eastAsia="Arial" w:hAnsi="Arial"/>
          <w:sz w:val="16"/>
          <w:szCs w:val="16"/>
          <w:color w:val="auto"/>
        </w:rPr>
        <w:t>On behalf of the Board of Directors of TC Energy Corporation, we are pleased to invite you to our annual meeting of common shareholders on May 7, 2026 at 10 a.m. Mountain Daylight Time (MDT). The meeting will be held virtually,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using a live audio webcast available at https://meetings.lumiconnect.com/400-652-715-564, password "tc2026"</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(case sensitive).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2025, we demonstrated the strength of our strategy and our differentiated position in the fastest-growing segments</w:t>
      </w:r>
    </w:p>
    <w:p>
      <w:pPr>
        <w:spacing w:after="0" w:line="44" w:lineRule="exact"/>
        <w:rPr>
          <w:sz w:val="20"/>
          <w:szCs w:val="20"/>
          <w:color w:val="auto"/>
        </w:rPr>
      </w:pPr>
    </w:p>
    <w:p>
      <w:pPr>
        <w:ind w:left="40" w:right="300"/>
        <w:spacing w:after="0" w:line="354" w:lineRule="auto"/>
        <w:rPr>
          <w:sz w:val="20"/>
          <w:szCs w:val="20"/>
          <w:color w:val="auto"/>
        </w:rPr>
      </w:pPr>
      <w:r>
        <w:rPr>
          <w:rFonts w:ascii="Arial" w:cs="Arial" w:eastAsia="Arial" w:hAnsi="Arial"/>
          <w:sz w:val="16"/>
          <w:szCs w:val="16"/>
          <w:color w:val="auto"/>
        </w:rPr>
        <w:t>of the energy market: natural gas and power generation. As we turn to 2026, we intend to build on our momentum leveraging our natural gas and power portfolio to meet forecasted growing demand, strengthen our position as a global energy leader and deliver sustainable value for our shareholders.</w:t>
      </w:r>
    </w:p>
    <w:p>
      <w:pPr>
        <w:spacing w:after="0" w:line="22" w:lineRule="exact"/>
        <w:rPr>
          <w:sz w:val="20"/>
          <w:szCs w:val="20"/>
          <w:color w:val="auto"/>
        </w:rPr>
      </w:pPr>
    </w:p>
    <w:p>
      <w:pPr>
        <w:ind w:left="40"/>
        <w:spacing w:after="0" w:line="306" w:lineRule="auto"/>
        <w:rPr>
          <w:sz w:val="20"/>
          <w:szCs w:val="20"/>
          <w:color w:val="auto"/>
        </w:rPr>
      </w:pPr>
      <w:r>
        <w:rPr>
          <w:rFonts w:ascii="Arial" w:cs="Arial" w:eastAsia="Arial" w:hAnsi="Arial"/>
          <w:sz w:val="16"/>
          <w:szCs w:val="16"/>
          <w:color w:val="auto"/>
        </w:rPr>
        <w:t>Attending the meeting is your opportunity to hear from me and our Chief Executive Officer, François L. Poirier, to learn more about our performance in 2025, our strategy for the future and vote on the items of business. If you are unable</w:t>
      </w:r>
    </w:p>
    <w:p>
      <w:pPr>
        <w:spacing w:after="0" w:line="1" w:lineRule="exact"/>
        <w:rPr>
          <w:sz w:val="20"/>
          <w:szCs w:val="20"/>
          <w:color w:val="auto"/>
        </w:rPr>
      </w:pPr>
    </w:p>
    <w:p>
      <w:pPr>
        <w:ind w:left="40" w:right="100"/>
        <w:spacing w:after="0" w:line="354" w:lineRule="auto"/>
        <w:rPr>
          <w:sz w:val="20"/>
          <w:szCs w:val="20"/>
          <w:color w:val="auto"/>
        </w:rPr>
      </w:pPr>
      <w:r>
        <w:rPr>
          <w:rFonts w:ascii="Arial" w:cs="Arial" w:eastAsia="Arial" w:hAnsi="Arial"/>
          <w:sz w:val="16"/>
          <w:szCs w:val="16"/>
          <w:color w:val="auto"/>
        </w:rPr>
        <w:t>to attend the meeting, you can still vote by proxy prior to the meeting and following the meeting. A recording of the meeting will be available on our website at www.tcenergy.com.</w:t>
      </w:r>
    </w:p>
    <w:p>
      <w:pPr>
        <w:spacing w:after="0" w:line="22" w:lineRule="exact"/>
        <w:rPr>
          <w:sz w:val="20"/>
          <w:szCs w:val="20"/>
          <w:color w:val="auto"/>
        </w:rPr>
      </w:pPr>
    </w:p>
    <w:p>
      <w:pPr>
        <w:ind w:left="40" w:right="2700"/>
        <w:spacing w:after="0" w:line="306" w:lineRule="auto"/>
        <w:rPr>
          <w:sz w:val="20"/>
          <w:szCs w:val="20"/>
          <w:color w:val="auto"/>
        </w:rPr>
      </w:pPr>
      <w:r>
        <w:rPr>
          <w:rFonts w:ascii="Arial" w:cs="Arial" w:eastAsia="Arial" w:hAnsi="Arial"/>
          <w:sz w:val="16"/>
          <w:szCs w:val="16"/>
          <w:color w:val="auto"/>
        </w:rPr>
        <w:t>The virtual-only meeting format provides all shareholders an equal opportunity to participate at the meeting regardless of their geographic location or any particular constraints or circumstances they may face relating to attendance at an</w:t>
      </w:r>
    </w:p>
    <w:p>
      <w:pPr>
        <w:spacing w:after="0" w:line="1" w:lineRule="exact"/>
        <w:rPr>
          <w:sz w:val="20"/>
          <w:szCs w:val="20"/>
          <w:color w:val="auto"/>
        </w:rPr>
      </w:pPr>
    </w:p>
    <w:p>
      <w:pPr>
        <w:ind w:left="40" w:right="380"/>
        <w:spacing w:after="0" w:line="306" w:lineRule="auto"/>
        <w:rPr>
          <w:sz w:val="20"/>
          <w:szCs w:val="20"/>
          <w:color w:val="auto"/>
        </w:rPr>
      </w:pPr>
      <w:r>
        <w:rPr>
          <w:rFonts w:ascii="Arial" w:cs="Arial" w:eastAsia="Arial" w:hAnsi="Arial"/>
          <w:sz w:val="16"/>
          <w:szCs w:val="16"/>
          <w:color w:val="auto"/>
        </w:rPr>
        <w:t>in-person event. It also is a more cost-efficient and environmentally friendly way to engage with shareholders. At this virtual meeting, shareholders who attend online will have the opportunity to participate, ask questions and vote 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real-time, provided they comply with the applicable procedures set out in this management information circular.</w:t>
      </w:r>
    </w:p>
    <w:p>
      <w:pPr>
        <w:spacing w:after="0" w:line="138" w:lineRule="exact"/>
        <w:rPr>
          <w:sz w:val="20"/>
          <w:szCs w:val="20"/>
          <w:color w:val="auto"/>
        </w:rPr>
      </w:pPr>
    </w:p>
    <w:p>
      <w:pPr>
        <w:ind w:left="40" w:right="780"/>
        <w:spacing w:after="0" w:line="354" w:lineRule="auto"/>
        <w:rPr>
          <w:sz w:val="20"/>
          <w:szCs w:val="20"/>
          <w:color w:val="auto"/>
        </w:rPr>
      </w:pPr>
      <w:r>
        <w:rPr>
          <w:rFonts w:ascii="Arial" w:cs="Arial" w:eastAsia="Arial" w:hAnsi="Arial"/>
          <w:sz w:val="16"/>
          <w:szCs w:val="16"/>
          <w:color w:val="auto"/>
        </w:rPr>
        <w:t>The attached management information circular includes important information about the meeting and how to vote. Please read the document and remember to vote. You can find more information about TC Energy in our 2025 Annual Report and on our website.</w:t>
      </w:r>
    </w:p>
    <w:p>
      <w:pPr>
        <w:spacing w:after="0" w:line="22" w:lineRule="exact"/>
        <w:rPr>
          <w:sz w:val="20"/>
          <w:szCs w:val="20"/>
          <w:color w:val="auto"/>
        </w:rPr>
      </w:pPr>
    </w:p>
    <w:p>
      <w:pPr>
        <w:ind w:left="40" w:right="2920"/>
        <w:spacing w:after="0" w:line="354" w:lineRule="auto"/>
        <w:rPr>
          <w:sz w:val="20"/>
          <w:szCs w:val="20"/>
          <w:color w:val="auto"/>
        </w:rPr>
      </w:pPr>
      <w:r>
        <w:rPr>
          <w:rFonts w:ascii="Arial" w:cs="Arial" w:eastAsia="Arial" w:hAnsi="Arial"/>
          <w:sz w:val="16"/>
          <w:szCs w:val="16"/>
          <w:color w:val="auto"/>
        </w:rPr>
        <w:t>Thank you for your continued trust and partnership in TC Energy. Mr. Poirier and I look forward to your participation in the meeting on May 7.</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165100</wp:posOffset>
            </wp:positionV>
            <wp:extent cx="913130" cy="59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3130" cy="59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0D64EF"/>
        </w:rPr>
        <w:t>John E. Lowe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w:t>
      </w:r>
    </w:p>
    <w:p>
      <w:pPr>
        <w:sectPr>
          <w:pgSz w:w="11900" w:h="16838" w:orient="portrait"/>
          <w:cols w:equalWidth="0" w:num="1">
            <w:col w:w="11140"/>
          </w:cols>
          <w:pgMar w:left="420" w:top="1440"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29"/>
          <w:szCs w:val="29"/>
          <w:color w:val="0D64EF"/>
        </w:rPr>
        <w:t>Notice of 2026 Annual Meeting</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You are invited to our 2026 annual meeting of common shareholders:</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WHEN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Thursday, May 7, 2026</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 a.m. Mountain Daylight Time (MDT)</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WHERE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Virtual-only meeting via live audio webcast online at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https://meetings.lumiconnect.com/400-652-715-564</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password "tc2026" (case sensitive)</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YOUR VOTE IS IMPORTANT</w:t>
      </w:r>
    </w:p>
    <w:p>
      <w:pPr>
        <w:spacing w:after="0" w:line="138" w:lineRule="exact"/>
        <w:rPr>
          <w:sz w:val="20"/>
          <w:szCs w:val="20"/>
          <w:color w:val="auto"/>
        </w:rPr>
      </w:pPr>
    </w:p>
    <w:p>
      <w:pPr>
        <w:ind w:left="20" w:right="100"/>
        <w:spacing w:after="0" w:line="354" w:lineRule="auto"/>
        <w:rPr>
          <w:sz w:val="20"/>
          <w:szCs w:val="20"/>
          <w:color w:val="auto"/>
        </w:rPr>
      </w:pPr>
      <w:r>
        <w:rPr>
          <w:rFonts w:ascii="Arial" w:cs="Arial" w:eastAsia="Arial" w:hAnsi="Arial"/>
          <w:sz w:val="16"/>
          <w:szCs w:val="16"/>
          <w:color w:val="auto"/>
        </w:rPr>
        <w:t>If you are a holder of record of TC Energy Corporation (TC Energy) common shares on March 20, 2026, you are entitled to receive notice of, attend and vote at this meeting.</w:t>
      </w:r>
    </w:p>
    <w:p>
      <w:pPr>
        <w:spacing w:after="0" w:line="22" w:lineRule="exact"/>
        <w:rPr>
          <w:sz w:val="20"/>
          <w:szCs w:val="20"/>
          <w:color w:val="auto"/>
        </w:rPr>
      </w:pPr>
    </w:p>
    <w:p>
      <w:pPr>
        <w:ind w:left="20"/>
        <w:spacing w:after="0" w:line="354" w:lineRule="auto"/>
        <w:rPr>
          <w:sz w:val="20"/>
          <w:szCs w:val="20"/>
          <w:color w:val="auto"/>
        </w:rPr>
      </w:pPr>
      <w:r>
        <w:rPr>
          <w:rFonts w:ascii="Arial" w:cs="Arial" w:eastAsia="Arial" w:hAnsi="Arial"/>
          <w:sz w:val="16"/>
          <w:szCs w:val="16"/>
          <w:color w:val="auto"/>
        </w:rPr>
        <w:t>Please read the attached Management Information Circular. It contains important information about the meeting and explains who can vote and how to vote.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378460</wp:posOffset>
            </wp:positionV>
            <wp:extent cx="1057910" cy="340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7910" cy="34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6"/>
          <w:szCs w:val="16"/>
          <w:color w:val="0D64EF"/>
        </w:rPr>
        <w:t>Jane M. Brindle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Vice-President, Law and Corporate Secretary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TC Energy Corporation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Calgary, Alberta</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Five 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-238125</wp:posOffset>
            </wp:positionV>
            <wp:extent cx="2346325" cy="2815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6325" cy="2815590"/>
                    </a:xfrm>
                    <a:prstGeom prst="rect">
                      <a:avLst/>
                    </a:prstGeom>
                    <a:noFill/>
                  </pic:spPr>
                </pic:pic>
              </a:graphicData>
            </a:graphic>
          </wp:anchor>
        </w:drawing>
      </w:r>
    </w:p>
    <w:p>
      <w:pPr>
        <w:spacing w:after="0" w:line="60" w:lineRule="exact"/>
        <w:rPr>
          <w:sz w:val="20"/>
          <w:szCs w:val="20"/>
          <w:color w:val="auto"/>
        </w:rPr>
      </w:pPr>
    </w:p>
    <w:p>
      <w:pPr>
        <w:ind w:left="320" w:right="20" w:hanging="316"/>
        <w:spacing w:after="0" w:line="267" w:lineRule="auto"/>
        <w:tabs>
          <w:tab w:leader="none" w:pos="33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Receive our audited consolidated financial statements for the year ended December 31, 2025, and the auditor's report.</w:t>
      </w:r>
    </w:p>
    <w:p>
      <w:pPr>
        <w:spacing w:after="0" w:line="245" w:lineRule="exact"/>
        <w:rPr>
          <w:rFonts w:ascii="Arial" w:cs="Arial" w:eastAsia="Arial" w:hAnsi="Arial"/>
          <w:sz w:val="16"/>
          <w:szCs w:val="16"/>
          <w:color w:val="auto"/>
        </w:rPr>
      </w:pPr>
    </w:p>
    <w:p>
      <w:pPr>
        <w:ind w:left="320" w:hanging="316"/>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Elect the directors.</w:t>
      </w:r>
    </w:p>
    <w:p>
      <w:pPr>
        <w:spacing w:after="0" w:line="111" w:lineRule="exact"/>
        <w:rPr>
          <w:rFonts w:ascii="Arial" w:cs="Arial" w:eastAsia="Arial" w:hAnsi="Arial"/>
          <w:sz w:val="16"/>
          <w:szCs w:val="16"/>
          <w:color w:val="auto"/>
        </w:rPr>
      </w:pPr>
    </w:p>
    <w:p>
      <w:pPr>
        <w:ind w:left="320" w:right="400" w:hanging="316"/>
        <w:spacing w:after="0" w:line="284" w:lineRule="auto"/>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Appoint the auditor and authorize the directors to fix their remuneration.</w:t>
      </w:r>
    </w:p>
    <w:p>
      <w:pPr>
        <w:spacing w:after="0" w:line="48" w:lineRule="exact"/>
        <w:rPr>
          <w:rFonts w:ascii="Arial" w:cs="Arial" w:eastAsia="Arial" w:hAnsi="Arial"/>
          <w:sz w:val="16"/>
          <w:szCs w:val="16"/>
          <w:color w:val="auto"/>
        </w:rPr>
      </w:pPr>
    </w:p>
    <w:p>
      <w:pPr>
        <w:ind w:left="320" w:right="80" w:hanging="316"/>
        <w:spacing w:after="0" w:line="273" w:lineRule="auto"/>
        <w:tabs>
          <w:tab w:leader="none" w:pos="307" w:val="left"/>
        </w:tabs>
        <w:numPr>
          <w:ilvl w:val="0"/>
          <w:numId w:val="1"/>
        </w:numPr>
        <w:rPr>
          <w:rFonts w:ascii="Arial" w:cs="Arial" w:eastAsia="Arial" w:hAnsi="Arial"/>
          <w:sz w:val="16"/>
          <w:szCs w:val="16"/>
          <w:color w:val="auto"/>
        </w:rPr>
      </w:pPr>
      <w:r>
        <w:rPr>
          <w:rFonts w:ascii="Arial" w:cs="Arial" w:eastAsia="Arial" w:hAnsi="Arial"/>
          <w:sz w:val="16"/>
          <w:szCs w:val="16"/>
          <w:color w:val="auto"/>
        </w:rPr>
        <w:t>Participate in the advisory vote on our approach to executive compensation (say on pay).</w:t>
      </w:r>
    </w:p>
    <w:p>
      <w:pPr>
        <w:spacing w:after="0" w:line="43" w:lineRule="exact"/>
        <w:rPr>
          <w:rFonts w:ascii="Arial" w:cs="Arial" w:eastAsia="Arial" w:hAnsi="Arial"/>
          <w:sz w:val="16"/>
          <w:szCs w:val="16"/>
          <w:color w:val="auto"/>
        </w:rPr>
      </w:pPr>
    </w:p>
    <w:p>
      <w:pPr>
        <w:ind w:left="320" w:hanging="316"/>
        <w:spacing w:after="0" w:line="264" w:lineRule="auto"/>
        <w:tabs>
          <w:tab w:leader="none" w:pos="307"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Consider other business that is properly brought before the meeting or any meeting that is reconvened if the meeting is adjourned.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544195</wp:posOffset>
            </wp:positionV>
            <wp:extent cx="234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6325" cy="8255"/>
                    </a:xfrm>
                    <a:prstGeom prst="rect">
                      <a:avLst/>
                    </a:prstGeom>
                    <a:noFill/>
                  </pic:spPr>
                </pic:pic>
              </a:graphicData>
            </a:graphic>
          </wp:anchor>
        </w:drawing>
      </w:r>
    </w:p>
    <w:p>
      <w:pPr>
        <w:sectPr>
          <w:pgSz w:w="11900" w:h="16838" w:orient="portrait"/>
          <w:cols w:equalWidth="0" w:num="2">
            <w:col w:w="7080" w:space="600"/>
            <w:col w:w="3380"/>
          </w:cols>
          <w:pgMar w:left="320" w:top="1102" w:right="519" w:bottom="1440" w:gutter="0" w:footer="0" w:header="0"/>
        </w:sectPr>
      </w:pPr>
    </w:p>
    <w:bookmarkStart w:id="8" w:name="page9"/>
    <w:bookmarkEnd w:id="8"/>
    <w:p>
      <w:pPr>
        <w:spacing w:after="0"/>
        <w:rPr>
          <w:sz w:val="20"/>
          <w:szCs w:val="20"/>
          <w:color w:val="auto"/>
        </w:rPr>
      </w:pPr>
      <w:r>
        <w:rPr>
          <w:rFonts w:ascii="Arial" w:cs="Arial" w:eastAsia="Arial" w:hAnsi="Arial"/>
          <w:sz w:val="29"/>
          <w:szCs w:val="29"/>
          <w:color w:val="0D64EF"/>
        </w:rPr>
        <w:t>Management Information Circular</w:t>
      </w:r>
    </w:p>
    <w:p>
      <w:pPr>
        <w:spacing w:after="0" w:line="16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are sending you this management information circular (Circular) because you were a holder of record of common shares of TC Energy on March 20, 2026. You have the right to participate in our 2026 annual meeting of shareholders (the meeting) and to vote your shares online at the meeting or by proxy. The meeting can be accessed at https://meetings.lumiconnect.com/400-652-715-564, password "tc2026" (case sensitive). Following the meeting, a webcast in English, including the live question and answer session, will be available for viewing on our website (www.tcenergy.com).</w:t>
      </w:r>
    </w:p>
    <w:p>
      <w:pPr>
        <w:spacing w:after="0" w:line="5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Management is soliciting your proxy for the meeting, and we pay all costs for doing so. TC Energy may utilize the Broadridge QuickVote</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system to assist non-registered (beneficial) shareholders with voting their TC Energy common shares.</w:t>
      </w:r>
    </w:p>
    <w:p>
      <w:pPr>
        <w:spacing w:after="0" w:line="69" w:lineRule="exact"/>
        <w:rPr>
          <w:sz w:val="20"/>
          <w:szCs w:val="20"/>
          <w:color w:val="auto"/>
        </w:rPr>
      </w:pPr>
    </w:p>
    <w:p>
      <w:pPr>
        <w:ind w:right="220"/>
        <w:spacing w:after="0" w:line="337" w:lineRule="auto"/>
        <w:rPr>
          <w:sz w:val="20"/>
          <w:szCs w:val="20"/>
          <w:color w:val="auto"/>
        </w:rPr>
      </w:pPr>
      <w:r>
        <w:rPr>
          <w:rFonts w:ascii="Arial" w:cs="Arial" w:eastAsia="Arial" w:hAnsi="Arial"/>
          <w:sz w:val="16"/>
          <w:szCs w:val="16"/>
          <w:color w:val="auto"/>
        </w:rPr>
        <w:t>Broadridge then tabulates the results of all the instructions received and provides the appropriate instructions respecting the shares to be represented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-311785</wp:posOffset>
            </wp:positionV>
            <wp:extent cx="2346325" cy="1536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6325" cy="1536065"/>
                    </a:xfrm>
                    <a:prstGeom prst="rect">
                      <a:avLst/>
                    </a:prstGeom>
                    <a:noFill/>
                  </pic:spPr>
                </pic:pic>
              </a:graphicData>
            </a:graphic>
          </wp:anchor>
        </w:drawing>
      </w:r>
    </w:p>
    <w:p>
      <w:pPr>
        <w:spacing w:after="0" w:line="51" w:lineRule="exact"/>
        <w:rPr>
          <w:sz w:val="20"/>
          <w:szCs w:val="20"/>
          <w:color w:val="auto"/>
        </w:rPr>
      </w:pPr>
    </w:p>
    <w:p>
      <w:pPr>
        <w:jc w:val="right"/>
        <w:ind w:left="200" w:right="280" w:hanging="155"/>
        <w:spacing w:after="0" w:line="280" w:lineRule="auto"/>
        <w:tabs>
          <w:tab w:leader="none" w:pos="1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you</w:t>
      </w:r>
      <w:r>
        <w:rPr>
          <w:rFonts w:ascii="Arial" w:cs="Arial" w:eastAsia="Arial" w:hAnsi="Arial"/>
          <w:sz w:val="16"/>
          <w:szCs w:val="16"/>
          <w:color w:val="auto"/>
        </w:rPr>
        <w:t>,</w:t>
      </w:r>
      <w:r>
        <w:rPr>
          <w:rFonts w:ascii="Arial" w:cs="Arial" w:eastAsia="Arial" w:hAnsi="Arial"/>
          <w:sz w:val="16"/>
          <w:szCs w:val="16"/>
          <w:i w:val="1"/>
          <w:iCs w:val="1"/>
          <w:color w:val="auto"/>
        </w:rPr>
        <w:t xml:space="preserve"> your </w:t>
      </w:r>
      <w:r>
        <w:rPr>
          <w:rFonts w:ascii="Arial" w:cs="Arial" w:eastAsia="Arial" w:hAnsi="Arial"/>
          <w:sz w:val="16"/>
          <w:szCs w:val="16"/>
          <w:color w:val="auto"/>
        </w:rPr>
        <w:t>and</w:t>
      </w:r>
      <w:r>
        <w:rPr>
          <w:rFonts w:ascii="Arial" w:cs="Arial" w:eastAsia="Arial" w:hAnsi="Arial"/>
          <w:sz w:val="16"/>
          <w:szCs w:val="16"/>
          <w:i w:val="1"/>
          <w:iCs w:val="1"/>
          <w:color w:val="auto"/>
        </w:rPr>
        <w:t xml:space="preserve"> shareholder </w:t>
      </w:r>
      <w:r>
        <w:rPr>
          <w:rFonts w:ascii="Arial" w:cs="Arial" w:eastAsia="Arial" w:hAnsi="Arial"/>
          <w:sz w:val="16"/>
          <w:szCs w:val="16"/>
          <w:color w:val="auto"/>
        </w:rPr>
        <w:t>mean a holder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shares of TC Energy Corporation,</w:t>
      </w:r>
    </w:p>
    <w:p>
      <w:pPr>
        <w:ind w:left="200" w:right="500" w:hanging="155"/>
        <w:spacing w:after="0" w:line="289" w:lineRule="auto"/>
        <w:tabs>
          <w:tab w:leader="none" w:pos="1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we</w:t>
      </w:r>
      <w:r>
        <w:rPr>
          <w:rFonts w:ascii="Arial" w:cs="Arial" w:eastAsia="Arial" w:hAnsi="Arial"/>
          <w:sz w:val="16"/>
          <w:szCs w:val="16"/>
          <w:color w:val="auto"/>
        </w:rPr>
        <w:t>,</w:t>
      </w:r>
      <w:r>
        <w:rPr>
          <w:rFonts w:ascii="Arial" w:cs="Arial" w:eastAsia="Arial" w:hAnsi="Arial"/>
          <w:sz w:val="16"/>
          <w:szCs w:val="16"/>
          <w:i w:val="1"/>
          <w:iCs w:val="1"/>
          <w:color w:val="auto"/>
        </w:rPr>
        <w:t xml:space="preserve"> us</w:t>
      </w:r>
      <w:r>
        <w:rPr>
          <w:rFonts w:ascii="Arial" w:cs="Arial" w:eastAsia="Arial" w:hAnsi="Arial"/>
          <w:sz w:val="16"/>
          <w:szCs w:val="16"/>
          <w:color w:val="auto"/>
        </w:rPr>
        <w:t>,</w:t>
      </w:r>
      <w:r>
        <w:rPr>
          <w:rFonts w:ascii="Arial" w:cs="Arial" w:eastAsia="Arial" w:hAnsi="Arial"/>
          <w:sz w:val="16"/>
          <w:szCs w:val="16"/>
          <w:i w:val="1"/>
          <w:iCs w:val="1"/>
          <w:color w:val="auto"/>
        </w:rPr>
        <w:t xml:space="preserve"> our, the company </w:t>
      </w:r>
      <w:r>
        <w:rPr>
          <w:rFonts w:ascii="Arial" w:cs="Arial" w:eastAsia="Arial" w:hAnsi="Arial"/>
          <w:sz w:val="16"/>
          <w:szCs w:val="16"/>
          <w:color w:val="auto"/>
        </w:rPr>
        <w:t>and</w:t>
      </w:r>
      <w:r>
        <w:rPr>
          <w:rFonts w:ascii="Arial" w:cs="Arial" w:eastAsia="Arial" w:hAnsi="Arial"/>
          <w:sz w:val="16"/>
          <w:szCs w:val="16"/>
          <w:i w:val="1"/>
          <w:iCs w:val="1"/>
          <w:color w:val="auto"/>
        </w:rPr>
        <w:t xml:space="preserve"> TC Energy </w:t>
      </w:r>
      <w:r>
        <w:rPr>
          <w:rFonts w:ascii="Arial" w:cs="Arial" w:eastAsia="Arial" w:hAnsi="Arial"/>
          <w:sz w:val="16"/>
          <w:szCs w:val="16"/>
          <w:color w:val="auto"/>
        </w:rPr>
        <w:t>mean TC Energy Corporation, and</w:t>
      </w:r>
    </w:p>
    <w:p>
      <w:pPr>
        <w:ind w:left="200" w:right="280" w:hanging="155"/>
        <w:spacing w:after="0" w:line="273" w:lineRule="auto"/>
        <w:tabs>
          <w:tab w:leader="none" w:pos="1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TC Energy shares </w:t>
      </w:r>
      <w:r>
        <w:rPr>
          <w:rFonts w:ascii="Arial" w:cs="Arial" w:eastAsia="Arial" w:hAnsi="Arial"/>
          <w:sz w:val="16"/>
          <w:szCs w:val="16"/>
          <w:color w:val="auto"/>
        </w:rPr>
        <w:t>and</w:t>
      </w:r>
      <w:r>
        <w:rPr>
          <w:rFonts w:ascii="Arial" w:cs="Arial" w:eastAsia="Arial" w:hAnsi="Arial"/>
          <w:sz w:val="16"/>
          <w:szCs w:val="16"/>
          <w:i w:val="1"/>
          <w:iCs w:val="1"/>
          <w:color w:val="auto"/>
        </w:rPr>
        <w:t xml:space="preserve"> shares </w:t>
      </w:r>
      <w:r>
        <w:rPr>
          <w:rFonts w:ascii="Arial" w:cs="Arial" w:eastAsia="Arial" w:hAnsi="Arial"/>
          <w:sz w:val="16"/>
          <w:szCs w:val="16"/>
          <w:color w:val="auto"/>
        </w:rPr>
        <w:t>mean</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shares of TC Energy Corporation, unless stated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224790</wp:posOffset>
            </wp:positionV>
            <wp:extent cx="2346325" cy="631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6325" cy="631190"/>
                    </a:xfrm>
                    <a:prstGeom prst="rect">
                      <a:avLst/>
                    </a:prstGeom>
                    <a:noFill/>
                  </pic:spPr>
                </pic:pic>
              </a:graphicData>
            </a:graphic>
          </wp:anchor>
        </w:drawing>
      </w:r>
    </w:p>
    <w:p>
      <w:pPr>
        <w:spacing w:after="0" w:line="400"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Our principal corporate and executive offices are located at</w:t>
      </w:r>
    </w:p>
    <w:p>
      <w:pPr>
        <w:spacing w:after="0" w:line="1" w:lineRule="exact"/>
        <w:rPr>
          <w:sz w:val="20"/>
          <w:szCs w:val="20"/>
          <w:color w:val="auto"/>
        </w:rPr>
      </w:pPr>
    </w:p>
    <w:p>
      <w:pPr>
        <w:ind w:right="640"/>
        <w:spacing w:after="0" w:line="263" w:lineRule="auto"/>
        <w:rPr>
          <w:sz w:val="20"/>
          <w:szCs w:val="20"/>
          <w:color w:val="auto"/>
        </w:rPr>
      </w:pPr>
      <w:r>
        <w:rPr>
          <w:rFonts w:ascii="Arial" w:cs="Arial" w:eastAsia="Arial" w:hAnsi="Arial"/>
          <w:sz w:val="16"/>
          <w:szCs w:val="16"/>
          <w:color w:val="auto"/>
        </w:rPr>
        <w:t>450 - 1 Street S.W., Calgary, AB Canada T2P 5H1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75565</wp:posOffset>
            </wp:positionV>
            <wp:extent cx="2346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63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20" w:space="540"/>
            <w:col w:w="3560"/>
          </w:cols>
          <w:pgMar w:left="340" w:top="1102" w:right="339" w:bottom="1440" w:gutter="0" w:footer="0" w:header="0"/>
        </w:sectPr>
      </w:pPr>
    </w:p>
    <w:p>
      <w:pPr>
        <w:spacing w:after="0" w:line="93" w:lineRule="exact"/>
        <w:rPr>
          <w:sz w:val="20"/>
          <w:szCs w:val="20"/>
          <w:color w:val="auto"/>
        </w:rPr>
      </w:pPr>
    </w:p>
    <w:p>
      <w:pPr>
        <w:ind w:right="400"/>
        <w:spacing w:after="0" w:line="333" w:lineRule="auto"/>
        <w:rPr>
          <w:sz w:val="20"/>
          <w:szCs w:val="20"/>
          <w:color w:val="auto"/>
        </w:rPr>
      </w:pPr>
      <w:r>
        <w:rPr>
          <w:rFonts w:ascii="Arial" w:cs="Arial" w:eastAsia="Arial" w:hAnsi="Arial"/>
          <w:sz w:val="16"/>
          <w:szCs w:val="16"/>
          <w:color w:val="auto"/>
        </w:rPr>
        <w:t>We will start mailing the proxy materials on March 31, 2026, and will also provide the materials to brokers, custodians, nominees and other fiduciaries to forward them to shareholders. A TC Energy employee may also contact you by phone or email to encourage you to vote.</w:t>
      </w:r>
    </w:p>
    <w:p>
      <w:pPr>
        <w:ind w:right="60"/>
        <w:spacing w:after="0" w:line="319" w:lineRule="auto"/>
        <w:rPr>
          <w:sz w:val="20"/>
          <w:szCs w:val="20"/>
          <w:color w:val="auto"/>
        </w:rPr>
      </w:pPr>
      <w:r>
        <w:rPr>
          <w:rFonts w:ascii="Arial" w:cs="Arial" w:eastAsia="Arial" w:hAnsi="Arial"/>
          <w:sz w:val="16"/>
          <w:szCs w:val="16"/>
          <w:color w:val="auto"/>
        </w:rPr>
        <w:t>The Board of Directors of TC Energy (Board) has approved the contents of this Circular and has authorized us to send it to you. We have also sent a copy to each member of our Board and to our auditors, and will file copies with the appropriate government regulatory agencies.</w:t>
      </w:r>
    </w:p>
    <w:p>
      <w:pPr>
        <w:spacing w:after="0" w:line="35"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auto"/>
        </w:rPr>
        <w:t>If you have questions about any of the information contained within the attached Circular please contact our Investor Relations team by telephone at 403-920-7911 or 1-800-361-6522 or by email at investor_relations@tcenergy.com.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If you have questions about deciding how to vote, you should contact your own legal, tax, financial or other professional advisor.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Unless stated otherwise, information in this document is as of March 5, 2026, and all dollar amounts are 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1026795</wp:posOffset>
            </wp:positionV>
            <wp:extent cx="7132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40" w:top="11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About shareholder mailings</w:t>
      </w:r>
    </w:p>
    <w:p>
      <w:pPr>
        <w:spacing w:after="0" w:line="49"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color w:val="0D64EF"/>
        </w:rPr>
        <w:t>In March 2025, we asked all registered shareholders to advise us if they did not want to receive our Annual Reports when they became available.</w:t>
      </w:r>
    </w:p>
    <w:p>
      <w:pPr>
        <w:spacing w:after="0" w:line="37" w:lineRule="exact"/>
        <w:rPr>
          <w:sz w:val="20"/>
          <w:szCs w:val="20"/>
          <w:color w:val="auto"/>
        </w:rPr>
      </w:pPr>
    </w:p>
    <w:p>
      <w:pPr>
        <w:spacing w:after="0" w:line="266" w:lineRule="auto"/>
        <w:rPr>
          <w:sz w:val="20"/>
          <w:szCs w:val="20"/>
          <w:color w:val="auto"/>
        </w:rPr>
      </w:pPr>
      <w:r>
        <w:rPr>
          <w:rFonts w:ascii="Arial" w:cs="Arial" w:eastAsia="Arial" w:hAnsi="Arial"/>
          <w:sz w:val="14"/>
          <w:szCs w:val="14"/>
          <w:color w:val="0D64EF"/>
        </w:rPr>
        <w:t>If you are a registered shareholder who replied that you no longer want to receive the report, or a beneficial shareholder who did not request a copy, you will not receive one. If you purchased TC Energy shares after March 20, 2026, you also may not receive a copy of our 2025 Annual Report. We are using notice and access to deliver this Circular and 2025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0D64EF"/>
        </w:rPr>
        <w:t>Our 2025 Annual Report is available on our website (www.tcenergy.com) and 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D64EF"/>
        </w:rPr>
        <w:t>SEDAR+ (www.sedarplus.ca), or you can request a free copy from our transfer agent: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D64EF"/>
        </w:rPr>
        <w:t>Computershare Investor Services, Inc.</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color w:val="0D64EF"/>
        </w:rPr>
        <w:t>Tel:</w:t>
      </w:r>
      <w:r>
        <w:rPr>
          <w:sz w:val="20"/>
          <w:szCs w:val="20"/>
          <w:color w:val="auto"/>
        </w:rPr>
        <w:tab/>
      </w:r>
      <w:r>
        <w:rPr>
          <w:rFonts w:ascii="Arial" w:cs="Arial" w:eastAsia="Arial" w:hAnsi="Arial"/>
          <w:sz w:val="14"/>
          <w:szCs w:val="14"/>
          <w:color w:val="0D64EF"/>
        </w:rPr>
        <w:t>1-800-340-5024 (toll-free within North America)</w:t>
      </w:r>
    </w:p>
    <w:p>
      <w:pPr>
        <w:spacing w:after="0" w:line="42" w:lineRule="exact"/>
        <w:rPr>
          <w:sz w:val="20"/>
          <w:szCs w:val="20"/>
          <w:color w:val="auto"/>
        </w:rPr>
      </w:pPr>
    </w:p>
    <w:p>
      <w:pPr>
        <w:ind w:left="760"/>
        <w:spacing w:after="0"/>
        <w:rPr>
          <w:sz w:val="20"/>
          <w:szCs w:val="20"/>
          <w:color w:val="auto"/>
        </w:rPr>
      </w:pPr>
      <w:r>
        <w:rPr>
          <w:rFonts w:ascii="Arial" w:cs="Arial" w:eastAsia="Arial" w:hAnsi="Arial"/>
          <w:sz w:val="14"/>
          <w:szCs w:val="14"/>
          <w:color w:val="0D64EF"/>
        </w:rPr>
        <w:t>1-514-982-7959 (outside North America)</w:t>
      </w:r>
    </w:p>
    <w:p>
      <w:pPr>
        <w:spacing w:after="0" w:line="6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color w:val="0D64EF"/>
        </w:rPr>
        <w:t>Online:</w:t>
      </w:r>
      <w:r>
        <w:rPr>
          <w:sz w:val="20"/>
          <w:szCs w:val="20"/>
          <w:color w:val="auto"/>
        </w:rPr>
        <w:tab/>
      </w:r>
      <w:r>
        <w:rPr>
          <w:rFonts w:ascii="Arial" w:cs="Arial" w:eastAsia="Arial" w:hAnsi="Arial"/>
          <w:sz w:val="14"/>
          <w:szCs w:val="14"/>
          <w:color w:val="0D64EF"/>
        </w:rPr>
        <w:t>Go to www.investorcentre.com/tcenergy</w:t>
      </w:r>
    </w:p>
    <w:p>
      <w:pPr>
        <w:spacing w:after="0" w:line="67" w:lineRule="exact"/>
        <w:rPr>
          <w:sz w:val="20"/>
          <w:szCs w:val="20"/>
          <w:color w:val="auto"/>
        </w:rPr>
      </w:pPr>
    </w:p>
    <w:p>
      <w:pPr>
        <w:ind w:left="760" w:right="20"/>
        <w:spacing w:after="0" w:line="260" w:lineRule="auto"/>
        <w:rPr>
          <w:sz w:val="20"/>
          <w:szCs w:val="20"/>
          <w:color w:val="auto"/>
        </w:rPr>
      </w:pPr>
      <w:r>
        <w:rPr>
          <w:rFonts w:ascii="Arial" w:cs="Arial" w:eastAsia="Arial" w:hAnsi="Arial"/>
          <w:sz w:val="14"/>
          <w:szCs w:val="14"/>
          <w:color w:val="0D64EF"/>
        </w:rPr>
        <w:t>Note: Top right corner of the web page must be set to "Canada (English)" or "Canada (French)", click on "Contact Us" in the bottom banner, click on</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4"/>
          <w:szCs w:val="14"/>
          <w:color w:val="0D64EF"/>
        </w:rPr>
        <w:t>"Contact information for a specific company", and type ticker symbol "TRP"</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4"/>
          <w:szCs w:val="14"/>
          <w:color w:val="0D64EF"/>
        </w:rPr>
        <w:t>to view communication options.</w:t>
      </w:r>
    </w:p>
    <w:p>
      <w:pPr>
        <w:spacing w:after="0" w:line="200" w:lineRule="exact"/>
        <w:rPr>
          <w:sz w:val="20"/>
          <w:szCs w:val="20"/>
          <w:color w:val="auto"/>
        </w:rPr>
      </w:pPr>
    </w:p>
    <w:p>
      <w:pPr>
        <w:sectPr>
          <w:pgSz w:w="11900" w:h="16838" w:orient="portrait"/>
          <w:cols w:equalWidth="0" w:num="2">
            <w:col w:w="5120" w:space="520"/>
            <w:col w:w="5580"/>
          </w:cols>
          <w:pgMar w:left="340" w:top="11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3</w:t>
      </w:r>
    </w:p>
    <w:p>
      <w:pPr>
        <w:sectPr>
          <w:pgSz w:w="11900" w:h="16838" w:orient="portrait"/>
          <w:cols w:equalWidth="0" w:num="1">
            <w:col w:w="11220"/>
          </w:cols>
          <w:pgMar w:left="340" w:top="1102"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9"/>
          <w:szCs w:val="29"/>
          <w:color w:val="0D64EF"/>
        </w:rPr>
        <w:t>Summary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pages are key points of information you will find in this Circular. You should read the entire Circular before voting.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VOTING</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You will be asked to vote on three items at the meeting: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60" w:type="dxa"/>
            <w:vAlign w:val="bottom"/>
            <w:tcBorders>
              <w:top w:val="single" w:sz="8" w:color="0D64EF"/>
              <w:bottom w:val="single" w:sz="8" w:color="0D64EF"/>
            </w:tcBorders>
            <w:shd w:val="clear" w:color="auto" w:fill="D0D0CE"/>
          </w:tcPr>
          <w:p>
            <w:pPr>
              <w:ind w:left="20"/>
              <w:spacing w:after="0"/>
              <w:rPr>
                <w:sz w:val="20"/>
                <w:szCs w:val="20"/>
                <w:color w:val="auto"/>
              </w:rPr>
            </w:pPr>
            <w:r>
              <w:rPr>
                <w:rFonts w:ascii="Arial" w:cs="Arial" w:eastAsia="Arial" w:hAnsi="Arial"/>
                <w:sz w:val="14"/>
                <w:szCs w:val="14"/>
                <w:b w:val="1"/>
                <w:bCs w:val="1"/>
                <w:color w:val="auto"/>
              </w:rPr>
              <w:t>Item</w:t>
            </w:r>
          </w:p>
        </w:tc>
        <w:tc>
          <w:tcPr>
            <w:tcW w:w="2980" w:type="dxa"/>
            <w:vAlign w:val="bottom"/>
            <w:tcBorders>
              <w:top w:val="single" w:sz="8" w:color="0D64EF"/>
              <w:bottom w:val="single" w:sz="8" w:color="0D64EF"/>
            </w:tcBorders>
            <w:shd w:val="clear" w:color="auto" w:fill="D0D0CE"/>
          </w:tcPr>
          <w:p>
            <w:pPr>
              <w:ind w:left="960"/>
              <w:spacing w:after="0"/>
              <w:rPr>
                <w:sz w:val="20"/>
                <w:szCs w:val="20"/>
                <w:color w:val="auto"/>
              </w:rPr>
            </w:pPr>
            <w:r>
              <w:rPr>
                <w:rFonts w:ascii="Arial" w:cs="Arial" w:eastAsia="Arial" w:hAnsi="Arial"/>
                <w:sz w:val="14"/>
                <w:szCs w:val="14"/>
                <w:b w:val="1"/>
                <w:bCs w:val="1"/>
                <w:color w:val="auto"/>
              </w:rPr>
              <w:t>Board recommendation</w:t>
            </w:r>
          </w:p>
        </w:tc>
        <w:tc>
          <w:tcPr>
            <w:tcW w:w="3000" w:type="dxa"/>
            <w:vAlign w:val="bottom"/>
            <w:tcBorders>
              <w:top w:val="single" w:sz="8" w:color="0D64EF"/>
              <w:bottom w:val="single" w:sz="8" w:color="0D64EF"/>
            </w:tcBorders>
            <w:gridSpan w:val="2"/>
            <w:shd w:val="clear" w:color="auto" w:fill="D0D0CE"/>
          </w:tcPr>
          <w:p>
            <w:pPr>
              <w:ind w:left="420"/>
              <w:spacing w:after="0"/>
              <w:rPr>
                <w:sz w:val="20"/>
                <w:szCs w:val="20"/>
                <w:color w:val="auto"/>
              </w:rPr>
            </w:pPr>
            <w:r>
              <w:rPr>
                <w:rFonts w:ascii="Arial" w:cs="Arial" w:eastAsia="Arial" w:hAnsi="Arial"/>
                <w:sz w:val="14"/>
                <w:szCs w:val="14"/>
                <w:b w:val="1"/>
                <w:bCs w:val="1"/>
                <w:color w:val="auto"/>
              </w:rPr>
              <w:t>More information (pages)</w:t>
            </w:r>
          </w:p>
        </w:tc>
      </w:tr>
      <w:tr>
        <w:trPr>
          <w:trHeight w:val="192"/>
        </w:trPr>
        <w:tc>
          <w:tcPr>
            <w:tcW w:w="52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Elect 13 directors</w:t>
            </w:r>
          </w:p>
        </w:tc>
        <w:tc>
          <w:tcPr>
            <w:tcW w:w="2980" w:type="dxa"/>
            <w:vAlign w:val="bottom"/>
            <w:tcBorders>
              <w:bottom w:val="single" w:sz="8" w:color="B2B2B2"/>
            </w:tcBorders>
          </w:tcPr>
          <w:p>
            <w:pPr>
              <w:ind w:left="960"/>
              <w:spacing w:after="0"/>
              <w:rPr>
                <w:sz w:val="20"/>
                <w:szCs w:val="20"/>
                <w:color w:val="auto"/>
              </w:rPr>
            </w:pPr>
            <w:r>
              <w:rPr>
                <w:rFonts w:ascii="Arial" w:cs="Arial" w:eastAsia="Arial" w:hAnsi="Arial"/>
                <w:sz w:val="14"/>
                <w:szCs w:val="14"/>
                <w:color w:val="auto"/>
              </w:rPr>
              <w:t>For</w:t>
            </w:r>
          </w:p>
        </w:tc>
        <w:tc>
          <w:tcPr>
            <w:tcW w:w="640" w:type="dxa"/>
            <w:vAlign w:val="bottom"/>
            <w:tcBorders>
              <w:bottom w:val="single" w:sz="8" w:color="B2B2B2"/>
            </w:tcBorders>
          </w:tcPr>
          <w:p>
            <w:pPr>
              <w:ind w:left="420"/>
              <w:spacing w:after="0"/>
              <w:rPr>
                <w:sz w:val="20"/>
                <w:szCs w:val="20"/>
                <w:color w:val="auto"/>
              </w:rPr>
            </w:pPr>
            <w:r>
              <w:rPr>
                <w:rFonts w:ascii="Arial" w:cs="Arial" w:eastAsia="Arial" w:hAnsi="Arial"/>
                <w:sz w:val="14"/>
                <w:szCs w:val="14"/>
                <w:color w:val="auto"/>
              </w:rPr>
              <w:t>13,</w:t>
            </w:r>
          </w:p>
        </w:tc>
        <w:tc>
          <w:tcPr>
            <w:tcW w:w="23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19-32</w:t>
            </w:r>
          </w:p>
        </w:tc>
      </w:tr>
      <w:tr>
        <w:trPr>
          <w:trHeight w:val="191"/>
        </w:trPr>
        <w:tc>
          <w:tcPr>
            <w:tcW w:w="5260" w:type="dxa"/>
            <w:vAlign w:val="bottom"/>
          </w:tcPr>
          <w:p>
            <w:pPr>
              <w:ind w:left="20"/>
              <w:spacing w:after="0"/>
              <w:rPr>
                <w:sz w:val="20"/>
                <w:szCs w:val="20"/>
                <w:color w:val="auto"/>
              </w:rPr>
            </w:pPr>
            <w:r>
              <w:rPr>
                <w:rFonts w:ascii="Arial" w:cs="Arial" w:eastAsia="Arial" w:hAnsi="Arial"/>
                <w:sz w:val="14"/>
                <w:szCs w:val="14"/>
                <w:color w:val="auto"/>
              </w:rPr>
              <w:t>Appoint KPMG LLP, Chartered Professional Accountants as auditor</w:t>
            </w:r>
          </w:p>
        </w:tc>
        <w:tc>
          <w:tcPr>
            <w:tcW w:w="2980" w:type="dxa"/>
            <w:vAlign w:val="bottom"/>
          </w:tcPr>
          <w:p>
            <w:pPr>
              <w:ind w:left="960"/>
              <w:spacing w:after="0"/>
              <w:rPr>
                <w:sz w:val="20"/>
                <w:szCs w:val="20"/>
                <w:color w:val="auto"/>
              </w:rPr>
            </w:pPr>
            <w:r>
              <w:rPr>
                <w:rFonts w:ascii="Arial" w:cs="Arial" w:eastAsia="Arial" w:hAnsi="Arial"/>
                <w:sz w:val="14"/>
                <w:szCs w:val="14"/>
                <w:color w:val="auto"/>
              </w:rPr>
              <w:t>For</w:t>
            </w:r>
          </w:p>
        </w:tc>
        <w:tc>
          <w:tcPr>
            <w:tcW w:w="3000" w:type="dxa"/>
            <w:vAlign w:val="bottom"/>
            <w:gridSpan w:val="2"/>
          </w:tcPr>
          <w:p>
            <w:pPr>
              <w:ind w:left="420"/>
              <w:spacing w:after="0"/>
              <w:rPr>
                <w:sz w:val="20"/>
                <w:szCs w:val="20"/>
                <w:color w:val="auto"/>
              </w:rPr>
            </w:pPr>
            <w:r>
              <w:rPr>
                <w:rFonts w:ascii="Arial" w:cs="Arial" w:eastAsia="Arial" w:hAnsi="Arial"/>
                <w:sz w:val="14"/>
                <w:szCs w:val="14"/>
                <w:color w:val="auto"/>
              </w:rPr>
              <w:t>14-18</w:t>
            </w:r>
          </w:p>
        </w:tc>
      </w:tr>
      <w:tr>
        <w:trPr>
          <w:trHeight w:val="21"/>
        </w:trPr>
        <w:tc>
          <w:tcPr>
            <w:tcW w:w="5260" w:type="dxa"/>
            <w:vAlign w:val="bottom"/>
            <w:tcBorders>
              <w:bottom w:val="single" w:sz="8" w:color="B2B2B2"/>
            </w:tcBorders>
          </w:tcPr>
          <w:p>
            <w:pPr>
              <w:spacing w:after="0" w:line="20" w:lineRule="exact"/>
              <w:rPr>
                <w:sz w:val="1"/>
                <w:szCs w:val="1"/>
                <w:color w:val="auto"/>
              </w:rPr>
            </w:pPr>
          </w:p>
        </w:tc>
        <w:tc>
          <w:tcPr>
            <w:tcW w:w="2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2360" w:type="dxa"/>
            <w:vAlign w:val="bottom"/>
            <w:tcBorders>
              <w:bottom w:val="single" w:sz="8" w:color="B2B2B2"/>
            </w:tcBorders>
          </w:tcPr>
          <w:p>
            <w:pPr>
              <w:spacing w:after="0" w:line="20" w:lineRule="exact"/>
              <w:rPr>
                <w:sz w:val="1"/>
                <w:szCs w:val="1"/>
                <w:color w:val="auto"/>
              </w:rPr>
            </w:pPr>
          </w:p>
        </w:tc>
      </w:tr>
      <w:tr>
        <w:trPr>
          <w:trHeight w:val="187"/>
        </w:trPr>
        <w:tc>
          <w:tcPr>
            <w:tcW w:w="5260" w:type="dxa"/>
            <w:vAlign w:val="bottom"/>
          </w:tcPr>
          <w:p>
            <w:pPr>
              <w:ind w:left="20"/>
              <w:spacing w:after="0"/>
              <w:rPr>
                <w:sz w:val="20"/>
                <w:szCs w:val="20"/>
                <w:color w:val="auto"/>
              </w:rPr>
            </w:pPr>
            <w:r>
              <w:rPr>
                <w:rFonts w:ascii="Arial" w:cs="Arial" w:eastAsia="Arial" w:hAnsi="Arial"/>
                <w:sz w:val="14"/>
                <w:szCs w:val="14"/>
                <w:color w:val="auto"/>
              </w:rPr>
              <w:t>Advisory vote on executive compensation (say on pay)</w:t>
            </w:r>
          </w:p>
        </w:tc>
        <w:tc>
          <w:tcPr>
            <w:tcW w:w="2980" w:type="dxa"/>
            <w:vAlign w:val="bottom"/>
          </w:tcPr>
          <w:p>
            <w:pPr>
              <w:ind w:left="960"/>
              <w:spacing w:after="0"/>
              <w:rPr>
                <w:sz w:val="20"/>
                <w:szCs w:val="20"/>
                <w:color w:val="auto"/>
              </w:rPr>
            </w:pPr>
            <w:r>
              <w:rPr>
                <w:rFonts w:ascii="Arial" w:cs="Arial" w:eastAsia="Arial" w:hAnsi="Arial"/>
                <w:sz w:val="14"/>
                <w:szCs w:val="14"/>
                <w:color w:val="auto"/>
              </w:rPr>
              <w:t>For</w:t>
            </w:r>
          </w:p>
        </w:tc>
        <w:tc>
          <w:tcPr>
            <w:tcW w:w="640" w:type="dxa"/>
            <w:vAlign w:val="bottom"/>
          </w:tcPr>
          <w:p>
            <w:pPr>
              <w:ind w:left="420"/>
              <w:spacing w:after="0"/>
              <w:rPr>
                <w:sz w:val="20"/>
                <w:szCs w:val="20"/>
                <w:color w:val="auto"/>
              </w:rPr>
            </w:pPr>
            <w:r>
              <w:rPr>
                <w:rFonts w:ascii="Arial" w:cs="Arial" w:eastAsia="Arial" w:hAnsi="Arial"/>
                <w:sz w:val="14"/>
                <w:szCs w:val="14"/>
                <w:color w:val="auto"/>
              </w:rPr>
              <w:t>18,</w:t>
            </w:r>
          </w:p>
        </w:tc>
        <w:tc>
          <w:tcPr>
            <w:tcW w:w="2360" w:type="dxa"/>
            <w:vAlign w:val="bottom"/>
          </w:tcPr>
          <w:p>
            <w:pPr>
              <w:ind w:left="20"/>
              <w:spacing w:after="0"/>
              <w:rPr>
                <w:sz w:val="20"/>
                <w:szCs w:val="20"/>
                <w:color w:val="auto"/>
              </w:rPr>
            </w:pPr>
            <w:r>
              <w:rPr>
                <w:rFonts w:ascii="Arial" w:cs="Arial" w:eastAsia="Arial" w:hAnsi="Arial"/>
                <w:sz w:val="14"/>
                <w:szCs w:val="14"/>
                <w:color w:val="auto"/>
              </w:rPr>
              <w:t>71-77, 86-125</w:t>
            </w:r>
          </w:p>
        </w:tc>
      </w:tr>
      <w:tr>
        <w:trPr>
          <w:trHeight w:val="21"/>
        </w:trPr>
        <w:tc>
          <w:tcPr>
            <w:tcW w:w="5260" w:type="dxa"/>
            <w:vAlign w:val="bottom"/>
            <w:tcBorders>
              <w:bottom w:val="single" w:sz="8" w:color="0D64EF"/>
            </w:tcBorders>
          </w:tcPr>
          <w:p>
            <w:pPr>
              <w:spacing w:after="0" w:line="20" w:lineRule="exact"/>
              <w:rPr>
                <w:sz w:val="1"/>
                <w:szCs w:val="1"/>
                <w:color w:val="auto"/>
              </w:rPr>
            </w:pPr>
          </w:p>
        </w:tc>
        <w:tc>
          <w:tcPr>
            <w:tcW w:w="2980" w:type="dxa"/>
            <w:vAlign w:val="bottom"/>
            <w:tcBorders>
              <w:bottom w:val="single" w:sz="8" w:color="0D64EF"/>
            </w:tcBorders>
          </w:tcPr>
          <w:p>
            <w:pPr>
              <w:spacing w:after="0" w:line="20" w:lineRule="exact"/>
              <w:rPr>
                <w:sz w:val="1"/>
                <w:szCs w:val="1"/>
                <w:color w:val="auto"/>
              </w:rPr>
            </w:pPr>
          </w:p>
        </w:tc>
        <w:tc>
          <w:tcPr>
            <w:tcW w:w="640" w:type="dxa"/>
            <w:vAlign w:val="bottom"/>
            <w:tcBorders>
              <w:bottom w:val="single" w:sz="8" w:color="0D64EF"/>
            </w:tcBorders>
          </w:tcPr>
          <w:p>
            <w:pPr>
              <w:spacing w:after="0" w:line="20" w:lineRule="exact"/>
              <w:rPr>
                <w:sz w:val="1"/>
                <w:szCs w:val="1"/>
                <w:color w:val="auto"/>
              </w:rPr>
            </w:pPr>
          </w:p>
        </w:tc>
        <w:tc>
          <w:tcPr>
            <w:tcW w:w="2360" w:type="dxa"/>
            <w:vAlign w:val="bottom"/>
            <w:tcBorders>
              <w:bottom w:val="single" w:sz="8" w:color="0D64EF"/>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NOMINATED DIRECTORS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0D64EF"/>
            </w:tcBorders>
            <w:shd w:val="clear" w:color="auto" w:fill="D0D0CE"/>
          </w:tcPr>
          <w:p>
            <w:pPr>
              <w:spacing w:after="0"/>
              <w:rPr>
                <w:sz w:val="24"/>
                <w:szCs w:val="24"/>
                <w:color w:val="auto"/>
              </w:rPr>
            </w:pPr>
          </w:p>
        </w:tc>
        <w:tc>
          <w:tcPr>
            <w:tcW w:w="1940" w:type="dxa"/>
            <w:vAlign w:val="bottom"/>
            <w:tcBorders>
              <w:top w:val="single" w:sz="8" w:color="0D64EF"/>
            </w:tcBorders>
            <w:shd w:val="clear" w:color="auto" w:fill="D0D0CE"/>
          </w:tcPr>
          <w:p>
            <w:pPr>
              <w:spacing w:after="0"/>
              <w:rPr>
                <w:sz w:val="24"/>
                <w:szCs w:val="24"/>
                <w:color w:val="auto"/>
              </w:rPr>
            </w:pPr>
          </w:p>
        </w:tc>
        <w:tc>
          <w:tcPr>
            <w:tcW w:w="500" w:type="dxa"/>
            <w:vAlign w:val="bottom"/>
            <w:tcBorders>
              <w:top w:val="single" w:sz="8" w:color="0D64EF"/>
            </w:tcBorders>
            <w:shd w:val="clear" w:color="auto" w:fill="D0D0CE"/>
          </w:tcPr>
          <w:p>
            <w:pPr>
              <w:spacing w:after="0"/>
              <w:rPr>
                <w:sz w:val="24"/>
                <w:szCs w:val="24"/>
                <w:color w:val="auto"/>
              </w:rPr>
            </w:pPr>
          </w:p>
        </w:tc>
        <w:tc>
          <w:tcPr>
            <w:tcW w:w="1240" w:type="dxa"/>
            <w:vAlign w:val="bottom"/>
            <w:tcBorders>
              <w:top w:val="single" w:sz="8" w:color="0D64EF"/>
            </w:tcBorders>
            <w:shd w:val="clear" w:color="auto" w:fill="D0D0CE"/>
          </w:tcPr>
          <w:p>
            <w:pPr>
              <w:spacing w:after="0"/>
              <w:rPr>
                <w:sz w:val="24"/>
                <w:szCs w:val="24"/>
                <w:color w:val="auto"/>
              </w:rPr>
            </w:pPr>
          </w:p>
        </w:tc>
        <w:tc>
          <w:tcPr>
            <w:tcW w:w="1220" w:type="dxa"/>
            <w:vAlign w:val="bottom"/>
            <w:tcBorders>
              <w:top w:val="single" w:sz="8" w:color="0D64EF"/>
            </w:tcBorders>
            <w:vMerge w:val="restart"/>
            <w:shd w:val="clear" w:color="auto" w:fill="D0D0CE"/>
          </w:tcPr>
          <w:p>
            <w:pPr>
              <w:ind w:left="220"/>
              <w:spacing w:after="0"/>
              <w:rPr>
                <w:sz w:val="20"/>
                <w:szCs w:val="20"/>
                <w:color w:val="auto"/>
              </w:rPr>
            </w:pPr>
            <w:r>
              <w:rPr>
                <w:rFonts w:ascii="Arial" w:cs="Arial" w:eastAsia="Arial" w:hAnsi="Arial"/>
                <w:sz w:val="14"/>
                <w:szCs w:val="14"/>
                <w:b w:val="1"/>
                <w:bCs w:val="1"/>
                <w:color w:val="auto"/>
              </w:rPr>
              <w:t>% Votes in</w:t>
            </w:r>
          </w:p>
        </w:tc>
        <w:tc>
          <w:tcPr>
            <w:tcW w:w="1520" w:type="dxa"/>
            <w:vAlign w:val="bottom"/>
            <w:tcBorders>
              <w:top w:val="single" w:sz="8" w:color="0D64EF"/>
            </w:tcBorders>
            <w:shd w:val="clear" w:color="auto" w:fill="D0D0CE"/>
          </w:tcPr>
          <w:p>
            <w:pPr>
              <w:spacing w:after="0"/>
              <w:rPr>
                <w:sz w:val="24"/>
                <w:szCs w:val="24"/>
                <w:color w:val="auto"/>
              </w:rPr>
            </w:pPr>
          </w:p>
        </w:tc>
        <w:tc>
          <w:tcPr>
            <w:tcW w:w="2160" w:type="dxa"/>
            <w:vAlign w:val="bottom"/>
            <w:tcBorders>
              <w:top w:val="single" w:sz="8" w:color="0D64EF"/>
            </w:tcBorders>
            <w:gridSpan w:val="2"/>
            <w:shd w:val="clear" w:color="auto" w:fill="D0D0CE"/>
          </w:tcPr>
          <w:p>
            <w:pPr>
              <w:ind w:left="240"/>
              <w:spacing w:after="0"/>
              <w:rPr>
                <w:sz w:val="20"/>
                <w:szCs w:val="20"/>
                <w:color w:val="auto"/>
              </w:rPr>
            </w:pPr>
            <w:r>
              <w:rPr>
                <w:rFonts w:ascii="Arial" w:cs="Arial" w:eastAsia="Arial" w:hAnsi="Arial"/>
                <w:sz w:val="14"/>
                <w:szCs w:val="14"/>
                <w:b w:val="1"/>
                <w:bCs w:val="1"/>
                <w:color w:val="auto"/>
              </w:rPr>
              <w:t>2025 Meeting attendance</w:t>
            </w:r>
          </w:p>
        </w:tc>
        <w:tc>
          <w:tcPr>
            <w:tcW w:w="1020" w:type="dxa"/>
            <w:vAlign w:val="bottom"/>
            <w:tcBorders>
              <w:top w:val="single" w:sz="8" w:color="0D64EF"/>
            </w:tcBorders>
            <w:vMerge w:val="restart"/>
            <w:shd w:val="clear" w:color="auto" w:fill="D0D0CE"/>
          </w:tcPr>
          <w:p>
            <w:pPr>
              <w:ind w:left="1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82"/>
        </w:trPr>
        <w:tc>
          <w:tcPr>
            <w:tcW w:w="1640" w:type="dxa"/>
            <w:vAlign w:val="bottom"/>
            <w:tcBorders>
              <w:bottom w:val="single" w:sz="8" w:color="D0D0CE"/>
            </w:tcBorders>
            <w:shd w:val="clear" w:color="auto" w:fill="D0D0CE"/>
          </w:tcPr>
          <w:p>
            <w:pPr>
              <w:spacing w:after="0"/>
              <w:rPr>
                <w:sz w:val="7"/>
                <w:szCs w:val="7"/>
                <w:color w:val="auto"/>
              </w:rPr>
            </w:pPr>
          </w:p>
        </w:tc>
        <w:tc>
          <w:tcPr>
            <w:tcW w:w="1940" w:type="dxa"/>
            <w:vAlign w:val="bottom"/>
            <w:tcBorders>
              <w:bottom w:val="single" w:sz="8" w:color="D0D0CE"/>
            </w:tcBorders>
            <w:shd w:val="clear" w:color="auto" w:fill="D0D0CE"/>
          </w:tcPr>
          <w:p>
            <w:pPr>
              <w:spacing w:after="0"/>
              <w:rPr>
                <w:sz w:val="7"/>
                <w:szCs w:val="7"/>
                <w:color w:val="auto"/>
              </w:rPr>
            </w:pPr>
          </w:p>
        </w:tc>
        <w:tc>
          <w:tcPr>
            <w:tcW w:w="500" w:type="dxa"/>
            <w:vAlign w:val="bottom"/>
            <w:tcBorders>
              <w:bottom w:val="single" w:sz="8" w:color="D0D0CE"/>
            </w:tcBorders>
            <w:shd w:val="clear" w:color="auto" w:fill="D0D0CE"/>
          </w:tcPr>
          <w:p>
            <w:pPr>
              <w:spacing w:after="0"/>
              <w:rPr>
                <w:sz w:val="7"/>
                <w:szCs w:val="7"/>
                <w:color w:val="auto"/>
              </w:rPr>
            </w:pPr>
          </w:p>
        </w:tc>
        <w:tc>
          <w:tcPr>
            <w:tcW w:w="1240" w:type="dxa"/>
            <w:vAlign w:val="bottom"/>
            <w:tcBorders>
              <w:bottom w:val="single" w:sz="8" w:color="D0D0CE"/>
            </w:tcBorders>
            <w:shd w:val="clear" w:color="auto" w:fill="D0D0CE"/>
          </w:tcPr>
          <w:p>
            <w:pPr>
              <w:spacing w:after="0"/>
              <w:rPr>
                <w:sz w:val="7"/>
                <w:szCs w:val="7"/>
                <w:color w:val="auto"/>
              </w:rPr>
            </w:pPr>
          </w:p>
        </w:tc>
        <w:tc>
          <w:tcPr>
            <w:tcW w:w="1220" w:type="dxa"/>
            <w:vAlign w:val="bottom"/>
            <w:tcBorders>
              <w:bottom w:val="single" w:sz="8" w:color="D0D0CE"/>
            </w:tcBorders>
            <w:vMerge w:val="continue"/>
            <w:shd w:val="clear" w:color="auto" w:fill="D0D0CE"/>
          </w:tcPr>
          <w:p>
            <w:pPr>
              <w:spacing w:after="0"/>
              <w:rPr>
                <w:sz w:val="7"/>
                <w:szCs w:val="7"/>
                <w:color w:val="auto"/>
              </w:rPr>
            </w:pPr>
          </w:p>
        </w:tc>
        <w:tc>
          <w:tcPr>
            <w:tcW w:w="1520" w:type="dxa"/>
            <w:vAlign w:val="bottom"/>
            <w:tcBorders>
              <w:bottom w:val="single" w:sz="8" w:color="D0D0CE"/>
            </w:tcBorders>
            <w:shd w:val="clear" w:color="auto" w:fill="D0D0CE"/>
          </w:tcPr>
          <w:p>
            <w:pPr>
              <w:spacing w:after="0"/>
              <w:rPr>
                <w:sz w:val="7"/>
                <w:szCs w:val="7"/>
                <w:color w:val="auto"/>
              </w:rPr>
            </w:pPr>
          </w:p>
        </w:tc>
        <w:tc>
          <w:tcPr>
            <w:tcW w:w="840" w:type="dxa"/>
            <w:vAlign w:val="bottom"/>
            <w:tcBorders>
              <w:bottom w:val="single" w:sz="8" w:color="0D64EF"/>
            </w:tcBorders>
            <w:shd w:val="clear" w:color="auto" w:fill="D0D0CE"/>
          </w:tcPr>
          <w:p>
            <w:pPr>
              <w:spacing w:after="0"/>
              <w:rPr>
                <w:sz w:val="7"/>
                <w:szCs w:val="7"/>
                <w:color w:val="auto"/>
              </w:rPr>
            </w:pPr>
          </w:p>
        </w:tc>
        <w:tc>
          <w:tcPr>
            <w:tcW w:w="1320" w:type="dxa"/>
            <w:vAlign w:val="bottom"/>
            <w:tcBorders>
              <w:bottom w:val="single" w:sz="8" w:color="0D64EF"/>
            </w:tcBorders>
            <w:shd w:val="clear" w:color="auto" w:fill="D0D0CE"/>
          </w:tcPr>
          <w:p>
            <w:pPr>
              <w:spacing w:after="0"/>
              <w:rPr>
                <w:sz w:val="7"/>
                <w:szCs w:val="7"/>
                <w:color w:val="auto"/>
              </w:rPr>
            </w:pPr>
          </w:p>
        </w:tc>
        <w:tc>
          <w:tcPr>
            <w:tcW w:w="1020" w:type="dxa"/>
            <w:vAlign w:val="bottom"/>
            <w:tcBorders>
              <w:bottom w:val="single" w:sz="8" w:color="D0D0CE"/>
            </w:tcBorders>
            <w:vMerge w:val="continue"/>
            <w:shd w:val="clear" w:color="auto" w:fill="D0D0C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640" w:type="dxa"/>
            <w:vAlign w:val="bottom"/>
            <w:shd w:val="clear" w:color="auto" w:fill="D0D0CE"/>
          </w:tcPr>
          <w:p>
            <w:pPr>
              <w:spacing w:after="0"/>
              <w:rPr>
                <w:sz w:val="14"/>
                <w:szCs w:val="14"/>
                <w:color w:val="auto"/>
              </w:rPr>
            </w:pPr>
          </w:p>
        </w:tc>
        <w:tc>
          <w:tcPr>
            <w:tcW w:w="1940" w:type="dxa"/>
            <w:vAlign w:val="bottom"/>
            <w:shd w:val="clear" w:color="auto" w:fill="D0D0CE"/>
          </w:tcPr>
          <w:p>
            <w:pPr>
              <w:spacing w:after="0"/>
              <w:rPr>
                <w:sz w:val="14"/>
                <w:szCs w:val="14"/>
                <w:color w:val="auto"/>
              </w:rPr>
            </w:pPr>
          </w:p>
        </w:tc>
        <w:tc>
          <w:tcPr>
            <w:tcW w:w="500" w:type="dxa"/>
            <w:vAlign w:val="bottom"/>
            <w:shd w:val="clear" w:color="auto" w:fill="D0D0CE"/>
          </w:tcPr>
          <w:p>
            <w:pPr>
              <w:spacing w:after="0"/>
              <w:rPr>
                <w:sz w:val="14"/>
                <w:szCs w:val="14"/>
                <w:color w:val="auto"/>
              </w:rPr>
            </w:pPr>
          </w:p>
        </w:tc>
        <w:tc>
          <w:tcPr>
            <w:tcW w:w="1240" w:type="dxa"/>
            <w:vAlign w:val="bottom"/>
            <w:shd w:val="clear" w:color="auto" w:fill="D0D0CE"/>
          </w:tcPr>
          <w:p>
            <w:pPr>
              <w:spacing w:after="0"/>
              <w:rPr>
                <w:sz w:val="14"/>
                <w:szCs w:val="14"/>
                <w:color w:val="auto"/>
              </w:rPr>
            </w:pPr>
          </w:p>
        </w:tc>
        <w:tc>
          <w:tcPr>
            <w:tcW w:w="1220" w:type="dxa"/>
            <w:vAlign w:val="bottom"/>
            <w:shd w:val="clear" w:color="auto" w:fill="D0D0CE"/>
          </w:tcPr>
          <w:p>
            <w:pPr>
              <w:ind w:left="220"/>
              <w:spacing w:after="0"/>
              <w:rPr>
                <w:sz w:val="20"/>
                <w:szCs w:val="20"/>
                <w:color w:val="auto"/>
              </w:rPr>
            </w:pPr>
            <w:r>
              <w:rPr>
                <w:rFonts w:ascii="Arial" w:cs="Arial" w:eastAsia="Arial" w:hAnsi="Arial"/>
                <w:sz w:val="14"/>
                <w:szCs w:val="14"/>
                <w:b w:val="1"/>
                <w:bCs w:val="1"/>
                <w:color w:val="auto"/>
              </w:rPr>
              <w:t>favour</w:t>
            </w:r>
          </w:p>
        </w:tc>
        <w:tc>
          <w:tcPr>
            <w:tcW w:w="1520" w:type="dxa"/>
            <w:vAlign w:val="bottom"/>
            <w:shd w:val="clear" w:color="auto" w:fill="D0D0CE"/>
          </w:tcPr>
          <w:p>
            <w:pPr>
              <w:spacing w:after="0"/>
              <w:rPr>
                <w:sz w:val="14"/>
                <w:szCs w:val="14"/>
                <w:color w:val="auto"/>
              </w:rPr>
            </w:pPr>
          </w:p>
        </w:tc>
        <w:tc>
          <w:tcPr>
            <w:tcW w:w="840" w:type="dxa"/>
            <w:vAlign w:val="bottom"/>
            <w:shd w:val="clear" w:color="auto" w:fill="D0D0CE"/>
          </w:tcPr>
          <w:p>
            <w:pPr>
              <w:spacing w:after="0"/>
              <w:rPr>
                <w:sz w:val="14"/>
                <w:szCs w:val="14"/>
                <w:color w:val="auto"/>
              </w:rPr>
            </w:pPr>
          </w:p>
        </w:tc>
        <w:tc>
          <w:tcPr>
            <w:tcW w:w="1320" w:type="dxa"/>
            <w:vAlign w:val="bottom"/>
            <w:shd w:val="clear" w:color="auto" w:fill="D0D0CE"/>
          </w:tcPr>
          <w:p>
            <w:pPr>
              <w:spacing w:after="0"/>
              <w:rPr>
                <w:sz w:val="14"/>
                <w:szCs w:val="14"/>
                <w:color w:val="auto"/>
              </w:rPr>
            </w:pPr>
          </w:p>
        </w:tc>
        <w:tc>
          <w:tcPr>
            <w:tcW w:w="1020" w:type="dxa"/>
            <w:vAlign w:val="bottom"/>
            <w:shd w:val="clear" w:color="auto" w:fill="D0D0CE"/>
          </w:tcPr>
          <w:p>
            <w:pPr>
              <w:ind w:left="120"/>
              <w:spacing w:after="0"/>
              <w:rPr>
                <w:sz w:val="20"/>
                <w:szCs w:val="20"/>
                <w:color w:val="auto"/>
              </w:rPr>
            </w:pPr>
            <w:r>
              <w:rPr>
                <w:rFonts w:ascii="Arial" w:cs="Arial" w:eastAsia="Arial" w:hAnsi="Arial"/>
                <w:sz w:val="14"/>
                <w:szCs w:val="14"/>
                <w:b w:val="1"/>
                <w:bCs w:val="1"/>
                <w:color w:val="auto"/>
              </w:rPr>
              <w:t>of other</w:t>
            </w:r>
          </w:p>
        </w:tc>
        <w:tc>
          <w:tcPr>
            <w:tcW w:w="0" w:type="dxa"/>
            <w:vAlign w:val="bottom"/>
          </w:tcPr>
          <w:p>
            <w:pPr>
              <w:spacing w:after="0"/>
              <w:rPr>
                <w:sz w:val="1"/>
                <w:szCs w:val="1"/>
                <w:color w:val="auto"/>
              </w:rPr>
            </w:pPr>
          </w:p>
        </w:tc>
      </w:tr>
      <w:tr>
        <w:trPr>
          <w:trHeight w:val="188"/>
        </w:trPr>
        <w:tc>
          <w:tcPr>
            <w:tcW w:w="1640" w:type="dxa"/>
            <w:vAlign w:val="bottom"/>
            <w:shd w:val="clear" w:color="auto" w:fill="D0D0CE"/>
          </w:tcPr>
          <w:p>
            <w:pPr>
              <w:spacing w:after="0"/>
              <w:rPr>
                <w:sz w:val="16"/>
                <w:szCs w:val="16"/>
                <w:color w:val="auto"/>
              </w:rPr>
            </w:pPr>
          </w:p>
        </w:tc>
        <w:tc>
          <w:tcPr>
            <w:tcW w:w="1940" w:type="dxa"/>
            <w:vAlign w:val="bottom"/>
            <w:shd w:val="clear" w:color="auto" w:fill="D0D0CE"/>
          </w:tcPr>
          <w:p>
            <w:pPr>
              <w:spacing w:after="0"/>
              <w:rPr>
                <w:sz w:val="16"/>
                <w:szCs w:val="16"/>
                <w:color w:val="auto"/>
              </w:rPr>
            </w:pPr>
          </w:p>
        </w:tc>
        <w:tc>
          <w:tcPr>
            <w:tcW w:w="500" w:type="dxa"/>
            <w:vAlign w:val="bottom"/>
            <w:shd w:val="clear" w:color="auto" w:fill="D0D0CE"/>
          </w:tcPr>
          <w:p>
            <w:pPr>
              <w:spacing w:after="0"/>
              <w:rPr>
                <w:sz w:val="16"/>
                <w:szCs w:val="16"/>
                <w:color w:val="auto"/>
              </w:rPr>
            </w:pPr>
          </w:p>
        </w:tc>
        <w:tc>
          <w:tcPr>
            <w:tcW w:w="1240" w:type="dxa"/>
            <w:vAlign w:val="bottom"/>
            <w:shd w:val="clear" w:color="auto" w:fill="D0D0CE"/>
          </w:tcPr>
          <w:p>
            <w:pPr>
              <w:spacing w:after="0"/>
              <w:rPr>
                <w:sz w:val="16"/>
                <w:szCs w:val="16"/>
                <w:color w:val="auto"/>
              </w:rPr>
            </w:pPr>
          </w:p>
        </w:tc>
        <w:tc>
          <w:tcPr>
            <w:tcW w:w="1220" w:type="dxa"/>
            <w:vAlign w:val="bottom"/>
            <w:shd w:val="clear" w:color="auto" w:fill="D0D0CE"/>
          </w:tcPr>
          <w:p>
            <w:pPr>
              <w:ind w:left="220"/>
              <w:spacing w:after="0"/>
              <w:rPr>
                <w:sz w:val="20"/>
                <w:szCs w:val="20"/>
                <w:color w:val="auto"/>
              </w:rPr>
            </w:pPr>
            <w:r>
              <w:rPr>
                <w:rFonts w:ascii="Arial" w:cs="Arial" w:eastAsia="Arial" w:hAnsi="Arial"/>
                <w:sz w:val="14"/>
                <w:szCs w:val="14"/>
                <w:b w:val="1"/>
                <w:bCs w:val="1"/>
                <w:color w:val="auto"/>
              </w:rPr>
              <w:t>at 2025</w:t>
            </w:r>
          </w:p>
        </w:tc>
        <w:tc>
          <w:tcPr>
            <w:tcW w:w="1520" w:type="dxa"/>
            <w:vAlign w:val="bottom"/>
            <w:shd w:val="clear" w:color="auto" w:fill="D0D0CE"/>
          </w:tcPr>
          <w:p>
            <w:pPr>
              <w:spacing w:after="0"/>
              <w:rPr>
                <w:sz w:val="16"/>
                <w:szCs w:val="16"/>
                <w:color w:val="auto"/>
              </w:rPr>
            </w:pPr>
          </w:p>
        </w:tc>
        <w:tc>
          <w:tcPr>
            <w:tcW w:w="840" w:type="dxa"/>
            <w:vAlign w:val="bottom"/>
            <w:shd w:val="clear" w:color="auto" w:fill="D0D0CE"/>
          </w:tcPr>
          <w:p>
            <w:pPr>
              <w:ind w:left="20"/>
              <w:spacing w:after="0"/>
              <w:rPr>
                <w:sz w:val="20"/>
                <w:szCs w:val="20"/>
                <w:color w:val="auto"/>
              </w:rPr>
            </w:pPr>
            <w:r>
              <w:rPr>
                <w:rFonts w:ascii="Arial" w:cs="Arial" w:eastAsia="Arial" w:hAnsi="Arial"/>
                <w:sz w:val="14"/>
                <w:szCs w:val="14"/>
                <w:b w:val="1"/>
                <w:bCs w:val="1"/>
                <w:color w:val="auto"/>
              </w:rPr>
              <w:t>Board</w:t>
            </w:r>
          </w:p>
        </w:tc>
        <w:tc>
          <w:tcPr>
            <w:tcW w:w="1320" w:type="dxa"/>
            <w:vAlign w:val="bottom"/>
            <w:shd w:val="clear" w:color="auto" w:fill="D0D0CE"/>
          </w:tcPr>
          <w:p>
            <w:pPr>
              <w:spacing w:after="0"/>
              <w:rPr>
                <w:sz w:val="16"/>
                <w:szCs w:val="16"/>
                <w:color w:val="auto"/>
              </w:rPr>
            </w:pPr>
          </w:p>
        </w:tc>
        <w:tc>
          <w:tcPr>
            <w:tcW w:w="1020" w:type="dxa"/>
            <w:vAlign w:val="bottom"/>
            <w:shd w:val="clear" w:color="auto" w:fill="D0D0CE"/>
          </w:tcPr>
          <w:p>
            <w:pPr>
              <w:ind w:left="120"/>
              <w:spacing w:after="0"/>
              <w:rPr>
                <w:sz w:val="20"/>
                <w:szCs w:val="20"/>
                <w:color w:val="auto"/>
              </w:rPr>
            </w:pPr>
            <w:r>
              <w:rPr>
                <w:rFonts w:ascii="Arial" w:cs="Arial" w:eastAsia="Arial" w:hAnsi="Arial"/>
                <w:sz w:val="14"/>
                <w:szCs w:val="14"/>
                <w:b w:val="1"/>
                <w:bCs w:val="1"/>
                <w:color w:val="auto"/>
              </w:rPr>
              <w:t>public</w:t>
            </w:r>
          </w:p>
        </w:tc>
        <w:tc>
          <w:tcPr>
            <w:tcW w:w="0" w:type="dxa"/>
            <w:vAlign w:val="bottom"/>
          </w:tcPr>
          <w:p>
            <w:pPr>
              <w:spacing w:after="0"/>
              <w:rPr>
                <w:sz w:val="1"/>
                <w:szCs w:val="1"/>
                <w:color w:val="auto"/>
              </w:rPr>
            </w:pPr>
          </w:p>
        </w:tc>
      </w:tr>
      <w:tr>
        <w:trPr>
          <w:trHeight w:val="251"/>
        </w:trPr>
        <w:tc>
          <w:tcPr>
            <w:tcW w:w="1640" w:type="dxa"/>
            <w:vAlign w:val="bottom"/>
            <w:tcBorders>
              <w:bottom w:val="single" w:sz="8" w:color="0D64EF"/>
            </w:tcBorders>
            <w:shd w:val="clear" w:color="auto" w:fill="D0D0CE"/>
          </w:tcPr>
          <w:p>
            <w:pPr>
              <w:ind w:left="20"/>
              <w:spacing w:after="0"/>
              <w:rPr>
                <w:sz w:val="20"/>
                <w:szCs w:val="20"/>
                <w:color w:val="auto"/>
              </w:rPr>
            </w:pPr>
            <w:r>
              <w:rPr>
                <w:rFonts w:ascii="Arial" w:cs="Arial" w:eastAsia="Arial" w:hAnsi="Arial"/>
                <w:sz w:val="14"/>
                <w:szCs w:val="14"/>
                <w:b w:val="1"/>
                <w:bCs w:val="1"/>
                <w:color w:val="auto"/>
              </w:rPr>
              <w:t>Name</w:t>
            </w:r>
          </w:p>
        </w:tc>
        <w:tc>
          <w:tcPr>
            <w:tcW w:w="1940" w:type="dxa"/>
            <w:vAlign w:val="bottom"/>
            <w:tcBorders>
              <w:bottom w:val="single" w:sz="8" w:color="0D64EF"/>
            </w:tcBorders>
            <w:shd w:val="clear" w:color="auto" w:fill="D0D0CE"/>
          </w:tcPr>
          <w:p>
            <w:pPr>
              <w:ind w:left="180"/>
              <w:spacing w:after="0"/>
              <w:rPr>
                <w:sz w:val="20"/>
                <w:szCs w:val="20"/>
                <w:color w:val="auto"/>
              </w:rPr>
            </w:pPr>
            <w:r>
              <w:rPr>
                <w:rFonts w:ascii="Arial" w:cs="Arial" w:eastAsia="Arial" w:hAnsi="Arial"/>
                <w:sz w:val="14"/>
                <w:szCs w:val="14"/>
                <w:b w:val="1"/>
                <w:bCs w:val="1"/>
                <w:color w:val="auto"/>
              </w:rPr>
              <w:t>Occupation</w:t>
            </w:r>
          </w:p>
        </w:tc>
        <w:tc>
          <w:tcPr>
            <w:tcW w:w="500" w:type="dxa"/>
            <w:vAlign w:val="bottom"/>
            <w:tcBorders>
              <w:bottom w:val="single" w:sz="8" w:color="0D64EF"/>
            </w:tcBorders>
            <w:shd w:val="clear" w:color="auto" w:fill="D0D0CE"/>
          </w:tcPr>
          <w:p>
            <w:pPr>
              <w:ind w:left="40"/>
              <w:spacing w:after="0"/>
              <w:rPr>
                <w:sz w:val="20"/>
                <w:szCs w:val="20"/>
                <w:color w:val="auto"/>
              </w:rPr>
            </w:pPr>
            <w:r>
              <w:rPr>
                <w:rFonts w:ascii="Arial" w:cs="Arial" w:eastAsia="Arial" w:hAnsi="Arial"/>
                <w:sz w:val="14"/>
                <w:szCs w:val="14"/>
                <w:b w:val="1"/>
                <w:bCs w:val="1"/>
                <w:color w:val="auto"/>
              </w:rPr>
              <w:t>Age</w:t>
            </w:r>
          </w:p>
        </w:tc>
        <w:tc>
          <w:tcPr>
            <w:tcW w:w="1240" w:type="dxa"/>
            <w:vAlign w:val="bottom"/>
            <w:tcBorders>
              <w:bottom w:val="single" w:sz="8" w:color="0D64EF"/>
            </w:tcBorders>
            <w:shd w:val="clear" w:color="auto" w:fill="D0D0CE"/>
          </w:tcPr>
          <w:p>
            <w:pPr>
              <w:ind w:left="200"/>
              <w:spacing w:after="0"/>
              <w:rPr>
                <w:sz w:val="20"/>
                <w:szCs w:val="20"/>
                <w:color w:val="auto"/>
              </w:rPr>
            </w:pPr>
            <w:r>
              <w:rPr>
                <w:rFonts w:ascii="Arial" w:cs="Arial" w:eastAsia="Arial" w:hAnsi="Arial"/>
                <w:sz w:val="14"/>
                <w:szCs w:val="14"/>
                <w:b w:val="1"/>
                <w:bCs w:val="1"/>
                <w:color w:val="auto"/>
              </w:rPr>
              <w:t>Independent</w:t>
            </w:r>
          </w:p>
        </w:tc>
        <w:tc>
          <w:tcPr>
            <w:tcW w:w="1220" w:type="dxa"/>
            <w:vAlign w:val="bottom"/>
            <w:tcBorders>
              <w:bottom w:val="single" w:sz="8" w:color="0D64EF"/>
            </w:tcBorders>
            <w:shd w:val="clear" w:color="auto" w:fill="D0D0CE"/>
          </w:tcPr>
          <w:p>
            <w:pPr>
              <w:ind w:left="220"/>
              <w:spacing w:after="0"/>
              <w:rPr>
                <w:sz w:val="20"/>
                <w:szCs w:val="20"/>
                <w:color w:val="auto"/>
              </w:rPr>
            </w:pPr>
            <w:r>
              <w:rPr>
                <w:rFonts w:ascii="Arial" w:cs="Arial" w:eastAsia="Arial" w:hAnsi="Arial"/>
                <w:sz w:val="14"/>
                <w:szCs w:val="14"/>
                <w:b w:val="1"/>
                <w:bCs w:val="1"/>
                <w:color w:val="auto"/>
              </w:rPr>
              <w:t>ASM</w:t>
            </w:r>
          </w:p>
        </w:tc>
        <w:tc>
          <w:tcPr>
            <w:tcW w:w="1520" w:type="dxa"/>
            <w:vAlign w:val="bottom"/>
            <w:tcBorders>
              <w:bottom w:val="single" w:sz="8" w:color="0D64EF"/>
            </w:tcBorders>
            <w:shd w:val="clear" w:color="auto" w:fill="D0D0CE"/>
          </w:tcPr>
          <w:p>
            <w:pPr>
              <w:ind w:left="20"/>
              <w:spacing w:after="0"/>
              <w:rPr>
                <w:sz w:val="20"/>
                <w:szCs w:val="20"/>
                <w:color w:val="auto"/>
              </w:rPr>
            </w:pPr>
            <w:r>
              <w:rPr>
                <w:rFonts w:ascii="Arial" w:cs="Arial" w:eastAsia="Arial" w:hAnsi="Arial"/>
                <w:sz w:val="14"/>
                <w:szCs w:val="14"/>
                <w:b w:val="1"/>
                <w:bCs w:val="1"/>
                <w:color w:val="auto"/>
              </w:rPr>
              <w:t>2025 Committees</w:t>
            </w:r>
          </w:p>
        </w:tc>
        <w:tc>
          <w:tcPr>
            <w:tcW w:w="840" w:type="dxa"/>
            <w:vAlign w:val="bottom"/>
            <w:tcBorders>
              <w:bottom w:val="single" w:sz="8" w:color="0D64EF"/>
            </w:tcBorders>
            <w:shd w:val="clear" w:color="auto" w:fill="D0D0CE"/>
          </w:tcPr>
          <w:p>
            <w:pPr>
              <w:ind w:left="20"/>
              <w:spacing w:after="0"/>
              <w:rPr>
                <w:sz w:val="20"/>
                <w:szCs w:val="20"/>
                <w:color w:val="auto"/>
              </w:rPr>
            </w:pPr>
            <w:r>
              <w:rPr>
                <w:rFonts w:ascii="Arial" w:cs="Arial" w:eastAsia="Arial" w:hAnsi="Arial"/>
                <w:sz w:val="14"/>
                <w:szCs w:val="14"/>
                <w:b w:val="1"/>
                <w:bCs w:val="1"/>
                <w:color w:val="auto"/>
              </w:rPr>
              <w:t>meetings</w:t>
            </w:r>
          </w:p>
        </w:tc>
        <w:tc>
          <w:tcPr>
            <w:tcW w:w="1320" w:type="dxa"/>
            <w:vAlign w:val="bottom"/>
            <w:tcBorders>
              <w:bottom w:val="single" w:sz="8" w:color="0D64EF"/>
            </w:tcBorders>
            <w:shd w:val="clear" w:color="auto" w:fill="D0D0CE"/>
          </w:tcPr>
          <w:p>
            <w:pPr>
              <w:ind w:left="200"/>
              <w:spacing w:after="0"/>
              <w:rPr>
                <w:sz w:val="20"/>
                <w:szCs w:val="20"/>
                <w:color w:val="auto"/>
              </w:rPr>
            </w:pPr>
            <w:r>
              <w:rPr>
                <w:rFonts w:ascii="Arial" w:cs="Arial" w:eastAsia="Arial" w:hAnsi="Arial"/>
                <w:sz w:val="14"/>
                <w:szCs w:val="14"/>
                <w:b w:val="1"/>
                <w:bCs w:val="1"/>
                <w:color w:val="auto"/>
              </w:rPr>
              <w:t>All meetings</w:t>
            </w:r>
            <w:r>
              <w:rPr>
                <w:rFonts w:ascii="Arial" w:cs="Arial" w:eastAsia="Arial" w:hAnsi="Arial"/>
                <w:sz w:val="18"/>
                <w:szCs w:val="18"/>
                <w:b w:val="1"/>
                <w:bCs w:val="1"/>
                <w:color w:val="auto"/>
                <w:vertAlign w:val="superscript"/>
              </w:rPr>
              <w:t>1</w:t>
            </w:r>
          </w:p>
        </w:tc>
        <w:tc>
          <w:tcPr>
            <w:tcW w:w="1020" w:type="dxa"/>
            <w:vAlign w:val="bottom"/>
            <w:tcBorders>
              <w:bottom w:val="single" w:sz="8" w:color="0D64EF"/>
            </w:tcBorders>
            <w:shd w:val="clear" w:color="auto" w:fill="D0D0CE"/>
          </w:tcPr>
          <w:p>
            <w:pPr>
              <w:ind w:left="120"/>
              <w:spacing w:after="0"/>
              <w:rPr>
                <w:sz w:val="20"/>
                <w:szCs w:val="20"/>
                <w:color w:val="auto"/>
              </w:rPr>
            </w:pPr>
            <w:r>
              <w:rPr>
                <w:rFonts w:ascii="Arial" w:cs="Arial" w:eastAsia="Arial" w:hAnsi="Arial"/>
                <w:sz w:val="14"/>
                <w:szCs w:val="14"/>
                <w:b w:val="1"/>
                <w:bCs w:val="1"/>
                <w:color w:val="auto"/>
              </w:rPr>
              <w:t>boards</w:t>
            </w: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Scott Bonham</w:t>
            </w:r>
          </w:p>
        </w:tc>
        <w:tc>
          <w:tcPr>
            <w:tcW w:w="1940" w:type="dxa"/>
            <w:vAlign w:val="bottom"/>
          </w:tcPr>
          <w:p>
            <w:pPr>
              <w:ind w:left="180"/>
              <w:spacing w:after="0"/>
              <w:rPr>
                <w:sz w:val="20"/>
                <w:szCs w:val="20"/>
                <w:color w:val="auto"/>
              </w:rPr>
            </w:pPr>
            <w:r>
              <w:rPr>
                <w:rFonts w:ascii="Arial" w:cs="Arial" w:eastAsia="Arial" w:hAnsi="Arial"/>
                <w:sz w:val="13"/>
                <w:szCs w:val="13"/>
                <w:color w:val="auto"/>
              </w:rPr>
              <w:t>Corporate Director</w:t>
            </w:r>
          </w:p>
        </w:tc>
        <w:tc>
          <w:tcPr>
            <w:tcW w:w="500" w:type="dxa"/>
            <w:vAlign w:val="bottom"/>
          </w:tcPr>
          <w:p>
            <w:pPr>
              <w:ind w:left="40"/>
              <w:spacing w:after="0"/>
              <w:rPr>
                <w:sz w:val="20"/>
                <w:szCs w:val="20"/>
                <w:color w:val="auto"/>
              </w:rPr>
            </w:pPr>
            <w:r>
              <w:rPr>
                <w:rFonts w:ascii="Arial" w:cs="Arial" w:eastAsia="Arial" w:hAnsi="Arial"/>
                <w:sz w:val="13"/>
                <w:szCs w:val="13"/>
                <w:color w:val="auto"/>
              </w:rPr>
              <w:t>64</w:t>
            </w:r>
          </w:p>
        </w:tc>
        <w:tc>
          <w:tcPr>
            <w:tcW w:w="1240" w:type="dxa"/>
            <w:vAlign w:val="bottom"/>
          </w:tcPr>
          <w:p>
            <w:pPr>
              <w:ind w:left="200"/>
              <w:spacing w:after="0"/>
              <w:rPr>
                <w:sz w:val="20"/>
                <w:szCs w:val="20"/>
                <w:color w:val="auto"/>
              </w:rPr>
            </w:pPr>
            <w:r>
              <w:rPr>
                <w:rFonts w:ascii="Arial" w:cs="Arial" w:eastAsia="Arial" w:hAnsi="Arial"/>
                <w:sz w:val="13"/>
                <w:szCs w:val="13"/>
                <w:color w:val="auto"/>
              </w:rPr>
              <w:t>Yes</w:t>
            </w:r>
          </w:p>
        </w:tc>
        <w:tc>
          <w:tcPr>
            <w:tcW w:w="1220" w:type="dxa"/>
            <w:vAlign w:val="bottom"/>
          </w:tcPr>
          <w:p>
            <w:pPr>
              <w:ind w:left="220"/>
              <w:spacing w:after="0"/>
              <w:rPr>
                <w:sz w:val="20"/>
                <w:szCs w:val="20"/>
                <w:color w:val="auto"/>
              </w:rPr>
            </w:pPr>
            <w:r>
              <w:rPr>
                <w:rFonts w:ascii="Arial" w:cs="Arial" w:eastAsia="Arial" w:hAnsi="Arial"/>
                <w:sz w:val="13"/>
                <w:szCs w:val="13"/>
                <w:color w:val="auto"/>
              </w:rPr>
              <w:t>99.84</w:t>
            </w:r>
          </w:p>
        </w:tc>
        <w:tc>
          <w:tcPr>
            <w:tcW w:w="1520" w:type="dxa"/>
            <w:vAlign w:val="bottom"/>
          </w:tcPr>
          <w:p>
            <w:pPr>
              <w:ind w:left="20"/>
              <w:spacing w:after="0"/>
              <w:rPr>
                <w:sz w:val="20"/>
                <w:szCs w:val="20"/>
                <w:color w:val="auto"/>
              </w:rPr>
            </w:pPr>
            <w:r>
              <w:rPr>
                <w:rFonts w:ascii="Arial" w:cs="Arial" w:eastAsia="Arial" w:hAnsi="Arial"/>
                <w:sz w:val="13"/>
                <w:szCs w:val="13"/>
                <w:color w:val="auto"/>
              </w:rPr>
              <w:t>Audit</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100%</w:t>
            </w:r>
          </w:p>
        </w:tc>
        <w:tc>
          <w:tcPr>
            <w:tcW w:w="1020" w:type="dxa"/>
            <w:vAlign w:val="bottom"/>
          </w:tcPr>
          <w:p>
            <w:pPr>
              <w:ind w:lef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Atherton, CA</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20"/>
              <w:spacing w:after="0" w:line="148" w:lineRule="exact"/>
              <w:rPr>
                <w:sz w:val="20"/>
                <w:szCs w:val="20"/>
                <w:color w:val="auto"/>
              </w:rPr>
            </w:pPr>
            <w:r>
              <w:rPr>
                <w:rFonts w:ascii="Arial" w:cs="Arial" w:eastAsia="Arial" w:hAnsi="Arial"/>
                <w:sz w:val="13"/>
                <w:szCs w:val="13"/>
                <w:color w:val="auto"/>
              </w:rPr>
              <w:t>Human Resources</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2024</w:t>
            </w: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40" w:type="dxa"/>
            <w:vAlign w:val="bottom"/>
            <w:tcBorders>
              <w:bottom w:val="single" w:sz="8" w:color="B2B2B2"/>
            </w:tcBorders>
          </w:tcPr>
          <w:p>
            <w:pPr>
              <w:spacing w:after="0"/>
              <w:rPr>
                <w:sz w:val="2"/>
                <w:szCs w:val="2"/>
                <w:color w:val="auto"/>
              </w:rPr>
            </w:pPr>
          </w:p>
        </w:tc>
        <w:tc>
          <w:tcPr>
            <w:tcW w:w="1940" w:type="dxa"/>
            <w:vAlign w:val="bottom"/>
            <w:tcBorders>
              <w:bottom w:val="single" w:sz="8" w:color="B2B2B2"/>
            </w:tcBorders>
          </w:tcPr>
          <w:p>
            <w:pPr>
              <w:spacing w:after="0"/>
              <w:rPr>
                <w:sz w:val="2"/>
                <w:szCs w:val="2"/>
                <w:color w:val="auto"/>
              </w:rPr>
            </w:pPr>
          </w:p>
        </w:tc>
        <w:tc>
          <w:tcPr>
            <w:tcW w:w="500" w:type="dxa"/>
            <w:vAlign w:val="bottom"/>
            <w:tcBorders>
              <w:bottom w:val="single" w:sz="8" w:color="B2B2B2"/>
            </w:tcBorders>
          </w:tcPr>
          <w:p>
            <w:pPr>
              <w:spacing w:after="0"/>
              <w:rPr>
                <w:sz w:val="2"/>
                <w:szCs w:val="2"/>
                <w:color w:val="auto"/>
              </w:rPr>
            </w:pPr>
          </w:p>
        </w:tc>
        <w:tc>
          <w:tcPr>
            <w:tcW w:w="1240" w:type="dxa"/>
            <w:vAlign w:val="bottom"/>
            <w:tcBorders>
              <w:bottom w:val="single" w:sz="8" w:color="B2B2B2"/>
            </w:tcBorders>
          </w:tcPr>
          <w:p>
            <w:pPr>
              <w:spacing w:after="0"/>
              <w:rPr>
                <w:sz w:val="2"/>
                <w:szCs w:val="2"/>
                <w:color w:val="auto"/>
              </w:rPr>
            </w:pPr>
          </w:p>
        </w:tc>
        <w:tc>
          <w:tcPr>
            <w:tcW w:w="122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132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Cheryl F. Campbell</w:t>
            </w:r>
          </w:p>
        </w:tc>
        <w:tc>
          <w:tcPr>
            <w:tcW w:w="1940" w:type="dxa"/>
            <w:vAlign w:val="bottom"/>
          </w:tcPr>
          <w:p>
            <w:pPr>
              <w:ind w:left="180"/>
              <w:spacing w:after="0"/>
              <w:rPr>
                <w:sz w:val="20"/>
                <w:szCs w:val="20"/>
                <w:color w:val="auto"/>
              </w:rPr>
            </w:pPr>
            <w:r>
              <w:rPr>
                <w:rFonts w:ascii="Arial" w:cs="Arial" w:eastAsia="Arial" w:hAnsi="Arial"/>
                <w:sz w:val="13"/>
                <w:szCs w:val="13"/>
                <w:color w:val="auto"/>
              </w:rPr>
              <w:t>Corporate Director</w:t>
            </w:r>
          </w:p>
        </w:tc>
        <w:tc>
          <w:tcPr>
            <w:tcW w:w="500" w:type="dxa"/>
            <w:vAlign w:val="bottom"/>
          </w:tcPr>
          <w:p>
            <w:pPr>
              <w:ind w:left="40"/>
              <w:spacing w:after="0"/>
              <w:rPr>
                <w:sz w:val="20"/>
                <w:szCs w:val="20"/>
                <w:color w:val="auto"/>
              </w:rPr>
            </w:pPr>
            <w:r>
              <w:rPr>
                <w:rFonts w:ascii="Arial" w:cs="Arial" w:eastAsia="Arial" w:hAnsi="Arial"/>
                <w:sz w:val="13"/>
                <w:szCs w:val="13"/>
                <w:color w:val="auto"/>
              </w:rPr>
              <w:t>66</w:t>
            </w:r>
          </w:p>
        </w:tc>
        <w:tc>
          <w:tcPr>
            <w:tcW w:w="1240" w:type="dxa"/>
            <w:vAlign w:val="bottom"/>
          </w:tcPr>
          <w:p>
            <w:pPr>
              <w:ind w:left="200"/>
              <w:spacing w:after="0"/>
              <w:rPr>
                <w:sz w:val="20"/>
                <w:szCs w:val="20"/>
                <w:color w:val="auto"/>
              </w:rPr>
            </w:pPr>
            <w:r>
              <w:rPr>
                <w:rFonts w:ascii="Arial" w:cs="Arial" w:eastAsia="Arial" w:hAnsi="Arial"/>
                <w:sz w:val="13"/>
                <w:szCs w:val="13"/>
                <w:color w:val="auto"/>
              </w:rPr>
              <w:t>Yes</w:t>
            </w:r>
          </w:p>
        </w:tc>
        <w:tc>
          <w:tcPr>
            <w:tcW w:w="1220" w:type="dxa"/>
            <w:vAlign w:val="bottom"/>
          </w:tcPr>
          <w:p>
            <w:pPr>
              <w:ind w:left="220"/>
              <w:spacing w:after="0"/>
              <w:rPr>
                <w:sz w:val="20"/>
                <w:szCs w:val="20"/>
                <w:color w:val="auto"/>
              </w:rPr>
            </w:pPr>
            <w:r>
              <w:rPr>
                <w:rFonts w:ascii="Arial" w:cs="Arial" w:eastAsia="Arial" w:hAnsi="Arial"/>
                <w:sz w:val="13"/>
                <w:szCs w:val="13"/>
                <w:color w:val="auto"/>
              </w:rPr>
              <w:t>99.28</w:t>
            </w:r>
          </w:p>
        </w:tc>
        <w:tc>
          <w:tcPr>
            <w:tcW w:w="1520" w:type="dxa"/>
            <w:vAlign w:val="bottom"/>
          </w:tcPr>
          <w:p>
            <w:pPr>
              <w:ind w:left="20"/>
              <w:spacing w:after="0"/>
              <w:rPr>
                <w:sz w:val="20"/>
                <w:szCs w:val="20"/>
                <w:color w:val="auto"/>
              </w:rPr>
            </w:pPr>
            <w:r>
              <w:rPr>
                <w:rFonts w:ascii="Arial" w:cs="Arial" w:eastAsia="Arial" w:hAnsi="Arial"/>
                <w:sz w:val="13"/>
                <w:szCs w:val="13"/>
                <w:color w:val="auto"/>
              </w:rPr>
              <w:t>Audit</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100%</w:t>
            </w:r>
          </w:p>
        </w:tc>
        <w:tc>
          <w:tcPr>
            <w:tcW w:w="1020" w:type="dxa"/>
            <w:vAlign w:val="bottom"/>
          </w:tcPr>
          <w:p>
            <w:pPr>
              <w:ind w:lef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Monument, CO</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20"/>
              <w:spacing w:after="0" w:line="148" w:lineRule="exact"/>
              <w:rPr>
                <w:sz w:val="20"/>
                <w:szCs w:val="20"/>
                <w:color w:val="auto"/>
              </w:rPr>
            </w:pPr>
            <w:r>
              <w:rPr>
                <w:rFonts w:ascii="Arial" w:cs="Arial" w:eastAsia="Arial" w:hAnsi="Arial"/>
                <w:sz w:val="13"/>
                <w:szCs w:val="13"/>
                <w:color w:val="auto"/>
              </w:rPr>
              <w:t>HSSE</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2022</w:t>
            </w: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40" w:type="dxa"/>
            <w:vAlign w:val="bottom"/>
            <w:tcBorders>
              <w:bottom w:val="single" w:sz="8" w:color="B2B2B2"/>
            </w:tcBorders>
          </w:tcPr>
          <w:p>
            <w:pPr>
              <w:spacing w:after="0"/>
              <w:rPr>
                <w:sz w:val="2"/>
                <w:szCs w:val="2"/>
                <w:color w:val="auto"/>
              </w:rPr>
            </w:pPr>
          </w:p>
        </w:tc>
        <w:tc>
          <w:tcPr>
            <w:tcW w:w="1940" w:type="dxa"/>
            <w:vAlign w:val="bottom"/>
            <w:tcBorders>
              <w:bottom w:val="single" w:sz="8" w:color="B2B2B2"/>
            </w:tcBorders>
          </w:tcPr>
          <w:p>
            <w:pPr>
              <w:spacing w:after="0"/>
              <w:rPr>
                <w:sz w:val="2"/>
                <w:szCs w:val="2"/>
                <w:color w:val="auto"/>
              </w:rPr>
            </w:pPr>
          </w:p>
        </w:tc>
        <w:tc>
          <w:tcPr>
            <w:tcW w:w="500" w:type="dxa"/>
            <w:vAlign w:val="bottom"/>
            <w:tcBorders>
              <w:bottom w:val="single" w:sz="8" w:color="B2B2B2"/>
            </w:tcBorders>
          </w:tcPr>
          <w:p>
            <w:pPr>
              <w:spacing w:after="0"/>
              <w:rPr>
                <w:sz w:val="2"/>
                <w:szCs w:val="2"/>
                <w:color w:val="auto"/>
              </w:rPr>
            </w:pPr>
          </w:p>
        </w:tc>
        <w:tc>
          <w:tcPr>
            <w:tcW w:w="1240" w:type="dxa"/>
            <w:vAlign w:val="bottom"/>
            <w:tcBorders>
              <w:bottom w:val="single" w:sz="8" w:color="B2B2B2"/>
            </w:tcBorders>
          </w:tcPr>
          <w:p>
            <w:pPr>
              <w:spacing w:after="0"/>
              <w:rPr>
                <w:sz w:val="2"/>
                <w:szCs w:val="2"/>
                <w:color w:val="auto"/>
              </w:rPr>
            </w:pPr>
          </w:p>
        </w:tc>
        <w:tc>
          <w:tcPr>
            <w:tcW w:w="122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132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Michael R. Culbert</w:t>
            </w:r>
          </w:p>
        </w:tc>
        <w:tc>
          <w:tcPr>
            <w:tcW w:w="1940" w:type="dxa"/>
            <w:vAlign w:val="bottom"/>
          </w:tcPr>
          <w:p>
            <w:pPr>
              <w:ind w:left="180"/>
              <w:spacing w:after="0"/>
              <w:rPr>
                <w:sz w:val="20"/>
                <w:szCs w:val="20"/>
                <w:color w:val="auto"/>
              </w:rPr>
            </w:pPr>
            <w:r>
              <w:rPr>
                <w:rFonts w:ascii="Arial" w:cs="Arial" w:eastAsia="Arial" w:hAnsi="Arial"/>
                <w:sz w:val="13"/>
                <w:szCs w:val="13"/>
                <w:color w:val="auto"/>
              </w:rPr>
              <w:t>Corporate Director</w:t>
            </w:r>
          </w:p>
        </w:tc>
        <w:tc>
          <w:tcPr>
            <w:tcW w:w="500" w:type="dxa"/>
            <w:vAlign w:val="bottom"/>
          </w:tcPr>
          <w:p>
            <w:pPr>
              <w:ind w:left="40"/>
              <w:spacing w:after="0"/>
              <w:rPr>
                <w:sz w:val="20"/>
                <w:szCs w:val="20"/>
                <w:color w:val="auto"/>
              </w:rPr>
            </w:pPr>
            <w:r>
              <w:rPr>
                <w:rFonts w:ascii="Arial" w:cs="Arial" w:eastAsia="Arial" w:hAnsi="Arial"/>
                <w:sz w:val="13"/>
                <w:szCs w:val="13"/>
                <w:color w:val="auto"/>
              </w:rPr>
              <w:t>68</w:t>
            </w:r>
          </w:p>
        </w:tc>
        <w:tc>
          <w:tcPr>
            <w:tcW w:w="1240" w:type="dxa"/>
            <w:vAlign w:val="bottom"/>
          </w:tcPr>
          <w:p>
            <w:pPr>
              <w:ind w:left="200"/>
              <w:spacing w:after="0"/>
              <w:rPr>
                <w:sz w:val="20"/>
                <w:szCs w:val="20"/>
                <w:color w:val="auto"/>
              </w:rPr>
            </w:pPr>
            <w:r>
              <w:rPr>
                <w:rFonts w:ascii="Arial" w:cs="Arial" w:eastAsia="Arial" w:hAnsi="Arial"/>
                <w:sz w:val="13"/>
                <w:szCs w:val="13"/>
                <w:color w:val="auto"/>
              </w:rPr>
              <w:t>Yes</w:t>
            </w:r>
          </w:p>
        </w:tc>
        <w:tc>
          <w:tcPr>
            <w:tcW w:w="1220" w:type="dxa"/>
            <w:vAlign w:val="bottom"/>
          </w:tcPr>
          <w:p>
            <w:pPr>
              <w:ind w:left="220"/>
              <w:spacing w:after="0"/>
              <w:rPr>
                <w:sz w:val="20"/>
                <w:szCs w:val="20"/>
                <w:color w:val="auto"/>
              </w:rPr>
            </w:pPr>
            <w:r>
              <w:rPr>
                <w:rFonts w:ascii="Arial" w:cs="Arial" w:eastAsia="Arial" w:hAnsi="Arial"/>
                <w:sz w:val="13"/>
                <w:szCs w:val="13"/>
                <w:color w:val="auto"/>
              </w:rPr>
              <w:t>99.31</w:t>
            </w:r>
          </w:p>
        </w:tc>
        <w:tc>
          <w:tcPr>
            <w:tcW w:w="1520" w:type="dxa"/>
            <w:vAlign w:val="bottom"/>
          </w:tcPr>
          <w:p>
            <w:pPr>
              <w:ind w:left="20"/>
              <w:spacing w:after="0"/>
              <w:rPr>
                <w:sz w:val="20"/>
                <w:szCs w:val="20"/>
                <w:color w:val="auto"/>
              </w:rPr>
            </w:pPr>
            <w:r>
              <w:rPr>
                <w:rFonts w:ascii="Arial" w:cs="Arial" w:eastAsia="Arial" w:hAnsi="Arial"/>
                <w:sz w:val="13"/>
                <w:szCs w:val="13"/>
                <w:color w:val="auto"/>
              </w:rPr>
              <w:t>Audit</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100%</w:t>
            </w:r>
          </w:p>
        </w:tc>
        <w:tc>
          <w:tcPr>
            <w:tcW w:w="1020" w:type="dxa"/>
            <w:vAlign w:val="bottom"/>
          </w:tcPr>
          <w:p>
            <w:pPr>
              <w:ind w:lef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Calgary, AB</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20"/>
              <w:spacing w:after="0" w:line="148" w:lineRule="exact"/>
              <w:rPr>
                <w:sz w:val="20"/>
                <w:szCs w:val="20"/>
                <w:color w:val="auto"/>
              </w:rPr>
            </w:pPr>
            <w:r>
              <w:rPr>
                <w:rFonts w:ascii="Arial" w:cs="Arial" w:eastAsia="Arial" w:hAnsi="Arial"/>
                <w:sz w:val="13"/>
                <w:szCs w:val="13"/>
                <w:color w:val="auto"/>
              </w:rPr>
              <w:t>HSSE</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2020</w:t>
            </w: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40" w:type="dxa"/>
            <w:vAlign w:val="bottom"/>
            <w:tcBorders>
              <w:bottom w:val="single" w:sz="8" w:color="B2B2B2"/>
            </w:tcBorders>
          </w:tcPr>
          <w:p>
            <w:pPr>
              <w:spacing w:after="0"/>
              <w:rPr>
                <w:sz w:val="2"/>
                <w:szCs w:val="2"/>
                <w:color w:val="auto"/>
              </w:rPr>
            </w:pPr>
          </w:p>
        </w:tc>
        <w:tc>
          <w:tcPr>
            <w:tcW w:w="1940" w:type="dxa"/>
            <w:vAlign w:val="bottom"/>
            <w:tcBorders>
              <w:bottom w:val="single" w:sz="8" w:color="B2B2B2"/>
            </w:tcBorders>
          </w:tcPr>
          <w:p>
            <w:pPr>
              <w:spacing w:after="0"/>
              <w:rPr>
                <w:sz w:val="2"/>
                <w:szCs w:val="2"/>
                <w:color w:val="auto"/>
              </w:rPr>
            </w:pPr>
          </w:p>
        </w:tc>
        <w:tc>
          <w:tcPr>
            <w:tcW w:w="500" w:type="dxa"/>
            <w:vAlign w:val="bottom"/>
            <w:tcBorders>
              <w:bottom w:val="single" w:sz="8" w:color="B2B2B2"/>
            </w:tcBorders>
          </w:tcPr>
          <w:p>
            <w:pPr>
              <w:spacing w:after="0"/>
              <w:rPr>
                <w:sz w:val="2"/>
                <w:szCs w:val="2"/>
                <w:color w:val="auto"/>
              </w:rPr>
            </w:pPr>
          </w:p>
        </w:tc>
        <w:tc>
          <w:tcPr>
            <w:tcW w:w="1240" w:type="dxa"/>
            <w:vAlign w:val="bottom"/>
            <w:tcBorders>
              <w:bottom w:val="single" w:sz="8" w:color="B2B2B2"/>
            </w:tcBorders>
          </w:tcPr>
          <w:p>
            <w:pPr>
              <w:spacing w:after="0"/>
              <w:rPr>
                <w:sz w:val="2"/>
                <w:szCs w:val="2"/>
                <w:color w:val="auto"/>
              </w:rPr>
            </w:pPr>
          </w:p>
        </w:tc>
        <w:tc>
          <w:tcPr>
            <w:tcW w:w="122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132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William D. Johnson</w:t>
            </w:r>
          </w:p>
        </w:tc>
        <w:tc>
          <w:tcPr>
            <w:tcW w:w="1940" w:type="dxa"/>
            <w:vAlign w:val="bottom"/>
          </w:tcPr>
          <w:p>
            <w:pPr>
              <w:ind w:left="180"/>
              <w:spacing w:after="0"/>
              <w:rPr>
                <w:sz w:val="20"/>
                <w:szCs w:val="20"/>
                <w:color w:val="auto"/>
              </w:rPr>
            </w:pPr>
            <w:r>
              <w:rPr>
                <w:rFonts w:ascii="Arial" w:cs="Arial" w:eastAsia="Arial" w:hAnsi="Arial"/>
                <w:sz w:val="13"/>
                <w:szCs w:val="13"/>
                <w:color w:val="auto"/>
              </w:rPr>
              <w:t>Corporate Director</w:t>
            </w:r>
          </w:p>
        </w:tc>
        <w:tc>
          <w:tcPr>
            <w:tcW w:w="500" w:type="dxa"/>
            <w:vAlign w:val="bottom"/>
          </w:tcPr>
          <w:p>
            <w:pPr>
              <w:ind w:left="40"/>
              <w:spacing w:after="0"/>
              <w:rPr>
                <w:sz w:val="20"/>
                <w:szCs w:val="20"/>
                <w:color w:val="auto"/>
              </w:rPr>
            </w:pPr>
            <w:r>
              <w:rPr>
                <w:rFonts w:ascii="Arial" w:cs="Arial" w:eastAsia="Arial" w:hAnsi="Arial"/>
                <w:sz w:val="13"/>
                <w:szCs w:val="13"/>
                <w:color w:val="auto"/>
              </w:rPr>
              <w:t>72</w:t>
            </w:r>
          </w:p>
        </w:tc>
        <w:tc>
          <w:tcPr>
            <w:tcW w:w="1240" w:type="dxa"/>
            <w:vAlign w:val="bottom"/>
          </w:tcPr>
          <w:p>
            <w:pPr>
              <w:ind w:left="200"/>
              <w:spacing w:after="0"/>
              <w:rPr>
                <w:sz w:val="20"/>
                <w:szCs w:val="20"/>
                <w:color w:val="auto"/>
              </w:rPr>
            </w:pPr>
            <w:r>
              <w:rPr>
                <w:rFonts w:ascii="Arial" w:cs="Arial" w:eastAsia="Arial" w:hAnsi="Arial"/>
                <w:sz w:val="13"/>
                <w:szCs w:val="13"/>
                <w:color w:val="auto"/>
              </w:rPr>
              <w:t>Yes</w:t>
            </w:r>
          </w:p>
        </w:tc>
        <w:tc>
          <w:tcPr>
            <w:tcW w:w="1220" w:type="dxa"/>
            <w:vAlign w:val="bottom"/>
          </w:tcPr>
          <w:p>
            <w:pPr>
              <w:ind w:left="220"/>
              <w:spacing w:after="0"/>
              <w:rPr>
                <w:sz w:val="20"/>
                <w:szCs w:val="20"/>
                <w:color w:val="auto"/>
              </w:rPr>
            </w:pPr>
            <w:r>
              <w:rPr>
                <w:rFonts w:ascii="Arial" w:cs="Arial" w:eastAsia="Arial" w:hAnsi="Arial"/>
                <w:sz w:val="13"/>
                <w:szCs w:val="13"/>
                <w:color w:val="auto"/>
              </w:rPr>
              <w:t>98.10</w:t>
            </w:r>
          </w:p>
        </w:tc>
        <w:tc>
          <w:tcPr>
            <w:tcW w:w="1520" w:type="dxa"/>
            <w:vAlign w:val="bottom"/>
          </w:tcPr>
          <w:p>
            <w:pPr>
              <w:ind w:left="20"/>
              <w:spacing w:after="0"/>
              <w:rPr>
                <w:sz w:val="20"/>
                <w:szCs w:val="20"/>
                <w:color w:val="auto"/>
              </w:rPr>
            </w:pPr>
            <w:r>
              <w:rPr>
                <w:rFonts w:ascii="Arial" w:cs="Arial" w:eastAsia="Arial" w:hAnsi="Arial"/>
                <w:sz w:val="13"/>
                <w:szCs w:val="13"/>
                <w:color w:val="auto"/>
              </w:rPr>
              <w:t>Audit</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100%</w:t>
            </w:r>
          </w:p>
        </w:tc>
        <w:tc>
          <w:tcPr>
            <w:tcW w:w="1020" w:type="dxa"/>
            <w:vAlign w:val="bottom"/>
          </w:tcPr>
          <w:p>
            <w:pPr>
              <w:ind w:left="1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Knoxville, TN</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20"/>
              <w:spacing w:after="0" w:line="148" w:lineRule="exact"/>
              <w:rPr>
                <w:sz w:val="20"/>
                <w:szCs w:val="20"/>
                <w:color w:val="auto"/>
              </w:rPr>
            </w:pPr>
            <w:r>
              <w:rPr>
                <w:rFonts w:ascii="Arial" w:cs="Arial" w:eastAsia="Arial" w:hAnsi="Arial"/>
                <w:sz w:val="13"/>
                <w:szCs w:val="13"/>
                <w:color w:val="auto"/>
              </w:rPr>
              <w:t>Governance</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2021</w:t>
            </w:r>
          </w:p>
        </w:tc>
        <w:tc>
          <w:tcPr>
            <w:tcW w:w="1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20" w:type="dxa"/>
            <w:vAlign w:val="bottom"/>
          </w:tcPr>
          <w:p>
            <w:pPr>
              <w:ind w:left="20"/>
              <w:spacing w:after="0"/>
              <w:rPr>
                <w:sz w:val="20"/>
                <w:szCs w:val="20"/>
                <w:color w:val="auto"/>
              </w:rPr>
            </w:pPr>
            <w:r>
              <w:rPr>
                <w:rFonts w:ascii="Arial" w:cs="Arial" w:eastAsia="Arial" w:hAnsi="Arial"/>
                <w:sz w:val="13"/>
                <w:szCs w:val="13"/>
                <w:color w:val="auto"/>
              </w:rPr>
              <w:t>Human Resources</w:t>
            </w: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640" w:type="dxa"/>
            <w:vAlign w:val="bottom"/>
            <w:tcBorders>
              <w:bottom w:val="single" w:sz="8" w:color="B2B2B2"/>
            </w:tcBorders>
          </w:tcPr>
          <w:p>
            <w:pPr>
              <w:spacing w:after="0"/>
              <w:rPr>
                <w:sz w:val="18"/>
                <w:szCs w:val="18"/>
                <w:color w:val="auto"/>
              </w:rPr>
            </w:pPr>
          </w:p>
        </w:tc>
        <w:tc>
          <w:tcPr>
            <w:tcW w:w="1940" w:type="dxa"/>
            <w:vAlign w:val="bottom"/>
            <w:tcBorders>
              <w:bottom w:val="single" w:sz="8" w:color="B2B2B2"/>
            </w:tcBorders>
          </w:tcPr>
          <w:p>
            <w:pPr>
              <w:spacing w:after="0"/>
              <w:rPr>
                <w:sz w:val="18"/>
                <w:szCs w:val="18"/>
                <w:color w:val="auto"/>
              </w:rPr>
            </w:pPr>
          </w:p>
        </w:tc>
        <w:tc>
          <w:tcPr>
            <w:tcW w:w="500" w:type="dxa"/>
            <w:vAlign w:val="bottom"/>
            <w:tcBorders>
              <w:bottom w:val="single" w:sz="8" w:color="B2B2B2"/>
            </w:tcBorders>
          </w:tcPr>
          <w:p>
            <w:pPr>
              <w:spacing w:after="0"/>
              <w:rPr>
                <w:sz w:val="18"/>
                <w:szCs w:val="18"/>
                <w:color w:val="auto"/>
              </w:rPr>
            </w:pPr>
          </w:p>
        </w:tc>
        <w:tc>
          <w:tcPr>
            <w:tcW w:w="1240" w:type="dxa"/>
            <w:vAlign w:val="bottom"/>
            <w:tcBorders>
              <w:bottom w:val="single" w:sz="8" w:color="B2B2B2"/>
            </w:tcBorders>
          </w:tcPr>
          <w:p>
            <w:pPr>
              <w:spacing w:after="0"/>
              <w:rPr>
                <w:sz w:val="18"/>
                <w:szCs w:val="18"/>
                <w:color w:val="auto"/>
              </w:rPr>
            </w:pPr>
          </w:p>
        </w:tc>
        <w:tc>
          <w:tcPr>
            <w:tcW w:w="1220" w:type="dxa"/>
            <w:vAlign w:val="bottom"/>
            <w:tcBorders>
              <w:bottom w:val="single" w:sz="8" w:color="B2B2B2"/>
            </w:tcBorders>
          </w:tcPr>
          <w:p>
            <w:pPr>
              <w:spacing w:after="0"/>
              <w:rPr>
                <w:sz w:val="18"/>
                <w:szCs w:val="18"/>
                <w:color w:val="auto"/>
              </w:rPr>
            </w:pPr>
          </w:p>
        </w:tc>
        <w:tc>
          <w:tcPr>
            <w:tcW w:w="1520" w:type="dxa"/>
            <w:vAlign w:val="bottom"/>
            <w:tcBorders>
              <w:bottom w:val="single" w:sz="8" w:color="B2B2B2"/>
            </w:tcBorders>
          </w:tcPr>
          <w:p>
            <w:pPr>
              <w:ind w:left="20"/>
              <w:spacing w:after="0"/>
              <w:rPr>
                <w:sz w:val="20"/>
                <w:szCs w:val="20"/>
                <w:color w:val="auto"/>
              </w:rPr>
            </w:pPr>
            <w:r>
              <w:rPr>
                <w:rFonts w:ascii="Arial" w:cs="Arial" w:eastAsia="Arial" w:hAnsi="Arial"/>
                <w:sz w:val="13"/>
                <w:szCs w:val="13"/>
                <w:color w:val="auto"/>
              </w:rPr>
              <w:t>(Chair)</w:t>
            </w:r>
            <w:r>
              <w:rPr>
                <w:rFonts w:ascii="Arial" w:cs="Arial" w:eastAsia="Arial" w:hAnsi="Arial"/>
                <w:sz w:val="17"/>
                <w:szCs w:val="17"/>
                <w:color w:val="auto"/>
                <w:vertAlign w:val="superscript"/>
              </w:rPr>
              <w:t>2</w:t>
            </w:r>
          </w:p>
        </w:tc>
        <w:tc>
          <w:tcPr>
            <w:tcW w:w="840" w:type="dxa"/>
            <w:vAlign w:val="bottom"/>
            <w:tcBorders>
              <w:bottom w:val="single" w:sz="8" w:color="B2B2B2"/>
            </w:tcBorders>
          </w:tcPr>
          <w:p>
            <w:pPr>
              <w:spacing w:after="0"/>
              <w:rPr>
                <w:sz w:val="18"/>
                <w:szCs w:val="18"/>
                <w:color w:val="auto"/>
              </w:rPr>
            </w:pPr>
          </w:p>
        </w:tc>
        <w:tc>
          <w:tcPr>
            <w:tcW w:w="1320" w:type="dxa"/>
            <w:vAlign w:val="bottom"/>
            <w:tcBorders>
              <w:bottom w:val="single" w:sz="8" w:color="B2B2B2"/>
            </w:tcBorders>
          </w:tcPr>
          <w:p>
            <w:pPr>
              <w:spacing w:after="0"/>
              <w:rPr>
                <w:sz w:val="18"/>
                <w:szCs w:val="18"/>
                <w:color w:val="auto"/>
              </w:rPr>
            </w:pPr>
          </w:p>
        </w:tc>
        <w:tc>
          <w:tcPr>
            <w:tcW w:w="1020" w:type="dxa"/>
            <w:vAlign w:val="bottom"/>
            <w:tcBorders>
              <w:bottom w:val="single" w:sz="8" w:color="B2B2B2"/>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Susan C. Jones</w:t>
            </w:r>
          </w:p>
        </w:tc>
        <w:tc>
          <w:tcPr>
            <w:tcW w:w="1940" w:type="dxa"/>
            <w:vAlign w:val="bottom"/>
          </w:tcPr>
          <w:p>
            <w:pPr>
              <w:ind w:left="180"/>
              <w:spacing w:after="0"/>
              <w:rPr>
                <w:sz w:val="20"/>
                <w:szCs w:val="20"/>
                <w:color w:val="auto"/>
              </w:rPr>
            </w:pPr>
            <w:r>
              <w:rPr>
                <w:rFonts w:ascii="Arial" w:cs="Arial" w:eastAsia="Arial" w:hAnsi="Arial"/>
                <w:sz w:val="13"/>
                <w:szCs w:val="13"/>
                <w:color w:val="auto"/>
              </w:rPr>
              <w:t>Corporate Director</w:t>
            </w:r>
          </w:p>
        </w:tc>
        <w:tc>
          <w:tcPr>
            <w:tcW w:w="500" w:type="dxa"/>
            <w:vAlign w:val="bottom"/>
          </w:tcPr>
          <w:p>
            <w:pPr>
              <w:ind w:left="40"/>
              <w:spacing w:after="0"/>
              <w:rPr>
                <w:sz w:val="20"/>
                <w:szCs w:val="20"/>
                <w:color w:val="auto"/>
              </w:rPr>
            </w:pPr>
            <w:r>
              <w:rPr>
                <w:rFonts w:ascii="Arial" w:cs="Arial" w:eastAsia="Arial" w:hAnsi="Arial"/>
                <w:sz w:val="13"/>
                <w:szCs w:val="13"/>
                <w:color w:val="auto"/>
              </w:rPr>
              <w:t>56</w:t>
            </w:r>
          </w:p>
        </w:tc>
        <w:tc>
          <w:tcPr>
            <w:tcW w:w="1240" w:type="dxa"/>
            <w:vAlign w:val="bottom"/>
          </w:tcPr>
          <w:p>
            <w:pPr>
              <w:ind w:left="200"/>
              <w:spacing w:after="0"/>
              <w:rPr>
                <w:sz w:val="20"/>
                <w:szCs w:val="20"/>
                <w:color w:val="auto"/>
              </w:rPr>
            </w:pPr>
            <w:r>
              <w:rPr>
                <w:rFonts w:ascii="Arial" w:cs="Arial" w:eastAsia="Arial" w:hAnsi="Arial"/>
                <w:sz w:val="13"/>
                <w:szCs w:val="13"/>
                <w:color w:val="auto"/>
              </w:rPr>
              <w:t>Yes</w:t>
            </w:r>
          </w:p>
        </w:tc>
        <w:tc>
          <w:tcPr>
            <w:tcW w:w="1220" w:type="dxa"/>
            <w:vAlign w:val="bottom"/>
          </w:tcPr>
          <w:p>
            <w:pPr>
              <w:ind w:left="220"/>
              <w:spacing w:after="0"/>
              <w:rPr>
                <w:sz w:val="20"/>
                <w:szCs w:val="20"/>
                <w:color w:val="auto"/>
              </w:rPr>
            </w:pPr>
            <w:r>
              <w:rPr>
                <w:rFonts w:ascii="Arial" w:cs="Arial" w:eastAsia="Arial" w:hAnsi="Arial"/>
                <w:sz w:val="13"/>
                <w:szCs w:val="13"/>
                <w:color w:val="auto"/>
              </w:rPr>
              <w:t>99.30</w:t>
            </w:r>
          </w:p>
        </w:tc>
        <w:tc>
          <w:tcPr>
            <w:tcW w:w="1520" w:type="dxa"/>
            <w:vAlign w:val="bottom"/>
          </w:tcPr>
          <w:p>
            <w:pPr>
              <w:ind w:left="20"/>
              <w:spacing w:after="0"/>
              <w:rPr>
                <w:sz w:val="20"/>
                <w:szCs w:val="20"/>
                <w:color w:val="auto"/>
              </w:rPr>
            </w:pPr>
            <w:r>
              <w:rPr>
                <w:rFonts w:ascii="Arial" w:cs="Arial" w:eastAsia="Arial" w:hAnsi="Arial"/>
                <w:sz w:val="13"/>
                <w:szCs w:val="13"/>
                <w:color w:val="auto"/>
              </w:rPr>
              <w:t>Audit</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92%</w:t>
            </w:r>
          </w:p>
        </w:tc>
        <w:tc>
          <w:tcPr>
            <w:tcW w:w="1020" w:type="dxa"/>
            <w:vAlign w:val="bottom"/>
          </w:tcPr>
          <w:p>
            <w:pPr>
              <w:ind w:lef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Calgary, AB</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20"/>
              <w:spacing w:after="0" w:line="148" w:lineRule="exact"/>
              <w:rPr>
                <w:sz w:val="20"/>
                <w:szCs w:val="20"/>
                <w:color w:val="auto"/>
              </w:rPr>
            </w:pPr>
            <w:r>
              <w:rPr>
                <w:rFonts w:ascii="Arial" w:cs="Arial" w:eastAsia="Arial" w:hAnsi="Arial"/>
                <w:sz w:val="13"/>
                <w:szCs w:val="13"/>
                <w:color w:val="auto"/>
              </w:rPr>
              <w:t>Human Resources</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2020</w:t>
            </w: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40" w:type="dxa"/>
            <w:vAlign w:val="bottom"/>
            <w:tcBorders>
              <w:bottom w:val="single" w:sz="8" w:color="B2B2B2"/>
            </w:tcBorders>
          </w:tcPr>
          <w:p>
            <w:pPr>
              <w:spacing w:after="0"/>
              <w:rPr>
                <w:sz w:val="2"/>
                <w:szCs w:val="2"/>
                <w:color w:val="auto"/>
              </w:rPr>
            </w:pPr>
          </w:p>
        </w:tc>
        <w:tc>
          <w:tcPr>
            <w:tcW w:w="1940" w:type="dxa"/>
            <w:vAlign w:val="bottom"/>
            <w:tcBorders>
              <w:bottom w:val="single" w:sz="8" w:color="B2B2B2"/>
            </w:tcBorders>
          </w:tcPr>
          <w:p>
            <w:pPr>
              <w:spacing w:after="0"/>
              <w:rPr>
                <w:sz w:val="2"/>
                <w:szCs w:val="2"/>
                <w:color w:val="auto"/>
              </w:rPr>
            </w:pPr>
          </w:p>
        </w:tc>
        <w:tc>
          <w:tcPr>
            <w:tcW w:w="500" w:type="dxa"/>
            <w:vAlign w:val="bottom"/>
            <w:tcBorders>
              <w:bottom w:val="single" w:sz="8" w:color="B2B2B2"/>
            </w:tcBorders>
          </w:tcPr>
          <w:p>
            <w:pPr>
              <w:spacing w:after="0"/>
              <w:rPr>
                <w:sz w:val="2"/>
                <w:szCs w:val="2"/>
                <w:color w:val="auto"/>
              </w:rPr>
            </w:pPr>
          </w:p>
        </w:tc>
        <w:tc>
          <w:tcPr>
            <w:tcW w:w="1240" w:type="dxa"/>
            <w:vAlign w:val="bottom"/>
            <w:tcBorders>
              <w:bottom w:val="single" w:sz="8" w:color="B2B2B2"/>
            </w:tcBorders>
          </w:tcPr>
          <w:p>
            <w:pPr>
              <w:spacing w:after="0"/>
              <w:rPr>
                <w:sz w:val="2"/>
                <w:szCs w:val="2"/>
                <w:color w:val="auto"/>
              </w:rPr>
            </w:pPr>
          </w:p>
        </w:tc>
        <w:tc>
          <w:tcPr>
            <w:tcW w:w="122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132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John E. Lowe</w:t>
            </w:r>
          </w:p>
        </w:tc>
        <w:tc>
          <w:tcPr>
            <w:tcW w:w="1940" w:type="dxa"/>
            <w:vAlign w:val="bottom"/>
          </w:tcPr>
          <w:p>
            <w:pPr>
              <w:ind w:left="180"/>
              <w:spacing w:after="0"/>
              <w:rPr>
                <w:sz w:val="20"/>
                <w:szCs w:val="20"/>
                <w:color w:val="auto"/>
              </w:rPr>
            </w:pPr>
            <w:r>
              <w:rPr>
                <w:rFonts w:ascii="Arial" w:cs="Arial" w:eastAsia="Arial" w:hAnsi="Arial"/>
                <w:sz w:val="13"/>
                <w:szCs w:val="13"/>
                <w:color w:val="auto"/>
              </w:rPr>
              <w:t>Corporate Director</w:t>
            </w:r>
          </w:p>
        </w:tc>
        <w:tc>
          <w:tcPr>
            <w:tcW w:w="500" w:type="dxa"/>
            <w:vAlign w:val="bottom"/>
          </w:tcPr>
          <w:p>
            <w:pPr>
              <w:ind w:left="40"/>
              <w:spacing w:after="0"/>
              <w:rPr>
                <w:sz w:val="20"/>
                <w:szCs w:val="20"/>
                <w:color w:val="auto"/>
              </w:rPr>
            </w:pPr>
            <w:r>
              <w:rPr>
                <w:rFonts w:ascii="Arial" w:cs="Arial" w:eastAsia="Arial" w:hAnsi="Arial"/>
                <w:sz w:val="13"/>
                <w:szCs w:val="13"/>
                <w:color w:val="auto"/>
              </w:rPr>
              <w:t>67</w:t>
            </w:r>
          </w:p>
        </w:tc>
        <w:tc>
          <w:tcPr>
            <w:tcW w:w="1240" w:type="dxa"/>
            <w:vAlign w:val="bottom"/>
          </w:tcPr>
          <w:p>
            <w:pPr>
              <w:ind w:left="200"/>
              <w:spacing w:after="0"/>
              <w:rPr>
                <w:sz w:val="20"/>
                <w:szCs w:val="20"/>
                <w:color w:val="auto"/>
              </w:rPr>
            </w:pPr>
            <w:r>
              <w:rPr>
                <w:rFonts w:ascii="Arial" w:cs="Arial" w:eastAsia="Arial" w:hAnsi="Arial"/>
                <w:sz w:val="13"/>
                <w:szCs w:val="13"/>
                <w:color w:val="auto"/>
              </w:rPr>
              <w:t>Yes</w:t>
            </w:r>
          </w:p>
        </w:tc>
        <w:tc>
          <w:tcPr>
            <w:tcW w:w="1220" w:type="dxa"/>
            <w:vAlign w:val="bottom"/>
          </w:tcPr>
          <w:p>
            <w:pPr>
              <w:ind w:left="220"/>
              <w:spacing w:after="0"/>
              <w:rPr>
                <w:sz w:val="20"/>
                <w:szCs w:val="20"/>
                <w:color w:val="auto"/>
              </w:rPr>
            </w:pPr>
            <w:r>
              <w:rPr>
                <w:rFonts w:ascii="Arial" w:cs="Arial" w:eastAsia="Arial" w:hAnsi="Arial"/>
                <w:sz w:val="13"/>
                <w:szCs w:val="13"/>
                <w:color w:val="auto"/>
              </w:rPr>
              <w:t>97.81</w:t>
            </w:r>
          </w:p>
        </w:tc>
        <w:tc>
          <w:tcPr>
            <w:tcW w:w="1520" w:type="dxa"/>
            <w:vAlign w:val="bottom"/>
          </w:tcPr>
          <w:p>
            <w:pPr>
              <w:ind w:left="20"/>
              <w:spacing w:after="0"/>
              <w:rPr>
                <w:sz w:val="20"/>
                <w:szCs w:val="20"/>
                <w:color w:val="auto"/>
              </w:rPr>
            </w:pPr>
            <w:r>
              <w:rPr>
                <w:rFonts w:ascii="Arial" w:cs="Arial" w:eastAsia="Arial" w:hAnsi="Arial"/>
                <w:sz w:val="13"/>
                <w:szCs w:val="13"/>
                <w:color w:val="auto"/>
              </w:rPr>
              <w:t>Board Chair</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100%</w:t>
            </w:r>
          </w:p>
        </w:tc>
        <w:tc>
          <w:tcPr>
            <w:tcW w:w="1020" w:type="dxa"/>
            <w:vAlign w:val="bottom"/>
          </w:tcPr>
          <w:p>
            <w:pPr>
              <w:ind w:left="12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Houston, TX</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20"/>
              <w:spacing w:after="0" w:line="148" w:lineRule="exact"/>
              <w:rPr>
                <w:sz w:val="20"/>
                <w:szCs w:val="20"/>
                <w:color w:val="auto"/>
              </w:rPr>
            </w:pPr>
            <w:r>
              <w:rPr>
                <w:rFonts w:ascii="Arial" w:cs="Arial" w:eastAsia="Arial" w:hAnsi="Arial"/>
                <w:sz w:val="13"/>
                <w:szCs w:val="13"/>
                <w:color w:val="auto"/>
              </w:rPr>
              <w:t>Governance</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2015</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ind w:left="20"/>
              <w:spacing w:after="0"/>
              <w:rPr>
                <w:sz w:val="20"/>
                <w:szCs w:val="20"/>
                <w:color w:val="auto"/>
              </w:rPr>
            </w:pPr>
            <w:r>
              <w:rPr>
                <w:rFonts w:ascii="Arial" w:cs="Arial" w:eastAsia="Arial" w:hAnsi="Arial"/>
                <w:sz w:val="13"/>
                <w:szCs w:val="13"/>
                <w:color w:val="auto"/>
              </w:rPr>
              <w:t>Human Resources</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40" w:type="dxa"/>
            <w:vAlign w:val="bottom"/>
            <w:tcBorders>
              <w:bottom w:val="single" w:sz="8" w:color="B2B2B2"/>
            </w:tcBorders>
          </w:tcPr>
          <w:p>
            <w:pPr>
              <w:spacing w:after="0"/>
              <w:rPr>
                <w:sz w:val="2"/>
                <w:szCs w:val="2"/>
                <w:color w:val="auto"/>
              </w:rPr>
            </w:pPr>
          </w:p>
        </w:tc>
        <w:tc>
          <w:tcPr>
            <w:tcW w:w="1940" w:type="dxa"/>
            <w:vAlign w:val="bottom"/>
            <w:tcBorders>
              <w:bottom w:val="single" w:sz="8" w:color="B2B2B2"/>
            </w:tcBorders>
          </w:tcPr>
          <w:p>
            <w:pPr>
              <w:spacing w:after="0"/>
              <w:rPr>
                <w:sz w:val="2"/>
                <w:szCs w:val="2"/>
                <w:color w:val="auto"/>
              </w:rPr>
            </w:pPr>
          </w:p>
        </w:tc>
        <w:tc>
          <w:tcPr>
            <w:tcW w:w="500" w:type="dxa"/>
            <w:vAlign w:val="bottom"/>
            <w:tcBorders>
              <w:bottom w:val="single" w:sz="8" w:color="B2B2B2"/>
            </w:tcBorders>
          </w:tcPr>
          <w:p>
            <w:pPr>
              <w:spacing w:after="0"/>
              <w:rPr>
                <w:sz w:val="2"/>
                <w:szCs w:val="2"/>
                <w:color w:val="auto"/>
              </w:rPr>
            </w:pPr>
          </w:p>
        </w:tc>
        <w:tc>
          <w:tcPr>
            <w:tcW w:w="1240" w:type="dxa"/>
            <w:vAlign w:val="bottom"/>
            <w:tcBorders>
              <w:bottom w:val="single" w:sz="8" w:color="B2B2B2"/>
            </w:tcBorders>
          </w:tcPr>
          <w:p>
            <w:pPr>
              <w:spacing w:after="0"/>
              <w:rPr>
                <w:sz w:val="2"/>
                <w:szCs w:val="2"/>
                <w:color w:val="auto"/>
              </w:rPr>
            </w:pPr>
          </w:p>
        </w:tc>
        <w:tc>
          <w:tcPr>
            <w:tcW w:w="122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132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1640" w:type="dxa"/>
            <w:vAlign w:val="bottom"/>
          </w:tcPr>
          <w:p>
            <w:pPr>
              <w:ind w:left="20"/>
              <w:spacing w:after="0" w:line="141" w:lineRule="exact"/>
              <w:rPr>
                <w:sz w:val="20"/>
                <w:szCs w:val="20"/>
                <w:color w:val="auto"/>
              </w:rPr>
            </w:pPr>
            <w:r>
              <w:rPr>
                <w:rFonts w:ascii="Arial" w:cs="Arial" w:eastAsia="Arial" w:hAnsi="Arial"/>
                <w:sz w:val="13"/>
                <w:szCs w:val="13"/>
                <w:color w:val="auto"/>
              </w:rPr>
              <w:t>Dawn Madahbee Leach</w:t>
            </w:r>
          </w:p>
        </w:tc>
        <w:tc>
          <w:tcPr>
            <w:tcW w:w="1940" w:type="dxa"/>
            <w:vAlign w:val="bottom"/>
          </w:tcPr>
          <w:p>
            <w:pPr>
              <w:ind w:left="180"/>
              <w:spacing w:after="0" w:line="141" w:lineRule="exact"/>
              <w:rPr>
                <w:sz w:val="20"/>
                <w:szCs w:val="20"/>
                <w:color w:val="auto"/>
              </w:rPr>
            </w:pPr>
            <w:r>
              <w:rPr>
                <w:rFonts w:ascii="Arial" w:cs="Arial" w:eastAsia="Arial" w:hAnsi="Arial"/>
                <w:sz w:val="13"/>
                <w:szCs w:val="13"/>
                <w:color w:val="auto"/>
              </w:rPr>
              <w:t>General Manager, Waubetek</w:t>
            </w:r>
          </w:p>
        </w:tc>
        <w:tc>
          <w:tcPr>
            <w:tcW w:w="500" w:type="dxa"/>
            <w:vAlign w:val="bottom"/>
          </w:tcPr>
          <w:p>
            <w:pPr>
              <w:ind w:left="40"/>
              <w:spacing w:after="0" w:line="141" w:lineRule="exact"/>
              <w:rPr>
                <w:sz w:val="20"/>
                <w:szCs w:val="20"/>
                <w:color w:val="auto"/>
              </w:rPr>
            </w:pPr>
            <w:r>
              <w:rPr>
                <w:rFonts w:ascii="Arial" w:cs="Arial" w:eastAsia="Arial" w:hAnsi="Arial"/>
                <w:sz w:val="13"/>
                <w:szCs w:val="13"/>
                <w:color w:val="auto"/>
              </w:rPr>
              <w:t>69</w:t>
            </w:r>
          </w:p>
        </w:tc>
        <w:tc>
          <w:tcPr>
            <w:tcW w:w="1240" w:type="dxa"/>
            <w:vAlign w:val="bottom"/>
          </w:tcPr>
          <w:p>
            <w:pPr>
              <w:ind w:left="200"/>
              <w:spacing w:after="0" w:line="141" w:lineRule="exact"/>
              <w:rPr>
                <w:sz w:val="20"/>
                <w:szCs w:val="20"/>
                <w:color w:val="auto"/>
              </w:rPr>
            </w:pPr>
            <w:r>
              <w:rPr>
                <w:rFonts w:ascii="Arial" w:cs="Arial" w:eastAsia="Arial" w:hAnsi="Arial"/>
                <w:sz w:val="13"/>
                <w:szCs w:val="13"/>
                <w:color w:val="auto"/>
              </w:rPr>
              <w:t>Yes</w:t>
            </w:r>
          </w:p>
        </w:tc>
        <w:tc>
          <w:tcPr>
            <w:tcW w:w="1220" w:type="dxa"/>
            <w:vAlign w:val="bottom"/>
          </w:tcPr>
          <w:p>
            <w:pPr>
              <w:ind w:left="220"/>
              <w:spacing w:after="0" w:line="141" w:lineRule="exact"/>
              <w:rPr>
                <w:sz w:val="20"/>
                <w:szCs w:val="20"/>
                <w:color w:val="auto"/>
              </w:rPr>
            </w:pPr>
            <w:r>
              <w:rPr>
                <w:rFonts w:ascii="Arial" w:cs="Arial" w:eastAsia="Arial" w:hAnsi="Arial"/>
                <w:sz w:val="13"/>
                <w:szCs w:val="13"/>
                <w:color w:val="auto"/>
              </w:rPr>
              <w:t>99.85</w:t>
            </w:r>
          </w:p>
        </w:tc>
        <w:tc>
          <w:tcPr>
            <w:tcW w:w="1520" w:type="dxa"/>
            <w:vAlign w:val="bottom"/>
          </w:tcPr>
          <w:p>
            <w:pPr>
              <w:ind w:left="20"/>
              <w:spacing w:after="0" w:line="141" w:lineRule="exact"/>
              <w:rPr>
                <w:sz w:val="20"/>
                <w:szCs w:val="20"/>
                <w:color w:val="auto"/>
              </w:rPr>
            </w:pPr>
            <w:r>
              <w:rPr>
                <w:rFonts w:ascii="Arial" w:cs="Arial" w:eastAsia="Arial" w:hAnsi="Arial"/>
                <w:sz w:val="13"/>
                <w:szCs w:val="13"/>
                <w:color w:val="auto"/>
              </w:rPr>
              <w:t>Audit</w:t>
            </w:r>
          </w:p>
        </w:tc>
        <w:tc>
          <w:tcPr>
            <w:tcW w:w="840" w:type="dxa"/>
            <w:vAlign w:val="bottom"/>
          </w:tcPr>
          <w:p>
            <w:pPr>
              <w:ind w:left="20"/>
              <w:spacing w:after="0" w:line="141" w:lineRule="exact"/>
              <w:rPr>
                <w:sz w:val="20"/>
                <w:szCs w:val="20"/>
                <w:color w:val="auto"/>
              </w:rPr>
            </w:pPr>
            <w:r>
              <w:rPr>
                <w:rFonts w:ascii="Arial" w:cs="Arial" w:eastAsia="Arial" w:hAnsi="Arial"/>
                <w:sz w:val="13"/>
                <w:szCs w:val="13"/>
                <w:color w:val="auto"/>
              </w:rPr>
              <w:t>100%</w:t>
            </w:r>
          </w:p>
        </w:tc>
        <w:tc>
          <w:tcPr>
            <w:tcW w:w="1320" w:type="dxa"/>
            <w:vAlign w:val="bottom"/>
          </w:tcPr>
          <w:p>
            <w:pPr>
              <w:ind w:left="200"/>
              <w:spacing w:after="0" w:line="141" w:lineRule="exact"/>
              <w:rPr>
                <w:sz w:val="20"/>
                <w:szCs w:val="20"/>
                <w:color w:val="auto"/>
              </w:rPr>
            </w:pPr>
            <w:r>
              <w:rPr>
                <w:rFonts w:ascii="Arial" w:cs="Arial" w:eastAsia="Arial" w:hAnsi="Arial"/>
                <w:sz w:val="13"/>
                <w:szCs w:val="13"/>
                <w:color w:val="auto"/>
              </w:rPr>
              <w:t>100%</w:t>
            </w:r>
          </w:p>
        </w:tc>
        <w:tc>
          <w:tcPr>
            <w:tcW w:w="1020" w:type="dxa"/>
            <w:vAlign w:val="bottom"/>
          </w:tcPr>
          <w:p>
            <w:pPr>
              <w:ind w:left="120"/>
              <w:spacing w:after="0" w:line="141"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rPr>
                <w:sz w:val="20"/>
                <w:szCs w:val="20"/>
                <w:color w:val="auto"/>
              </w:rPr>
            </w:pPr>
            <w:r>
              <w:rPr>
                <w:rFonts w:ascii="Arial" w:cs="Arial" w:eastAsia="Arial" w:hAnsi="Arial"/>
                <w:sz w:val="13"/>
                <w:szCs w:val="13"/>
                <w:color w:val="auto"/>
              </w:rPr>
              <w:t>Little Current, ON</w:t>
            </w:r>
          </w:p>
        </w:tc>
        <w:tc>
          <w:tcPr>
            <w:tcW w:w="1940" w:type="dxa"/>
            <w:vAlign w:val="bottom"/>
          </w:tcPr>
          <w:p>
            <w:pPr>
              <w:ind w:left="180"/>
              <w:spacing w:after="0"/>
              <w:rPr>
                <w:sz w:val="20"/>
                <w:szCs w:val="20"/>
                <w:color w:val="auto"/>
              </w:rPr>
            </w:pPr>
            <w:r>
              <w:rPr>
                <w:rFonts w:ascii="Arial" w:cs="Arial" w:eastAsia="Arial" w:hAnsi="Arial"/>
                <w:sz w:val="13"/>
                <w:szCs w:val="13"/>
                <w:color w:val="auto"/>
              </w:rPr>
              <w:t>Business Corporation</w:t>
            </w: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ind w:left="20"/>
              <w:spacing w:after="0"/>
              <w:rPr>
                <w:sz w:val="20"/>
                <w:szCs w:val="20"/>
                <w:color w:val="auto"/>
              </w:rPr>
            </w:pPr>
            <w:r>
              <w:rPr>
                <w:rFonts w:ascii="Arial" w:cs="Arial" w:eastAsia="Arial" w:hAnsi="Arial"/>
                <w:sz w:val="13"/>
                <w:szCs w:val="13"/>
                <w:color w:val="auto"/>
              </w:rPr>
              <w:t>HSSE</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2024</w:t>
            </w: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40" w:type="dxa"/>
            <w:vAlign w:val="bottom"/>
            <w:tcBorders>
              <w:bottom w:val="single" w:sz="8" w:color="B2B2B2"/>
            </w:tcBorders>
          </w:tcPr>
          <w:p>
            <w:pPr>
              <w:spacing w:after="0"/>
              <w:rPr>
                <w:sz w:val="2"/>
                <w:szCs w:val="2"/>
                <w:color w:val="auto"/>
              </w:rPr>
            </w:pPr>
          </w:p>
        </w:tc>
        <w:tc>
          <w:tcPr>
            <w:tcW w:w="1940" w:type="dxa"/>
            <w:vAlign w:val="bottom"/>
            <w:tcBorders>
              <w:bottom w:val="single" w:sz="8" w:color="B2B2B2"/>
            </w:tcBorders>
          </w:tcPr>
          <w:p>
            <w:pPr>
              <w:spacing w:after="0"/>
              <w:rPr>
                <w:sz w:val="2"/>
                <w:szCs w:val="2"/>
                <w:color w:val="auto"/>
              </w:rPr>
            </w:pPr>
          </w:p>
        </w:tc>
        <w:tc>
          <w:tcPr>
            <w:tcW w:w="500" w:type="dxa"/>
            <w:vAlign w:val="bottom"/>
            <w:tcBorders>
              <w:bottom w:val="single" w:sz="8" w:color="B2B2B2"/>
            </w:tcBorders>
          </w:tcPr>
          <w:p>
            <w:pPr>
              <w:spacing w:after="0"/>
              <w:rPr>
                <w:sz w:val="2"/>
                <w:szCs w:val="2"/>
                <w:color w:val="auto"/>
              </w:rPr>
            </w:pPr>
          </w:p>
        </w:tc>
        <w:tc>
          <w:tcPr>
            <w:tcW w:w="1240" w:type="dxa"/>
            <w:vAlign w:val="bottom"/>
            <w:tcBorders>
              <w:bottom w:val="single" w:sz="8" w:color="B2B2B2"/>
            </w:tcBorders>
          </w:tcPr>
          <w:p>
            <w:pPr>
              <w:spacing w:after="0"/>
              <w:rPr>
                <w:sz w:val="2"/>
                <w:szCs w:val="2"/>
                <w:color w:val="auto"/>
              </w:rPr>
            </w:pPr>
          </w:p>
        </w:tc>
        <w:tc>
          <w:tcPr>
            <w:tcW w:w="122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132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François L. Poirier</w:t>
            </w:r>
          </w:p>
        </w:tc>
        <w:tc>
          <w:tcPr>
            <w:tcW w:w="1940" w:type="dxa"/>
            <w:vAlign w:val="bottom"/>
          </w:tcPr>
          <w:p>
            <w:pPr>
              <w:ind w:left="180"/>
              <w:spacing w:after="0"/>
              <w:rPr>
                <w:sz w:val="20"/>
                <w:szCs w:val="20"/>
                <w:color w:val="auto"/>
              </w:rPr>
            </w:pPr>
            <w:r>
              <w:rPr>
                <w:rFonts w:ascii="Arial" w:cs="Arial" w:eastAsia="Arial" w:hAnsi="Arial"/>
                <w:sz w:val="13"/>
                <w:szCs w:val="13"/>
                <w:color w:val="auto"/>
              </w:rPr>
              <w:t>President and CEO,</w:t>
            </w:r>
          </w:p>
        </w:tc>
        <w:tc>
          <w:tcPr>
            <w:tcW w:w="500" w:type="dxa"/>
            <w:vAlign w:val="bottom"/>
          </w:tcPr>
          <w:p>
            <w:pPr>
              <w:ind w:left="40"/>
              <w:spacing w:after="0"/>
              <w:rPr>
                <w:sz w:val="20"/>
                <w:szCs w:val="20"/>
                <w:color w:val="auto"/>
              </w:rPr>
            </w:pPr>
            <w:r>
              <w:rPr>
                <w:rFonts w:ascii="Arial" w:cs="Arial" w:eastAsia="Arial" w:hAnsi="Arial"/>
                <w:sz w:val="13"/>
                <w:szCs w:val="13"/>
                <w:color w:val="auto"/>
              </w:rPr>
              <w:t>59</w:t>
            </w:r>
          </w:p>
        </w:tc>
        <w:tc>
          <w:tcPr>
            <w:tcW w:w="1240" w:type="dxa"/>
            <w:vAlign w:val="bottom"/>
          </w:tcPr>
          <w:p>
            <w:pPr>
              <w:ind w:left="200"/>
              <w:spacing w:after="0"/>
              <w:rPr>
                <w:sz w:val="20"/>
                <w:szCs w:val="20"/>
                <w:color w:val="auto"/>
              </w:rPr>
            </w:pPr>
            <w:r>
              <w:rPr>
                <w:rFonts w:ascii="Arial" w:cs="Arial" w:eastAsia="Arial" w:hAnsi="Arial"/>
                <w:sz w:val="13"/>
                <w:szCs w:val="13"/>
                <w:color w:val="auto"/>
              </w:rPr>
              <w:t>No</w:t>
            </w:r>
          </w:p>
        </w:tc>
        <w:tc>
          <w:tcPr>
            <w:tcW w:w="1220" w:type="dxa"/>
            <w:vAlign w:val="bottom"/>
          </w:tcPr>
          <w:p>
            <w:pPr>
              <w:ind w:left="220"/>
              <w:spacing w:after="0"/>
              <w:rPr>
                <w:sz w:val="20"/>
                <w:szCs w:val="20"/>
                <w:color w:val="auto"/>
              </w:rPr>
            </w:pPr>
            <w:r>
              <w:rPr>
                <w:rFonts w:ascii="Arial" w:cs="Arial" w:eastAsia="Arial" w:hAnsi="Arial"/>
                <w:sz w:val="13"/>
                <w:szCs w:val="13"/>
                <w:color w:val="auto"/>
              </w:rPr>
              <w:t>99.35</w:t>
            </w:r>
          </w:p>
        </w:tc>
        <w:tc>
          <w:tcPr>
            <w:tcW w:w="152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100%</w:t>
            </w:r>
          </w:p>
        </w:tc>
        <w:tc>
          <w:tcPr>
            <w:tcW w:w="1020" w:type="dxa"/>
            <w:vAlign w:val="bottom"/>
          </w:tcPr>
          <w:p>
            <w:pPr>
              <w:ind w:lef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Calgary, AB</w:t>
            </w:r>
          </w:p>
        </w:tc>
        <w:tc>
          <w:tcPr>
            <w:tcW w:w="1940" w:type="dxa"/>
            <w:vAlign w:val="bottom"/>
          </w:tcPr>
          <w:p>
            <w:pPr>
              <w:ind w:left="180"/>
              <w:spacing w:after="0" w:line="148" w:lineRule="exact"/>
              <w:rPr>
                <w:sz w:val="20"/>
                <w:szCs w:val="20"/>
                <w:color w:val="auto"/>
              </w:rPr>
            </w:pPr>
            <w:r>
              <w:rPr>
                <w:rFonts w:ascii="Arial" w:cs="Arial" w:eastAsia="Arial" w:hAnsi="Arial"/>
                <w:sz w:val="13"/>
                <w:szCs w:val="13"/>
                <w:color w:val="auto"/>
              </w:rPr>
              <w:t>TC Energy</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2021</w:t>
            </w: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40" w:type="dxa"/>
            <w:vAlign w:val="bottom"/>
            <w:tcBorders>
              <w:bottom w:val="single" w:sz="8" w:color="B2B2B2"/>
            </w:tcBorders>
          </w:tcPr>
          <w:p>
            <w:pPr>
              <w:spacing w:after="0"/>
              <w:rPr>
                <w:sz w:val="2"/>
                <w:szCs w:val="2"/>
                <w:color w:val="auto"/>
              </w:rPr>
            </w:pPr>
          </w:p>
        </w:tc>
        <w:tc>
          <w:tcPr>
            <w:tcW w:w="1940" w:type="dxa"/>
            <w:vAlign w:val="bottom"/>
            <w:tcBorders>
              <w:bottom w:val="single" w:sz="8" w:color="B2B2B2"/>
            </w:tcBorders>
          </w:tcPr>
          <w:p>
            <w:pPr>
              <w:spacing w:after="0"/>
              <w:rPr>
                <w:sz w:val="2"/>
                <w:szCs w:val="2"/>
                <w:color w:val="auto"/>
              </w:rPr>
            </w:pPr>
          </w:p>
        </w:tc>
        <w:tc>
          <w:tcPr>
            <w:tcW w:w="500" w:type="dxa"/>
            <w:vAlign w:val="bottom"/>
            <w:tcBorders>
              <w:bottom w:val="single" w:sz="8" w:color="B2B2B2"/>
            </w:tcBorders>
          </w:tcPr>
          <w:p>
            <w:pPr>
              <w:spacing w:after="0"/>
              <w:rPr>
                <w:sz w:val="2"/>
                <w:szCs w:val="2"/>
                <w:color w:val="auto"/>
              </w:rPr>
            </w:pPr>
          </w:p>
        </w:tc>
        <w:tc>
          <w:tcPr>
            <w:tcW w:w="1240" w:type="dxa"/>
            <w:vAlign w:val="bottom"/>
            <w:tcBorders>
              <w:bottom w:val="single" w:sz="8" w:color="B2B2B2"/>
            </w:tcBorders>
          </w:tcPr>
          <w:p>
            <w:pPr>
              <w:spacing w:after="0"/>
              <w:rPr>
                <w:sz w:val="2"/>
                <w:szCs w:val="2"/>
                <w:color w:val="auto"/>
              </w:rPr>
            </w:pPr>
          </w:p>
        </w:tc>
        <w:tc>
          <w:tcPr>
            <w:tcW w:w="122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132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Una Power</w:t>
            </w:r>
          </w:p>
        </w:tc>
        <w:tc>
          <w:tcPr>
            <w:tcW w:w="1940" w:type="dxa"/>
            <w:vAlign w:val="bottom"/>
          </w:tcPr>
          <w:p>
            <w:pPr>
              <w:ind w:left="180"/>
              <w:spacing w:after="0"/>
              <w:rPr>
                <w:sz w:val="20"/>
                <w:szCs w:val="20"/>
                <w:color w:val="auto"/>
              </w:rPr>
            </w:pPr>
            <w:r>
              <w:rPr>
                <w:rFonts w:ascii="Arial" w:cs="Arial" w:eastAsia="Arial" w:hAnsi="Arial"/>
                <w:sz w:val="13"/>
                <w:szCs w:val="13"/>
                <w:color w:val="auto"/>
              </w:rPr>
              <w:t>Corporate Director</w:t>
            </w:r>
          </w:p>
        </w:tc>
        <w:tc>
          <w:tcPr>
            <w:tcW w:w="500" w:type="dxa"/>
            <w:vAlign w:val="bottom"/>
          </w:tcPr>
          <w:p>
            <w:pPr>
              <w:ind w:left="40"/>
              <w:spacing w:after="0"/>
              <w:rPr>
                <w:sz w:val="20"/>
                <w:szCs w:val="20"/>
                <w:color w:val="auto"/>
              </w:rPr>
            </w:pPr>
            <w:r>
              <w:rPr>
                <w:rFonts w:ascii="Arial" w:cs="Arial" w:eastAsia="Arial" w:hAnsi="Arial"/>
                <w:sz w:val="13"/>
                <w:szCs w:val="13"/>
                <w:color w:val="auto"/>
              </w:rPr>
              <w:t>61</w:t>
            </w:r>
          </w:p>
        </w:tc>
        <w:tc>
          <w:tcPr>
            <w:tcW w:w="1240" w:type="dxa"/>
            <w:vAlign w:val="bottom"/>
          </w:tcPr>
          <w:p>
            <w:pPr>
              <w:ind w:left="200"/>
              <w:spacing w:after="0"/>
              <w:rPr>
                <w:sz w:val="20"/>
                <w:szCs w:val="20"/>
                <w:color w:val="auto"/>
              </w:rPr>
            </w:pPr>
            <w:r>
              <w:rPr>
                <w:rFonts w:ascii="Arial" w:cs="Arial" w:eastAsia="Arial" w:hAnsi="Arial"/>
                <w:sz w:val="13"/>
                <w:szCs w:val="13"/>
                <w:color w:val="auto"/>
              </w:rPr>
              <w:t>Yes</w:t>
            </w:r>
          </w:p>
        </w:tc>
        <w:tc>
          <w:tcPr>
            <w:tcW w:w="1220" w:type="dxa"/>
            <w:vAlign w:val="bottom"/>
          </w:tcPr>
          <w:p>
            <w:pPr>
              <w:ind w:left="220"/>
              <w:spacing w:after="0"/>
              <w:rPr>
                <w:sz w:val="20"/>
                <w:szCs w:val="20"/>
                <w:color w:val="auto"/>
              </w:rPr>
            </w:pPr>
            <w:r>
              <w:rPr>
                <w:rFonts w:ascii="Arial" w:cs="Arial" w:eastAsia="Arial" w:hAnsi="Arial"/>
                <w:sz w:val="13"/>
                <w:szCs w:val="13"/>
                <w:color w:val="auto"/>
              </w:rPr>
              <w:t>98.35</w:t>
            </w:r>
          </w:p>
        </w:tc>
        <w:tc>
          <w:tcPr>
            <w:tcW w:w="1520" w:type="dxa"/>
            <w:vAlign w:val="bottom"/>
          </w:tcPr>
          <w:p>
            <w:pPr>
              <w:ind w:left="20"/>
              <w:spacing w:after="0"/>
              <w:rPr>
                <w:sz w:val="20"/>
                <w:szCs w:val="20"/>
                <w:color w:val="auto"/>
              </w:rPr>
            </w:pPr>
            <w:r>
              <w:rPr>
                <w:rFonts w:ascii="Arial" w:cs="Arial" w:eastAsia="Arial" w:hAnsi="Arial"/>
                <w:sz w:val="13"/>
                <w:szCs w:val="13"/>
                <w:color w:val="auto"/>
              </w:rPr>
              <w:t>Audit (Chair)</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100%</w:t>
            </w:r>
          </w:p>
        </w:tc>
        <w:tc>
          <w:tcPr>
            <w:tcW w:w="1020" w:type="dxa"/>
            <w:vAlign w:val="bottom"/>
          </w:tcPr>
          <w:p>
            <w:pPr>
              <w:ind w:left="1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Vancouver, BC</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20"/>
              <w:spacing w:after="0" w:line="148" w:lineRule="exact"/>
              <w:rPr>
                <w:sz w:val="20"/>
                <w:szCs w:val="20"/>
                <w:color w:val="auto"/>
              </w:rPr>
            </w:pPr>
            <w:r>
              <w:rPr>
                <w:rFonts w:ascii="Arial" w:cs="Arial" w:eastAsia="Arial" w:hAnsi="Arial"/>
                <w:sz w:val="13"/>
                <w:szCs w:val="13"/>
                <w:color w:val="auto"/>
              </w:rPr>
              <w:t>HSSE</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2019</w:t>
            </w: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40" w:type="dxa"/>
            <w:vAlign w:val="bottom"/>
            <w:tcBorders>
              <w:bottom w:val="single" w:sz="8" w:color="B2B2B2"/>
            </w:tcBorders>
          </w:tcPr>
          <w:p>
            <w:pPr>
              <w:spacing w:after="0"/>
              <w:rPr>
                <w:sz w:val="2"/>
                <w:szCs w:val="2"/>
                <w:color w:val="auto"/>
              </w:rPr>
            </w:pPr>
          </w:p>
        </w:tc>
        <w:tc>
          <w:tcPr>
            <w:tcW w:w="1940" w:type="dxa"/>
            <w:vAlign w:val="bottom"/>
            <w:tcBorders>
              <w:bottom w:val="single" w:sz="8" w:color="B2B2B2"/>
            </w:tcBorders>
          </w:tcPr>
          <w:p>
            <w:pPr>
              <w:spacing w:after="0"/>
              <w:rPr>
                <w:sz w:val="2"/>
                <w:szCs w:val="2"/>
                <w:color w:val="auto"/>
              </w:rPr>
            </w:pPr>
          </w:p>
        </w:tc>
        <w:tc>
          <w:tcPr>
            <w:tcW w:w="500" w:type="dxa"/>
            <w:vAlign w:val="bottom"/>
            <w:tcBorders>
              <w:bottom w:val="single" w:sz="8" w:color="B2B2B2"/>
            </w:tcBorders>
          </w:tcPr>
          <w:p>
            <w:pPr>
              <w:spacing w:after="0"/>
              <w:rPr>
                <w:sz w:val="2"/>
                <w:szCs w:val="2"/>
                <w:color w:val="auto"/>
              </w:rPr>
            </w:pPr>
          </w:p>
        </w:tc>
        <w:tc>
          <w:tcPr>
            <w:tcW w:w="1240" w:type="dxa"/>
            <w:vAlign w:val="bottom"/>
            <w:tcBorders>
              <w:bottom w:val="single" w:sz="8" w:color="B2B2B2"/>
            </w:tcBorders>
          </w:tcPr>
          <w:p>
            <w:pPr>
              <w:spacing w:after="0"/>
              <w:rPr>
                <w:sz w:val="2"/>
                <w:szCs w:val="2"/>
                <w:color w:val="auto"/>
              </w:rPr>
            </w:pPr>
          </w:p>
        </w:tc>
        <w:tc>
          <w:tcPr>
            <w:tcW w:w="122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132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Mary Pat Salomone</w:t>
            </w:r>
          </w:p>
        </w:tc>
        <w:tc>
          <w:tcPr>
            <w:tcW w:w="1940" w:type="dxa"/>
            <w:vAlign w:val="bottom"/>
          </w:tcPr>
          <w:p>
            <w:pPr>
              <w:ind w:left="180"/>
              <w:spacing w:after="0"/>
              <w:rPr>
                <w:sz w:val="20"/>
                <w:szCs w:val="20"/>
                <w:color w:val="auto"/>
              </w:rPr>
            </w:pPr>
            <w:r>
              <w:rPr>
                <w:rFonts w:ascii="Arial" w:cs="Arial" w:eastAsia="Arial" w:hAnsi="Arial"/>
                <w:sz w:val="13"/>
                <w:szCs w:val="13"/>
                <w:color w:val="auto"/>
              </w:rPr>
              <w:t>Corporate Director</w:t>
            </w:r>
          </w:p>
        </w:tc>
        <w:tc>
          <w:tcPr>
            <w:tcW w:w="500" w:type="dxa"/>
            <w:vAlign w:val="bottom"/>
          </w:tcPr>
          <w:p>
            <w:pPr>
              <w:ind w:left="40"/>
              <w:spacing w:after="0"/>
              <w:rPr>
                <w:sz w:val="20"/>
                <w:szCs w:val="20"/>
                <w:color w:val="auto"/>
              </w:rPr>
            </w:pPr>
            <w:r>
              <w:rPr>
                <w:rFonts w:ascii="Arial" w:cs="Arial" w:eastAsia="Arial" w:hAnsi="Arial"/>
                <w:sz w:val="13"/>
                <w:szCs w:val="13"/>
                <w:color w:val="auto"/>
              </w:rPr>
              <w:t>65</w:t>
            </w:r>
          </w:p>
        </w:tc>
        <w:tc>
          <w:tcPr>
            <w:tcW w:w="1240" w:type="dxa"/>
            <w:vAlign w:val="bottom"/>
          </w:tcPr>
          <w:p>
            <w:pPr>
              <w:ind w:left="200"/>
              <w:spacing w:after="0"/>
              <w:rPr>
                <w:sz w:val="20"/>
                <w:szCs w:val="20"/>
                <w:color w:val="auto"/>
              </w:rPr>
            </w:pPr>
            <w:r>
              <w:rPr>
                <w:rFonts w:ascii="Arial" w:cs="Arial" w:eastAsia="Arial" w:hAnsi="Arial"/>
                <w:sz w:val="13"/>
                <w:szCs w:val="13"/>
                <w:color w:val="auto"/>
              </w:rPr>
              <w:t>Yes</w:t>
            </w:r>
          </w:p>
        </w:tc>
        <w:tc>
          <w:tcPr>
            <w:tcW w:w="1220" w:type="dxa"/>
            <w:vAlign w:val="bottom"/>
          </w:tcPr>
          <w:p>
            <w:pPr>
              <w:ind w:left="220"/>
              <w:spacing w:after="0"/>
              <w:rPr>
                <w:sz w:val="20"/>
                <w:szCs w:val="20"/>
                <w:color w:val="auto"/>
              </w:rPr>
            </w:pPr>
            <w:r>
              <w:rPr>
                <w:rFonts w:ascii="Arial" w:cs="Arial" w:eastAsia="Arial" w:hAnsi="Arial"/>
                <w:sz w:val="13"/>
                <w:szCs w:val="13"/>
                <w:color w:val="auto"/>
              </w:rPr>
              <w:t>98.70</w:t>
            </w:r>
          </w:p>
        </w:tc>
        <w:tc>
          <w:tcPr>
            <w:tcW w:w="1520" w:type="dxa"/>
            <w:vAlign w:val="bottom"/>
          </w:tcPr>
          <w:p>
            <w:pPr>
              <w:ind w:left="20"/>
              <w:spacing w:after="0"/>
              <w:rPr>
                <w:sz w:val="20"/>
                <w:szCs w:val="20"/>
                <w:color w:val="auto"/>
              </w:rPr>
            </w:pPr>
            <w:r>
              <w:rPr>
                <w:rFonts w:ascii="Arial" w:cs="Arial" w:eastAsia="Arial" w:hAnsi="Arial"/>
                <w:sz w:val="13"/>
                <w:szCs w:val="13"/>
                <w:color w:val="auto"/>
              </w:rPr>
              <w:t>Governance</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100%</w:t>
            </w:r>
          </w:p>
        </w:tc>
        <w:tc>
          <w:tcPr>
            <w:tcW w:w="1020" w:type="dxa"/>
            <w:vAlign w:val="bottom"/>
          </w:tcPr>
          <w:p>
            <w:pPr>
              <w:ind w:lef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Naples, FL</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20"/>
              <w:spacing w:after="0" w:line="148" w:lineRule="exact"/>
              <w:rPr>
                <w:sz w:val="20"/>
                <w:szCs w:val="20"/>
                <w:color w:val="auto"/>
              </w:rPr>
            </w:pPr>
            <w:r>
              <w:rPr>
                <w:rFonts w:ascii="Arial" w:cs="Arial" w:eastAsia="Arial" w:hAnsi="Arial"/>
                <w:sz w:val="13"/>
                <w:szCs w:val="13"/>
                <w:color w:val="auto"/>
              </w:rPr>
              <w:t>HSSE (Chair)</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2013</w:t>
            </w: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40" w:type="dxa"/>
            <w:vAlign w:val="bottom"/>
            <w:tcBorders>
              <w:bottom w:val="single" w:sz="8" w:color="B2B2B2"/>
            </w:tcBorders>
          </w:tcPr>
          <w:p>
            <w:pPr>
              <w:spacing w:after="0"/>
              <w:rPr>
                <w:sz w:val="2"/>
                <w:szCs w:val="2"/>
                <w:color w:val="auto"/>
              </w:rPr>
            </w:pPr>
          </w:p>
        </w:tc>
        <w:tc>
          <w:tcPr>
            <w:tcW w:w="1940" w:type="dxa"/>
            <w:vAlign w:val="bottom"/>
            <w:tcBorders>
              <w:bottom w:val="single" w:sz="8" w:color="B2B2B2"/>
            </w:tcBorders>
          </w:tcPr>
          <w:p>
            <w:pPr>
              <w:spacing w:after="0"/>
              <w:rPr>
                <w:sz w:val="2"/>
                <w:szCs w:val="2"/>
                <w:color w:val="auto"/>
              </w:rPr>
            </w:pPr>
          </w:p>
        </w:tc>
        <w:tc>
          <w:tcPr>
            <w:tcW w:w="500" w:type="dxa"/>
            <w:vAlign w:val="bottom"/>
            <w:tcBorders>
              <w:bottom w:val="single" w:sz="8" w:color="B2B2B2"/>
            </w:tcBorders>
          </w:tcPr>
          <w:p>
            <w:pPr>
              <w:spacing w:after="0"/>
              <w:rPr>
                <w:sz w:val="2"/>
                <w:szCs w:val="2"/>
                <w:color w:val="auto"/>
              </w:rPr>
            </w:pPr>
          </w:p>
        </w:tc>
        <w:tc>
          <w:tcPr>
            <w:tcW w:w="1240" w:type="dxa"/>
            <w:vAlign w:val="bottom"/>
            <w:tcBorders>
              <w:bottom w:val="single" w:sz="8" w:color="B2B2B2"/>
            </w:tcBorders>
          </w:tcPr>
          <w:p>
            <w:pPr>
              <w:spacing w:after="0"/>
              <w:rPr>
                <w:sz w:val="2"/>
                <w:szCs w:val="2"/>
                <w:color w:val="auto"/>
              </w:rPr>
            </w:pPr>
          </w:p>
        </w:tc>
        <w:tc>
          <w:tcPr>
            <w:tcW w:w="122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132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Siim A. Vanaselja</w:t>
            </w:r>
          </w:p>
        </w:tc>
        <w:tc>
          <w:tcPr>
            <w:tcW w:w="1940" w:type="dxa"/>
            <w:vAlign w:val="bottom"/>
          </w:tcPr>
          <w:p>
            <w:pPr>
              <w:ind w:left="180"/>
              <w:spacing w:after="0"/>
              <w:rPr>
                <w:sz w:val="20"/>
                <w:szCs w:val="20"/>
                <w:color w:val="auto"/>
              </w:rPr>
            </w:pPr>
            <w:r>
              <w:rPr>
                <w:rFonts w:ascii="Arial" w:cs="Arial" w:eastAsia="Arial" w:hAnsi="Arial"/>
                <w:sz w:val="13"/>
                <w:szCs w:val="13"/>
                <w:color w:val="auto"/>
              </w:rPr>
              <w:t>Corporate Director</w:t>
            </w:r>
          </w:p>
        </w:tc>
        <w:tc>
          <w:tcPr>
            <w:tcW w:w="500" w:type="dxa"/>
            <w:vAlign w:val="bottom"/>
          </w:tcPr>
          <w:p>
            <w:pPr>
              <w:ind w:left="40"/>
              <w:spacing w:after="0"/>
              <w:rPr>
                <w:sz w:val="20"/>
                <w:szCs w:val="20"/>
                <w:color w:val="auto"/>
              </w:rPr>
            </w:pPr>
            <w:r>
              <w:rPr>
                <w:rFonts w:ascii="Arial" w:cs="Arial" w:eastAsia="Arial" w:hAnsi="Arial"/>
                <w:sz w:val="13"/>
                <w:szCs w:val="13"/>
                <w:color w:val="auto"/>
              </w:rPr>
              <w:t>69</w:t>
            </w:r>
          </w:p>
        </w:tc>
        <w:tc>
          <w:tcPr>
            <w:tcW w:w="1240" w:type="dxa"/>
            <w:vAlign w:val="bottom"/>
          </w:tcPr>
          <w:p>
            <w:pPr>
              <w:ind w:left="200"/>
              <w:spacing w:after="0"/>
              <w:rPr>
                <w:sz w:val="20"/>
                <w:szCs w:val="20"/>
                <w:color w:val="auto"/>
              </w:rPr>
            </w:pPr>
            <w:r>
              <w:rPr>
                <w:rFonts w:ascii="Arial" w:cs="Arial" w:eastAsia="Arial" w:hAnsi="Arial"/>
                <w:sz w:val="13"/>
                <w:szCs w:val="13"/>
                <w:color w:val="auto"/>
              </w:rPr>
              <w:t>Yes</w:t>
            </w:r>
          </w:p>
        </w:tc>
        <w:tc>
          <w:tcPr>
            <w:tcW w:w="1220" w:type="dxa"/>
            <w:vAlign w:val="bottom"/>
          </w:tcPr>
          <w:p>
            <w:pPr>
              <w:ind w:left="220"/>
              <w:spacing w:after="0"/>
              <w:rPr>
                <w:sz w:val="20"/>
                <w:szCs w:val="20"/>
                <w:color w:val="auto"/>
              </w:rPr>
            </w:pPr>
            <w:r>
              <w:rPr>
                <w:rFonts w:ascii="Arial" w:cs="Arial" w:eastAsia="Arial" w:hAnsi="Arial"/>
                <w:sz w:val="13"/>
                <w:szCs w:val="13"/>
                <w:color w:val="auto"/>
              </w:rPr>
              <w:t>98.07</w:t>
            </w:r>
          </w:p>
        </w:tc>
        <w:tc>
          <w:tcPr>
            <w:tcW w:w="1520" w:type="dxa"/>
            <w:vAlign w:val="bottom"/>
          </w:tcPr>
          <w:p>
            <w:pPr>
              <w:ind w:left="20"/>
              <w:spacing w:after="0"/>
              <w:rPr>
                <w:sz w:val="20"/>
                <w:szCs w:val="20"/>
                <w:color w:val="auto"/>
              </w:rPr>
            </w:pPr>
            <w:r>
              <w:rPr>
                <w:rFonts w:ascii="Arial" w:cs="Arial" w:eastAsia="Arial" w:hAnsi="Arial"/>
                <w:sz w:val="13"/>
                <w:szCs w:val="13"/>
                <w:color w:val="auto"/>
              </w:rPr>
              <w:t>Governance</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100%</w:t>
            </w:r>
          </w:p>
        </w:tc>
        <w:tc>
          <w:tcPr>
            <w:tcW w:w="1020" w:type="dxa"/>
            <w:vAlign w:val="bottom"/>
          </w:tcPr>
          <w:p>
            <w:pPr>
              <w:ind w:left="1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Toronto, ON</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20"/>
              <w:spacing w:after="0" w:line="148" w:lineRule="exact"/>
              <w:rPr>
                <w:sz w:val="20"/>
                <w:szCs w:val="20"/>
                <w:color w:val="auto"/>
              </w:rPr>
            </w:pPr>
            <w:r>
              <w:rPr>
                <w:rFonts w:ascii="Arial" w:cs="Arial" w:eastAsia="Arial" w:hAnsi="Arial"/>
                <w:sz w:val="13"/>
                <w:szCs w:val="13"/>
                <w:color w:val="auto"/>
              </w:rPr>
              <w:t>Human Resources</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2014</w:t>
            </w: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40" w:type="dxa"/>
            <w:vAlign w:val="bottom"/>
            <w:tcBorders>
              <w:bottom w:val="single" w:sz="8" w:color="B2B2B2"/>
            </w:tcBorders>
          </w:tcPr>
          <w:p>
            <w:pPr>
              <w:spacing w:after="0"/>
              <w:rPr>
                <w:sz w:val="2"/>
                <w:szCs w:val="2"/>
                <w:color w:val="auto"/>
              </w:rPr>
            </w:pPr>
          </w:p>
        </w:tc>
        <w:tc>
          <w:tcPr>
            <w:tcW w:w="1940" w:type="dxa"/>
            <w:vAlign w:val="bottom"/>
            <w:tcBorders>
              <w:bottom w:val="single" w:sz="8" w:color="B2B2B2"/>
            </w:tcBorders>
          </w:tcPr>
          <w:p>
            <w:pPr>
              <w:spacing w:after="0"/>
              <w:rPr>
                <w:sz w:val="2"/>
                <w:szCs w:val="2"/>
                <w:color w:val="auto"/>
              </w:rPr>
            </w:pPr>
          </w:p>
        </w:tc>
        <w:tc>
          <w:tcPr>
            <w:tcW w:w="500" w:type="dxa"/>
            <w:vAlign w:val="bottom"/>
            <w:tcBorders>
              <w:bottom w:val="single" w:sz="8" w:color="B2B2B2"/>
            </w:tcBorders>
          </w:tcPr>
          <w:p>
            <w:pPr>
              <w:spacing w:after="0"/>
              <w:rPr>
                <w:sz w:val="2"/>
                <w:szCs w:val="2"/>
                <w:color w:val="auto"/>
              </w:rPr>
            </w:pPr>
          </w:p>
        </w:tc>
        <w:tc>
          <w:tcPr>
            <w:tcW w:w="1240" w:type="dxa"/>
            <w:vAlign w:val="bottom"/>
            <w:tcBorders>
              <w:bottom w:val="single" w:sz="8" w:color="B2B2B2"/>
            </w:tcBorders>
          </w:tcPr>
          <w:p>
            <w:pPr>
              <w:spacing w:after="0"/>
              <w:rPr>
                <w:sz w:val="2"/>
                <w:szCs w:val="2"/>
                <w:color w:val="auto"/>
              </w:rPr>
            </w:pPr>
          </w:p>
        </w:tc>
        <w:tc>
          <w:tcPr>
            <w:tcW w:w="122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132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Thierry Vandal</w:t>
            </w:r>
          </w:p>
        </w:tc>
        <w:tc>
          <w:tcPr>
            <w:tcW w:w="1940" w:type="dxa"/>
            <w:vAlign w:val="bottom"/>
          </w:tcPr>
          <w:p>
            <w:pPr>
              <w:ind w:left="180"/>
              <w:spacing w:after="0"/>
              <w:rPr>
                <w:sz w:val="20"/>
                <w:szCs w:val="20"/>
                <w:color w:val="auto"/>
              </w:rPr>
            </w:pPr>
            <w:r>
              <w:rPr>
                <w:rFonts w:ascii="Arial" w:cs="Arial" w:eastAsia="Arial" w:hAnsi="Arial"/>
                <w:sz w:val="13"/>
                <w:szCs w:val="13"/>
                <w:color w:val="auto"/>
              </w:rPr>
              <w:t>President, Axium</w:t>
            </w:r>
          </w:p>
        </w:tc>
        <w:tc>
          <w:tcPr>
            <w:tcW w:w="500" w:type="dxa"/>
            <w:vAlign w:val="bottom"/>
          </w:tcPr>
          <w:p>
            <w:pPr>
              <w:ind w:left="40"/>
              <w:spacing w:after="0"/>
              <w:rPr>
                <w:sz w:val="20"/>
                <w:szCs w:val="20"/>
                <w:color w:val="auto"/>
              </w:rPr>
            </w:pPr>
            <w:r>
              <w:rPr>
                <w:rFonts w:ascii="Arial" w:cs="Arial" w:eastAsia="Arial" w:hAnsi="Arial"/>
                <w:sz w:val="13"/>
                <w:szCs w:val="13"/>
                <w:color w:val="auto"/>
              </w:rPr>
              <w:t>65</w:t>
            </w:r>
          </w:p>
        </w:tc>
        <w:tc>
          <w:tcPr>
            <w:tcW w:w="1240" w:type="dxa"/>
            <w:vAlign w:val="bottom"/>
          </w:tcPr>
          <w:p>
            <w:pPr>
              <w:ind w:left="200"/>
              <w:spacing w:after="0"/>
              <w:rPr>
                <w:sz w:val="20"/>
                <w:szCs w:val="20"/>
                <w:color w:val="auto"/>
              </w:rPr>
            </w:pPr>
            <w:r>
              <w:rPr>
                <w:rFonts w:ascii="Arial" w:cs="Arial" w:eastAsia="Arial" w:hAnsi="Arial"/>
                <w:sz w:val="13"/>
                <w:szCs w:val="13"/>
                <w:color w:val="auto"/>
              </w:rPr>
              <w:t>Yes</w:t>
            </w:r>
          </w:p>
        </w:tc>
        <w:tc>
          <w:tcPr>
            <w:tcW w:w="1220" w:type="dxa"/>
            <w:vAlign w:val="bottom"/>
          </w:tcPr>
          <w:p>
            <w:pPr>
              <w:ind w:left="220"/>
              <w:spacing w:after="0"/>
              <w:rPr>
                <w:sz w:val="20"/>
                <w:szCs w:val="20"/>
                <w:color w:val="auto"/>
              </w:rPr>
            </w:pPr>
            <w:r>
              <w:rPr>
                <w:rFonts w:ascii="Arial" w:cs="Arial" w:eastAsia="Arial" w:hAnsi="Arial"/>
                <w:sz w:val="13"/>
                <w:szCs w:val="13"/>
                <w:color w:val="auto"/>
              </w:rPr>
              <w:t>98.64</w:t>
            </w:r>
          </w:p>
        </w:tc>
        <w:tc>
          <w:tcPr>
            <w:tcW w:w="1520" w:type="dxa"/>
            <w:vAlign w:val="bottom"/>
          </w:tcPr>
          <w:p>
            <w:pPr>
              <w:ind w:left="20"/>
              <w:spacing w:after="0"/>
              <w:rPr>
                <w:sz w:val="20"/>
                <w:szCs w:val="20"/>
                <w:color w:val="auto"/>
              </w:rPr>
            </w:pPr>
            <w:r>
              <w:rPr>
                <w:rFonts w:ascii="Arial" w:cs="Arial" w:eastAsia="Arial" w:hAnsi="Arial"/>
                <w:sz w:val="13"/>
                <w:szCs w:val="13"/>
                <w:color w:val="auto"/>
              </w:rPr>
              <w:t>Governance (Chair)</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100%</w:t>
            </w:r>
          </w:p>
        </w:tc>
        <w:tc>
          <w:tcPr>
            <w:tcW w:w="1020" w:type="dxa"/>
            <w:vAlign w:val="bottom"/>
          </w:tcPr>
          <w:p>
            <w:pPr>
              <w:ind w:lef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Mamaroneck, NY</w:t>
            </w:r>
          </w:p>
        </w:tc>
        <w:tc>
          <w:tcPr>
            <w:tcW w:w="1940" w:type="dxa"/>
            <w:vAlign w:val="bottom"/>
          </w:tcPr>
          <w:p>
            <w:pPr>
              <w:ind w:left="180"/>
              <w:spacing w:after="0" w:line="148" w:lineRule="exact"/>
              <w:rPr>
                <w:sz w:val="20"/>
                <w:szCs w:val="20"/>
                <w:color w:val="auto"/>
              </w:rPr>
            </w:pPr>
            <w:r>
              <w:rPr>
                <w:rFonts w:ascii="Arial" w:cs="Arial" w:eastAsia="Arial" w:hAnsi="Arial"/>
                <w:sz w:val="13"/>
                <w:szCs w:val="13"/>
                <w:color w:val="auto"/>
              </w:rPr>
              <w:t>Infrastructure US, Inc.</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20"/>
              <w:spacing w:after="0" w:line="148" w:lineRule="exact"/>
              <w:rPr>
                <w:sz w:val="20"/>
                <w:szCs w:val="20"/>
                <w:color w:val="auto"/>
              </w:rPr>
            </w:pPr>
            <w:r>
              <w:rPr>
                <w:rFonts w:ascii="Arial" w:cs="Arial" w:eastAsia="Arial" w:hAnsi="Arial"/>
                <w:sz w:val="13"/>
                <w:szCs w:val="13"/>
                <w:color w:val="auto"/>
              </w:rPr>
              <w:t>HSSE</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2017</w:t>
            </w: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40" w:type="dxa"/>
            <w:vAlign w:val="bottom"/>
            <w:tcBorders>
              <w:bottom w:val="single" w:sz="8" w:color="B2B2B2"/>
            </w:tcBorders>
          </w:tcPr>
          <w:p>
            <w:pPr>
              <w:spacing w:after="0"/>
              <w:rPr>
                <w:sz w:val="2"/>
                <w:szCs w:val="2"/>
                <w:color w:val="auto"/>
              </w:rPr>
            </w:pPr>
          </w:p>
        </w:tc>
        <w:tc>
          <w:tcPr>
            <w:tcW w:w="1940" w:type="dxa"/>
            <w:vAlign w:val="bottom"/>
            <w:tcBorders>
              <w:bottom w:val="single" w:sz="8" w:color="B2B2B2"/>
            </w:tcBorders>
          </w:tcPr>
          <w:p>
            <w:pPr>
              <w:spacing w:after="0"/>
              <w:rPr>
                <w:sz w:val="2"/>
                <w:szCs w:val="2"/>
                <w:color w:val="auto"/>
              </w:rPr>
            </w:pPr>
          </w:p>
        </w:tc>
        <w:tc>
          <w:tcPr>
            <w:tcW w:w="500" w:type="dxa"/>
            <w:vAlign w:val="bottom"/>
            <w:tcBorders>
              <w:bottom w:val="single" w:sz="8" w:color="B2B2B2"/>
            </w:tcBorders>
          </w:tcPr>
          <w:p>
            <w:pPr>
              <w:spacing w:after="0"/>
              <w:rPr>
                <w:sz w:val="2"/>
                <w:szCs w:val="2"/>
                <w:color w:val="auto"/>
              </w:rPr>
            </w:pPr>
          </w:p>
        </w:tc>
        <w:tc>
          <w:tcPr>
            <w:tcW w:w="1240" w:type="dxa"/>
            <w:vAlign w:val="bottom"/>
            <w:tcBorders>
              <w:bottom w:val="single" w:sz="8" w:color="B2B2B2"/>
            </w:tcBorders>
          </w:tcPr>
          <w:p>
            <w:pPr>
              <w:spacing w:after="0"/>
              <w:rPr>
                <w:sz w:val="2"/>
                <w:szCs w:val="2"/>
                <w:color w:val="auto"/>
              </w:rPr>
            </w:pPr>
          </w:p>
        </w:tc>
        <w:tc>
          <w:tcPr>
            <w:tcW w:w="122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132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20"/>
              <w:spacing w:after="0"/>
              <w:rPr>
                <w:sz w:val="20"/>
                <w:szCs w:val="20"/>
                <w:color w:val="auto"/>
              </w:rPr>
            </w:pPr>
            <w:r>
              <w:rPr>
                <w:rFonts w:ascii="Arial" w:cs="Arial" w:eastAsia="Arial" w:hAnsi="Arial"/>
                <w:sz w:val="13"/>
                <w:szCs w:val="13"/>
                <w:color w:val="auto"/>
              </w:rPr>
              <w:t>Dheeraj "D" Verma</w:t>
            </w:r>
          </w:p>
        </w:tc>
        <w:tc>
          <w:tcPr>
            <w:tcW w:w="1940" w:type="dxa"/>
            <w:vAlign w:val="bottom"/>
          </w:tcPr>
          <w:p>
            <w:pPr>
              <w:ind w:left="180"/>
              <w:spacing w:after="0"/>
              <w:rPr>
                <w:sz w:val="20"/>
                <w:szCs w:val="20"/>
                <w:color w:val="auto"/>
              </w:rPr>
            </w:pPr>
            <w:r>
              <w:rPr>
                <w:rFonts w:ascii="Arial" w:cs="Arial" w:eastAsia="Arial" w:hAnsi="Arial"/>
                <w:sz w:val="13"/>
                <w:szCs w:val="13"/>
                <w:color w:val="auto"/>
              </w:rPr>
              <w:t>Senior Advisor,</w:t>
            </w:r>
          </w:p>
        </w:tc>
        <w:tc>
          <w:tcPr>
            <w:tcW w:w="500" w:type="dxa"/>
            <w:vAlign w:val="bottom"/>
          </w:tcPr>
          <w:p>
            <w:pPr>
              <w:ind w:left="40"/>
              <w:spacing w:after="0"/>
              <w:rPr>
                <w:sz w:val="20"/>
                <w:szCs w:val="20"/>
                <w:color w:val="auto"/>
              </w:rPr>
            </w:pPr>
            <w:r>
              <w:rPr>
                <w:rFonts w:ascii="Arial" w:cs="Arial" w:eastAsia="Arial" w:hAnsi="Arial"/>
                <w:sz w:val="13"/>
                <w:szCs w:val="13"/>
                <w:color w:val="auto"/>
              </w:rPr>
              <w:t>48</w:t>
            </w:r>
          </w:p>
        </w:tc>
        <w:tc>
          <w:tcPr>
            <w:tcW w:w="1240" w:type="dxa"/>
            <w:vAlign w:val="bottom"/>
          </w:tcPr>
          <w:p>
            <w:pPr>
              <w:ind w:left="200"/>
              <w:spacing w:after="0"/>
              <w:rPr>
                <w:sz w:val="20"/>
                <w:szCs w:val="20"/>
                <w:color w:val="auto"/>
              </w:rPr>
            </w:pPr>
            <w:r>
              <w:rPr>
                <w:rFonts w:ascii="Arial" w:cs="Arial" w:eastAsia="Arial" w:hAnsi="Arial"/>
                <w:sz w:val="13"/>
                <w:szCs w:val="13"/>
                <w:color w:val="auto"/>
              </w:rPr>
              <w:t>Yes</w:t>
            </w:r>
          </w:p>
        </w:tc>
        <w:tc>
          <w:tcPr>
            <w:tcW w:w="1220" w:type="dxa"/>
            <w:vAlign w:val="bottom"/>
          </w:tcPr>
          <w:p>
            <w:pPr>
              <w:ind w:left="220"/>
              <w:spacing w:after="0"/>
              <w:rPr>
                <w:sz w:val="20"/>
                <w:szCs w:val="20"/>
                <w:color w:val="auto"/>
              </w:rPr>
            </w:pPr>
            <w:r>
              <w:rPr>
                <w:rFonts w:ascii="Arial" w:cs="Arial" w:eastAsia="Arial" w:hAnsi="Arial"/>
                <w:sz w:val="13"/>
                <w:szCs w:val="13"/>
                <w:color w:val="auto"/>
              </w:rPr>
              <w:t>98.98</w:t>
            </w:r>
          </w:p>
        </w:tc>
        <w:tc>
          <w:tcPr>
            <w:tcW w:w="1520" w:type="dxa"/>
            <w:vAlign w:val="bottom"/>
          </w:tcPr>
          <w:p>
            <w:pPr>
              <w:ind w:left="20"/>
              <w:spacing w:after="0"/>
              <w:rPr>
                <w:sz w:val="20"/>
                <w:szCs w:val="20"/>
                <w:color w:val="auto"/>
              </w:rPr>
            </w:pPr>
            <w:r>
              <w:rPr>
                <w:rFonts w:ascii="Arial" w:cs="Arial" w:eastAsia="Arial" w:hAnsi="Arial"/>
                <w:sz w:val="13"/>
                <w:szCs w:val="13"/>
                <w:color w:val="auto"/>
              </w:rPr>
              <w:t>Governance</w:t>
            </w:r>
          </w:p>
        </w:tc>
        <w:tc>
          <w:tcPr>
            <w:tcW w:w="840" w:type="dxa"/>
            <w:vAlign w:val="bottom"/>
          </w:tcPr>
          <w:p>
            <w:pPr>
              <w:ind w:left="20"/>
              <w:spacing w:after="0"/>
              <w:rPr>
                <w:sz w:val="20"/>
                <w:szCs w:val="20"/>
                <w:color w:val="auto"/>
              </w:rPr>
            </w:pPr>
            <w:r>
              <w:rPr>
                <w:rFonts w:ascii="Arial" w:cs="Arial" w:eastAsia="Arial" w:hAnsi="Arial"/>
                <w:sz w:val="13"/>
                <w:szCs w:val="13"/>
                <w:color w:val="auto"/>
              </w:rPr>
              <w:t>100%</w:t>
            </w:r>
          </w:p>
        </w:tc>
        <w:tc>
          <w:tcPr>
            <w:tcW w:w="1320" w:type="dxa"/>
            <w:vAlign w:val="bottom"/>
          </w:tcPr>
          <w:p>
            <w:pPr>
              <w:ind w:left="200"/>
              <w:spacing w:after="0"/>
              <w:rPr>
                <w:sz w:val="20"/>
                <w:szCs w:val="20"/>
                <w:color w:val="auto"/>
              </w:rPr>
            </w:pPr>
            <w:r>
              <w:rPr>
                <w:rFonts w:ascii="Arial" w:cs="Arial" w:eastAsia="Arial" w:hAnsi="Arial"/>
                <w:sz w:val="13"/>
                <w:szCs w:val="13"/>
                <w:color w:val="auto"/>
              </w:rPr>
              <w:t>100%</w:t>
            </w:r>
          </w:p>
        </w:tc>
        <w:tc>
          <w:tcPr>
            <w:tcW w:w="1020" w:type="dxa"/>
            <w:vAlign w:val="bottom"/>
          </w:tcPr>
          <w:p>
            <w:pPr>
              <w:ind w:left="12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line="148" w:lineRule="exact"/>
              <w:rPr>
                <w:sz w:val="20"/>
                <w:szCs w:val="20"/>
                <w:color w:val="auto"/>
              </w:rPr>
            </w:pPr>
            <w:r>
              <w:rPr>
                <w:rFonts w:ascii="Arial" w:cs="Arial" w:eastAsia="Arial" w:hAnsi="Arial"/>
                <w:sz w:val="13"/>
                <w:szCs w:val="13"/>
                <w:color w:val="auto"/>
              </w:rPr>
              <w:t>Houston, TX</w:t>
            </w:r>
          </w:p>
        </w:tc>
        <w:tc>
          <w:tcPr>
            <w:tcW w:w="1940" w:type="dxa"/>
            <w:vAlign w:val="bottom"/>
          </w:tcPr>
          <w:p>
            <w:pPr>
              <w:ind w:left="180"/>
              <w:spacing w:after="0" w:line="148" w:lineRule="exact"/>
              <w:rPr>
                <w:sz w:val="20"/>
                <w:szCs w:val="20"/>
                <w:color w:val="auto"/>
              </w:rPr>
            </w:pPr>
            <w:r>
              <w:rPr>
                <w:rFonts w:ascii="Arial" w:cs="Arial" w:eastAsia="Arial" w:hAnsi="Arial"/>
                <w:sz w:val="13"/>
                <w:szCs w:val="13"/>
                <w:color w:val="auto"/>
              </w:rPr>
              <w:t>Quantum Energy Partners</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20"/>
              <w:spacing w:after="0" w:line="148" w:lineRule="exact"/>
              <w:rPr>
                <w:sz w:val="20"/>
                <w:szCs w:val="20"/>
                <w:color w:val="auto"/>
              </w:rPr>
            </w:pPr>
            <w:r>
              <w:rPr>
                <w:rFonts w:ascii="Arial" w:cs="Arial" w:eastAsia="Arial" w:hAnsi="Arial"/>
                <w:sz w:val="13"/>
                <w:szCs w:val="13"/>
                <w:color w:val="auto"/>
              </w:rPr>
              <w:t>Human Resources</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40" w:type="dxa"/>
            <w:vAlign w:val="bottom"/>
          </w:tcPr>
          <w:p>
            <w:pPr>
              <w:ind w:left="20"/>
              <w:spacing w:after="0"/>
              <w:rPr>
                <w:sz w:val="20"/>
                <w:szCs w:val="20"/>
                <w:color w:val="auto"/>
              </w:rPr>
            </w:pPr>
            <w:r>
              <w:rPr>
                <w:rFonts w:ascii="Arial" w:cs="Arial" w:eastAsia="Arial" w:hAnsi="Arial"/>
                <w:sz w:val="13"/>
                <w:szCs w:val="13"/>
                <w:color w:val="auto"/>
              </w:rPr>
              <w:t>Director since 2022</w:t>
            </w: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40" w:type="dxa"/>
            <w:vAlign w:val="bottom"/>
            <w:tcBorders>
              <w:bottom w:val="single" w:sz="8" w:color="0D64EF"/>
            </w:tcBorders>
          </w:tcPr>
          <w:p>
            <w:pPr>
              <w:spacing w:after="0"/>
              <w:rPr>
                <w:sz w:val="2"/>
                <w:szCs w:val="2"/>
                <w:color w:val="auto"/>
              </w:rPr>
            </w:pPr>
          </w:p>
        </w:tc>
        <w:tc>
          <w:tcPr>
            <w:tcW w:w="1940" w:type="dxa"/>
            <w:vAlign w:val="bottom"/>
            <w:tcBorders>
              <w:bottom w:val="single" w:sz="8" w:color="0D64EF"/>
            </w:tcBorders>
          </w:tcPr>
          <w:p>
            <w:pPr>
              <w:spacing w:after="0"/>
              <w:rPr>
                <w:sz w:val="2"/>
                <w:szCs w:val="2"/>
                <w:color w:val="auto"/>
              </w:rPr>
            </w:pPr>
          </w:p>
        </w:tc>
        <w:tc>
          <w:tcPr>
            <w:tcW w:w="500" w:type="dxa"/>
            <w:vAlign w:val="bottom"/>
            <w:tcBorders>
              <w:bottom w:val="single" w:sz="8" w:color="0D64EF"/>
            </w:tcBorders>
          </w:tcPr>
          <w:p>
            <w:pPr>
              <w:spacing w:after="0"/>
              <w:rPr>
                <w:sz w:val="2"/>
                <w:szCs w:val="2"/>
                <w:color w:val="auto"/>
              </w:rPr>
            </w:pPr>
          </w:p>
        </w:tc>
        <w:tc>
          <w:tcPr>
            <w:tcW w:w="1240" w:type="dxa"/>
            <w:vAlign w:val="bottom"/>
            <w:tcBorders>
              <w:bottom w:val="single" w:sz="8" w:color="0D64EF"/>
            </w:tcBorders>
          </w:tcPr>
          <w:p>
            <w:pPr>
              <w:spacing w:after="0"/>
              <w:rPr>
                <w:sz w:val="2"/>
                <w:szCs w:val="2"/>
                <w:color w:val="auto"/>
              </w:rPr>
            </w:pPr>
          </w:p>
        </w:tc>
        <w:tc>
          <w:tcPr>
            <w:tcW w:w="1220" w:type="dxa"/>
            <w:vAlign w:val="bottom"/>
            <w:tcBorders>
              <w:bottom w:val="single" w:sz="8" w:color="0D64EF"/>
            </w:tcBorders>
          </w:tcPr>
          <w:p>
            <w:pPr>
              <w:spacing w:after="0"/>
              <w:rPr>
                <w:sz w:val="2"/>
                <w:szCs w:val="2"/>
                <w:color w:val="auto"/>
              </w:rPr>
            </w:pPr>
          </w:p>
        </w:tc>
        <w:tc>
          <w:tcPr>
            <w:tcW w:w="1520" w:type="dxa"/>
            <w:vAlign w:val="bottom"/>
            <w:tcBorders>
              <w:bottom w:val="single" w:sz="8" w:color="0D64EF"/>
            </w:tcBorders>
          </w:tcPr>
          <w:p>
            <w:pPr>
              <w:spacing w:after="0"/>
              <w:rPr>
                <w:sz w:val="2"/>
                <w:szCs w:val="2"/>
                <w:color w:val="auto"/>
              </w:rPr>
            </w:pPr>
          </w:p>
        </w:tc>
        <w:tc>
          <w:tcPr>
            <w:tcW w:w="840" w:type="dxa"/>
            <w:vAlign w:val="bottom"/>
            <w:tcBorders>
              <w:bottom w:val="single" w:sz="8" w:color="0D64EF"/>
            </w:tcBorders>
          </w:tcPr>
          <w:p>
            <w:pPr>
              <w:spacing w:after="0"/>
              <w:rPr>
                <w:sz w:val="2"/>
                <w:szCs w:val="2"/>
                <w:color w:val="auto"/>
              </w:rPr>
            </w:pPr>
          </w:p>
        </w:tc>
        <w:tc>
          <w:tcPr>
            <w:tcW w:w="1320" w:type="dxa"/>
            <w:vAlign w:val="bottom"/>
            <w:tcBorders>
              <w:bottom w:val="single" w:sz="8" w:color="0D64EF"/>
            </w:tcBorders>
          </w:tcPr>
          <w:p>
            <w:pPr>
              <w:spacing w:after="0"/>
              <w:rPr>
                <w:sz w:val="2"/>
                <w:szCs w:val="2"/>
                <w:color w:val="auto"/>
              </w:rPr>
            </w:pPr>
          </w:p>
        </w:tc>
        <w:tc>
          <w:tcPr>
            <w:tcW w:w="1020" w:type="dxa"/>
            <w:vAlign w:val="bottom"/>
            <w:tcBorders>
              <w:bottom w:val="single" w:sz="8" w:color="0D64E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17062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99" w:lineRule="exact"/>
        <w:rPr>
          <w:sz w:val="20"/>
          <w:szCs w:val="20"/>
          <w:color w:val="auto"/>
        </w:rPr>
      </w:pPr>
    </w:p>
    <w:p>
      <w:pPr>
        <w:ind w:left="200" w:hanging="193"/>
        <w:spacing w:after="0"/>
        <w:tabs>
          <w:tab w:leader="none" w:pos="200"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This reflects aggregate attendance at all Board meetings and each director's respective Board Committee meetings.</w:t>
      </w:r>
    </w:p>
    <w:p>
      <w:pPr>
        <w:ind w:left="80" w:hanging="73"/>
        <w:spacing w:after="0" w:line="227" w:lineRule="auto"/>
        <w:tabs>
          <w:tab w:leader="none" w:pos="8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Mr. Johnson was a member of the Audit Committee until May 8, 2025 when he became a member of the Governance Committee.</w:t>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4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0D64EF"/>
        </w:rPr>
        <w:t>GOVERNANCE</w:t>
      </w:r>
    </w:p>
    <w:p>
      <w:pPr>
        <w:spacing w:after="0" w:line="48" w:lineRule="exact"/>
        <w:rPr>
          <w:sz w:val="20"/>
          <w:szCs w:val="20"/>
          <w:color w:val="auto"/>
        </w:rPr>
      </w:pPr>
    </w:p>
    <w:p>
      <w:pPr>
        <w:ind w:right="760"/>
        <w:spacing w:after="0" w:line="337" w:lineRule="auto"/>
        <w:rPr>
          <w:sz w:val="20"/>
          <w:szCs w:val="20"/>
          <w:color w:val="auto"/>
        </w:rPr>
      </w:pPr>
      <w:r>
        <w:rPr>
          <w:rFonts w:ascii="Arial" w:cs="Arial" w:eastAsia="Arial" w:hAnsi="Arial"/>
          <w:sz w:val="16"/>
          <w:szCs w:val="16"/>
          <w:color w:val="auto"/>
        </w:rPr>
        <w:t>We believe that strong corporate governance improves corporate performance and benefits all stakeholders. Based on the current directorship, our governance highlights are noted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00" w:type="dxa"/>
            <w:vAlign w:val="bottom"/>
            <w:tcBorders>
              <w:top w:val="single" w:sz="8" w:color="0D64EF"/>
            </w:tcBorders>
          </w:tcPr>
          <w:p>
            <w:pPr>
              <w:ind w:left="60"/>
              <w:spacing w:after="0"/>
              <w:rPr>
                <w:sz w:val="20"/>
                <w:szCs w:val="20"/>
                <w:color w:val="auto"/>
              </w:rPr>
            </w:pPr>
            <w:r>
              <w:rPr>
                <w:rFonts w:ascii="Arial" w:cs="Arial" w:eastAsia="Arial" w:hAnsi="Arial"/>
                <w:sz w:val="16"/>
                <w:szCs w:val="16"/>
                <w:color w:val="auto"/>
              </w:rPr>
              <w:t>Size of Board</w:t>
            </w:r>
          </w:p>
        </w:tc>
        <w:tc>
          <w:tcPr>
            <w:tcW w:w="6240" w:type="dxa"/>
            <w:vAlign w:val="bottom"/>
            <w:tcBorders>
              <w:top w:val="single" w:sz="8" w:color="0D64EF"/>
            </w:tcBorders>
          </w:tcPr>
          <w:p>
            <w:pPr>
              <w:ind w:left="680"/>
              <w:spacing w:after="0"/>
              <w:rPr>
                <w:sz w:val="20"/>
                <w:szCs w:val="20"/>
                <w:color w:val="auto"/>
              </w:rPr>
            </w:pPr>
            <w:r>
              <w:rPr>
                <w:rFonts w:ascii="Arial" w:cs="Arial" w:eastAsia="Arial" w:hAnsi="Arial"/>
                <w:sz w:val="16"/>
                <w:szCs w:val="16"/>
                <w:color w:val="auto"/>
              </w:rPr>
              <w:t>13</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Independent Directors</w:t>
            </w:r>
          </w:p>
        </w:tc>
        <w:tc>
          <w:tcPr>
            <w:tcW w:w="6240" w:type="dxa"/>
            <w:vAlign w:val="bottom"/>
          </w:tcPr>
          <w:p>
            <w:pPr>
              <w:ind w:left="680"/>
              <w:spacing w:after="0"/>
              <w:rPr>
                <w:sz w:val="20"/>
                <w:szCs w:val="20"/>
                <w:color w:val="auto"/>
              </w:rPr>
            </w:pPr>
            <w:r>
              <w:rPr>
                <w:rFonts w:ascii="Arial" w:cs="Arial" w:eastAsia="Arial" w:hAnsi="Arial"/>
                <w:sz w:val="16"/>
                <w:szCs w:val="16"/>
                <w:color w:val="auto"/>
              </w:rPr>
              <w:t>92%</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Gender diversity on Board</w:t>
            </w:r>
          </w:p>
        </w:tc>
        <w:tc>
          <w:tcPr>
            <w:tcW w:w="6240" w:type="dxa"/>
            <w:vAlign w:val="bottom"/>
          </w:tcPr>
          <w:p>
            <w:pPr>
              <w:ind w:left="680"/>
              <w:spacing w:after="0"/>
              <w:rPr>
                <w:sz w:val="20"/>
                <w:szCs w:val="20"/>
                <w:color w:val="auto"/>
              </w:rPr>
            </w:pPr>
            <w:r>
              <w:rPr>
                <w:rFonts w:ascii="Arial" w:cs="Arial" w:eastAsia="Arial" w:hAnsi="Arial"/>
                <w:sz w:val="16"/>
                <w:szCs w:val="16"/>
                <w:color w:val="auto"/>
              </w:rPr>
              <w:t>38%</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155"/>
        </w:trPr>
        <w:tc>
          <w:tcPr>
            <w:tcW w:w="5000" w:type="dxa"/>
            <w:vAlign w:val="bottom"/>
          </w:tcPr>
          <w:p>
            <w:pPr>
              <w:ind w:left="60"/>
              <w:spacing w:after="0" w:line="155" w:lineRule="exact"/>
              <w:rPr>
                <w:sz w:val="20"/>
                <w:szCs w:val="20"/>
                <w:color w:val="auto"/>
              </w:rPr>
            </w:pPr>
            <w:r>
              <w:rPr>
                <w:rFonts w:ascii="Arial" w:cs="Arial" w:eastAsia="Arial" w:hAnsi="Arial"/>
                <w:sz w:val="16"/>
                <w:szCs w:val="16"/>
                <w:color w:val="auto"/>
              </w:rPr>
              <w:t>Board Diversity Policy</w:t>
            </w:r>
          </w:p>
        </w:tc>
        <w:tc>
          <w:tcPr>
            <w:tcW w:w="6240" w:type="dxa"/>
            <w:vAlign w:val="bottom"/>
          </w:tcPr>
          <w:p>
            <w:pPr>
              <w:ind w:left="680"/>
              <w:spacing w:after="0" w:line="155" w:lineRule="exact"/>
              <w:rPr>
                <w:sz w:val="20"/>
                <w:szCs w:val="20"/>
                <w:color w:val="auto"/>
              </w:rPr>
            </w:pPr>
            <w:r>
              <w:rPr>
                <w:rFonts w:ascii="Arial" w:cs="Arial" w:eastAsia="Arial" w:hAnsi="Arial"/>
                <w:sz w:val="16"/>
                <w:szCs w:val="16"/>
                <w:color w:val="auto"/>
              </w:rPr>
              <w:t>Yes – target of 30% women and at least one racially or ethnically diverse</w:t>
            </w:r>
          </w:p>
        </w:tc>
      </w:tr>
      <w:tr>
        <w:trPr>
          <w:trHeight w:val="214"/>
        </w:trPr>
        <w:tc>
          <w:tcPr>
            <w:tcW w:w="5000" w:type="dxa"/>
            <w:vAlign w:val="bottom"/>
          </w:tcPr>
          <w:p>
            <w:pPr>
              <w:spacing w:after="0"/>
              <w:rPr>
                <w:sz w:val="18"/>
                <w:szCs w:val="18"/>
                <w:color w:val="auto"/>
              </w:rPr>
            </w:pPr>
          </w:p>
        </w:tc>
        <w:tc>
          <w:tcPr>
            <w:tcW w:w="6240" w:type="dxa"/>
            <w:vAlign w:val="bottom"/>
          </w:tcPr>
          <w:p>
            <w:pPr>
              <w:ind w:left="680"/>
              <w:spacing w:after="0"/>
              <w:rPr>
                <w:sz w:val="20"/>
                <w:szCs w:val="20"/>
                <w:color w:val="auto"/>
              </w:rPr>
            </w:pPr>
            <w:r>
              <w:rPr>
                <w:rFonts w:ascii="Arial" w:cs="Arial" w:eastAsia="Arial" w:hAnsi="Arial"/>
                <w:sz w:val="16"/>
                <w:szCs w:val="16"/>
                <w:color w:val="auto"/>
              </w:rPr>
              <w:t>director</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Number of board interlocks</w:t>
            </w:r>
          </w:p>
        </w:tc>
        <w:tc>
          <w:tcPr>
            <w:tcW w:w="6240" w:type="dxa"/>
            <w:vAlign w:val="bottom"/>
          </w:tcPr>
          <w:p>
            <w:pPr>
              <w:ind w:left="680"/>
              <w:spacing w:after="0"/>
              <w:rPr>
                <w:sz w:val="20"/>
                <w:szCs w:val="20"/>
                <w:color w:val="auto"/>
              </w:rPr>
            </w:pPr>
            <w:r>
              <w:rPr>
                <w:rFonts w:ascii="Arial" w:cs="Arial" w:eastAsia="Arial" w:hAnsi="Arial"/>
                <w:sz w:val="16"/>
                <w:szCs w:val="16"/>
                <w:color w:val="auto"/>
              </w:rPr>
              <w:t>0</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155"/>
        </w:trPr>
        <w:tc>
          <w:tcPr>
            <w:tcW w:w="5000" w:type="dxa"/>
            <w:vAlign w:val="bottom"/>
          </w:tcPr>
          <w:p>
            <w:pPr>
              <w:ind w:left="60"/>
              <w:spacing w:after="0" w:line="155" w:lineRule="exact"/>
              <w:rPr>
                <w:sz w:val="20"/>
                <w:szCs w:val="20"/>
                <w:color w:val="auto"/>
              </w:rPr>
            </w:pPr>
            <w:r>
              <w:rPr>
                <w:rFonts w:ascii="Arial" w:cs="Arial" w:eastAsia="Arial" w:hAnsi="Arial"/>
                <w:sz w:val="16"/>
                <w:szCs w:val="16"/>
                <w:color w:val="auto"/>
              </w:rPr>
              <w:t>External board service limits for independent directors</w:t>
            </w:r>
          </w:p>
        </w:tc>
        <w:tc>
          <w:tcPr>
            <w:tcW w:w="6240" w:type="dxa"/>
            <w:vAlign w:val="bottom"/>
          </w:tcPr>
          <w:p>
            <w:pPr>
              <w:ind w:left="680"/>
              <w:spacing w:after="0" w:line="155" w:lineRule="exact"/>
              <w:rPr>
                <w:sz w:val="20"/>
                <w:szCs w:val="20"/>
                <w:color w:val="auto"/>
              </w:rPr>
            </w:pPr>
            <w:r>
              <w:rPr>
                <w:rFonts w:ascii="Arial" w:cs="Arial" w:eastAsia="Arial" w:hAnsi="Arial"/>
                <w:sz w:val="16"/>
                <w:szCs w:val="16"/>
                <w:color w:val="auto"/>
              </w:rPr>
              <w:t>4 public company boards in total. Board chair positions count as two board</w:t>
            </w:r>
          </w:p>
        </w:tc>
      </w:tr>
      <w:tr>
        <w:trPr>
          <w:trHeight w:val="214"/>
        </w:trPr>
        <w:tc>
          <w:tcPr>
            <w:tcW w:w="5000" w:type="dxa"/>
            <w:vAlign w:val="bottom"/>
          </w:tcPr>
          <w:p>
            <w:pPr>
              <w:spacing w:after="0"/>
              <w:rPr>
                <w:sz w:val="18"/>
                <w:szCs w:val="18"/>
                <w:color w:val="auto"/>
              </w:rPr>
            </w:pPr>
          </w:p>
        </w:tc>
        <w:tc>
          <w:tcPr>
            <w:tcW w:w="6240" w:type="dxa"/>
            <w:vAlign w:val="bottom"/>
          </w:tcPr>
          <w:p>
            <w:pPr>
              <w:ind w:left="680"/>
              <w:spacing w:after="0"/>
              <w:rPr>
                <w:sz w:val="20"/>
                <w:szCs w:val="20"/>
                <w:color w:val="auto"/>
              </w:rPr>
            </w:pPr>
            <w:r>
              <w:rPr>
                <w:rFonts w:ascii="Arial" w:cs="Arial" w:eastAsia="Arial" w:hAnsi="Arial"/>
                <w:sz w:val="16"/>
                <w:szCs w:val="16"/>
                <w:color w:val="auto"/>
              </w:rPr>
              <w:t>seats.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Average director age</w:t>
            </w:r>
          </w:p>
        </w:tc>
        <w:tc>
          <w:tcPr>
            <w:tcW w:w="6240" w:type="dxa"/>
            <w:vAlign w:val="bottom"/>
          </w:tcPr>
          <w:p>
            <w:pPr>
              <w:ind w:left="680"/>
              <w:spacing w:after="0"/>
              <w:rPr>
                <w:sz w:val="20"/>
                <w:szCs w:val="20"/>
                <w:color w:val="auto"/>
              </w:rPr>
            </w:pPr>
            <w:r>
              <w:rPr>
                <w:rFonts w:ascii="Arial" w:cs="Arial" w:eastAsia="Arial" w:hAnsi="Arial"/>
                <w:sz w:val="16"/>
                <w:szCs w:val="16"/>
                <w:color w:val="auto"/>
              </w:rPr>
              <w:t>64</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All committees independent</w:t>
            </w:r>
          </w:p>
        </w:tc>
        <w:tc>
          <w:tcPr>
            <w:tcW w:w="6240" w:type="dxa"/>
            <w:vAlign w:val="bottom"/>
          </w:tcPr>
          <w:p>
            <w:pPr>
              <w:ind w:left="680"/>
              <w:spacing w:after="0"/>
              <w:rPr>
                <w:sz w:val="20"/>
                <w:szCs w:val="20"/>
                <w:color w:val="auto"/>
              </w:rPr>
            </w:pPr>
            <w:r>
              <w:rPr>
                <w:rFonts w:ascii="Arial" w:cs="Arial" w:eastAsia="Arial" w:hAnsi="Arial"/>
                <w:sz w:val="16"/>
                <w:szCs w:val="16"/>
                <w:color w:val="auto"/>
              </w:rPr>
              <w:t>Yes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Annual director elections</w:t>
            </w:r>
          </w:p>
        </w:tc>
        <w:tc>
          <w:tcPr>
            <w:tcW w:w="6240" w:type="dxa"/>
            <w:vAlign w:val="bottom"/>
          </w:tcPr>
          <w:p>
            <w:pPr>
              <w:ind w:left="680"/>
              <w:spacing w:after="0"/>
              <w:rPr>
                <w:sz w:val="20"/>
                <w:szCs w:val="20"/>
                <w:color w:val="auto"/>
              </w:rPr>
            </w:pPr>
            <w:r>
              <w:rPr>
                <w:rFonts w:ascii="Arial" w:cs="Arial" w:eastAsia="Arial" w:hAnsi="Arial"/>
                <w:sz w:val="16"/>
                <w:szCs w:val="16"/>
                <w:color w:val="auto"/>
              </w:rPr>
              <w:t>Yes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Individual director elections</w:t>
            </w:r>
          </w:p>
        </w:tc>
        <w:tc>
          <w:tcPr>
            <w:tcW w:w="6240" w:type="dxa"/>
            <w:vAlign w:val="bottom"/>
          </w:tcPr>
          <w:p>
            <w:pPr>
              <w:ind w:left="680"/>
              <w:spacing w:after="0"/>
              <w:rPr>
                <w:sz w:val="20"/>
                <w:szCs w:val="20"/>
                <w:color w:val="auto"/>
              </w:rPr>
            </w:pPr>
            <w:r>
              <w:rPr>
                <w:rFonts w:ascii="Arial" w:cs="Arial" w:eastAsia="Arial" w:hAnsi="Arial"/>
                <w:sz w:val="16"/>
                <w:szCs w:val="16"/>
                <w:color w:val="auto"/>
              </w:rPr>
              <w:t>Yes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Majority Voting Policy</w:t>
            </w:r>
          </w:p>
        </w:tc>
        <w:tc>
          <w:tcPr>
            <w:tcW w:w="6240" w:type="dxa"/>
            <w:vAlign w:val="bottom"/>
          </w:tcPr>
          <w:p>
            <w:pPr>
              <w:ind w:left="680"/>
              <w:spacing w:after="0"/>
              <w:rPr>
                <w:sz w:val="20"/>
                <w:szCs w:val="20"/>
                <w:color w:val="auto"/>
              </w:rPr>
            </w:pPr>
            <w:r>
              <w:rPr>
                <w:rFonts w:ascii="Arial" w:cs="Arial" w:eastAsia="Arial" w:hAnsi="Arial"/>
                <w:sz w:val="16"/>
                <w:szCs w:val="16"/>
                <w:color w:val="auto"/>
              </w:rPr>
              <w:t>Yes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Independent executive compensation consultant</w:t>
            </w:r>
          </w:p>
        </w:tc>
        <w:tc>
          <w:tcPr>
            <w:tcW w:w="6240" w:type="dxa"/>
            <w:vAlign w:val="bottom"/>
          </w:tcPr>
          <w:p>
            <w:pPr>
              <w:ind w:left="680"/>
              <w:spacing w:after="0"/>
              <w:rPr>
                <w:sz w:val="20"/>
                <w:szCs w:val="20"/>
                <w:color w:val="auto"/>
              </w:rPr>
            </w:pPr>
            <w:r>
              <w:rPr>
                <w:rFonts w:ascii="Arial" w:cs="Arial" w:eastAsia="Arial" w:hAnsi="Arial"/>
                <w:sz w:val="16"/>
                <w:szCs w:val="16"/>
                <w:color w:val="auto"/>
              </w:rPr>
              <w:t>Yes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155"/>
        </w:trPr>
        <w:tc>
          <w:tcPr>
            <w:tcW w:w="5000" w:type="dxa"/>
            <w:vAlign w:val="bottom"/>
          </w:tcPr>
          <w:p>
            <w:pPr>
              <w:ind w:left="60"/>
              <w:spacing w:after="0" w:line="155" w:lineRule="exact"/>
              <w:rPr>
                <w:sz w:val="20"/>
                <w:szCs w:val="20"/>
                <w:color w:val="auto"/>
              </w:rPr>
            </w:pPr>
            <w:r>
              <w:rPr>
                <w:rFonts w:ascii="Arial" w:cs="Arial" w:eastAsia="Arial" w:hAnsi="Arial"/>
                <w:sz w:val="16"/>
                <w:szCs w:val="16"/>
                <w:color w:val="auto"/>
              </w:rPr>
              <w:t>Clawback policies</w:t>
            </w:r>
          </w:p>
        </w:tc>
        <w:tc>
          <w:tcPr>
            <w:tcW w:w="6240" w:type="dxa"/>
            <w:vAlign w:val="bottom"/>
          </w:tcPr>
          <w:p>
            <w:pPr>
              <w:ind w:left="680"/>
              <w:spacing w:after="0" w:line="155" w:lineRule="exact"/>
              <w:rPr>
                <w:sz w:val="20"/>
                <w:szCs w:val="20"/>
                <w:color w:val="auto"/>
              </w:rPr>
            </w:pPr>
            <w:r>
              <w:rPr>
                <w:rFonts w:ascii="Arial" w:cs="Arial" w:eastAsia="Arial" w:hAnsi="Arial"/>
                <w:sz w:val="16"/>
                <w:szCs w:val="16"/>
                <w:color w:val="auto"/>
              </w:rPr>
              <w:t>Yes – a policy triggered by financial restatements and a policy triggered by</w:t>
            </w:r>
          </w:p>
        </w:tc>
      </w:tr>
      <w:tr>
        <w:trPr>
          <w:trHeight w:val="214"/>
        </w:trPr>
        <w:tc>
          <w:tcPr>
            <w:tcW w:w="5000" w:type="dxa"/>
            <w:vAlign w:val="bottom"/>
          </w:tcPr>
          <w:p>
            <w:pPr>
              <w:spacing w:after="0"/>
              <w:rPr>
                <w:sz w:val="18"/>
                <w:szCs w:val="18"/>
                <w:color w:val="auto"/>
              </w:rPr>
            </w:pPr>
          </w:p>
        </w:tc>
        <w:tc>
          <w:tcPr>
            <w:tcW w:w="6240" w:type="dxa"/>
            <w:vAlign w:val="bottom"/>
          </w:tcPr>
          <w:p>
            <w:pPr>
              <w:ind w:left="680"/>
              <w:spacing w:after="0"/>
              <w:rPr>
                <w:sz w:val="20"/>
                <w:szCs w:val="20"/>
                <w:color w:val="auto"/>
              </w:rPr>
            </w:pPr>
            <w:r>
              <w:rPr>
                <w:rFonts w:ascii="Arial" w:cs="Arial" w:eastAsia="Arial" w:hAnsi="Arial"/>
                <w:sz w:val="16"/>
                <w:szCs w:val="16"/>
                <w:color w:val="auto"/>
              </w:rPr>
              <w:t>misconduct</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Double-trigger vesting on change of control</w:t>
            </w:r>
          </w:p>
        </w:tc>
        <w:tc>
          <w:tcPr>
            <w:tcW w:w="6240" w:type="dxa"/>
            <w:vAlign w:val="bottom"/>
          </w:tcPr>
          <w:p>
            <w:pPr>
              <w:ind w:left="680"/>
              <w:spacing w:after="0"/>
              <w:rPr>
                <w:sz w:val="20"/>
                <w:szCs w:val="20"/>
                <w:color w:val="auto"/>
              </w:rPr>
            </w:pPr>
            <w:r>
              <w:rPr>
                <w:rFonts w:ascii="Arial" w:cs="Arial" w:eastAsia="Arial" w:hAnsi="Arial"/>
                <w:sz w:val="16"/>
                <w:szCs w:val="16"/>
                <w:color w:val="auto"/>
              </w:rPr>
              <w:t>Yes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Separate chair and CEO</w:t>
            </w:r>
          </w:p>
        </w:tc>
        <w:tc>
          <w:tcPr>
            <w:tcW w:w="6240" w:type="dxa"/>
            <w:vAlign w:val="bottom"/>
          </w:tcPr>
          <w:p>
            <w:pPr>
              <w:ind w:left="680"/>
              <w:spacing w:after="0"/>
              <w:rPr>
                <w:sz w:val="20"/>
                <w:szCs w:val="20"/>
                <w:color w:val="auto"/>
              </w:rPr>
            </w:pPr>
            <w:r>
              <w:rPr>
                <w:rFonts w:ascii="Arial" w:cs="Arial" w:eastAsia="Arial" w:hAnsi="Arial"/>
                <w:sz w:val="16"/>
                <w:szCs w:val="16"/>
                <w:color w:val="auto"/>
              </w:rPr>
              <w:t>Yes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194"/>
        </w:trPr>
        <w:tc>
          <w:tcPr>
            <w:tcW w:w="5000" w:type="dxa"/>
            <w:vAlign w:val="bottom"/>
          </w:tcPr>
          <w:p>
            <w:pPr>
              <w:ind w:left="60"/>
              <w:spacing w:after="0"/>
              <w:rPr>
                <w:sz w:val="20"/>
                <w:szCs w:val="20"/>
                <w:color w:val="auto"/>
              </w:rPr>
            </w:pPr>
            <w:r>
              <w:rPr>
                <w:rFonts w:ascii="Arial" w:cs="Arial" w:eastAsia="Arial" w:hAnsi="Arial"/>
                <w:sz w:val="16"/>
                <w:szCs w:val="16"/>
                <w:color w:val="auto"/>
              </w:rPr>
              <w:t>Director retirement age/term limit</w:t>
            </w:r>
          </w:p>
        </w:tc>
        <w:tc>
          <w:tcPr>
            <w:tcW w:w="6240" w:type="dxa"/>
            <w:vAlign w:val="bottom"/>
          </w:tcPr>
          <w:p>
            <w:pPr>
              <w:ind w:left="680"/>
              <w:spacing w:after="0"/>
              <w:rPr>
                <w:sz w:val="20"/>
                <w:szCs w:val="20"/>
                <w:color w:val="auto"/>
              </w:rPr>
            </w:pPr>
            <w:r>
              <w:rPr>
                <w:rFonts w:ascii="Arial" w:cs="Arial" w:eastAsia="Arial" w:hAnsi="Arial"/>
                <w:sz w:val="16"/>
                <w:szCs w:val="16"/>
                <w:color w:val="auto"/>
              </w:rPr>
              <w:t>The earlier of a director turning 75 or attaining 15 years of service.</w:t>
            </w:r>
          </w:p>
        </w:tc>
      </w:tr>
      <w:tr>
        <w:trPr>
          <w:trHeight w:val="214"/>
        </w:trPr>
        <w:tc>
          <w:tcPr>
            <w:tcW w:w="5000" w:type="dxa"/>
            <w:vAlign w:val="bottom"/>
          </w:tcPr>
          <w:p>
            <w:pPr>
              <w:spacing w:after="0"/>
              <w:rPr>
                <w:sz w:val="18"/>
                <w:szCs w:val="18"/>
                <w:color w:val="auto"/>
              </w:rPr>
            </w:pPr>
          </w:p>
        </w:tc>
        <w:tc>
          <w:tcPr>
            <w:tcW w:w="6240" w:type="dxa"/>
            <w:vAlign w:val="bottom"/>
          </w:tcPr>
          <w:p>
            <w:pPr>
              <w:ind w:left="680"/>
              <w:spacing w:after="0"/>
              <w:rPr>
                <w:sz w:val="20"/>
                <w:szCs w:val="20"/>
                <w:color w:val="auto"/>
              </w:rPr>
            </w:pPr>
            <w:r>
              <w:rPr>
                <w:rFonts w:ascii="Arial" w:cs="Arial" w:eastAsia="Arial" w:hAnsi="Arial"/>
                <w:sz w:val="16"/>
                <w:szCs w:val="16"/>
                <w:color w:val="auto"/>
              </w:rPr>
              <w:t>Notwithstanding age limits, a director is eligible to serve a term of 8 years.</w:t>
            </w:r>
          </w:p>
        </w:tc>
      </w:tr>
      <w:tr>
        <w:trPr>
          <w:trHeight w:val="29"/>
        </w:trPr>
        <w:tc>
          <w:tcPr>
            <w:tcW w:w="5000" w:type="dxa"/>
            <w:vAlign w:val="bottom"/>
            <w:tcBorders>
              <w:bottom w:val="single" w:sz="8" w:color="B2B2B2"/>
            </w:tcBorders>
          </w:tcPr>
          <w:p>
            <w:pPr>
              <w:spacing w:after="0"/>
              <w:rPr>
                <w:sz w:val="2"/>
                <w:szCs w:val="2"/>
                <w:color w:val="auto"/>
              </w:rPr>
            </w:pPr>
          </w:p>
        </w:tc>
        <w:tc>
          <w:tcPr>
            <w:tcW w:w="6240" w:type="dxa"/>
            <w:vAlign w:val="bottom"/>
            <w:tcBorders>
              <w:bottom w:val="single" w:sz="8" w:color="B2B2B2"/>
            </w:tcBorders>
          </w:tcPr>
          <w:p>
            <w:pPr>
              <w:spacing w:after="0"/>
              <w:rPr>
                <w:sz w:val="2"/>
                <w:szCs w:val="2"/>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Director share ownership requirements</w:t>
            </w:r>
          </w:p>
        </w:tc>
        <w:tc>
          <w:tcPr>
            <w:tcW w:w="6240" w:type="dxa"/>
            <w:vAlign w:val="bottom"/>
          </w:tcPr>
          <w:p>
            <w:pPr>
              <w:ind w:left="680"/>
              <w:spacing w:after="0"/>
              <w:rPr>
                <w:sz w:val="20"/>
                <w:szCs w:val="20"/>
                <w:color w:val="auto"/>
              </w:rPr>
            </w:pPr>
            <w:r>
              <w:rPr>
                <w:rFonts w:ascii="Arial" w:cs="Arial" w:eastAsia="Arial" w:hAnsi="Arial"/>
                <w:sz w:val="16"/>
                <w:szCs w:val="16"/>
                <w:color w:val="auto"/>
              </w:rPr>
              <w:t>4x retainer</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CEO share ownership post-retirement hold period</w:t>
            </w:r>
          </w:p>
        </w:tc>
        <w:tc>
          <w:tcPr>
            <w:tcW w:w="6240" w:type="dxa"/>
            <w:vAlign w:val="bottom"/>
          </w:tcPr>
          <w:p>
            <w:pPr>
              <w:ind w:left="680"/>
              <w:spacing w:after="0"/>
              <w:rPr>
                <w:sz w:val="20"/>
                <w:szCs w:val="20"/>
                <w:color w:val="auto"/>
              </w:rPr>
            </w:pPr>
            <w:r>
              <w:rPr>
                <w:rFonts w:ascii="Arial" w:cs="Arial" w:eastAsia="Arial" w:hAnsi="Arial"/>
                <w:sz w:val="16"/>
                <w:szCs w:val="16"/>
                <w:color w:val="auto"/>
              </w:rPr>
              <w:t>1 year</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i w:val="1"/>
                <w:iCs w:val="1"/>
                <w:color w:val="auto"/>
              </w:rPr>
              <w:t xml:space="preserve">In-camera </w:t>
            </w:r>
            <w:r>
              <w:rPr>
                <w:rFonts w:ascii="Arial" w:cs="Arial" w:eastAsia="Arial" w:hAnsi="Arial"/>
                <w:sz w:val="16"/>
                <w:szCs w:val="16"/>
                <w:color w:val="auto"/>
              </w:rPr>
              <w:t>sessions at every Board and Committee meeting</w:t>
            </w:r>
          </w:p>
        </w:tc>
        <w:tc>
          <w:tcPr>
            <w:tcW w:w="6240" w:type="dxa"/>
            <w:vAlign w:val="bottom"/>
          </w:tcPr>
          <w:p>
            <w:pPr>
              <w:ind w:left="680"/>
              <w:spacing w:after="0"/>
              <w:rPr>
                <w:sz w:val="20"/>
                <w:szCs w:val="20"/>
                <w:color w:val="auto"/>
              </w:rPr>
            </w:pPr>
            <w:r>
              <w:rPr>
                <w:rFonts w:ascii="Arial" w:cs="Arial" w:eastAsia="Arial" w:hAnsi="Arial"/>
                <w:sz w:val="16"/>
                <w:szCs w:val="16"/>
                <w:color w:val="auto"/>
              </w:rPr>
              <w:t>Yes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Code of business ethics</w:t>
            </w:r>
          </w:p>
        </w:tc>
        <w:tc>
          <w:tcPr>
            <w:tcW w:w="6240" w:type="dxa"/>
            <w:vAlign w:val="bottom"/>
          </w:tcPr>
          <w:p>
            <w:pPr>
              <w:ind w:left="680"/>
              <w:spacing w:after="0"/>
              <w:rPr>
                <w:sz w:val="20"/>
                <w:szCs w:val="20"/>
                <w:color w:val="auto"/>
              </w:rPr>
            </w:pPr>
            <w:r>
              <w:rPr>
                <w:rFonts w:ascii="Arial" w:cs="Arial" w:eastAsia="Arial" w:hAnsi="Arial"/>
                <w:sz w:val="16"/>
                <w:szCs w:val="16"/>
                <w:color w:val="auto"/>
              </w:rPr>
              <w:t>Yes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Board, committee and director evaluations annually</w:t>
            </w:r>
          </w:p>
        </w:tc>
        <w:tc>
          <w:tcPr>
            <w:tcW w:w="6240" w:type="dxa"/>
            <w:vAlign w:val="bottom"/>
          </w:tcPr>
          <w:p>
            <w:pPr>
              <w:ind w:left="680"/>
              <w:spacing w:after="0"/>
              <w:rPr>
                <w:sz w:val="20"/>
                <w:szCs w:val="20"/>
                <w:color w:val="auto"/>
              </w:rPr>
            </w:pPr>
            <w:r>
              <w:rPr>
                <w:rFonts w:ascii="Arial" w:cs="Arial" w:eastAsia="Arial" w:hAnsi="Arial"/>
                <w:sz w:val="16"/>
                <w:szCs w:val="16"/>
                <w:color w:val="auto"/>
              </w:rPr>
              <w:t>Yes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7"/>
        </w:trPr>
        <w:tc>
          <w:tcPr>
            <w:tcW w:w="5000" w:type="dxa"/>
            <w:vAlign w:val="bottom"/>
          </w:tcPr>
          <w:p>
            <w:pPr>
              <w:ind w:left="60"/>
              <w:spacing w:after="0"/>
              <w:rPr>
                <w:sz w:val="20"/>
                <w:szCs w:val="20"/>
                <w:color w:val="auto"/>
              </w:rPr>
            </w:pPr>
            <w:r>
              <w:rPr>
                <w:rFonts w:ascii="Arial" w:cs="Arial" w:eastAsia="Arial" w:hAnsi="Arial"/>
                <w:sz w:val="16"/>
                <w:szCs w:val="16"/>
                <w:color w:val="auto"/>
              </w:rPr>
              <w:t>Board orientation and education program</w:t>
            </w:r>
          </w:p>
        </w:tc>
        <w:tc>
          <w:tcPr>
            <w:tcW w:w="6240" w:type="dxa"/>
            <w:vAlign w:val="bottom"/>
          </w:tcPr>
          <w:p>
            <w:pPr>
              <w:ind w:left="680"/>
              <w:spacing w:after="0"/>
              <w:rPr>
                <w:sz w:val="20"/>
                <w:szCs w:val="20"/>
                <w:color w:val="auto"/>
              </w:rPr>
            </w:pPr>
            <w:r>
              <w:rPr>
                <w:rFonts w:ascii="Arial" w:cs="Arial" w:eastAsia="Arial" w:hAnsi="Arial"/>
                <w:sz w:val="16"/>
                <w:szCs w:val="16"/>
                <w:color w:val="auto"/>
              </w:rPr>
              <w:t>Yes</w:t>
            </w:r>
          </w:p>
        </w:tc>
      </w:tr>
      <w:tr>
        <w:trPr>
          <w:trHeight w:val="41"/>
        </w:trPr>
        <w:tc>
          <w:tcPr>
            <w:tcW w:w="5000" w:type="dxa"/>
            <w:vAlign w:val="bottom"/>
            <w:tcBorders>
              <w:bottom w:val="single" w:sz="8" w:color="B2B2B2"/>
            </w:tcBorders>
          </w:tcPr>
          <w:p>
            <w:pPr>
              <w:spacing w:after="0"/>
              <w:rPr>
                <w:sz w:val="3"/>
                <w:szCs w:val="3"/>
                <w:color w:val="auto"/>
              </w:rPr>
            </w:pPr>
          </w:p>
        </w:tc>
        <w:tc>
          <w:tcPr>
            <w:tcW w:w="6240" w:type="dxa"/>
            <w:vAlign w:val="bottom"/>
            <w:tcBorders>
              <w:bottom w:val="single" w:sz="8" w:color="B2B2B2"/>
            </w:tcBorders>
          </w:tcPr>
          <w:p>
            <w:pPr>
              <w:spacing w:after="0"/>
              <w:rPr>
                <w:sz w:val="3"/>
                <w:szCs w:val="3"/>
                <w:color w:val="auto"/>
              </w:rPr>
            </w:pPr>
          </w:p>
        </w:tc>
      </w:tr>
      <w:tr>
        <w:trPr>
          <w:trHeight w:val="208"/>
        </w:trPr>
        <w:tc>
          <w:tcPr>
            <w:tcW w:w="5000" w:type="dxa"/>
            <w:vAlign w:val="bottom"/>
            <w:tcBorders>
              <w:bottom w:val="single" w:sz="8" w:color="B2B2B2"/>
            </w:tcBorders>
          </w:tcPr>
          <w:p>
            <w:pPr>
              <w:ind w:left="60"/>
              <w:spacing w:after="0"/>
              <w:rPr>
                <w:sz w:val="20"/>
                <w:szCs w:val="20"/>
                <w:color w:val="auto"/>
              </w:rPr>
            </w:pPr>
            <w:r>
              <w:rPr>
                <w:rFonts w:ascii="Arial" w:cs="Arial" w:eastAsia="Arial" w:hAnsi="Arial"/>
                <w:sz w:val="16"/>
                <w:szCs w:val="16"/>
                <w:color w:val="auto"/>
              </w:rPr>
              <w:t>Artificial intelligence governance framework</w:t>
            </w:r>
          </w:p>
        </w:tc>
        <w:tc>
          <w:tcPr>
            <w:tcW w:w="6240" w:type="dxa"/>
            <w:vAlign w:val="bottom"/>
            <w:tcBorders>
              <w:bottom w:val="single" w:sz="8" w:color="B2B2B2"/>
            </w:tcBorders>
          </w:tcPr>
          <w:p>
            <w:pPr>
              <w:ind w:left="680"/>
              <w:spacing w:after="0"/>
              <w:rPr>
                <w:sz w:val="20"/>
                <w:szCs w:val="20"/>
                <w:color w:val="auto"/>
              </w:rPr>
            </w:pPr>
            <w:r>
              <w:rPr>
                <w:rFonts w:ascii="Arial" w:cs="Arial" w:eastAsia="Arial" w:hAnsi="Arial"/>
                <w:sz w:val="16"/>
                <w:szCs w:val="16"/>
                <w:color w:val="auto"/>
              </w:rPr>
              <w:t>Yes</w:t>
            </w:r>
          </w:p>
        </w:tc>
      </w:tr>
      <w:tr>
        <w:trPr>
          <w:trHeight w:val="208"/>
        </w:trPr>
        <w:tc>
          <w:tcPr>
            <w:tcW w:w="5000" w:type="dxa"/>
            <w:vAlign w:val="bottom"/>
            <w:tcBorders>
              <w:bottom w:val="single" w:sz="8" w:color="0D64EF"/>
            </w:tcBorders>
          </w:tcPr>
          <w:p>
            <w:pPr>
              <w:ind w:left="80"/>
              <w:spacing w:after="0"/>
              <w:rPr>
                <w:sz w:val="20"/>
                <w:szCs w:val="20"/>
                <w:color w:val="auto"/>
              </w:rPr>
            </w:pPr>
            <w:r>
              <w:rPr>
                <w:rFonts w:ascii="Arial" w:cs="Arial" w:eastAsia="Arial" w:hAnsi="Arial"/>
                <w:sz w:val="16"/>
                <w:szCs w:val="16"/>
                <w:color w:val="auto"/>
              </w:rPr>
              <w:t>Cybersecurity programs, training and strategy</w:t>
            </w:r>
          </w:p>
        </w:tc>
        <w:tc>
          <w:tcPr>
            <w:tcW w:w="6240" w:type="dxa"/>
            <w:vAlign w:val="bottom"/>
            <w:tcBorders>
              <w:bottom w:val="single" w:sz="8" w:color="0D64EF"/>
            </w:tcBorders>
          </w:tcPr>
          <w:p>
            <w:pPr>
              <w:ind w:left="680"/>
              <w:spacing w:after="0"/>
              <w:rPr>
                <w:sz w:val="20"/>
                <w:szCs w:val="20"/>
                <w:color w:val="auto"/>
              </w:rPr>
            </w:pPr>
            <w:r>
              <w:rPr>
                <w:rFonts w:ascii="Arial" w:cs="Arial" w:eastAsia="Arial" w:hAnsi="Arial"/>
                <w:sz w:val="16"/>
                <w:szCs w:val="16"/>
                <w:color w:val="auto"/>
              </w:rPr>
              <w:t>Yes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5</w:t>
      </w:r>
    </w:p>
    <w:p>
      <w:pPr>
        <w:sectPr>
          <w:pgSz w:w="11900" w:h="16838" w:orient="portrait"/>
          <w:cols w:equalWidth="0" w:num="1">
            <w:col w:w="11240"/>
          </w:cols>
          <w:pgMar w:left="320" w:top="1097"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0D64EF"/>
        </w:rPr>
        <w:t>COMPENSATION</w:t>
      </w:r>
    </w:p>
    <w:p>
      <w:pPr>
        <w:spacing w:after="0" w:line="48" w:lineRule="exact"/>
        <w:rPr>
          <w:sz w:val="20"/>
          <w:szCs w:val="20"/>
          <w:color w:val="auto"/>
        </w:rPr>
      </w:pPr>
    </w:p>
    <w:p>
      <w:pPr>
        <w:ind w:right="20"/>
        <w:spacing w:after="0" w:line="337" w:lineRule="auto"/>
        <w:rPr>
          <w:sz w:val="20"/>
          <w:szCs w:val="20"/>
          <w:color w:val="auto"/>
        </w:rPr>
      </w:pPr>
      <w:r>
        <w:rPr>
          <w:rFonts w:ascii="Arial" w:cs="Arial" w:eastAsia="Arial" w:hAnsi="Arial"/>
          <w:sz w:val="16"/>
          <w:szCs w:val="16"/>
          <w:color w:val="auto"/>
        </w:rPr>
        <w:t>TC Energy's compensation programs are designed to 'pay for performance' by rewarding employees, including our executives, for delivering results that meet or exceed our corporate objectives and support our overall strategy.</w:t>
      </w:r>
    </w:p>
    <w:p>
      <w:pPr>
        <w:spacing w:after="0" w:line="48" w:lineRule="exact"/>
        <w:rPr>
          <w:sz w:val="20"/>
          <w:szCs w:val="20"/>
          <w:color w:val="auto"/>
        </w:rPr>
      </w:pPr>
    </w:p>
    <w:p>
      <w:pPr>
        <w:ind w:right="40"/>
        <w:spacing w:after="0" w:line="326" w:lineRule="auto"/>
        <w:rPr>
          <w:sz w:val="20"/>
          <w:szCs w:val="20"/>
          <w:color w:val="auto"/>
        </w:rPr>
      </w:pPr>
      <w:r>
        <w:rPr>
          <w:rFonts w:ascii="Arial" w:cs="Arial" w:eastAsia="Arial" w:hAnsi="Arial"/>
          <w:sz w:val="16"/>
          <w:szCs w:val="16"/>
          <w:color w:val="auto"/>
        </w:rPr>
        <w:t>In order to attract, engage and retain high-performing employees, we review our programs each year to ensure we offer compensation that is market competitive. Our target compensation levels are determined with reference to median levels in our peer group. Actual performance that exceeds expectations can result in compensation above market median levels.</w:t>
      </w:r>
    </w:p>
    <w:p>
      <w:pPr>
        <w:spacing w:after="0" w:line="43" w:lineRule="exact"/>
        <w:rPr>
          <w:sz w:val="20"/>
          <w:szCs w:val="20"/>
          <w:color w:val="auto"/>
        </w:rPr>
      </w:pPr>
    </w:p>
    <w:p>
      <w:pPr>
        <w:ind w:right="2880"/>
        <w:spacing w:after="0" w:line="326" w:lineRule="auto"/>
        <w:rPr>
          <w:sz w:val="20"/>
          <w:szCs w:val="20"/>
          <w:color w:val="auto"/>
        </w:rPr>
      </w:pPr>
      <w:r>
        <w:rPr>
          <w:rFonts w:ascii="Arial" w:cs="Arial" w:eastAsia="Arial" w:hAnsi="Arial"/>
          <w:sz w:val="16"/>
          <w:szCs w:val="16"/>
          <w:color w:val="auto"/>
        </w:rPr>
        <w:t>Our compensation programs are intended to align the executives' interests with those of our various stakeholders. The Human Resources Committee and the Board place a significant emphasis on variable compensation, particularly long-term incentives, when determining the total direct compensation for our executives.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best practices include: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540" w:type="dxa"/>
            <w:vAlign w:val="bottom"/>
            <w:tcBorders>
              <w:top w:val="single" w:sz="8" w:color="0D64EF"/>
              <w:bottom w:val="single" w:sz="8" w:color="B2B2B2"/>
            </w:tcBorders>
          </w:tcPr>
          <w:p>
            <w:pPr>
              <w:ind w:left="20"/>
              <w:spacing w:after="0"/>
              <w:rPr>
                <w:sz w:val="20"/>
                <w:szCs w:val="20"/>
                <w:color w:val="auto"/>
              </w:rPr>
            </w:pPr>
            <w:r>
              <w:rPr>
                <w:rFonts w:ascii="Arial" w:cs="Arial" w:eastAsia="Arial" w:hAnsi="Arial"/>
                <w:sz w:val="16"/>
                <w:szCs w:val="16"/>
                <w:color w:val="auto"/>
              </w:rPr>
              <w:t>Annual board, committee and director evaluations</w:t>
            </w:r>
          </w:p>
        </w:tc>
        <w:tc>
          <w:tcPr>
            <w:tcW w:w="5700" w:type="dxa"/>
            <w:vAlign w:val="bottom"/>
            <w:tcBorders>
              <w:top w:val="single" w:sz="8" w:color="0D64EF"/>
              <w:bottom w:val="single" w:sz="8" w:color="B2B2B2"/>
            </w:tcBorders>
            <w:gridSpan w:val="2"/>
          </w:tcPr>
          <w:p>
            <w:pPr>
              <w:ind w:left="240"/>
              <w:spacing w:after="0"/>
              <w:rPr>
                <w:sz w:val="20"/>
                <w:szCs w:val="20"/>
                <w:color w:val="auto"/>
              </w:rPr>
            </w:pPr>
            <w:r>
              <w:rPr>
                <w:rFonts w:ascii="Arial" w:cs="Arial" w:eastAsia="Arial" w:hAnsi="Arial"/>
                <w:sz w:val="16"/>
                <w:szCs w:val="16"/>
                <w:color w:val="auto"/>
              </w:rPr>
              <w:t>Yes</w:t>
            </w:r>
          </w:p>
        </w:tc>
      </w:tr>
      <w:tr>
        <w:trPr>
          <w:trHeight w:val="214"/>
        </w:trPr>
        <w:tc>
          <w:tcPr>
            <w:tcW w:w="5540" w:type="dxa"/>
            <w:vAlign w:val="bottom"/>
          </w:tcPr>
          <w:p>
            <w:pPr>
              <w:ind w:left="20"/>
              <w:spacing w:after="0"/>
              <w:rPr>
                <w:sz w:val="20"/>
                <w:szCs w:val="20"/>
                <w:color w:val="auto"/>
              </w:rPr>
            </w:pPr>
            <w:r>
              <w:rPr>
                <w:rFonts w:ascii="Arial" w:cs="Arial" w:eastAsia="Arial" w:hAnsi="Arial"/>
                <w:sz w:val="16"/>
                <w:szCs w:val="16"/>
                <w:color w:val="auto"/>
              </w:rPr>
              <w:t>Benchmarking director and executive compensation against size</w:t>
            </w:r>
          </w:p>
        </w:tc>
        <w:tc>
          <w:tcPr>
            <w:tcW w:w="5700" w:type="dxa"/>
            <w:vAlign w:val="bottom"/>
            <w:gridSpan w:val="2"/>
          </w:tcPr>
          <w:p>
            <w:pPr>
              <w:ind w:left="240"/>
              <w:spacing w:after="0"/>
              <w:rPr>
                <w:sz w:val="20"/>
                <w:szCs w:val="20"/>
                <w:color w:val="auto"/>
              </w:rPr>
            </w:pPr>
            <w:r>
              <w:rPr>
                <w:rFonts w:ascii="Arial" w:cs="Arial" w:eastAsia="Arial" w:hAnsi="Arial"/>
                <w:sz w:val="16"/>
                <w:szCs w:val="16"/>
                <w:color w:val="auto"/>
              </w:rPr>
              <w:t>Yes</w:t>
            </w:r>
          </w:p>
        </w:tc>
      </w:tr>
      <w:tr>
        <w:trPr>
          <w:trHeight w:val="223"/>
        </w:trPr>
        <w:tc>
          <w:tcPr>
            <w:tcW w:w="5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appropriate peer groups to assess competitiveness and fairness</w:t>
            </w:r>
          </w:p>
        </w:tc>
        <w:tc>
          <w:tcPr>
            <w:tcW w:w="420" w:type="dxa"/>
            <w:vAlign w:val="bottom"/>
            <w:tcBorders>
              <w:bottom w:val="single" w:sz="8" w:color="B2B2B2"/>
            </w:tcBorders>
          </w:tcPr>
          <w:p>
            <w:pPr>
              <w:spacing w:after="0"/>
              <w:rPr>
                <w:sz w:val="19"/>
                <w:szCs w:val="19"/>
                <w:color w:val="auto"/>
              </w:rPr>
            </w:pPr>
          </w:p>
        </w:tc>
        <w:tc>
          <w:tcPr>
            <w:tcW w:w="5280" w:type="dxa"/>
            <w:vAlign w:val="bottom"/>
            <w:tcBorders>
              <w:bottom w:val="single" w:sz="8" w:color="B2B2B2"/>
            </w:tcBorders>
          </w:tcPr>
          <w:p>
            <w:pPr>
              <w:spacing w:after="0"/>
              <w:rPr>
                <w:sz w:val="19"/>
                <w:szCs w:val="19"/>
                <w:color w:val="auto"/>
              </w:rPr>
            </w:pPr>
          </w:p>
        </w:tc>
      </w:tr>
      <w:tr>
        <w:trPr>
          <w:trHeight w:val="214"/>
        </w:trPr>
        <w:tc>
          <w:tcPr>
            <w:tcW w:w="5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Maximums on variable compensation payments</w:t>
            </w:r>
          </w:p>
        </w:tc>
        <w:tc>
          <w:tcPr>
            <w:tcW w:w="5700" w:type="dxa"/>
            <w:vAlign w:val="bottom"/>
            <w:tcBorders>
              <w:bottom w:val="single" w:sz="8" w:color="B2B2B2"/>
            </w:tcBorders>
            <w:gridSpan w:val="2"/>
          </w:tcPr>
          <w:p>
            <w:pPr>
              <w:ind w:left="240"/>
              <w:spacing w:after="0"/>
              <w:rPr>
                <w:sz w:val="20"/>
                <w:szCs w:val="20"/>
                <w:color w:val="auto"/>
              </w:rPr>
            </w:pPr>
            <w:r>
              <w:rPr>
                <w:rFonts w:ascii="Arial" w:cs="Arial" w:eastAsia="Arial" w:hAnsi="Arial"/>
                <w:sz w:val="16"/>
                <w:szCs w:val="16"/>
                <w:color w:val="auto"/>
              </w:rPr>
              <w:t>Yes</w:t>
            </w:r>
          </w:p>
        </w:tc>
      </w:tr>
      <w:tr>
        <w:trPr>
          <w:trHeight w:val="208"/>
        </w:trPr>
        <w:tc>
          <w:tcPr>
            <w:tcW w:w="5540" w:type="dxa"/>
            <w:vAlign w:val="bottom"/>
          </w:tcPr>
          <w:p>
            <w:pPr>
              <w:ind w:left="20"/>
              <w:spacing w:after="0"/>
              <w:rPr>
                <w:sz w:val="20"/>
                <w:szCs w:val="20"/>
                <w:color w:val="auto"/>
              </w:rPr>
            </w:pPr>
            <w:r>
              <w:rPr>
                <w:rFonts w:ascii="Arial" w:cs="Arial" w:eastAsia="Arial" w:hAnsi="Arial"/>
                <w:sz w:val="16"/>
                <w:szCs w:val="16"/>
                <w:color w:val="auto"/>
              </w:rPr>
              <w:t>Incentive Compensation Reimbursement and Holdback Policy (Clawback</w:t>
            </w:r>
          </w:p>
        </w:tc>
        <w:tc>
          <w:tcPr>
            <w:tcW w:w="5700" w:type="dxa"/>
            <w:vAlign w:val="bottom"/>
            <w:gridSpan w:val="2"/>
          </w:tcPr>
          <w:p>
            <w:pPr>
              <w:ind w:left="240"/>
              <w:spacing w:after="0"/>
              <w:rPr>
                <w:sz w:val="20"/>
                <w:szCs w:val="20"/>
                <w:color w:val="auto"/>
              </w:rPr>
            </w:pPr>
            <w:r>
              <w:rPr>
                <w:rFonts w:ascii="Arial" w:cs="Arial" w:eastAsia="Arial" w:hAnsi="Arial"/>
                <w:sz w:val="16"/>
                <w:szCs w:val="16"/>
                <w:color w:val="auto"/>
              </w:rPr>
              <w:t>Yes</w:t>
            </w:r>
          </w:p>
        </w:tc>
      </w:tr>
      <w:tr>
        <w:trPr>
          <w:trHeight w:val="188"/>
        </w:trPr>
        <w:tc>
          <w:tcPr>
            <w:tcW w:w="5540" w:type="dxa"/>
            <w:vAlign w:val="bottom"/>
          </w:tcPr>
          <w:p>
            <w:pPr>
              <w:ind w:left="20"/>
              <w:spacing w:after="0"/>
              <w:rPr>
                <w:sz w:val="20"/>
                <w:szCs w:val="20"/>
                <w:color w:val="auto"/>
              </w:rPr>
            </w:pPr>
            <w:r>
              <w:rPr>
                <w:rFonts w:ascii="Arial" w:cs="Arial" w:eastAsia="Arial" w:hAnsi="Arial"/>
                <w:sz w:val="16"/>
                <w:szCs w:val="16"/>
                <w:color w:val="auto"/>
              </w:rPr>
              <w:t>Policy), Recoupment and Holdback Policy for Detrimental Misconduct and</w:t>
            </w:r>
          </w:p>
        </w:tc>
        <w:tc>
          <w:tcPr>
            <w:tcW w:w="420" w:type="dxa"/>
            <w:vAlign w:val="bottom"/>
          </w:tcPr>
          <w:p>
            <w:pPr>
              <w:spacing w:after="0"/>
              <w:rPr>
                <w:sz w:val="16"/>
                <w:szCs w:val="16"/>
                <w:color w:val="auto"/>
              </w:rPr>
            </w:pPr>
          </w:p>
        </w:tc>
        <w:tc>
          <w:tcPr>
            <w:tcW w:w="5280" w:type="dxa"/>
            <w:vAlign w:val="bottom"/>
          </w:tcPr>
          <w:p>
            <w:pPr>
              <w:spacing w:after="0"/>
              <w:rPr>
                <w:sz w:val="16"/>
                <w:szCs w:val="16"/>
                <w:color w:val="auto"/>
              </w:rPr>
            </w:pPr>
          </w:p>
        </w:tc>
      </w:tr>
      <w:tr>
        <w:trPr>
          <w:trHeight w:val="223"/>
        </w:trPr>
        <w:tc>
          <w:tcPr>
            <w:tcW w:w="5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Anti-Hedging Policy</w:t>
            </w:r>
          </w:p>
        </w:tc>
        <w:tc>
          <w:tcPr>
            <w:tcW w:w="420" w:type="dxa"/>
            <w:vAlign w:val="bottom"/>
            <w:tcBorders>
              <w:bottom w:val="single" w:sz="8" w:color="B2B2B2"/>
            </w:tcBorders>
          </w:tcPr>
          <w:p>
            <w:pPr>
              <w:spacing w:after="0"/>
              <w:rPr>
                <w:sz w:val="19"/>
                <w:szCs w:val="19"/>
                <w:color w:val="auto"/>
              </w:rPr>
            </w:pPr>
          </w:p>
        </w:tc>
        <w:tc>
          <w:tcPr>
            <w:tcW w:w="5280" w:type="dxa"/>
            <w:vAlign w:val="bottom"/>
            <w:tcBorders>
              <w:bottom w:val="single" w:sz="8" w:color="B2B2B2"/>
            </w:tcBorders>
          </w:tcPr>
          <w:p>
            <w:pPr>
              <w:spacing w:after="0"/>
              <w:rPr>
                <w:sz w:val="19"/>
                <w:szCs w:val="19"/>
                <w:color w:val="auto"/>
              </w:rPr>
            </w:pPr>
          </w:p>
        </w:tc>
      </w:tr>
      <w:tr>
        <w:trPr>
          <w:trHeight w:val="214"/>
        </w:trPr>
        <w:tc>
          <w:tcPr>
            <w:tcW w:w="5540" w:type="dxa"/>
            <w:vAlign w:val="bottom"/>
          </w:tcPr>
          <w:p>
            <w:pPr>
              <w:ind w:left="20"/>
              <w:spacing w:after="0"/>
              <w:rPr>
                <w:sz w:val="20"/>
                <w:szCs w:val="20"/>
                <w:color w:val="auto"/>
              </w:rPr>
            </w:pPr>
            <w:r>
              <w:rPr>
                <w:rFonts w:ascii="Arial" w:cs="Arial" w:eastAsia="Arial" w:hAnsi="Arial"/>
                <w:sz w:val="16"/>
                <w:szCs w:val="16"/>
                <w:color w:val="auto"/>
              </w:rPr>
              <w:t>Executive share ownership requirements</w:t>
            </w:r>
          </w:p>
        </w:tc>
        <w:tc>
          <w:tcPr>
            <w:tcW w:w="420" w:type="dxa"/>
            <w:vAlign w:val="bottom"/>
          </w:tcPr>
          <w:p>
            <w:pPr>
              <w:ind w:left="240"/>
              <w:spacing w:after="0"/>
              <w:rPr>
                <w:sz w:val="20"/>
                <w:szCs w:val="20"/>
                <w:color w:val="auto"/>
              </w:rPr>
            </w:pPr>
            <w:r>
              <w:rPr>
                <w:rFonts w:ascii="Arial" w:cs="Arial" w:eastAsia="Arial" w:hAnsi="Arial"/>
                <w:sz w:val="16"/>
                <w:szCs w:val="16"/>
                <w:color w:val="auto"/>
                <w:w w:val="94"/>
              </w:rPr>
              <w:t>6x</w:t>
            </w:r>
          </w:p>
        </w:tc>
        <w:tc>
          <w:tcPr>
            <w:tcW w:w="5280" w:type="dxa"/>
            <w:vAlign w:val="bottom"/>
          </w:tcPr>
          <w:p>
            <w:pPr>
              <w:ind w:left="40"/>
              <w:spacing w:after="0"/>
              <w:rPr>
                <w:sz w:val="20"/>
                <w:szCs w:val="20"/>
                <w:color w:val="auto"/>
              </w:rPr>
            </w:pPr>
            <w:r>
              <w:rPr>
                <w:rFonts w:ascii="Arial" w:cs="Arial" w:eastAsia="Arial" w:hAnsi="Arial"/>
                <w:sz w:val="16"/>
                <w:szCs w:val="16"/>
                <w:color w:val="auto"/>
              </w:rPr>
              <w:t>(CEO)</w:t>
            </w:r>
          </w:p>
        </w:tc>
      </w:tr>
      <w:tr>
        <w:trPr>
          <w:trHeight w:val="188"/>
        </w:trPr>
        <w:tc>
          <w:tcPr>
            <w:tcW w:w="5540" w:type="dxa"/>
            <w:vAlign w:val="bottom"/>
          </w:tcPr>
          <w:p>
            <w:pPr>
              <w:spacing w:after="0"/>
              <w:rPr>
                <w:sz w:val="16"/>
                <w:szCs w:val="16"/>
                <w:color w:val="auto"/>
              </w:rPr>
            </w:pPr>
          </w:p>
        </w:tc>
        <w:tc>
          <w:tcPr>
            <w:tcW w:w="420" w:type="dxa"/>
            <w:vAlign w:val="bottom"/>
          </w:tcPr>
          <w:p>
            <w:pPr>
              <w:ind w:left="240"/>
              <w:spacing w:after="0"/>
              <w:rPr>
                <w:sz w:val="20"/>
                <w:szCs w:val="20"/>
                <w:color w:val="auto"/>
              </w:rPr>
            </w:pPr>
            <w:r>
              <w:rPr>
                <w:rFonts w:ascii="Arial" w:cs="Arial" w:eastAsia="Arial" w:hAnsi="Arial"/>
                <w:sz w:val="16"/>
                <w:szCs w:val="16"/>
                <w:color w:val="auto"/>
                <w:w w:val="94"/>
              </w:rPr>
              <w:t>3x</w:t>
            </w:r>
          </w:p>
        </w:tc>
        <w:tc>
          <w:tcPr>
            <w:tcW w:w="5280" w:type="dxa"/>
            <w:vAlign w:val="bottom"/>
          </w:tcPr>
          <w:p>
            <w:pPr>
              <w:ind w:left="40"/>
              <w:spacing w:after="0"/>
              <w:rPr>
                <w:sz w:val="20"/>
                <w:szCs w:val="20"/>
                <w:color w:val="auto"/>
              </w:rPr>
            </w:pPr>
            <w:r>
              <w:rPr>
                <w:rFonts w:ascii="Arial" w:cs="Arial" w:eastAsia="Arial" w:hAnsi="Arial"/>
                <w:sz w:val="16"/>
                <w:szCs w:val="16"/>
                <w:color w:val="auto"/>
              </w:rPr>
              <w:t>(Executive Vice-Presidents)</w:t>
            </w:r>
          </w:p>
        </w:tc>
      </w:tr>
      <w:tr>
        <w:trPr>
          <w:trHeight w:val="188"/>
        </w:trPr>
        <w:tc>
          <w:tcPr>
            <w:tcW w:w="5540" w:type="dxa"/>
            <w:vAlign w:val="bottom"/>
          </w:tcPr>
          <w:p>
            <w:pPr>
              <w:spacing w:after="0"/>
              <w:rPr>
                <w:sz w:val="16"/>
                <w:szCs w:val="16"/>
                <w:color w:val="auto"/>
              </w:rPr>
            </w:pPr>
          </w:p>
        </w:tc>
        <w:tc>
          <w:tcPr>
            <w:tcW w:w="420" w:type="dxa"/>
            <w:vAlign w:val="bottom"/>
          </w:tcPr>
          <w:p>
            <w:pPr>
              <w:ind w:left="240"/>
              <w:spacing w:after="0"/>
              <w:rPr>
                <w:sz w:val="20"/>
                <w:szCs w:val="20"/>
                <w:color w:val="auto"/>
              </w:rPr>
            </w:pPr>
            <w:r>
              <w:rPr>
                <w:rFonts w:ascii="Arial" w:cs="Arial" w:eastAsia="Arial" w:hAnsi="Arial"/>
                <w:sz w:val="16"/>
                <w:szCs w:val="16"/>
                <w:color w:val="auto"/>
                <w:w w:val="94"/>
              </w:rPr>
              <w:t>2x</w:t>
            </w:r>
          </w:p>
        </w:tc>
        <w:tc>
          <w:tcPr>
            <w:tcW w:w="5280" w:type="dxa"/>
            <w:vAlign w:val="bottom"/>
          </w:tcPr>
          <w:p>
            <w:pPr>
              <w:ind w:left="40"/>
              <w:spacing w:after="0"/>
              <w:rPr>
                <w:sz w:val="20"/>
                <w:szCs w:val="20"/>
                <w:color w:val="auto"/>
              </w:rPr>
            </w:pPr>
            <w:r>
              <w:rPr>
                <w:rFonts w:ascii="Arial" w:cs="Arial" w:eastAsia="Arial" w:hAnsi="Arial"/>
                <w:sz w:val="16"/>
                <w:szCs w:val="16"/>
                <w:color w:val="auto"/>
              </w:rPr>
              <w:t>(Presidents and Senior Vice-Presidents)</w:t>
            </w:r>
          </w:p>
        </w:tc>
      </w:tr>
      <w:tr>
        <w:trPr>
          <w:trHeight w:val="214"/>
        </w:trPr>
        <w:tc>
          <w:tcPr>
            <w:tcW w:w="554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6"/>
                <w:szCs w:val="16"/>
                <w:color w:val="auto"/>
                <w:w w:val="94"/>
              </w:rPr>
              <w:t>1x</w:t>
            </w:r>
          </w:p>
        </w:tc>
        <w:tc>
          <w:tcPr>
            <w:tcW w:w="5280" w:type="dxa"/>
            <w:vAlign w:val="bottom"/>
          </w:tcPr>
          <w:p>
            <w:pPr>
              <w:ind w:left="40"/>
              <w:spacing w:after="0"/>
              <w:rPr>
                <w:sz w:val="20"/>
                <w:szCs w:val="20"/>
                <w:color w:val="auto"/>
              </w:rPr>
            </w:pPr>
            <w:r>
              <w:rPr>
                <w:rFonts w:ascii="Arial" w:cs="Arial" w:eastAsia="Arial" w:hAnsi="Arial"/>
                <w:sz w:val="16"/>
                <w:szCs w:val="16"/>
                <w:color w:val="auto"/>
              </w:rPr>
              <w:t>(Vice-Presidents)</w:t>
            </w:r>
          </w:p>
        </w:tc>
      </w:tr>
      <w:tr>
        <w:trPr>
          <w:trHeight w:val="29"/>
        </w:trPr>
        <w:tc>
          <w:tcPr>
            <w:tcW w:w="5540" w:type="dxa"/>
            <w:vAlign w:val="bottom"/>
            <w:tcBorders>
              <w:bottom w:val="single" w:sz="8" w:color="B2B2B2"/>
            </w:tcBorders>
          </w:tcPr>
          <w:p>
            <w:pPr>
              <w:spacing w:after="0"/>
              <w:rPr>
                <w:sz w:val="2"/>
                <w:szCs w:val="2"/>
                <w:color w:val="auto"/>
              </w:rPr>
            </w:pPr>
          </w:p>
        </w:tc>
        <w:tc>
          <w:tcPr>
            <w:tcW w:w="5700" w:type="dxa"/>
            <w:vAlign w:val="bottom"/>
            <w:tcBorders>
              <w:bottom w:val="single" w:sz="8" w:color="B2B2B2"/>
            </w:tcBorders>
            <w:gridSpan w:val="2"/>
          </w:tcPr>
          <w:p>
            <w:pPr>
              <w:spacing w:after="0"/>
              <w:rPr>
                <w:sz w:val="2"/>
                <w:szCs w:val="2"/>
                <w:color w:val="auto"/>
              </w:rPr>
            </w:pPr>
          </w:p>
        </w:tc>
      </w:tr>
      <w:tr>
        <w:trPr>
          <w:trHeight w:val="229"/>
        </w:trPr>
        <w:tc>
          <w:tcPr>
            <w:tcW w:w="5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CEO realizable pay disclosure</w:t>
            </w:r>
          </w:p>
        </w:tc>
        <w:tc>
          <w:tcPr>
            <w:tcW w:w="5700" w:type="dxa"/>
            <w:vAlign w:val="bottom"/>
            <w:tcBorders>
              <w:bottom w:val="single" w:sz="8" w:color="B2B2B2"/>
            </w:tcBorders>
            <w:gridSpan w:val="2"/>
          </w:tcPr>
          <w:p>
            <w:pPr>
              <w:ind w:left="240"/>
              <w:spacing w:after="0"/>
              <w:rPr>
                <w:sz w:val="20"/>
                <w:szCs w:val="20"/>
                <w:color w:val="auto"/>
              </w:rPr>
            </w:pPr>
            <w:r>
              <w:rPr>
                <w:rFonts w:ascii="Arial" w:cs="Arial" w:eastAsia="Arial" w:hAnsi="Arial"/>
                <w:sz w:val="16"/>
                <w:szCs w:val="16"/>
                <w:color w:val="auto"/>
              </w:rPr>
              <w:t>Yes - see page 90</w:t>
            </w:r>
          </w:p>
        </w:tc>
      </w:tr>
      <w:tr>
        <w:trPr>
          <w:trHeight w:val="175"/>
        </w:trPr>
        <w:tc>
          <w:tcPr>
            <w:tcW w:w="5540" w:type="dxa"/>
            <w:vAlign w:val="bottom"/>
          </w:tcPr>
          <w:p>
            <w:pPr>
              <w:ind w:left="20"/>
              <w:spacing w:after="0" w:line="175" w:lineRule="exact"/>
              <w:rPr>
                <w:sz w:val="20"/>
                <w:szCs w:val="20"/>
                <w:color w:val="auto"/>
              </w:rPr>
            </w:pPr>
            <w:r>
              <w:rPr>
                <w:rFonts w:ascii="Arial" w:cs="Arial" w:eastAsia="Arial" w:hAnsi="Arial"/>
                <w:sz w:val="16"/>
                <w:szCs w:val="16"/>
                <w:color w:val="auto"/>
              </w:rPr>
              <w:t>Executive compensation tied to environmental, social and governance</w:t>
            </w:r>
          </w:p>
        </w:tc>
        <w:tc>
          <w:tcPr>
            <w:tcW w:w="5700" w:type="dxa"/>
            <w:vAlign w:val="bottom"/>
            <w:gridSpan w:val="2"/>
          </w:tcPr>
          <w:p>
            <w:pPr>
              <w:ind w:left="240"/>
              <w:spacing w:after="0" w:line="175" w:lineRule="exact"/>
              <w:rPr>
                <w:sz w:val="20"/>
                <w:szCs w:val="20"/>
                <w:color w:val="auto"/>
              </w:rPr>
            </w:pPr>
            <w:r>
              <w:rPr>
                <w:rFonts w:ascii="Arial" w:cs="Arial" w:eastAsia="Arial" w:hAnsi="Arial"/>
                <w:sz w:val="16"/>
                <w:szCs w:val="16"/>
                <w:color w:val="auto"/>
              </w:rPr>
              <w:t>Yes</w:t>
            </w:r>
          </w:p>
        </w:tc>
      </w:tr>
      <w:tr>
        <w:trPr>
          <w:trHeight w:val="202"/>
        </w:trPr>
        <w:tc>
          <w:tcPr>
            <w:tcW w:w="5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(ESG) targets</w:t>
            </w:r>
          </w:p>
        </w:tc>
        <w:tc>
          <w:tcPr>
            <w:tcW w:w="420" w:type="dxa"/>
            <w:vAlign w:val="bottom"/>
            <w:tcBorders>
              <w:bottom w:val="single" w:sz="8" w:color="B2B2B2"/>
            </w:tcBorders>
          </w:tcPr>
          <w:p>
            <w:pPr>
              <w:spacing w:after="0"/>
              <w:rPr>
                <w:sz w:val="17"/>
                <w:szCs w:val="17"/>
                <w:color w:val="auto"/>
              </w:rPr>
            </w:pPr>
          </w:p>
        </w:tc>
        <w:tc>
          <w:tcPr>
            <w:tcW w:w="5280" w:type="dxa"/>
            <w:vAlign w:val="bottom"/>
            <w:tcBorders>
              <w:bottom w:val="single" w:sz="8" w:color="B2B2B2"/>
            </w:tcBorders>
          </w:tcPr>
          <w:p>
            <w:pPr>
              <w:spacing w:after="0"/>
              <w:rPr>
                <w:sz w:val="17"/>
                <w:szCs w:val="17"/>
                <w:color w:val="auto"/>
              </w:rPr>
            </w:pPr>
          </w:p>
        </w:tc>
      </w:tr>
      <w:tr>
        <w:trPr>
          <w:trHeight w:val="229"/>
        </w:trPr>
        <w:tc>
          <w:tcPr>
            <w:tcW w:w="5540" w:type="dxa"/>
            <w:vAlign w:val="bottom"/>
            <w:tcBorders>
              <w:bottom w:val="single" w:sz="8" w:color="0D64EF"/>
            </w:tcBorders>
          </w:tcPr>
          <w:p>
            <w:pPr>
              <w:ind w:left="20"/>
              <w:spacing w:after="0"/>
              <w:rPr>
                <w:sz w:val="20"/>
                <w:szCs w:val="20"/>
                <w:color w:val="auto"/>
              </w:rPr>
            </w:pPr>
            <w:r>
              <w:rPr>
                <w:rFonts w:ascii="Arial" w:cs="Arial" w:eastAsia="Arial" w:hAnsi="Arial"/>
                <w:sz w:val="16"/>
                <w:szCs w:val="16"/>
                <w:color w:val="auto"/>
              </w:rPr>
              <w:t>Annual say on pay vote</w:t>
            </w:r>
          </w:p>
        </w:tc>
        <w:tc>
          <w:tcPr>
            <w:tcW w:w="5700" w:type="dxa"/>
            <w:vAlign w:val="bottom"/>
            <w:tcBorders>
              <w:bottom w:val="single" w:sz="8" w:color="0D64EF"/>
            </w:tcBorders>
            <w:gridSpan w:val="2"/>
          </w:tcPr>
          <w:p>
            <w:pPr>
              <w:ind w:left="240"/>
              <w:spacing w:after="0"/>
              <w:rPr>
                <w:sz w:val="20"/>
                <w:szCs w:val="20"/>
                <w:color w:val="auto"/>
              </w:rPr>
            </w:pPr>
            <w:r>
              <w:rPr>
                <w:rFonts w:ascii="Arial" w:cs="Arial" w:eastAsia="Arial" w:hAnsi="Arial"/>
                <w:sz w:val="16"/>
                <w:szCs w:val="16"/>
                <w:color w:val="auto"/>
              </w:rPr>
              <w:t>Yes - averaging 96 per cent approval for the last three years.</w:t>
            </w:r>
          </w:p>
        </w:tc>
      </w:tr>
    </w:tbl>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SUSTAINABILITY AND ESG</w:t>
      </w:r>
    </w:p>
    <w:p>
      <w:pPr>
        <w:spacing w:after="0" w:line="48"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auto"/>
        </w:rPr>
        <w:t>TC Energy remains committed to supporting global efforts to address climate change and managing the risks and opportunities associated with the transition to a lower-carbon economy. You can find more information about our sustainability and ESG initiatives starting on page 62.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Borders>
              <w:top w:val="single" w:sz="8" w:color="0D64EF"/>
            </w:tcBorders>
          </w:tcPr>
          <w:p>
            <w:pPr>
              <w:ind w:left="20"/>
              <w:spacing w:after="0"/>
              <w:rPr>
                <w:sz w:val="20"/>
                <w:szCs w:val="20"/>
                <w:color w:val="auto"/>
              </w:rPr>
            </w:pPr>
            <w:r>
              <w:rPr>
                <w:rFonts w:ascii="Arial" w:cs="Arial" w:eastAsia="Arial" w:hAnsi="Arial"/>
                <w:sz w:val="16"/>
                <w:szCs w:val="16"/>
                <w:color w:val="auto"/>
              </w:rPr>
              <w:t>Board and Committee oversight of ESG initiatives, including matters</w:t>
            </w:r>
          </w:p>
        </w:tc>
        <w:tc>
          <w:tcPr>
            <w:tcW w:w="5920" w:type="dxa"/>
            <w:vAlign w:val="bottom"/>
            <w:tcBorders>
              <w:top w:val="single" w:sz="8" w:color="0D64EF"/>
            </w:tcBorders>
          </w:tcPr>
          <w:p>
            <w:pPr>
              <w:ind w:left="460"/>
              <w:spacing w:after="0"/>
              <w:rPr>
                <w:sz w:val="20"/>
                <w:szCs w:val="20"/>
                <w:color w:val="auto"/>
              </w:rPr>
            </w:pPr>
            <w:r>
              <w:rPr>
                <w:rFonts w:ascii="Arial" w:cs="Arial" w:eastAsia="Arial" w:hAnsi="Arial"/>
                <w:sz w:val="16"/>
                <w:szCs w:val="16"/>
                <w:color w:val="auto"/>
              </w:rPr>
              <w:t>Yes</w:t>
            </w:r>
          </w:p>
        </w:tc>
      </w:tr>
      <w:tr>
        <w:trPr>
          <w:trHeight w:val="188"/>
        </w:trPr>
        <w:tc>
          <w:tcPr>
            <w:tcW w:w="5320" w:type="dxa"/>
            <w:vAlign w:val="bottom"/>
          </w:tcPr>
          <w:p>
            <w:pPr>
              <w:ind w:left="20"/>
              <w:spacing w:after="0"/>
              <w:rPr>
                <w:sz w:val="20"/>
                <w:szCs w:val="20"/>
                <w:color w:val="auto"/>
              </w:rPr>
            </w:pPr>
            <w:r>
              <w:rPr>
                <w:rFonts w:ascii="Arial" w:cs="Arial" w:eastAsia="Arial" w:hAnsi="Arial"/>
                <w:sz w:val="16"/>
                <w:szCs w:val="16"/>
                <w:color w:val="auto"/>
              </w:rPr>
              <w:t>related to Indigenous relations, climate change, human capital</w:t>
            </w:r>
          </w:p>
        </w:tc>
        <w:tc>
          <w:tcPr>
            <w:tcW w:w="5920" w:type="dxa"/>
            <w:vAlign w:val="bottom"/>
          </w:tcPr>
          <w:p>
            <w:pPr>
              <w:spacing w:after="0"/>
              <w:rPr>
                <w:sz w:val="16"/>
                <w:szCs w:val="16"/>
                <w:color w:val="auto"/>
              </w:rPr>
            </w:pPr>
          </w:p>
        </w:tc>
      </w:tr>
      <w:tr>
        <w:trPr>
          <w:trHeight w:val="202"/>
        </w:trPr>
        <w:tc>
          <w:tcPr>
            <w:tcW w:w="5320" w:type="dxa"/>
            <w:vAlign w:val="bottom"/>
          </w:tcPr>
          <w:p>
            <w:pPr>
              <w:ind w:left="20"/>
              <w:spacing w:after="0"/>
              <w:rPr>
                <w:sz w:val="20"/>
                <w:szCs w:val="20"/>
                <w:color w:val="auto"/>
              </w:rPr>
            </w:pPr>
            <w:r>
              <w:rPr>
                <w:rFonts w:ascii="Arial" w:cs="Arial" w:eastAsia="Arial" w:hAnsi="Arial"/>
                <w:sz w:val="16"/>
                <w:szCs w:val="16"/>
                <w:color w:val="auto"/>
              </w:rPr>
              <w:t>management, diversity, stakeholder relations, and health, safety &amp;</w:t>
            </w:r>
          </w:p>
        </w:tc>
        <w:tc>
          <w:tcPr>
            <w:tcW w:w="5920" w:type="dxa"/>
            <w:vAlign w:val="bottom"/>
          </w:tcPr>
          <w:p>
            <w:pPr>
              <w:spacing w:after="0"/>
              <w:rPr>
                <w:sz w:val="17"/>
                <w:szCs w:val="17"/>
                <w:color w:val="auto"/>
              </w:rPr>
            </w:pPr>
          </w:p>
        </w:tc>
      </w:tr>
      <w:tr>
        <w:trPr>
          <w:trHeight w:val="223"/>
        </w:trPr>
        <w:tc>
          <w:tcPr>
            <w:tcW w:w="5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environment</w:t>
            </w:r>
          </w:p>
        </w:tc>
        <w:tc>
          <w:tcPr>
            <w:tcW w:w="5920" w:type="dxa"/>
            <w:vAlign w:val="bottom"/>
            <w:tcBorders>
              <w:bottom w:val="single" w:sz="8" w:color="B2B2B2"/>
            </w:tcBorders>
          </w:tcPr>
          <w:p>
            <w:pPr>
              <w:spacing w:after="0"/>
              <w:rPr>
                <w:sz w:val="19"/>
                <w:szCs w:val="19"/>
                <w:color w:val="auto"/>
              </w:rPr>
            </w:pPr>
          </w:p>
        </w:tc>
      </w:tr>
      <w:tr>
        <w:trPr>
          <w:trHeight w:val="214"/>
        </w:trPr>
        <w:tc>
          <w:tcPr>
            <w:tcW w:w="5320" w:type="dxa"/>
            <w:vAlign w:val="bottom"/>
          </w:tcPr>
          <w:p>
            <w:pPr>
              <w:ind w:left="20"/>
              <w:spacing w:after="0"/>
              <w:rPr>
                <w:sz w:val="20"/>
                <w:szCs w:val="20"/>
                <w:color w:val="auto"/>
              </w:rPr>
            </w:pPr>
            <w:r>
              <w:rPr>
                <w:rFonts w:ascii="Arial" w:cs="Arial" w:eastAsia="Arial" w:hAnsi="Arial"/>
                <w:sz w:val="16"/>
                <w:szCs w:val="16"/>
                <w:color w:val="auto"/>
              </w:rPr>
              <w:t>Greenhouse gas (GHG) emissions targets</w:t>
            </w:r>
          </w:p>
        </w:tc>
        <w:tc>
          <w:tcPr>
            <w:tcW w:w="5920" w:type="dxa"/>
            <w:vAlign w:val="bottom"/>
          </w:tcPr>
          <w:p>
            <w:pPr>
              <w:ind w:left="460"/>
              <w:spacing w:after="0" w:line="214" w:lineRule="exact"/>
              <w:rPr>
                <w:sz w:val="20"/>
                <w:szCs w:val="20"/>
                <w:color w:val="auto"/>
              </w:rPr>
            </w:pPr>
            <w:r>
              <w:rPr>
                <w:rFonts w:ascii="Arial" w:cs="Arial" w:eastAsia="Arial" w:hAnsi="Arial"/>
                <w:sz w:val="16"/>
                <w:szCs w:val="16"/>
                <w:color w:val="auto"/>
              </w:rPr>
              <w:t>Yes - a methane intensity reduction goal</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and a commitment to position to</w:t>
            </w:r>
          </w:p>
        </w:tc>
      </w:tr>
      <w:tr>
        <w:trPr>
          <w:trHeight w:val="229"/>
        </w:trPr>
        <w:tc>
          <w:tcPr>
            <w:tcW w:w="5320" w:type="dxa"/>
            <w:vAlign w:val="bottom"/>
            <w:tcBorders>
              <w:bottom w:val="single" w:sz="8" w:color="B2B2B2"/>
            </w:tcBorders>
          </w:tcPr>
          <w:p>
            <w:pPr>
              <w:spacing w:after="0"/>
              <w:rPr>
                <w:sz w:val="19"/>
                <w:szCs w:val="19"/>
                <w:color w:val="auto"/>
              </w:rPr>
            </w:pPr>
          </w:p>
        </w:tc>
        <w:tc>
          <w:tcPr>
            <w:tcW w:w="5920" w:type="dxa"/>
            <w:vAlign w:val="bottom"/>
            <w:tcBorders>
              <w:bottom w:val="single" w:sz="8" w:color="B2B2B2"/>
            </w:tcBorders>
          </w:tcPr>
          <w:p>
            <w:pPr>
              <w:ind w:left="460"/>
              <w:spacing w:after="0"/>
              <w:rPr>
                <w:sz w:val="20"/>
                <w:szCs w:val="20"/>
                <w:color w:val="auto"/>
              </w:rPr>
            </w:pPr>
            <w:r>
              <w:rPr>
                <w:rFonts w:ascii="Arial" w:cs="Arial" w:eastAsia="Arial" w:hAnsi="Arial"/>
                <w:sz w:val="16"/>
                <w:szCs w:val="16"/>
                <w:color w:val="auto"/>
              </w:rPr>
              <w:t>achieve zero emissions from our operations, on a net basis</w:t>
            </w:r>
            <w:r>
              <w:rPr>
                <w:rFonts w:ascii="Arial" w:cs="Arial" w:eastAsia="Arial" w:hAnsi="Arial"/>
                <w:sz w:val="20"/>
                <w:szCs w:val="20"/>
                <w:color w:val="auto"/>
                <w:vertAlign w:val="superscript"/>
              </w:rPr>
              <w:t>2</w:t>
            </w:r>
          </w:p>
        </w:tc>
      </w:tr>
      <w:tr>
        <w:trPr>
          <w:trHeight w:val="208"/>
        </w:trPr>
        <w:tc>
          <w:tcPr>
            <w:tcW w:w="5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Use of climate-related scenario analysis</w:t>
            </w:r>
          </w:p>
        </w:tc>
        <w:tc>
          <w:tcPr>
            <w:tcW w:w="5920" w:type="dxa"/>
            <w:vAlign w:val="bottom"/>
            <w:tcBorders>
              <w:bottom w:val="single" w:sz="8" w:color="B2B2B2"/>
            </w:tcBorders>
          </w:tcPr>
          <w:p>
            <w:pPr>
              <w:ind w:left="460"/>
              <w:spacing w:after="0"/>
              <w:rPr>
                <w:sz w:val="20"/>
                <w:szCs w:val="20"/>
                <w:color w:val="auto"/>
              </w:rPr>
            </w:pPr>
            <w:r>
              <w:rPr>
                <w:rFonts w:ascii="Arial" w:cs="Arial" w:eastAsia="Arial" w:hAnsi="Arial"/>
                <w:sz w:val="16"/>
                <w:szCs w:val="16"/>
                <w:color w:val="auto"/>
              </w:rPr>
              <w:t>Yes</w:t>
            </w:r>
          </w:p>
        </w:tc>
      </w:tr>
      <w:tr>
        <w:trPr>
          <w:trHeight w:val="208"/>
        </w:trPr>
        <w:tc>
          <w:tcPr>
            <w:tcW w:w="5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Reconciliation Action Plan</w:t>
            </w:r>
          </w:p>
        </w:tc>
        <w:tc>
          <w:tcPr>
            <w:tcW w:w="5920" w:type="dxa"/>
            <w:vAlign w:val="bottom"/>
            <w:tcBorders>
              <w:bottom w:val="single" w:sz="8" w:color="B2B2B2"/>
            </w:tcBorders>
          </w:tcPr>
          <w:p>
            <w:pPr>
              <w:ind w:left="460"/>
              <w:spacing w:after="0"/>
              <w:rPr>
                <w:sz w:val="20"/>
                <w:szCs w:val="20"/>
                <w:color w:val="auto"/>
              </w:rPr>
            </w:pPr>
            <w:r>
              <w:rPr>
                <w:rFonts w:ascii="Arial" w:cs="Arial" w:eastAsia="Arial" w:hAnsi="Arial"/>
                <w:sz w:val="16"/>
                <w:szCs w:val="16"/>
                <w:color w:val="auto"/>
              </w:rPr>
              <w:t>Yes</w:t>
            </w:r>
          </w:p>
        </w:tc>
      </w:tr>
      <w:tr>
        <w:trPr>
          <w:trHeight w:val="208"/>
        </w:trPr>
        <w:tc>
          <w:tcPr>
            <w:tcW w:w="5320" w:type="dxa"/>
            <w:vAlign w:val="bottom"/>
            <w:tcBorders>
              <w:bottom w:val="single" w:sz="8" w:color="0D64EF"/>
            </w:tcBorders>
          </w:tcPr>
          <w:p>
            <w:pPr>
              <w:ind w:left="20"/>
              <w:spacing w:after="0"/>
              <w:rPr>
                <w:sz w:val="20"/>
                <w:szCs w:val="20"/>
                <w:color w:val="auto"/>
              </w:rPr>
            </w:pPr>
            <w:r>
              <w:rPr>
                <w:rFonts w:ascii="Arial" w:cs="Arial" w:eastAsia="Arial" w:hAnsi="Arial"/>
                <w:sz w:val="16"/>
                <w:szCs w:val="16"/>
                <w:color w:val="auto"/>
              </w:rPr>
              <w:t>Indigenous Advisory Council</w:t>
            </w:r>
          </w:p>
        </w:tc>
        <w:tc>
          <w:tcPr>
            <w:tcW w:w="5920" w:type="dxa"/>
            <w:vAlign w:val="bottom"/>
            <w:tcBorders>
              <w:bottom w:val="single" w:sz="8" w:color="0D64EF"/>
            </w:tcBorders>
          </w:tcPr>
          <w:p>
            <w:pPr>
              <w:ind w:left="460"/>
              <w:spacing w:after="0"/>
              <w:rPr>
                <w:sz w:val="20"/>
                <w:szCs w:val="20"/>
                <w:color w:val="auto"/>
              </w:rPr>
            </w:pPr>
            <w:r>
              <w:rPr>
                <w:rFonts w:ascii="Arial" w:cs="Arial" w:eastAsia="Arial" w:hAnsi="Arial"/>
                <w:sz w:val="16"/>
                <w:szCs w:val="16"/>
                <w:color w:val="auto"/>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699770</wp:posOffset>
            </wp:positionV>
            <wp:extent cx="2832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right="20" w:hanging="153"/>
        <w:spacing w:after="0" w:line="271" w:lineRule="auto"/>
        <w:tabs>
          <w:tab w:leader="none" w:pos="181"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This target addresses Scope 1 methane emissions associated with our natural gas transmission and gas storage assets, expressed in tonnes of CH</w:t>
      </w:r>
      <w:r>
        <w:rPr>
          <w:rFonts w:ascii="Arial" w:cs="Arial" w:eastAsia="Arial" w:hAnsi="Arial"/>
          <w:sz w:val="16"/>
          <w:szCs w:val="16"/>
          <w:color w:val="auto"/>
          <w:vertAlign w:val="subscript"/>
        </w:rPr>
        <w:t>4</w:t>
      </w:r>
      <w:r>
        <w:rPr>
          <w:rFonts w:ascii="Arial" w:cs="Arial" w:eastAsia="Arial" w:hAnsi="Arial"/>
          <w:sz w:val="13"/>
          <w:szCs w:val="13"/>
          <w:color w:val="auto"/>
        </w:rPr>
        <w:t xml:space="preserve"> per Bcf. For planning purposes, target progress is measured under the operational control reporting boundary, relative to a 2019 baseline year.</w:t>
      </w:r>
    </w:p>
    <w:p>
      <w:pPr>
        <w:spacing w:after="0" w:line="21" w:lineRule="exact"/>
        <w:rPr>
          <w:sz w:val="20"/>
          <w:szCs w:val="20"/>
          <w:color w:val="auto"/>
        </w:rPr>
      </w:pPr>
    </w:p>
    <w:p>
      <w:pPr>
        <w:ind w:left="140" w:hanging="133"/>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This target addresses Scope 1 and Scope 2 GHG emissions quantified under our operational boundary.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97" w:right="339" w:bottom="1440" w:gutter="0" w:footer="0" w:header="0"/>
        </w:sectPr>
      </w:pPr>
    </w:p>
    <w:bookmarkStart w:id="12" w:name="page13"/>
    <w:bookmarkEnd w:id="12"/>
    <w:p>
      <w:pPr>
        <w:spacing w:after="0"/>
        <w:rPr>
          <w:sz w:val="20"/>
          <w:szCs w:val="20"/>
          <w:color w:val="auto"/>
        </w:rPr>
      </w:pPr>
      <w:r>
        <w:rPr>
          <w:rFonts w:ascii="Arial" w:cs="Arial" w:eastAsia="Arial" w:hAnsi="Arial"/>
          <w:sz w:val="29"/>
          <w:szCs w:val="29"/>
          <w:color w:val="0D64EF"/>
        </w:rPr>
        <w:t>About the Shareholder Meeting</w:t>
      </w:r>
    </w:p>
    <w:p>
      <w:pPr>
        <w:spacing w:after="0" w:line="303" w:lineRule="exact"/>
        <w:rPr>
          <w:sz w:val="20"/>
          <w:szCs w:val="20"/>
          <w:color w:val="auto"/>
        </w:rPr>
      </w:pPr>
    </w:p>
    <w:p>
      <w:pPr>
        <w:jc w:val="both"/>
        <w:ind w:left="20" w:right="160"/>
        <w:spacing w:after="0" w:line="326" w:lineRule="auto"/>
        <w:rPr>
          <w:sz w:val="20"/>
          <w:szCs w:val="20"/>
          <w:color w:val="auto"/>
        </w:rPr>
      </w:pPr>
      <w:r>
        <w:rPr>
          <w:rFonts w:ascii="Arial" w:cs="Arial" w:eastAsia="Arial" w:hAnsi="Arial"/>
          <w:sz w:val="16"/>
          <w:szCs w:val="16"/>
          <w:color w:val="auto"/>
        </w:rPr>
        <w:t>As a shareholder of record, you are entitled to vote your TC Energy shares at the annual meeting. The meeting will cover five items of business, three of which require your vote, which are discussed in more detail starting on page 13.</w:t>
      </w:r>
    </w:p>
    <w:p>
      <w:pPr>
        <w:spacing w:after="0" w:line="56" w:lineRule="exact"/>
        <w:rPr>
          <w:sz w:val="20"/>
          <w:szCs w:val="20"/>
          <w:color w:val="auto"/>
        </w:rPr>
      </w:pPr>
    </w:p>
    <w:p>
      <w:pPr>
        <w:ind w:left="20" w:right="60"/>
        <w:spacing w:after="0" w:line="306" w:lineRule="auto"/>
        <w:rPr>
          <w:sz w:val="20"/>
          <w:szCs w:val="20"/>
          <w:color w:val="auto"/>
        </w:rPr>
      </w:pPr>
      <w:r>
        <w:rPr>
          <w:rFonts w:ascii="Arial" w:cs="Arial" w:eastAsia="Arial" w:hAnsi="Arial"/>
          <w:sz w:val="16"/>
          <w:szCs w:val="16"/>
          <w:color w:val="auto"/>
        </w:rPr>
        <w:t>TC Energy will be holding the meeting via a virtual-only format, using a live audio webcast available online at</w:t>
      </w:r>
    </w:p>
    <w:p>
      <w:pPr>
        <w:spacing w:after="0" w:line="1" w:lineRule="exact"/>
        <w:rPr>
          <w:sz w:val="20"/>
          <w:szCs w:val="20"/>
          <w:color w:val="auto"/>
        </w:rPr>
      </w:pPr>
    </w:p>
    <w:p>
      <w:pPr>
        <w:ind w:left="20" w:right="2740"/>
        <w:spacing w:after="0" w:line="337" w:lineRule="auto"/>
        <w:rPr>
          <w:sz w:val="20"/>
          <w:szCs w:val="20"/>
          <w:color w:val="auto"/>
        </w:rPr>
      </w:pPr>
      <w:r>
        <w:rPr>
          <w:rFonts w:ascii="Arial" w:cs="Arial" w:eastAsia="Arial" w:hAnsi="Arial"/>
          <w:sz w:val="16"/>
          <w:szCs w:val="16"/>
          <w:color w:val="auto"/>
        </w:rPr>
        <w:t>https://meetings.lumiconnect.com/400-652-715-564, password "tc2026" (case sensitive).</w:t>
      </w:r>
    </w:p>
    <w:p>
      <w:pPr>
        <w:spacing w:after="0" w:line="48" w:lineRule="exact"/>
        <w:rPr>
          <w:sz w:val="20"/>
          <w:szCs w:val="20"/>
          <w:color w:val="auto"/>
        </w:rPr>
      </w:pPr>
    </w:p>
    <w:p>
      <w:pPr>
        <w:ind w:left="20"/>
        <w:spacing w:after="0" w:line="337" w:lineRule="auto"/>
        <w:rPr>
          <w:sz w:val="20"/>
          <w:szCs w:val="20"/>
          <w:color w:val="auto"/>
        </w:rPr>
      </w:pPr>
      <w:r>
        <w:rPr>
          <w:rFonts w:ascii="Arial" w:cs="Arial" w:eastAsia="Arial" w:hAnsi="Arial"/>
          <w:sz w:val="16"/>
          <w:szCs w:val="16"/>
          <w:color w:val="auto"/>
        </w:rPr>
        <w:t>The next section discusses delivery of the meeting materials, attending and participating in the meeting, the voting process and submitting questions during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D64EF"/>
        </w:rPr>
        <w:t>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2644775" cy="1988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4775" cy="198818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40" w:type="dxa"/>
            <w:vAlign w:val="bottom"/>
            <w:tcBorders>
              <w:top w:val="single" w:sz="8" w:color="0D64EF"/>
            </w:tcBorders>
          </w:tcPr>
          <w:p>
            <w:pPr>
              <w:jc w:val="right"/>
              <w:ind w:right="64"/>
              <w:spacing w:after="0"/>
              <w:rPr>
                <w:sz w:val="20"/>
                <w:szCs w:val="20"/>
                <w:color w:val="auto"/>
              </w:rPr>
            </w:pPr>
            <w:r>
              <w:rPr>
                <w:rFonts w:ascii="Arial" w:cs="Arial" w:eastAsia="Arial" w:hAnsi="Arial"/>
                <w:sz w:val="15"/>
                <w:szCs w:val="15"/>
                <w:color w:val="0D64EF"/>
              </w:rPr>
              <w:t>&gt;</w:t>
            </w:r>
          </w:p>
        </w:tc>
        <w:tc>
          <w:tcPr>
            <w:tcW w:w="33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6"/>
                <w:szCs w:val="16"/>
                <w:color w:val="0D64EF"/>
              </w:rPr>
              <w:t>About the Shareholder Meeting</w:t>
            </w:r>
          </w:p>
        </w:tc>
        <w:tc>
          <w:tcPr>
            <w:tcW w:w="500" w:type="dxa"/>
            <w:vAlign w:val="bottom"/>
            <w:tcBorders>
              <w:top w:val="single" w:sz="8" w:color="0D64EF"/>
            </w:tcBorders>
            <w:shd w:val="clear" w:color="auto" w:fill="D1D0CF"/>
          </w:tcPr>
          <w:p>
            <w:pPr>
              <w:jc w:val="right"/>
              <w:ind w:right="39"/>
              <w:spacing w:after="0"/>
              <w:rPr>
                <w:sz w:val="20"/>
                <w:szCs w:val="20"/>
                <w:color w:val="auto"/>
              </w:rPr>
            </w:pPr>
            <w:r>
              <w:rPr>
                <w:rFonts w:ascii="Arial" w:cs="Arial" w:eastAsia="Arial" w:hAnsi="Arial"/>
                <w:sz w:val="16"/>
                <w:szCs w:val="16"/>
                <w:color w:val="0D64EF"/>
              </w:rPr>
              <w:t>7</w:t>
            </w:r>
          </w:p>
        </w:tc>
      </w:tr>
      <w:tr>
        <w:trPr>
          <w:trHeight w:val="255"/>
        </w:trPr>
        <w:tc>
          <w:tcPr>
            <w:tcW w:w="340" w:type="dxa"/>
            <w:vAlign w:val="bottom"/>
          </w:tcPr>
          <w:p>
            <w:pPr>
              <w:jc w:val="right"/>
              <w:ind w:right="64"/>
              <w:spacing w:after="0"/>
              <w:rPr>
                <w:sz w:val="20"/>
                <w:szCs w:val="20"/>
                <w:color w:val="auto"/>
              </w:rPr>
            </w:pPr>
            <w:r>
              <w:rPr>
                <w:rFonts w:ascii="Arial" w:cs="Arial" w:eastAsia="Arial" w:hAnsi="Arial"/>
                <w:sz w:val="15"/>
                <w:szCs w:val="15"/>
                <w:color w:val="0D64EF"/>
              </w:rPr>
              <w:t>&gt;</w:t>
            </w: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0D64EF"/>
              </w:rPr>
              <w:t>Delivery of Meeting Materials</w:t>
            </w:r>
          </w:p>
        </w:tc>
        <w:tc>
          <w:tcPr>
            <w:tcW w:w="500" w:type="dxa"/>
            <w:vAlign w:val="bottom"/>
            <w:shd w:val="clear" w:color="auto" w:fill="D1D0CF"/>
          </w:tcPr>
          <w:p>
            <w:pPr>
              <w:jc w:val="right"/>
              <w:ind w:right="39"/>
              <w:spacing w:after="0"/>
              <w:rPr>
                <w:sz w:val="20"/>
                <w:szCs w:val="20"/>
                <w:color w:val="auto"/>
              </w:rPr>
            </w:pPr>
            <w:r>
              <w:rPr>
                <w:rFonts w:ascii="Arial" w:cs="Arial" w:eastAsia="Arial" w:hAnsi="Arial"/>
                <w:sz w:val="16"/>
                <w:szCs w:val="16"/>
                <w:color w:val="0D64EF"/>
              </w:rPr>
              <w:t>7</w:t>
            </w:r>
          </w:p>
        </w:tc>
      </w:tr>
      <w:tr>
        <w:trPr>
          <w:trHeight w:val="309"/>
        </w:trPr>
        <w:tc>
          <w:tcPr>
            <w:tcW w:w="340" w:type="dxa"/>
            <w:vAlign w:val="bottom"/>
          </w:tcPr>
          <w:p>
            <w:pPr>
              <w:jc w:val="right"/>
              <w:ind w:right="64"/>
              <w:spacing w:after="0"/>
              <w:rPr>
                <w:sz w:val="20"/>
                <w:szCs w:val="20"/>
                <w:color w:val="auto"/>
              </w:rPr>
            </w:pPr>
            <w:r>
              <w:rPr>
                <w:rFonts w:ascii="Arial" w:cs="Arial" w:eastAsia="Arial" w:hAnsi="Arial"/>
                <w:sz w:val="15"/>
                <w:szCs w:val="15"/>
                <w:color w:val="0D64EF"/>
              </w:rPr>
              <w:t>&gt;</w:t>
            </w: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0D64EF"/>
              </w:rPr>
              <w:t>Attending and Participating in the Meeting</w:t>
            </w:r>
          </w:p>
        </w:tc>
        <w:tc>
          <w:tcPr>
            <w:tcW w:w="500" w:type="dxa"/>
            <w:vAlign w:val="bottom"/>
            <w:shd w:val="clear" w:color="auto" w:fill="D1D0CF"/>
          </w:tcPr>
          <w:p>
            <w:pPr>
              <w:jc w:val="right"/>
              <w:ind w:right="39"/>
              <w:spacing w:after="0"/>
              <w:rPr>
                <w:sz w:val="20"/>
                <w:szCs w:val="20"/>
                <w:color w:val="auto"/>
              </w:rPr>
            </w:pPr>
            <w:r>
              <w:rPr>
                <w:rFonts w:ascii="Arial" w:cs="Arial" w:eastAsia="Arial" w:hAnsi="Arial"/>
                <w:sz w:val="16"/>
                <w:szCs w:val="16"/>
                <w:color w:val="0D64EF"/>
              </w:rPr>
              <w:t>8</w:t>
            </w:r>
          </w:p>
        </w:tc>
      </w:tr>
      <w:tr>
        <w:trPr>
          <w:trHeight w:val="309"/>
        </w:trPr>
        <w:tc>
          <w:tcPr>
            <w:tcW w:w="340" w:type="dxa"/>
            <w:vAlign w:val="bottom"/>
          </w:tcPr>
          <w:p>
            <w:pPr>
              <w:jc w:val="right"/>
              <w:ind w:right="64"/>
              <w:spacing w:after="0"/>
              <w:rPr>
                <w:sz w:val="20"/>
                <w:szCs w:val="20"/>
                <w:color w:val="auto"/>
              </w:rPr>
            </w:pPr>
            <w:r>
              <w:rPr>
                <w:rFonts w:ascii="Arial" w:cs="Arial" w:eastAsia="Arial" w:hAnsi="Arial"/>
                <w:sz w:val="15"/>
                <w:szCs w:val="15"/>
                <w:color w:val="0D64EF"/>
              </w:rPr>
              <w:t>&gt;</w:t>
            </w: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0D64EF"/>
              </w:rPr>
              <w:t>Voting</w:t>
            </w:r>
          </w:p>
        </w:tc>
        <w:tc>
          <w:tcPr>
            <w:tcW w:w="500" w:type="dxa"/>
            <w:vAlign w:val="bottom"/>
            <w:shd w:val="clear" w:color="auto" w:fill="D1D0CF"/>
          </w:tcPr>
          <w:p>
            <w:pPr>
              <w:jc w:val="right"/>
              <w:ind w:right="39"/>
              <w:spacing w:after="0"/>
              <w:rPr>
                <w:sz w:val="20"/>
                <w:szCs w:val="20"/>
                <w:color w:val="auto"/>
              </w:rPr>
            </w:pPr>
            <w:r>
              <w:rPr>
                <w:rFonts w:ascii="Arial" w:cs="Arial" w:eastAsia="Arial" w:hAnsi="Arial"/>
                <w:sz w:val="16"/>
                <w:szCs w:val="16"/>
                <w:color w:val="0D64EF"/>
              </w:rPr>
              <w:t>10</w:t>
            </w:r>
          </w:p>
        </w:tc>
      </w:tr>
      <w:tr>
        <w:trPr>
          <w:trHeight w:val="255"/>
        </w:trPr>
        <w:tc>
          <w:tcPr>
            <w:tcW w:w="340" w:type="dxa"/>
            <w:vAlign w:val="bottom"/>
          </w:tcPr>
          <w:p>
            <w:pPr>
              <w:spacing w:after="0"/>
              <w:rPr>
                <w:sz w:val="22"/>
                <w:szCs w:val="22"/>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Who Can Vote</w:t>
            </w:r>
          </w:p>
        </w:tc>
        <w:tc>
          <w:tcPr>
            <w:tcW w:w="500" w:type="dxa"/>
            <w:vAlign w:val="bottom"/>
            <w:shd w:val="clear" w:color="auto" w:fill="D1D0CF"/>
          </w:tcPr>
          <w:p>
            <w:pPr>
              <w:jc w:val="right"/>
              <w:ind w:right="39"/>
              <w:spacing w:after="0"/>
              <w:rPr>
                <w:sz w:val="20"/>
                <w:szCs w:val="20"/>
                <w:color w:val="auto"/>
              </w:rPr>
            </w:pPr>
            <w:r>
              <w:rPr>
                <w:rFonts w:ascii="Arial" w:cs="Arial" w:eastAsia="Arial" w:hAnsi="Arial"/>
                <w:sz w:val="16"/>
                <w:szCs w:val="16"/>
                <w:color w:val="auto"/>
              </w:rPr>
              <w:t>10</w:t>
            </w:r>
          </w:p>
        </w:tc>
      </w:tr>
      <w:tr>
        <w:trPr>
          <w:trHeight w:val="255"/>
        </w:trPr>
        <w:tc>
          <w:tcPr>
            <w:tcW w:w="340" w:type="dxa"/>
            <w:vAlign w:val="bottom"/>
          </w:tcPr>
          <w:p>
            <w:pPr>
              <w:spacing w:after="0"/>
              <w:rPr>
                <w:sz w:val="22"/>
                <w:szCs w:val="22"/>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How to Vote</w:t>
            </w:r>
          </w:p>
        </w:tc>
        <w:tc>
          <w:tcPr>
            <w:tcW w:w="500" w:type="dxa"/>
            <w:vAlign w:val="bottom"/>
            <w:shd w:val="clear" w:color="auto" w:fill="D1D0CF"/>
          </w:tcPr>
          <w:p>
            <w:pPr>
              <w:jc w:val="right"/>
              <w:ind w:right="39"/>
              <w:spacing w:after="0"/>
              <w:rPr>
                <w:sz w:val="20"/>
                <w:szCs w:val="20"/>
                <w:color w:val="auto"/>
              </w:rPr>
            </w:pPr>
            <w:r>
              <w:rPr>
                <w:rFonts w:ascii="Arial" w:cs="Arial" w:eastAsia="Arial" w:hAnsi="Arial"/>
                <w:sz w:val="16"/>
                <w:szCs w:val="16"/>
                <w:color w:val="auto"/>
              </w:rPr>
              <w:t>10</w:t>
            </w:r>
          </w:p>
        </w:tc>
      </w:tr>
      <w:tr>
        <w:trPr>
          <w:trHeight w:val="255"/>
        </w:trPr>
        <w:tc>
          <w:tcPr>
            <w:tcW w:w="340" w:type="dxa"/>
            <w:vAlign w:val="bottom"/>
          </w:tcPr>
          <w:p>
            <w:pPr>
              <w:spacing w:after="0"/>
              <w:rPr>
                <w:sz w:val="22"/>
                <w:szCs w:val="22"/>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Changing Your Vote</w:t>
            </w:r>
          </w:p>
        </w:tc>
        <w:tc>
          <w:tcPr>
            <w:tcW w:w="500" w:type="dxa"/>
            <w:vAlign w:val="bottom"/>
            <w:shd w:val="clear" w:color="auto" w:fill="D1D0CF"/>
          </w:tcPr>
          <w:p>
            <w:pPr>
              <w:jc w:val="right"/>
              <w:ind w:right="39"/>
              <w:spacing w:after="0"/>
              <w:rPr>
                <w:sz w:val="20"/>
                <w:szCs w:val="20"/>
                <w:color w:val="auto"/>
              </w:rPr>
            </w:pPr>
            <w:r>
              <w:rPr>
                <w:rFonts w:ascii="Arial" w:cs="Arial" w:eastAsia="Arial" w:hAnsi="Arial"/>
                <w:sz w:val="16"/>
                <w:szCs w:val="16"/>
                <w:color w:val="auto"/>
              </w:rPr>
              <w:t>12</w:t>
            </w:r>
          </w:p>
        </w:tc>
      </w:tr>
      <w:tr>
        <w:trPr>
          <w:trHeight w:val="255"/>
        </w:trPr>
        <w:tc>
          <w:tcPr>
            <w:tcW w:w="340" w:type="dxa"/>
            <w:vAlign w:val="bottom"/>
          </w:tcPr>
          <w:p>
            <w:pPr>
              <w:spacing w:after="0"/>
              <w:rPr>
                <w:sz w:val="22"/>
                <w:szCs w:val="22"/>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How the Votes are Counted</w:t>
            </w:r>
          </w:p>
        </w:tc>
        <w:tc>
          <w:tcPr>
            <w:tcW w:w="500" w:type="dxa"/>
            <w:vAlign w:val="bottom"/>
            <w:shd w:val="clear" w:color="auto" w:fill="D1D0CF"/>
          </w:tcPr>
          <w:p>
            <w:pPr>
              <w:jc w:val="right"/>
              <w:ind w:right="39"/>
              <w:spacing w:after="0"/>
              <w:rPr>
                <w:sz w:val="20"/>
                <w:szCs w:val="20"/>
                <w:color w:val="auto"/>
              </w:rPr>
            </w:pPr>
            <w:r>
              <w:rPr>
                <w:rFonts w:ascii="Arial" w:cs="Arial" w:eastAsia="Arial" w:hAnsi="Arial"/>
                <w:sz w:val="16"/>
                <w:szCs w:val="16"/>
                <w:color w:val="auto"/>
              </w:rPr>
              <w:t>12</w:t>
            </w:r>
          </w:p>
        </w:tc>
      </w:tr>
      <w:tr>
        <w:trPr>
          <w:trHeight w:val="255"/>
        </w:trPr>
        <w:tc>
          <w:tcPr>
            <w:tcW w:w="340" w:type="dxa"/>
            <w:vAlign w:val="bottom"/>
          </w:tcPr>
          <w:p>
            <w:pPr>
              <w:jc w:val="right"/>
              <w:ind w:right="64"/>
              <w:spacing w:after="0"/>
              <w:rPr>
                <w:sz w:val="20"/>
                <w:szCs w:val="20"/>
                <w:color w:val="auto"/>
              </w:rPr>
            </w:pPr>
            <w:r>
              <w:rPr>
                <w:rFonts w:ascii="Arial" w:cs="Arial" w:eastAsia="Arial" w:hAnsi="Arial"/>
                <w:sz w:val="15"/>
                <w:szCs w:val="15"/>
                <w:color w:val="0D64EF"/>
              </w:rPr>
              <w:t>&gt;</w:t>
            </w: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0D64EF"/>
              </w:rPr>
              <w:t>Business of the Meeting</w:t>
            </w:r>
          </w:p>
        </w:tc>
        <w:tc>
          <w:tcPr>
            <w:tcW w:w="500" w:type="dxa"/>
            <w:vAlign w:val="bottom"/>
            <w:shd w:val="clear" w:color="auto" w:fill="D1D0CF"/>
          </w:tcPr>
          <w:p>
            <w:pPr>
              <w:jc w:val="right"/>
              <w:ind w:right="39"/>
              <w:spacing w:after="0"/>
              <w:rPr>
                <w:sz w:val="20"/>
                <w:szCs w:val="20"/>
                <w:color w:val="auto"/>
              </w:rPr>
            </w:pPr>
            <w:r>
              <w:rPr>
                <w:rFonts w:ascii="Arial" w:cs="Arial" w:eastAsia="Arial" w:hAnsi="Arial"/>
                <w:sz w:val="16"/>
                <w:szCs w:val="16"/>
                <w:color w:val="0D64EF"/>
              </w:rPr>
              <w:t>13</w:t>
            </w:r>
          </w:p>
        </w:tc>
      </w:tr>
      <w:tr>
        <w:trPr>
          <w:trHeight w:val="269"/>
        </w:trPr>
        <w:tc>
          <w:tcPr>
            <w:tcW w:w="340" w:type="dxa"/>
            <w:vAlign w:val="bottom"/>
          </w:tcPr>
          <w:p>
            <w:pPr>
              <w:spacing w:after="0"/>
              <w:rPr>
                <w:sz w:val="23"/>
                <w:szCs w:val="23"/>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Director Profiles</w:t>
            </w:r>
          </w:p>
        </w:tc>
        <w:tc>
          <w:tcPr>
            <w:tcW w:w="500" w:type="dxa"/>
            <w:vAlign w:val="bottom"/>
            <w:shd w:val="clear" w:color="auto" w:fill="D1D0CF"/>
          </w:tcPr>
          <w:p>
            <w:pPr>
              <w:jc w:val="right"/>
              <w:ind w:right="39"/>
              <w:spacing w:after="0"/>
              <w:rPr>
                <w:sz w:val="20"/>
                <w:szCs w:val="20"/>
                <w:color w:val="auto"/>
              </w:rPr>
            </w:pPr>
            <w:r>
              <w:rPr>
                <w:rFonts w:ascii="Arial" w:cs="Arial" w:eastAsia="Arial" w:hAnsi="Arial"/>
                <w:sz w:val="16"/>
                <w:szCs w:val="16"/>
                <w:color w:val="auto"/>
              </w:rPr>
              <w:t>20</w:t>
            </w:r>
          </w:p>
        </w:tc>
      </w:tr>
      <w:tr>
        <w:trPr>
          <w:trHeight w:val="123"/>
        </w:trPr>
        <w:tc>
          <w:tcPr>
            <w:tcW w:w="340" w:type="dxa"/>
            <w:vAlign w:val="bottom"/>
            <w:tcBorders>
              <w:bottom w:val="single" w:sz="8" w:color="0D64EF"/>
            </w:tcBorders>
          </w:tcPr>
          <w:p>
            <w:pPr>
              <w:spacing w:after="0"/>
              <w:rPr>
                <w:sz w:val="10"/>
                <w:szCs w:val="10"/>
                <w:color w:val="auto"/>
              </w:rPr>
            </w:pPr>
          </w:p>
        </w:tc>
        <w:tc>
          <w:tcPr>
            <w:tcW w:w="3320" w:type="dxa"/>
            <w:vAlign w:val="bottom"/>
            <w:tcBorders>
              <w:bottom w:val="single" w:sz="8" w:color="0D64EF"/>
            </w:tcBorders>
            <w:shd w:val="clear" w:color="auto" w:fill="D1D0CF"/>
          </w:tcPr>
          <w:p>
            <w:pPr>
              <w:spacing w:after="0"/>
              <w:rPr>
                <w:sz w:val="10"/>
                <w:szCs w:val="10"/>
                <w:color w:val="auto"/>
              </w:rPr>
            </w:pPr>
          </w:p>
        </w:tc>
        <w:tc>
          <w:tcPr>
            <w:tcW w:w="500" w:type="dxa"/>
            <w:vAlign w:val="bottom"/>
            <w:tcBorders>
              <w:bottom w:val="single" w:sz="8" w:color="0D64EF"/>
            </w:tcBorders>
            <w:shd w:val="clear" w:color="auto" w:fill="D1D0CF"/>
          </w:tcPr>
          <w:p>
            <w:pPr>
              <w:spacing w:after="0"/>
              <w:rPr>
                <w:sz w:val="10"/>
                <w:szCs w:val="10"/>
                <w:color w:val="auto"/>
              </w:rPr>
            </w:pPr>
          </w:p>
        </w:tc>
      </w:tr>
    </w:tbl>
    <w:p>
      <w:pPr>
        <w:spacing w:after="0" w:line="22" w:lineRule="exact"/>
        <w:rPr>
          <w:sz w:val="20"/>
          <w:szCs w:val="20"/>
          <w:color w:val="auto"/>
        </w:rPr>
      </w:pPr>
    </w:p>
    <w:p>
      <w:pPr>
        <w:sectPr>
          <w:pgSz w:w="11900" w:h="16838" w:orient="portrait"/>
          <w:cols w:equalWidth="0" w:num="2">
            <w:col w:w="6480" w:space="600"/>
            <w:col w:w="4160"/>
          </w:cols>
          <w:pgMar w:left="320" w:top="1048" w:right="339" w:bottom="1440" w:gutter="0" w:footer="0" w:header="0"/>
        </w:sectPr>
      </w:pPr>
    </w:p>
    <w:p>
      <w:pPr>
        <w:ind w:left="20"/>
        <w:spacing w:after="0"/>
        <w:rPr>
          <w:sz w:val="20"/>
          <w:szCs w:val="20"/>
          <w:color w:val="auto"/>
        </w:rPr>
      </w:pPr>
      <w:r>
        <w:rPr>
          <w:rFonts w:ascii="Arial" w:cs="Arial" w:eastAsia="Arial" w:hAnsi="Arial"/>
          <w:sz w:val="29"/>
          <w:szCs w:val="29"/>
          <w:color w:val="0D64EF"/>
        </w:rPr>
        <w:t>Delivery of Meeting Materials</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are using notice and access to deliver this Circular and 2025 Annual Report to both our registered and beneficial shareholders.</w:t>
      </w:r>
    </w:p>
    <w:p>
      <w:pPr>
        <w:spacing w:after="0" w:line="152" w:lineRule="exact"/>
        <w:rPr>
          <w:sz w:val="20"/>
          <w:szCs w:val="20"/>
          <w:color w:val="auto"/>
        </w:rPr>
      </w:pPr>
    </w:p>
    <w:p>
      <w:pPr>
        <w:ind w:left="20" w:right="140"/>
        <w:spacing w:after="0" w:line="306" w:lineRule="auto"/>
        <w:rPr>
          <w:sz w:val="20"/>
          <w:szCs w:val="20"/>
          <w:color w:val="auto"/>
        </w:rPr>
      </w:pPr>
      <w:r>
        <w:rPr>
          <w:rFonts w:ascii="Arial" w:cs="Arial" w:eastAsia="Arial" w:hAnsi="Arial"/>
          <w:sz w:val="16"/>
          <w:szCs w:val="16"/>
          <w:color w:val="auto"/>
        </w:rPr>
        <w:t>This means that TC Energy will post this Circular and 2025 Annual Report online for our shareholders to access electronically. You will receive a package in the mail with a notice (Notice) explaining how to access and review this Circular and/or</w:t>
      </w:r>
    </w:p>
    <w:p>
      <w:pPr>
        <w:spacing w:after="0" w:line="1" w:lineRule="exact"/>
        <w:rPr>
          <w:sz w:val="20"/>
          <w:szCs w:val="20"/>
          <w:color w:val="auto"/>
        </w:rPr>
      </w:pPr>
    </w:p>
    <w:p>
      <w:pPr>
        <w:ind w:left="20" w:right="80"/>
        <w:spacing w:after="0" w:line="337" w:lineRule="auto"/>
        <w:rPr>
          <w:sz w:val="20"/>
          <w:szCs w:val="20"/>
          <w:color w:val="auto"/>
        </w:rPr>
      </w:pPr>
      <w:r>
        <w:rPr>
          <w:rFonts w:ascii="Arial" w:cs="Arial" w:eastAsia="Arial" w:hAnsi="Arial"/>
          <w:sz w:val="16"/>
          <w:szCs w:val="16"/>
          <w:color w:val="auto"/>
        </w:rPr>
        <w:t>2025 Annual Report electronically and how to request a paper copy of either at no charge. You will also receive a form of proxy or a voting instruction form in the mail so you can vote your shares.</w:t>
      </w:r>
    </w:p>
    <w:p>
      <w:pPr>
        <w:spacing w:after="0" w:line="48" w:lineRule="exact"/>
        <w:rPr>
          <w:sz w:val="20"/>
          <w:szCs w:val="20"/>
          <w:color w:val="auto"/>
        </w:rPr>
      </w:pPr>
    </w:p>
    <w:p>
      <w:pPr>
        <w:ind w:left="20" w:right="300"/>
        <w:spacing w:after="0" w:line="337" w:lineRule="auto"/>
        <w:rPr>
          <w:sz w:val="20"/>
          <w:szCs w:val="20"/>
          <w:color w:val="auto"/>
        </w:rPr>
      </w:pPr>
      <w:r>
        <w:rPr>
          <w:rFonts w:ascii="Arial" w:cs="Arial" w:eastAsia="Arial" w:hAnsi="Arial"/>
          <w:sz w:val="16"/>
          <w:szCs w:val="16"/>
          <w:color w:val="auto"/>
        </w:rPr>
        <w:t>Notice and access is an environmentally friendly and cost effective way to distribute this Circular and the 2025 Annual Report because it reduces printing, paper and postage.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beneficial shareholders will receive a paper copy of this Circular:</w:t>
      </w:r>
    </w:p>
    <w:p>
      <w:pPr>
        <w:spacing w:after="0" w:line="138" w:lineRule="exact"/>
        <w:rPr>
          <w:sz w:val="20"/>
          <w:szCs w:val="20"/>
          <w:color w:val="auto"/>
        </w:rPr>
      </w:pPr>
    </w:p>
    <w:p>
      <w:pPr>
        <w:ind w:left="160" w:hanging="135"/>
        <w:spacing w:after="0"/>
        <w:tabs>
          <w:tab w:leader="none" w:pos="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those who have already provided instructions that they prefer to receive a paper copy,</w:t>
      </w:r>
    </w:p>
    <w:p>
      <w:pPr>
        <w:spacing w:after="0" w:line="57" w:lineRule="exact"/>
        <w:rPr>
          <w:rFonts w:ascii="Arial" w:cs="Arial" w:eastAsia="Arial" w:hAnsi="Arial"/>
          <w:sz w:val="16"/>
          <w:szCs w:val="16"/>
          <w:color w:val="auto"/>
        </w:rPr>
      </w:pPr>
    </w:p>
    <w:p>
      <w:pPr>
        <w:ind w:left="160" w:hanging="135"/>
        <w:spacing w:after="0"/>
        <w:tabs>
          <w:tab w:leader="none" w:pos="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employees of our U.S. affiliate who own TC Energy shares through our U.S. affiliate's 401(k) retirement plans, and</w:t>
      </w:r>
    </w:p>
    <w:p>
      <w:pPr>
        <w:spacing w:after="0" w:line="44" w:lineRule="exact"/>
        <w:rPr>
          <w:rFonts w:ascii="Arial" w:cs="Arial" w:eastAsia="Arial" w:hAnsi="Arial"/>
          <w:sz w:val="16"/>
          <w:szCs w:val="16"/>
          <w:color w:val="auto"/>
        </w:rPr>
      </w:pPr>
    </w:p>
    <w:p>
      <w:pPr>
        <w:ind w:left="160" w:hanging="135"/>
        <w:spacing w:after="0"/>
        <w:tabs>
          <w:tab w:leader="none" w:pos="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those whose brokers receive materials through Computershare Investor Services, Inc. (Computershare).</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This Circular is available on SEDAR+ (www.sedarplus.ca) and on our website (www.tcenergy.com/notice-and-access).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D64EF"/>
        </w:rPr>
        <w:t>How to request a paper copy of this Circular</w:t>
      </w:r>
    </w:p>
    <w:p>
      <w:pPr>
        <w:spacing w:after="0" w:line="40" w:lineRule="exact"/>
        <w:rPr>
          <w:sz w:val="20"/>
          <w:szCs w:val="20"/>
          <w:color w:val="auto"/>
        </w:rPr>
      </w:pPr>
    </w:p>
    <w:p>
      <w:pPr>
        <w:ind w:left="20" w:right="360"/>
        <w:spacing w:after="0" w:line="354" w:lineRule="auto"/>
        <w:rPr>
          <w:sz w:val="20"/>
          <w:szCs w:val="20"/>
          <w:color w:val="auto"/>
        </w:rPr>
      </w:pPr>
      <w:r>
        <w:rPr>
          <w:rFonts w:ascii="Arial" w:cs="Arial" w:eastAsia="Arial" w:hAnsi="Arial"/>
          <w:sz w:val="16"/>
          <w:szCs w:val="16"/>
          <w:color w:val="auto"/>
        </w:rPr>
        <w:t>Starting March 31, 2026, shareholders can request a paper copy of this Circular and/or 2025 Annual Report for up to one year. This Circular and/or 2025 Annual Report will be sent to you at no charge.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If you would like to receive a paper copy of this Circular and/or 2025 Annual Report, please follow the instructions provided in the Notice.</w:t>
      </w:r>
    </w:p>
    <w:p>
      <w:pPr>
        <w:spacing w:after="0" w:line="152" w:lineRule="exact"/>
        <w:rPr>
          <w:sz w:val="20"/>
          <w:szCs w:val="20"/>
          <w:color w:val="auto"/>
        </w:rPr>
      </w:pPr>
    </w:p>
    <w:p>
      <w:pPr>
        <w:ind w:left="20" w:right="500"/>
        <w:spacing w:after="0" w:line="337" w:lineRule="auto"/>
        <w:rPr>
          <w:sz w:val="20"/>
          <w:szCs w:val="20"/>
          <w:color w:val="auto"/>
        </w:rPr>
      </w:pPr>
      <w:r>
        <w:rPr>
          <w:rFonts w:ascii="Arial" w:cs="Arial" w:eastAsia="Arial" w:hAnsi="Arial"/>
          <w:sz w:val="16"/>
          <w:szCs w:val="16"/>
          <w:color w:val="auto"/>
        </w:rPr>
        <w:t xml:space="preserve">Requests by shareholders must be made by </w:t>
      </w:r>
      <w:r>
        <w:rPr>
          <w:rFonts w:ascii="Arial" w:cs="Arial" w:eastAsia="Arial" w:hAnsi="Arial"/>
          <w:sz w:val="16"/>
          <w:szCs w:val="16"/>
          <w:b w:val="1"/>
          <w:bCs w:val="1"/>
          <w:color w:val="auto"/>
        </w:rPr>
        <w:t>3 p.m. MDT, Tuesday, April 21, 2026</w:t>
      </w:r>
      <w:r>
        <w:rPr>
          <w:rFonts w:ascii="Arial" w:cs="Arial" w:eastAsia="Arial" w:hAnsi="Arial"/>
          <w:sz w:val="16"/>
          <w:szCs w:val="16"/>
          <w:color w:val="auto"/>
        </w:rPr>
        <w:t xml:space="preserve"> in order for you to receive a paper copy of this Circular and/or 2025 Annual Report before the annual meeting on May 7, 2026.</w:t>
      </w:r>
    </w:p>
    <w:p>
      <w:pPr>
        <w:spacing w:after="0" w:line="48" w:lineRule="exact"/>
        <w:rPr>
          <w:sz w:val="20"/>
          <w:szCs w:val="20"/>
          <w:color w:val="auto"/>
        </w:rPr>
      </w:pPr>
    </w:p>
    <w:p>
      <w:pPr>
        <w:ind w:left="20" w:right="600"/>
        <w:spacing w:after="0" w:line="337" w:lineRule="auto"/>
        <w:rPr>
          <w:sz w:val="20"/>
          <w:szCs w:val="20"/>
          <w:color w:val="auto"/>
        </w:rPr>
      </w:pPr>
      <w:r>
        <w:rPr>
          <w:rFonts w:ascii="Arial" w:cs="Arial" w:eastAsia="Arial" w:hAnsi="Arial"/>
          <w:sz w:val="16"/>
          <w:szCs w:val="16"/>
          <w:color w:val="auto"/>
        </w:rPr>
        <w:t>If you request a paper copy of this Circular and/or 2025 Annual Report you will not receive a new form of proxy (for registered shareholders) or voting instruction form (for beneficial shareholders), so you should keep the original form sent to you in order to vote.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If you have questions about notice and access, you can call our Investor Relations line at 403-920-7911 or 1-800-361-6522.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7</w:t>
      </w:r>
    </w:p>
    <w:p>
      <w:pPr>
        <w:sectPr>
          <w:pgSz w:w="11900" w:h="16838" w:orient="portrait"/>
          <w:cols w:equalWidth="0" w:num="1">
            <w:col w:w="11240"/>
          </w:cols>
          <w:pgMar w:left="320" w:top="104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8"/>
          <w:szCs w:val="28"/>
          <w:color w:val="0D64EF"/>
        </w:rPr>
        <w:t>Attending and Participating in the Meeting</w:t>
      </w:r>
    </w:p>
    <w:p>
      <w:pPr>
        <w:spacing w:after="0" w:line="247"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TC Energy is holding its 2026 annual meeting via a virtual-only format using a live audio webcast available online at https://meetings.lumiconnect.com/400-652-715-564, password "tc2026" (case sensitive). A physical or in-person meeting will not be held.</w:t>
      </w:r>
    </w:p>
    <w:p>
      <w:pPr>
        <w:spacing w:after="0" w:line="71" w:lineRule="exact"/>
        <w:rPr>
          <w:sz w:val="20"/>
          <w:szCs w:val="20"/>
          <w:color w:val="auto"/>
        </w:rPr>
      </w:pPr>
    </w:p>
    <w:p>
      <w:pPr>
        <w:jc w:val="both"/>
        <w:ind w:right="640"/>
        <w:spacing w:after="0" w:line="297" w:lineRule="auto"/>
        <w:rPr>
          <w:sz w:val="20"/>
          <w:szCs w:val="20"/>
          <w:color w:val="auto"/>
        </w:rPr>
      </w:pPr>
      <w:r>
        <w:rPr>
          <w:rFonts w:ascii="Arial" w:cs="Arial" w:eastAsia="Arial" w:hAnsi="Arial"/>
          <w:sz w:val="16"/>
          <w:szCs w:val="16"/>
          <w:color w:val="auto"/>
        </w:rPr>
        <w:t>If you participate in the virtual meeting, it is important that you are connected to the internet at all times during the meeting. It is your responsibility to ensure connectivity for the duration of the virtual meeting.</w:t>
      </w:r>
    </w:p>
    <w:p>
      <w:pPr>
        <w:spacing w:after="0" w:line="3" w:lineRule="exact"/>
        <w:rPr>
          <w:sz w:val="20"/>
          <w:szCs w:val="20"/>
          <w:color w:val="auto"/>
        </w:rPr>
      </w:pPr>
    </w:p>
    <w:p>
      <w:pPr>
        <w:ind w:right="160"/>
        <w:spacing w:after="0" w:line="337" w:lineRule="auto"/>
        <w:rPr>
          <w:sz w:val="20"/>
          <w:szCs w:val="20"/>
          <w:color w:val="auto"/>
        </w:rPr>
      </w:pPr>
      <w:r>
        <w:rPr>
          <w:rFonts w:ascii="Arial" w:cs="Arial" w:eastAsia="Arial" w:hAnsi="Arial"/>
          <w:sz w:val="16"/>
          <w:szCs w:val="16"/>
          <w:color w:val="auto"/>
        </w:rPr>
        <w:t>You should allow ample time to log into the virtual meeting and complete the below procedure.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All meeting participants must use the latest versions</w:t>
      </w:r>
    </w:p>
    <w:p>
      <w:pPr>
        <w:spacing w:after="0" w:line="44"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of Chrome, Safari, Edge, or Firefox. TC Energy recommends that you log in at least 30-60 minutes before the meeting starts as this will allow you to check compatibility and complete the related procedures required to log in to the meeting.</w:t>
      </w:r>
    </w:p>
    <w:p>
      <w:pPr>
        <w:spacing w:after="0" w:line="57" w:lineRule="exact"/>
        <w:rPr>
          <w:sz w:val="20"/>
          <w:szCs w:val="20"/>
          <w:color w:val="auto"/>
        </w:rPr>
      </w:pPr>
    </w:p>
    <w:p>
      <w:pPr>
        <w:ind w:right="600"/>
        <w:spacing w:after="0" w:line="337" w:lineRule="auto"/>
        <w:rPr>
          <w:sz w:val="20"/>
          <w:szCs w:val="20"/>
          <w:color w:val="auto"/>
        </w:rPr>
      </w:pPr>
      <w:r>
        <w:rPr>
          <w:rFonts w:ascii="Arial" w:cs="Arial" w:eastAsia="Arial" w:hAnsi="Arial"/>
          <w:sz w:val="16"/>
          <w:szCs w:val="16"/>
          <w:color w:val="auto"/>
        </w:rPr>
        <w:t>Additional information on how to access the virtual meeting is also available on our website (www.tcenergy.com).</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WHO CAN ATTEND THE MEETING</w:t>
      </w:r>
    </w:p>
    <w:p>
      <w:pPr>
        <w:spacing w:after="0" w:line="40" w:lineRule="exact"/>
        <w:rPr>
          <w:sz w:val="20"/>
          <w:szCs w:val="20"/>
          <w:color w:val="auto"/>
        </w:rPr>
      </w:pPr>
    </w:p>
    <w:p>
      <w:pPr>
        <w:ind w:right="160"/>
        <w:spacing w:after="0" w:line="329" w:lineRule="auto"/>
        <w:rPr>
          <w:sz w:val="20"/>
          <w:szCs w:val="20"/>
          <w:color w:val="auto"/>
        </w:rPr>
      </w:pPr>
      <w:r>
        <w:rPr>
          <w:rFonts w:ascii="Arial" w:cs="Arial" w:eastAsia="Arial" w:hAnsi="Arial"/>
          <w:sz w:val="16"/>
          <w:szCs w:val="16"/>
          <w:color w:val="auto"/>
        </w:rPr>
        <w:t>Registered shareholders and duly appointed proxyholders will be able to attend and ask questions at the meeting.</w:t>
      </w:r>
    </w:p>
    <w:p>
      <w:pPr>
        <w:spacing w:after="0" w:line="54"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Registered shareholders and duly appointed proxyholders can also vote in real-time at the meeting by completing</w:t>
      </w:r>
    </w:p>
    <w:p>
      <w:pPr>
        <w:spacing w:after="0" w:line="1" w:lineRule="exact"/>
        <w:rPr>
          <w:sz w:val="20"/>
          <w:szCs w:val="20"/>
          <w:color w:val="auto"/>
        </w:rPr>
      </w:pPr>
    </w:p>
    <w:p>
      <w:pPr>
        <w:ind w:right="600"/>
        <w:spacing w:after="0" w:line="337" w:lineRule="auto"/>
        <w:rPr>
          <w:sz w:val="20"/>
          <w:szCs w:val="20"/>
          <w:color w:val="auto"/>
        </w:rPr>
      </w:pPr>
      <w:r>
        <w:rPr>
          <w:rFonts w:ascii="Arial" w:cs="Arial" w:eastAsia="Arial" w:hAnsi="Arial"/>
          <w:sz w:val="16"/>
          <w:szCs w:val="16"/>
          <w:color w:val="auto"/>
        </w:rPr>
        <w:t>a ballot online during the meeting, provided that they complete the instructions outlined in this Circular.</w:t>
      </w:r>
    </w:p>
    <w:p>
      <w:pPr>
        <w:spacing w:after="0" w:line="34" w:lineRule="exact"/>
        <w:rPr>
          <w:sz w:val="20"/>
          <w:szCs w:val="20"/>
          <w:color w:val="auto"/>
        </w:rPr>
      </w:pPr>
    </w:p>
    <w:p>
      <w:pPr>
        <w:ind w:right="140"/>
        <w:spacing w:after="0" w:line="305" w:lineRule="auto"/>
        <w:rPr>
          <w:sz w:val="20"/>
          <w:szCs w:val="20"/>
          <w:color w:val="auto"/>
        </w:rPr>
      </w:pPr>
      <w:r>
        <w:rPr>
          <w:rFonts w:ascii="Arial" w:cs="Arial" w:eastAsia="Arial" w:hAnsi="Arial"/>
          <w:sz w:val="16"/>
          <w:szCs w:val="16"/>
          <w:color w:val="auto"/>
        </w:rPr>
        <w:t>If you are a registered shareholder and you wish to attend the meeting, you may still find it more convenient to complete a form of proxy and register your vote in advance of the meeting. If you vote by proxy in advance of the meeting, you are still entitled to attend and ask questions at the meeting, as well as to vote at the meeting if you decide you want to change your vote.</w:t>
      </w:r>
    </w:p>
    <w:p>
      <w:pPr>
        <w:spacing w:after="0" w:line="6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Beneficial shareholders who appoint themselves as proxyholders can also attend the meeting, ask questions and vote. Beneficial shareholders can also appoint someone else to attend the meeting and vote on</w:t>
      </w:r>
    </w:p>
    <w:p>
      <w:pPr>
        <w:spacing w:after="0" w:line="2" w:lineRule="exact"/>
        <w:rPr>
          <w:sz w:val="20"/>
          <w:szCs w:val="20"/>
          <w:color w:val="auto"/>
        </w:rPr>
      </w:pPr>
    </w:p>
    <w:p>
      <w:pPr>
        <w:ind w:right="700"/>
        <w:spacing w:after="0" w:line="337" w:lineRule="auto"/>
        <w:rPr>
          <w:sz w:val="20"/>
          <w:szCs w:val="20"/>
          <w:color w:val="auto"/>
        </w:rPr>
      </w:pPr>
      <w:r>
        <w:rPr>
          <w:rFonts w:ascii="Arial" w:cs="Arial" w:eastAsia="Arial" w:hAnsi="Arial"/>
          <w:sz w:val="16"/>
          <w:szCs w:val="16"/>
          <w:color w:val="auto"/>
        </w:rPr>
        <w:t>their behalf by following the directions on pages 11 and 12 of this Circular.</w:t>
      </w:r>
    </w:p>
    <w:p>
      <w:pPr>
        <w:spacing w:after="0" w:line="48" w:lineRule="exact"/>
        <w:rPr>
          <w:sz w:val="20"/>
          <w:szCs w:val="20"/>
          <w:color w:val="auto"/>
        </w:rPr>
      </w:pPr>
    </w:p>
    <w:p>
      <w:pPr>
        <w:ind w:right="140"/>
        <w:spacing w:after="0" w:line="317" w:lineRule="auto"/>
        <w:rPr>
          <w:sz w:val="20"/>
          <w:szCs w:val="20"/>
          <w:color w:val="auto"/>
        </w:rPr>
      </w:pPr>
      <w:r>
        <w:rPr>
          <w:rFonts w:ascii="Arial" w:cs="Arial" w:eastAsia="Arial" w:hAnsi="Arial"/>
          <w:sz w:val="16"/>
          <w:szCs w:val="16"/>
          <w:color w:val="auto"/>
        </w:rPr>
        <w:t>Beneficial shareholders who have not appointed themselves as proxyholder will be able to listen to the meeting as a guest but will not be able to ask questions or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Attending the meeting as a registered shareholder</w:t>
      </w:r>
    </w:p>
    <w:p>
      <w:pPr>
        <w:spacing w:after="0" w:line="53" w:lineRule="exact"/>
        <w:rPr>
          <w:sz w:val="20"/>
          <w:szCs w:val="20"/>
          <w:color w:val="auto"/>
        </w:rPr>
      </w:pPr>
    </w:p>
    <w:p>
      <w:pPr>
        <w:ind w:right="340"/>
        <w:spacing w:after="0" w:line="317" w:lineRule="auto"/>
        <w:rPr>
          <w:sz w:val="20"/>
          <w:szCs w:val="20"/>
          <w:color w:val="auto"/>
        </w:rPr>
      </w:pPr>
      <w:r>
        <w:rPr>
          <w:rFonts w:ascii="Arial" w:cs="Arial" w:eastAsia="Arial" w:hAnsi="Arial"/>
          <w:sz w:val="16"/>
          <w:szCs w:val="16"/>
          <w:color w:val="auto"/>
        </w:rPr>
        <w:t>If you hold your shares directly and have a share certificate or DRS Advice in your name, you may attend the meeting by following the instructions below:</w:t>
      </w:r>
    </w:p>
    <w:p>
      <w:pPr>
        <w:spacing w:after="0" w:line="50" w:lineRule="exact"/>
        <w:rPr>
          <w:sz w:val="20"/>
          <w:szCs w:val="20"/>
          <w:color w:val="auto"/>
        </w:rPr>
      </w:pPr>
    </w:p>
    <w:p>
      <w:pPr>
        <w:ind w:left="160" w:right="140" w:hanging="152"/>
        <w:spacing w:after="0" w:line="306" w:lineRule="auto"/>
        <w:tabs>
          <w:tab w:leader="none" w:pos="173" w:val="left"/>
        </w:tabs>
        <w:numPr>
          <w:ilvl w:val="0"/>
          <w:numId w:val="8"/>
        </w:numPr>
        <w:rPr>
          <w:rFonts w:ascii="Arial" w:cs="Arial" w:eastAsia="Arial" w:hAnsi="Arial"/>
          <w:sz w:val="16"/>
          <w:szCs w:val="16"/>
          <w:color w:val="auto"/>
        </w:rPr>
      </w:pPr>
      <w:r>
        <w:rPr>
          <w:rFonts w:ascii="Arial" w:cs="Arial" w:eastAsia="Arial" w:hAnsi="Arial"/>
          <w:sz w:val="16"/>
          <w:szCs w:val="16"/>
          <w:color w:val="auto"/>
        </w:rPr>
        <w:t>Log in online at https://meetings.lumiconnect.com/400-652-715-564 using</w:t>
      </w:r>
    </w:p>
    <w:p>
      <w:pPr>
        <w:spacing w:after="0" w:line="1"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a web browser on a smartphone, tablet or computer.</w:t>
      </w:r>
    </w:p>
    <w:p>
      <w:pPr>
        <w:spacing w:after="0" w:line="44" w:lineRule="exact"/>
        <w:rPr>
          <w:rFonts w:ascii="Arial" w:cs="Arial" w:eastAsia="Arial" w:hAnsi="Arial"/>
          <w:sz w:val="16"/>
          <w:szCs w:val="16"/>
          <w:color w:val="auto"/>
        </w:rPr>
      </w:pPr>
    </w:p>
    <w:p>
      <w:pPr>
        <w:ind w:left="160" w:right="160" w:hanging="152"/>
        <w:spacing w:after="0" w:line="317" w:lineRule="auto"/>
        <w:tabs>
          <w:tab w:leader="none" w:pos="147" w:val="left"/>
        </w:tabs>
        <w:numPr>
          <w:ilvl w:val="0"/>
          <w:numId w:val="8"/>
        </w:numPr>
        <w:rPr>
          <w:rFonts w:ascii="Arial" w:cs="Arial" w:eastAsia="Arial" w:hAnsi="Arial"/>
          <w:sz w:val="16"/>
          <w:szCs w:val="16"/>
          <w:color w:val="auto"/>
        </w:rPr>
      </w:pPr>
      <w:r>
        <w:rPr>
          <w:rFonts w:ascii="Arial" w:cs="Arial" w:eastAsia="Arial" w:hAnsi="Arial"/>
          <w:sz w:val="16"/>
          <w:szCs w:val="16"/>
          <w:color w:val="auto"/>
        </w:rPr>
        <w:t>Click "I have a login" and then enter your control number located on the form of proxy or in the email notification you received from Computershare, and password "tc2026" (case sensitive).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Attending the meeting as a beneficial shareholder</w:t>
      </w:r>
    </w:p>
    <w:p>
      <w:pPr>
        <w:spacing w:after="0" w:line="53" w:lineRule="exact"/>
        <w:rPr>
          <w:sz w:val="20"/>
          <w:szCs w:val="20"/>
          <w:color w:val="auto"/>
        </w:rPr>
      </w:pPr>
    </w:p>
    <w:p>
      <w:pPr>
        <w:ind w:right="160"/>
        <w:spacing w:after="0" w:line="317" w:lineRule="auto"/>
        <w:rPr>
          <w:sz w:val="20"/>
          <w:szCs w:val="20"/>
          <w:color w:val="auto"/>
        </w:rPr>
      </w:pPr>
      <w:r>
        <w:rPr>
          <w:rFonts w:ascii="Arial" w:cs="Arial" w:eastAsia="Arial" w:hAnsi="Arial"/>
          <w:sz w:val="16"/>
          <w:szCs w:val="16"/>
          <w:color w:val="auto"/>
        </w:rPr>
        <w:t>If you hold your shares beneficially through a broker, nominee or intermediary, you may attend the meeting by following the instructions below:</w:t>
      </w:r>
    </w:p>
    <w:p>
      <w:pPr>
        <w:spacing w:after="0" w:line="50" w:lineRule="exact"/>
        <w:rPr>
          <w:sz w:val="20"/>
          <w:szCs w:val="20"/>
          <w:color w:val="auto"/>
        </w:rPr>
      </w:pPr>
    </w:p>
    <w:p>
      <w:pPr>
        <w:ind w:left="160" w:right="280" w:hanging="152"/>
        <w:spacing w:after="0" w:line="297" w:lineRule="auto"/>
        <w:tabs>
          <w:tab w:leader="none" w:pos="173"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Appoint yourself as a duly appointed proxyholder, by following the instructions on page 11 of this Circular.</w:t>
      </w:r>
    </w:p>
    <w:p>
      <w:pPr>
        <w:spacing w:after="0" w:line="1" w:lineRule="exact"/>
        <w:rPr>
          <w:rFonts w:ascii="Arial" w:cs="Arial" w:eastAsia="Arial" w:hAnsi="Arial"/>
          <w:sz w:val="16"/>
          <w:szCs w:val="16"/>
          <w:color w:val="auto"/>
        </w:rPr>
      </w:pPr>
    </w:p>
    <w:p>
      <w:pPr>
        <w:ind w:left="160" w:hanging="152"/>
        <w:spacing w:after="0" w:line="297" w:lineRule="auto"/>
        <w:tabs>
          <w:tab w:leader="none" w:pos="147" w:val="left"/>
        </w:tabs>
        <w:numPr>
          <w:ilvl w:val="0"/>
          <w:numId w:val="9"/>
        </w:numPr>
        <w:rPr>
          <w:rFonts w:ascii="Arial" w:cs="Arial" w:eastAsia="Arial" w:hAnsi="Arial"/>
          <w:sz w:val="16"/>
          <w:szCs w:val="16"/>
          <w:color w:val="auto"/>
        </w:rPr>
      </w:pPr>
      <w:r>
        <w:rPr>
          <w:rFonts w:ascii="Arial" w:cs="Arial" w:eastAsia="Arial" w:hAnsi="Arial"/>
          <w:sz w:val="16"/>
          <w:szCs w:val="16"/>
          <w:color w:val="auto"/>
        </w:rPr>
        <w:t>Visit https://www.computershare.com/TCEnergyAGM to register to attend the meeting. To register, enter your account number located on your voting instruction form, your name and email address.</w:t>
      </w:r>
    </w:p>
    <w:p>
      <w:pPr>
        <w:spacing w:after="0" w:line="2" w:lineRule="exact"/>
        <w:rPr>
          <w:rFonts w:ascii="Arial" w:cs="Arial" w:eastAsia="Arial" w:hAnsi="Arial"/>
          <w:sz w:val="16"/>
          <w:szCs w:val="16"/>
          <w:color w:val="auto"/>
        </w:rPr>
      </w:pPr>
    </w:p>
    <w:p>
      <w:pPr>
        <w:ind w:left="160" w:right="1400"/>
        <w:spacing w:after="0" w:line="297" w:lineRule="auto"/>
        <w:rPr>
          <w:rFonts w:ascii="Arial" w:cs="Arial" w:eastAsia="Arial" w:hAnsi="Arial"/>
          <w:sz w:val="16"/>
          <w:szCs w:val="16"/>
          <w:color w:val="auto"/>
        </w:rPr>
      </w:pPr>
      <w:r>
        <w:rPr>
          <w:rFonts w:ascii="Arial" w:cs="Arial" w:eastAsia="Arial" w:hAnsi="Arial"/>
          <w:sz w:val="16"/>
          <w:szCs w:val="16"/>
          <w:color w:val="auto"/>
        </w:rPr>
        <w:t>After the proxy deadline, Computershare will send you via email a username that will be required to log into the meeting.</w:t>
      </w:r>
    </w:p>
    <w:p>
      <w:pPr>
        <w:spacing w:after="0" w:line="2" w:lineRule="exact"/>
        <w:rPr>
          <w:rFonts w:ascii="Arial" w:cs="Arial" w:eastAsia="Arial" w:hAnsi="Arial"/>
          <w:sz w:val="16"/>
          <w:szCs w:val="16"/>
          <w:color w:val="auto"/>
        </w:rPr>
      </w:pPr>
    </w:p>
    <w:p>
      <w:pPr>
        <w:ind w:left="160" w:right="160" w:hanging="152"/>
        <w:spacing w:after="0" w:line="297" w:lineRule="auto"/>
        <w:tabs>
          <w:tab w:leader="none" w:pos="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Log in online at https://meetings.lumiconnect.com/400-652-715-564 using</w:t>
      </w:r>
    </w:p>
    <w:p>
      <w:pPr>
        <w:spacing w:after="0" w:line="1"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a web browser on a smartphone, tablet or computer.</w:t>
      </w:r>
    </w:p>
    <w:p>
      <w:pPr>
        <w:spacing w:after="0" w:line="44" w:lineRule="exact"/>
        <w:rPr>
          <w:rFonts w:ascii="Arial" w:cs="Arial" w:eastAsia="Arial" w:hAnsi="Arial"/>
          <w:sz w:val="16"/>
          <w:szCs w:val="16"/>
          <w:color w:val="auto"/>
        </w:rPr>
      </w:pPr>
    </w:p>
    <w:p>
      <w:pPr>
        <w:ind w:left="160" w:right="20" w:hanging="152"/>
        <w:spacing w:after="0" w:line="337" w:lineRule="auto"/>
        <w:tabs>
          <w:tab w:leader="none" w:pos="147" w:val="left"/>
        </w:tabs>
        <w:numPr>
          <w:ilvl w:val="0"/>
          <w:numId w:val="9"/>
        </w:numPr>
        <w:rPr>
          <w:rFonts w:ascii="Arial" w:cs="Arial" w:eastAsia="Arial" w:hAnsi="Arial"/>
          <w:sz w:val="16"/>
          <w:szCs w:val="16"/>
          <w:color w:val="auto"/>
        </w:rPr>
      </w:pPr>
      <w:r>
        <w:rPr>
          <w:rFonts w:ascii="Arial" w:cs="Arial" w:eastAsia="Arial" w:hAnsi="Arial"/>
          <w:sz w:val="16"/>
          <w:szCs w:val="16"/>
          <w:color w:val="auto"/>
        </w:rPr>
        <w:t>Click "I have a login" and then enter the four letter username provided to you by Computershare, and password "tc2026" (case sensitive).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You may also appoint someone else to attend and vote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at the meeting on your behalf by following steps 1 and 2 above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(appointing such person as your proxyholder), and such person should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follow steps 3 and 4 above in order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attend the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Attending the meeting as a guest</w:t>
      </w:r>
    </w:p>
    <w:p>
      <w:pPr>
        <w:spacing w:after="0" w:line="53"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If you are not a registered shareholder, a duly appointed proxyholder, or a beneficial shareholder who has appointed themselves as a proxyholder, you can still attend the meeting and listen by following the instructions below:</w:t>
      </w:r>
    </w:p>
    <w:p>
      <w:pPr>
        <w:spacing w:after="0" w:line="57" w:lineRule="exact"/>
        <w:rPr>
          <w:sz w:val="20"/>
          <w:szCs w:val="20"/>
          <w:color w:val="auto"/>
        </w:rPr>
      </w:pPr>
    </w:p>
    <w:p>
      <w:pPr>
        <w:ind w:left="160" w:right="140" w:hanging="152"/>
        <w:spacing w:after="0" w:line="297" w:lineRule="auto"/>
        <w:tabs>
          <w:tab w:leader="none" w:pos="1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Log in online at https://meetings.lumiconnect.com/400-652-715-564 using</w:t>
      </w:r>
    </w:p>
    <w:p>
      <w:pPr>
        <w:spacing w:after="0" w:line="1"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a web browser on a smartphone, tablet or computer.</w:t>
      </w:r>
    </w:p>
    <w:p>
      <w:pPr>
        <w:spacing w:after="0" w:line="44" w:lineRule="exact"/>
        <w:rPr>
          <w:rFonts w:ascii="Arial" w:cs="Arial" w:eastAsia="Arial" w:hAnsi="Arial"/>
          <w:sz w:val="16"/>
          <w:szCs w:val="16"/>
          <w:color w:val="auto"/>
        </w:rPr>
      </w:pPr>
    </w:p>
    <w:p>
      <w:pPr>
        <w:ind w:left="160" w:hanging="152"/>
        <w:spacing w:after="0"/>
        <w:tabs>
          <w:tab w:leader="none" w:pos="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Select "Guest" and complete the information requested in the form.</w:t>
      </w:r>
    </w:p>
    <w:p>
      <w:pPr>
        <w:sectPr>
          <w:pgSz w:w="11900" w:h="16838" w:orient="portrait"/>
          <w:cols w:equalWidth="0" w:num="2">
            <w:col w:w="5320" w:space="600"/>
            <w:col w:w="5140"/>
          </w:cols>
          <w:pgMar w:left="320" w:top="1075" w:right="519" w:bottom="1440" w:gutter="0" w:footer="0" w:header="0"/>
        </w:sectPr>
      </w:pPr>
    </w:p>
    <w:bookmarkStart w:id="14" w:name="page15"/>
    <w:bookmarkEnd w:id="14"/>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Submitting questions at the meeting</w:t>
      </w:r>
    </w:p>
    <w:p>
      <w:pPr>
        <w:spacing w:after="0" w:line="53" w:lineRule="exact"/>
        <w:rPr>
          <w:sz w:val="20"/>
          <w:szCs w:val="20"/>
          <w:color w:val="auto"/>
        </w:rPr>
      </w:pPr>
    </w:p>
    <w:p>
      <w:pPr>
        <w:ind w:right="60"/>
        <w:spacing w:after="0" w:line="317" w:lineRule="auto"/>
        <w:rPr>
          <w:sz w:val="20"/>
          <w:szCs w:val="20"/>
          <w:color w:val="auto"/>
        </w:rPr>
      </w:pPr>
      <w:r>
        <w:rPr>
          <w:rFonts w:ascii="Arial" w:cs="Arial" w:eastAsia="Arial" w:hAnsi="Arial"/>
          <w:sz w:val="16"/>
          <w:szCs w:val="16"/>
          <w:color w:val="auto"/>
        </w:rPr>
        <w:t>We will hold a live question and answer session to answer the questions submitted during the meeting. The following attendees will be able to submit questions:</w:t>
      </w:r>
    </w:p>
    <w:p>
      <w:pPr>
        <w:spacing w:after="0" w:line="64" w:lineRule="exact"/>
        <w:rPr>
          <w:sz w:val="20"/>
          <w:szCs w:val="20"/>
          <w:color w:val="auto"/>
        </w:rPr>
      </w:pPr>
    </w:p>
    <w:p>
      <w:pPr>
        <w:ind w:left="140" w:hanging="133"/>
        <w:spacing w:after="0"/>
        <w:tabs>
          <w:tab w:leader="none" w:pos="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registered shareholders,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beneficial shareholders who have appointed themselves proxyholder</w:t>
      </w:r>
    </w:p>
    <w:p>
      <w:pPr>
        <w:spacing w:after="0" w:line="57" w:lineRule="exact"/>
        <w:rPr>
          <w:rFonts w:ascii="Arial" w:cs="Arial" w:eastAsia="Arial" w:hAnsi="Arial"/>
          <w:sz w:val="16"/>
          <w:szCs w:val="16"/>
          <w:color w:val="auto"/>
        </w:rPr>
      </w:pPr>
    </w:p>
    <w:p>
      <w:pPr>
        <w:ind w:left="160" w:right="2820"/>
        <w:spacing w:after="0" w:line="297" w:lineRule="auto"/>
        <w:rPr>
          <w:rFonts w:ascii="Arial" w:cs="Arial" w:eastAsia="Arial" w:hAnsi="Arial"/>
          <w:sz w:val="16"/>
          <w:szCs w:val="16"/>
          <w:color w:val="auto"/>
        </w:rPr>
      </w:pPr>
      <w:r>
        <w:rPr>
          <w:rFonts w:ascii="Arial" w:cs="Arial" w:eastAsia="Arial" w:hAnsi="Arial"/>
          <w:sz w:val="16"/>
          <w:szCs w:val="16"/>
          <w:color w:val="auto"/>
        </w:rPr>
        <w:t>as outlined on pages 11 and 12 of this Circular, and</w:t>
      </w:r>
    </w:p>
    <w:p>
      <w:pPr>
        <w:spacing w:after="0" w:line="1" w:lineRule="exact"/>
        <w:rPr>
          <w:rFonts w:ascii="Arial" w:cs="Arial" w:eastAsia="Arial" w:hAnsi="Arial"/>
          <w:sz w:val="16"/>
          <w:szCs w:val="16"/>
          <w:color w:val="auto"/>
        </w:rPr>
      </w:pPr>
    </w:p>
    <w:p>
      <w:pPr>
        <w:ind w:left="140" w:hanging="133"/>
        <w:spacing w:after="0"/>
        <w:tabs>
          <w:tab w:leader="none" w:pos="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duly appointed proxyholders.</w:t>
      </w:r>
    </w:p>
    <w:p>
      <w:pPr>
        <w:spacing w:after="0" w:line="152" w:lineRule="exact"/>
        <w:rPr>
          <w:sz w:val="20"/>
          <w:szCs w:val="20"/>
          <w:color w:val="auto"/>
        </w:rPr>
      </w:pPr>
    </w:p>
    <w:p>
      <w:pPr>
        <w:ind w:right="1660"/>
        <w:spacing w:after="0" w:line="337" w:lineRule="auto"/>
        <w:rPr>
          <w:sz w:val="20"/>
          <w:szCs w:val="20"/>
          <w:color w:val="auto"/>
        </w:rPr>
      </w:pPr>
      <w:r>
        <w:rPr>
          <w:rFonts w:ascii="Arial" w:cs="Arial" w:eastAsia="Arial" w:hAnsi="Arial"/>
          <w:sz w:val="16"/>
          <w:szCs w:val="16"/>
          <w:color w:val="auto"/>
        </w:rPr>
        <w:t>Guests will not be able to submit questions during the meeting.</w:t>
      </w:r>
    </w:p>
    <w:p>
      <w:pPr>
        <w:spacing w:after="0" w:line="48" w:lineRule="exact"/>
        <w:rPr>
          <w:sz w:val="20"/>
          <w:szCs w:val="20"/>
          <w:color w:val="auto"/>
        </w:rPr>
      </w:pPr>
    </w:p>
    <w:p>
      <w:pPr>
        <w:jc w:val="both"/>
        <w:ind w:right="160"/>
        <w:spacing w:after="0" w:line="303" w:lineRule="auto"/>
        <w:rPr>
          <w:sz w:val="20"/>
          <w:szCs w:val="20"/>
          <w:color w:val="auto"/>
        </w:rPr>
      </w:pPr>
      <w:r>
        <w:rPr>
          <w:rFonts w:ascii="Arial" w:cs="Arial" w:eastAsia="Arial" w:hAnsi="Arial"/>
          <w:sz w:val="16"/>
          <w:szCs w:val="16"/>
          <w:color w:val="auto"/>
        </w:rPr>
        <w:t>To ask a question, type your question into the chat function. Additional instructions on how to ask questions will be provided at least one week before the meeting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on our website (www.tcenergy.com) and explained during the meeting.</w:t>
      </w:r>
    </w:p>
    <w:p>
      <w:pPr>
        <w:spacing w:after="0" w:line="152" w:lineRule="exact"/>
        <w:rPr>
          <w:sz w:val="20"/>
          <w:szCs w:val="20"/>
          <w:color w:val="auto"/>
        </w:rPr>
      </w:pPr>
    </w:p>
    <w:p>
      <w:pPr>
        <w:jc w:val="both"/>
        <w:ind w:right="180"/>
        <w:spacing w:after="0" w:line="337" w:lineRule="auto"/>
        <w:rPr>
          <w:sz w:val="20"/>
          <w:szCs w:val="20"/>
          <w:color w:val="auto"/>
        </w:rPr>
      </w:pPr>
      <w:r>
        <w:rPr>
          <w:rFonts w:ascii="Arial" w:cs="Arial" w:eastAsia="Arial" w:hAnsi="Arial"/>
          <w:sz w:val="16"/>
          <w:szCs w:val="16"/>
          <w:color w:val="auto"/>
        </w:rPr>
        <w:t>We encourage you to submit your questions in advance of the meeting to Investor Relations by emailing investor_relations@tcenergy.com.</w:t>
      </w:r>
    </w:p>
    <w:p>
      <w:pPr>
        <w:spacing w:after="0" w:line="4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Following the meeting, a webcast in English of the meeting, including the question and answer session,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will be available for viewing on our website (www.tcenergy.com).</w:t>
      </w:r>
    </w:p>
    <w:p>
      <w:pPr>
        <w:spacing w:after="0" w:line="152" w:lineRule="exact"/>
        <w:rPr>
          <w:sz w:val="20"/>
          <w:szCs w:val="20"/>
          <w:color w:val="auto"/>
        </w:rPr>
      </w:pPr>
    </w:p>
    <w:p>
      <w:pPr>
        <w:ind w:right="200"/>
        <w:spacing w:after="0" w:line="316" w:lineRule="auto"/>
        <w:rPr>
          <w:sz w:val="20"/>
          <w:szCs w:val="20"/>
          <w:color w:val="auto"/>
        </w:rPr>
      </w:pPr>
      <w:r>
        <w:rPr>
          <w:rFonts w:ascii="Arial" w:cs="Arial" w:eastAsia="Arial" w:hAnsi="Arial"/>
          <w:sz w:val="16"/>
          <w:szCs w:val="16"/>
          <w:color w:val="auto"/>
        </w:rPr>
        <w:t>We are committed to transparent communication at the meeting. Questions asked related to the business of the meeting will not be curated and will be presented as submitted, unedited and uncensored. Questions will be answered in the order received for each item of business.</w:t>
      </w:r>
    </w:p>
    <w:p>
      <w:pPr>
        <w:spacing w:after="0" w:line="52" w:lineRule="exact"/>
        <w:rPr>
          <w:sz w:val="20"/>
          <w:szCs w:val="20"/>
          <w:color w:val="auto"/>
        </w:rPr>
      </w:pPr>
    </w:p>
    <w:p>
      <w:pPr>
        <w:ind w:right="320"/>
        <w:spacing w:after="0" w:line="354" w:lineRule="auto"/>
        <w:rPr>
          <w:sz w:val="20"/>
          <w:szCs w:val="20"/>
          <w:color w:val="auto"/>
        </w:rPr>
      </w:pPr>
      <w:r>
        <w:rPr>
          <w:rFonts w:ascii="Arial" w:cs="Arial" w:eastAsia="Arial" w:hAnsi="Arial"/>
          <w:sz w:val="16"/>
          <w:szCs w:val="16"/>
          <w:color w:val="auto"/>
        </w:rPr>
        <w:t>We will respond in writing as soon as practicable after the meeting to any questions that were not answered during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0D64EF"/>
        </w:rPr>
        <w:t>Technical difficulties: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2457450" cy="588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57450" cy="588645"/>
                    </a:xfrm>
                    <a:prstGeom prst="rect">
                      <a:avLst/>
                    </a:prstGeom>
                    <a:noFill/>
                  </pic:spPr>
                </pic:pic>
              </a:graphicData>
            </a:graphic>
          </wp:anchor>
        </w:drawing>
      </w:r>
    </w:p>
    <w:p>
      <w:pPr>
        <w:spacing w:after="0" w:line="21" w:lineRule="exact"/>
        <w:rPr>
          <w:sz w:val="20"/>
          <w:szCs w:val="20"/>
          <w:color w:val="auto"/>
        </w:rPr>
      </w:pPr>
    </w:p>
    <w:p>
      <w:pPr>
        <w:ind w:right="1780"/>
        <w:spacing w:after="0" w:line="291" w:lineRule="auto"/>
        <w:rPr>
          <w:sz w:val="20"/>
          <w:szCs w:val="20"/>
          <w:color w:val="auto"/>
        </w:rPr>
      </w:pPr>
      <w:r>
        <w:rPr>
          <w:rFonts w:ascii="Arial" w:cs="Arial" w:eastAsia="Arial" w:hAnsi="Arial"/>
          <w:sz w:val="14"/>
          <w:szCs w:val="14"/>
          <w:color w:val="auto"/>
        </w:rPr>
        <w:t>If you experience technical difficulties logging into the meeting or during the meeting, please contact 403-920-2050.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24574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9</w:t>
      </w:r>
    </w:p>
    <w:p>
      <w:pPr>
        <w:sectPr>
          <w:pgSz w:w="11900" w:h="16838" w:orient="portrait"/>
          <w:cols w:equalWidth="0" w:num="2">
            <w:col w:w="5220" w:space="720"/>
            <w:col w:w="5300"/>
          </w:cols>
          <w:pgMar w:left="320" w:top="1151" w:right="339" w:bottom="1440" w:gutter="0" w:footer="0" w:header="0"/>
        </w:sectPr>
      </w:pPr>
    </w:p>
    <w:bookmarkStart w:id="15" w:name="page16"/>
    <w:bookmarkEnd w:id="15"/>
    <w:p>
      <w:pPr>
        <w:spacing w:after="0"/>
        <w:rPr>
          <w:sz w:val="20"/>
          <w:szCs w:val="20"/>
          <w:color w:val="auto"/>
        </w:rPr>
      </w:pPr>
      <w:r>
        <w:rPr>
          <w:rFonts w:ascii="Arial" w:cs="Arial" w:eastAsia="Arial" w:hAnsi="Arial"/>
          <w:sz w:val="29"/>
          <w:szCs w:val="29"/>
          <w:color w:val="0D64EF"/>
        </w:rPr>
        <w:t>Voting</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WHO CAN VOTE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on March 20, 2026 are entitled</w:t>
      </w:r>
    </w:p>
    <w:p>
      <w:pPr>
        <w:spacing w:after="0" w:line="44"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to receive Notice of our 2026 annual meeting of common shareholders and vote their shares. Our Board set this date to comply with legal requirements and allow enough time for shareholders to receive and review the materials, make their voting decisions and send in their voting instructions before the deadline.</w:t>
      </w:r>
    </w:p>
    <w:p>
      <w:pPr>
        <w:spacing w:after="0" w:line="5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 xml:space="preserve">As of March 5, 2026, we had 1,041,736,317 common shares outstanding. Each common share carries the right to one vote on any item of business that properly comes before the meeting and any meeting that is reconvened if the meeting is adjourned. Subject to our Majority Voting Policy for director elections (see </w:t>
      </w:r>
      <w:r>
        <w:rPr>
          <w:rFonts w:ascii="Arial" w:cs="Arial" w:eastAsia="Arial" w:hAnsi="Arial"/>
          <w:sz w:val="16"/>
          <w:szCs w:val="16"/>
          <w:i w:val="1"/>
          <w:iCs w:val="1"/>
          <w:color w:val="auto"/>
        </w:rPr>
        <w:t>Governance –</w:t>
      </w:r>
      <w:r>
        <w:rPr>
          <w:rFonts w:ascii="Arial" w:cs="Arial" w:eastAsia="Arial" w:hAnsi="Arial"/>
          <w:sz w:val="16"/>
          <w:szCs w:val="16"/>
          <w:color w:val="auto"/>
        </w:rPr>
        <w:t xml:space="preserve"> </w:t>
      </w:r>
      <w:r>
        <w:rPr>
          <w:rFonts w:ascii="Arial" w:cs="Arial" w:eastAsia="Arial" w:hAnsi="Arial"/>
          <w:sz w:val="16"/>
          <w:szCs w:val="16"/>
          <w:i w:val="1"/>
          <w:iCs w:val="1"/>
          <w:color w:val="auto"/>
        </w:rPr>
        <w:t>Governance Philosophy – Majority Voting</w:t>
      </w:r>
      <w:r>
        <w:rPr>
          <w:rFonts w:ascii="Arial" w:cs="Arial" w:eastAsia="Arial" w:hAnsi="Arial"/>
          <w:sz w:val="16"/>
          <w:szCs w:val="16"/>
          <w:color w:val="auto"/>
        </w:rPr>
        <w:t>), a simple majority of votes</w:t>
      </w:r>
      <w:r>
        <w:rPr>
          <w:rFonts w:ascii="Arial" w:cs="Arial" w:eastAsia="Arial" w:hAnsi="Arial"/>
          <w:sz w:val="16"/>
          <w:szCs w:val="16"/>
          <w:i w:val="1"/>
          <w:iCs w:val="1"/>
          <w:color w:val="auto"/>
        </w:rPr>
        <w:t xml:space="preserve"> </w:t>
      </w:r>
      <w:r>
        <w:rPr>
          <w:rFonts w:ascii="Arial" w:cs="Arial" w:eastAsia="Arial" w:hAnsi="Arial"/>
          <w:sz w:val="16"/>
          <w:szCs w:val="16"/>
          <w:color w:val="auto"/>
        </w:rPr>
        <w:t>(50 per cent plus one vote) is required for each item to be approved by shareholders.</w:t>
      </w:r>
    </w:p>
    <w:p>
      <w:pPr>
        <w:spacing w:after="0" w:line="68" w:lineRule="exact"/>
        <w:rPr>
          <w:sz w:val="20"/>
          <w:szCs w:val="20"/>
          <w:color w:val="auto"/>
        </w:rPr>
      </w:pPr>
    </w:p>
    <w:p>
      <w:pPr>
        <w:ind w:right="20"/>
        <w:spacing w:after="0" w:line="317" w:lineRule="auto"/>
        <w:rPr>
          <w:sz w:val="20"/>
          <w:szCs w:val="20"/>
          <w:color w:val="auto"/>
        </w:rPr>
      </w:pPr>
      <w:r>
        <w:rPr>
          <w:rFonts w:ascii="Arial" w:cs="Arial" w:eastAsia="Arial" w:hAnsi="Arial"/>
          <w:sz w:val="16"/>
          <w:szCs w:val="16"/>
          <w:color w:val="auto"/>
        </w:rPr>
        <w:t>As of March 5, 2026, TC Energy had eight series of preferred shares outstanding. The holders of these shares do not have voting rights at the meeting.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Registered shareholders</w:t>
      </w:r>
    </w:p>
    <w:p>
      <w:pPr>
        <w:spacing w:after="0" w:line="40" w:lineRule="exact"/>
        <w:rPr>
          <w:sz w:val="20"/>
          <w:szCs w:val="20"/>
          <w:color w:val="auto"/>
        </w:rPr>
      </w:pPr>
    </w:p>
    <w:p>
      <w:pPr>
        <w:ind w:right="140"/>
        <w:spacing w:after="0" w:line="354" w:lineRule="auto"/>
        <w:rPr>
          <w:sz w:val="20"/>
          <w:szCs w:val="20"/>
          <w:color w:val="auto"/>
        </w:rPr>
      </w:pPr>
      <w:r>
        <w:rPr>
          <w:rFonts w:ascii="Arial" w:cs="Arial" w:eastAsia="Arial" w:hAnsi="Arial"/>
          <w:sz w:val="16"/>
          <w:szCs w:val="16"/>
          <w:color w:val="auto"/>
        </w:rPr>
        <w:t>You are a registered shareholder if you have a share certificate or DRS Advice in your name.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We will prepare a list of the registered shareholders as</w:t>
      </w:r>
    </w:p>
    <w:p>
      <w:pPr>
        <w:spacing w:after="0" w:line="58" w:lineRule="exact"/>
        <w:rPr>
          <w:sz w:val="20"/>
          <w:szCs w:val="20"/>
          <w:color w:val="auto"/>
        </w:rPr>
      </w:pPr>
    </w:p>
    <w:p>
      <w:pPr>
        <w:ind w:right="440"/>
        <w:spacing w:after="0" w:line="297" w:lineRule="auto"/>
        <w:rPr>
          <w:sz w:val="20"/>
          <w:szCs w:val="20"/>
          <w:color w:val="auto"/>
        </w:rPr>
      </w:pPr>
      <w:r>
        <w:rPr>
          <w:rFonts w:ascii="Arial" w:cs="Arial" w:eastAsia="Arial" w:hAnsi="Arial"/>
          <w:sz w:val="16"/>
          <w:szCs w:val="16"/>
          <w:color w:val="auto"/>
        </w:rPr>
        <w:t>of March 20, 2026, showing the names of all shareholders who are entitled to vote at the meeting</w:t>
      </w:r>
    </w:p>
    <w:p>
      <w:pPr>
        <w:spacing w:after="0" w:line="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and the number of shares each owns. Our transfer agent, Computershare, will have a copy of the list at their Calgary office if you want to check it during regular business hours. If you would like to view this list, please call 403-267-6800 to set up an appointment. Computershare is located at Suite 800, 324 8th Avenue S.W., Calgary, Alberta T2P 2Z2.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Beneficial shareholders</w:t>
      </w:r>
    </w:p>
    <w:p>
      <w:pPr>
        <w:spacing w:after="0" w:line="40" w:lineRule="exact"/>
        <w:rPr>
          <w:sz w:val="20"/>
          <w:szCs w:val="20"/>
          <w:color w:val="auto"/>
        </w:rPr>
      </w:pPr>
    </w:p>
    <w:p>
      <w:pPr>
        <w:jc w:val="both"/>
        <w:ind w:right="280"/>
        <w:spacing w:after="0" w:line="303" w:lineRule="auto"/>
        <w:rPr>
          <w:sz w:val="20"/>
          <w:szCs w:val="20"/>
          <w:color w:val="auto"/>
        </w:rPr>
      </w:pPr>
      <w:r>
        <w:rPr>
          <w:rFonts w:ascii="Arial" w:cs="Arial" w:eastAsia="Arial" w:hAnsi="Arial"/>
          <w:sz w:val="16"/>
          <w:szCs w:val="16"/>
          <w:color w:val="auto"/>
        </w:rPr>
        <w:t>You are a beneficial shareholder (i.e. a non-registered shareholder) if your securities broker, financial institution, clearing agency, trustee or custodian</w:t>
      </w:r>
    </w:p>
    <w:p>
      <w:pPr>
        <w:spacing w:after="0" w:line="2" w:lineRule="exact"/>
        <w:rPr>
          <w:sz w:val="20"/>
          <w:szCs w:val="20"/>
          <w:color w:val="auto"/>
        </w:rPr>
      </w:pPr>
    </w:p>
    <w:p>
      <w:pPr>
        <w:ind w:right="1940"/>
        <w:spacing w:after="0" w:line="354" w:lineRule="auto"/>
        <w:rPr>
          <w:sz w:val="20"/>
          <w:szCs w:val="20"/>
          <w:color w:val="auto"/>
        </w:rPr>
      </w:pPr>
      <w:r>
        <w:rPr>
          <w:rFonts w:ascii="Arial" w:cs="Arial" w:eastAsia="Arial" w:hAnsi="Arial"/>
          <w:sz w:val="16"/>
          <w:szCs w:val="16"/>
          <w:color w:val="auto"/>
        </w:rPr>
        <w:t>(your nominee) holds your shares for you in a nominee account.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Principal shareholders</w:t>
      </w:r>
    </w:p>
    <w:p>
      <w:pPr>
        <w:spacing w:after="0" w:line="40" w:lineRule="exact"/>
        <w:rPr>
          <w:sz w:val="20"/>
          <w:szCs w:val="20"/>
          <w:color w:val="auto"/>
        </w:rPr>
      </w:pPr>
    </w:p>
    <w:p>
      <w:pPr>
        <w:ind w:right="1480"/>
        <w:spacing w:after="0" w:line="316" w:lineRule="auto"/>
        <w:rPr>
          <w:sz w:val="20"/>
          <w:szCs w:val="20"/>
          <w:color w:val="auto"/>
        </w:rPr>
      </w:pPr>
      <w:r>
        <w:rPr>
          <w:rFonts w:ascii="Arial" w:cs="Arial" w:eastAsia="Arial" w:hAnsi="Arial"/>
          <w:sz w:val="16"/>
          <w:szCs w:val="16"/>
          <w:color w:val="auto"/>
        </w:rPr>
        <w:t>Our directors and executives are not aware of any person or corporation that beneficially owns, directly or indirectly, or exercises control or direction over, more than ten per cent of our outstanding shares.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HOW TO VOTE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You have two ways to vote:</w:t>
      </w:r>
    </w:p>
    <w:p>
      <w:pPr>
        <w:spacing w:after="0" w:line="138"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proxy, or</w:t>
      </w:r>
    </w:p>
    <w:p>
      <w:pPr>
        <w:spacing w:after="0" w:line="57" w:lineRule="exact"/>
        <w:rPr>
          <w:rFonts w:ascii="Arial" w:cs="Arial" w:eastAsia="Arial" w:hAnsi="Arial"/>
          <w:sz w:val="16"/>
          <w:szCs w:val="16"/>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virtually attending the meeting and voting.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Voting by proxy</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Voting by proxy means you are giving someone else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authority to attend the meeting and vote for you (your proxyholder).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Registered shareholders</w:t>
      </w:r>
    </w:p>
    <w:p>
      <w:pPr>
        <w:spacing w:after="0" w:line="58" w:lineRule="exact"/>
        <w:rPr>
          <w:sz w:val="20"/>
          <w:szCs w:val="20"/>
          <w:color w:val="auto"/>
        </w:rPr>
      </w:pPr>
    </w:p>
    <w:p>
      <w:pPr>
        <w:ind w:right="200"/>
        <w:spacing w:after="0" w:line="337" w:lineRule="auto"/>
        <w:rPr>
          <w:sz w:val="20"/>
          <w:szCs w:val="20"/>
          <w:color w:val="auto"/>
        </w:rPr>
      </w:pPr>
      <w:r>
        <w:rPr>
          <w:rFonts w:ascii="Arial" w:cs="Arial" w:eastAsia="Arial" w:hAnsi="Arial"/>
          <w:sz w:val="16"/>
          <w:szCs w:val="16"/>
          <w:color w:val="auto"/>
        </w:rPr>
        <w:t>We mail the Notice directly to you, and your package includes a proxy form.</w:t>
      </w:r>
    </w:p>
    <w:p>
      <w:pPr>
        <w:spacing w:after="0" w:line="48"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You may request a paper copy of this Circular and/or 2025 Annual Report by following the instructions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Notice that was mailed to you.</w:t>
      </w:r>
    </w:p>
    <w:p>
      <w:pPr>
        <w:spacing w:after="0" w:line="138" w:lineRule="exact"/>
        <w:rPr>
          <w:sz w:val="20"/>
          <w:szCs w:val="20"/>
          <w:color w:val="auto"/>
        </w:rPr>
      </w:pPr>
    </w:p>
    <w:p>
      <w:pPr>
        <w:ind w:right="180"/>
        <w:spacing w:after="0" w:line="354" w:lineRule="auto"/>
        <w:rPr>
          <w:sz w:val="20"/>
          <w:szCs w:val="20"/>
          <w:color w:val="auto"/>
        </w:rPr>
      </w:pPr>
      <w:r>
        <w:rPr>
          <w:rFonts w:ascii="Arial" w:cs="Arial" w:eastAsia="Arial" w:hAnsi="Arial"/>
          <w:sz w:val="16"/>
          <w:szCs w:val="16"/>
          <w:color w:val="auto"/>
        </w:rPr>
        <w:t>If you are a registered shareholder, you must return your signed proxy form in order to vote by proxy.</w:t>
      </w:r>
    </w:p>
    <w:p>
      <w:pPr>
        <w:spacing w:after="0" w:line="22"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The securities represented by your proxy will be voted or withheld from voting in accordance with the instructions provided in your proxy on any ballot that may be called for. If you appoint the TC Energy representatives named in the proxy form and specify your voting instructions, your shares will be voted, or withheld from voting, accordingly. If you do not specify how you want to vote your shares, your shares will be voted for you as follows:</w:t>
      </w:r>
    </w:p>
    <w:p>
      <w:pPr>
        <w:spacing w:after="0" w:line="54" w:lineRule="exact"/>
        <w:rPr>
          <w:sz w:val="20"/>
          <w:szCs w:val="20"/>
          <w:color w:val="auto"/>
        </w:rPr>
      </w:pPr>
    </w:p>
    <w:p>
      <w:pPr>
        <w:ind w:left="160" w:right="500" w:hanging="152"/>
        <w:spacing w:after="0" w:line="306" w:lineRule="auto"/>
        <w:tabs>
          <w:tab w:leader="none" w:pos="234"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the nominated directors listed on the proxy form and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Circular,</w:t>
      </w:r>
    </w:p>
    <w:p>
      <w:pPr>
        <w:spacing w:after="0" w:line="1" w:lineRule="exact"/>
        <w:rPr>
          <w:rFonts w:ascii="Arial" w:cs="Arial" w:eastAsia="Arial" w:hAnsi="Arial"/>
          <w:sz w:val="16"/>
          <w:szCs w:val="16"/>
          <w:color w:val="auto"/>
        </w:rPr>
      </w:pPr>
    </w:p>
    <w:p>
      <w:pPr>
        <w:ind w:left="160" w:right="360" w:hanging="152"/>
        <w:spacing w:after="0" w:line="303" w:lineRule="auto"/>
        <w:tabs>
          <w:tab w:leader="none" w:pos="234"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the appointment of KPMG LLP, Chartered Professional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Accountants (KPMG) as TC Energy’s auditor, and authorizing the directors to fix their remuneration, and</w:t>
      </w:r>
    </w:p>
    <w:p>
      <w:pPr>
        <w:spacing w:after="0" w:line="1" w:lineRule="exact"/>
        <w:rPr>
          <w:rFonts w:ascii="Arial" w:cs="Arial" w:eastAsia="Arial" w:hAnsi="Arial"/>
          <w:sz w:val="16"/>
          <w:szCs w:val="16"/>
          <w:color w:val="auto"/>
        </w:rPr>
      </w:pPr>
    </w:p>
    <w:p>
      <w:pPr>
        <w:ind w:left="160" w:right="300" w:hanging="152"/>
        <w:spacing w:after="0" w:line="337" w:lineRule="auto"/>
        <w:tabs>
          <w:tab w:leader="none" w:pos="234"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our approach to executive compensation, as described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Circular.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Take some time to read about the items of business (see pages 13 to</w:t>
      </w:r>
    </w:p>
    <w:p>
      <w:pPr>
        <w:spacing w:after="0" w:line="44"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 xml:space="preserve">18), then complete the proxy form mailed to you, sign and date it, and mail it in the envelope provided. Computershare must receive the completed form </w:t>
      </w:r>
      <w:r>
        <w:rPr>
          <w:rFonts w:ascii="Arial" w:cs="Arial" w:eastAsia="Arial" w:hAnsi="Arial"/>
          <w:sz w:val="16"/>
          <w:szCs w:val="16"/>
          <w:b w:val="1"/>
          <w:bCs w:val="1"/>
          <w:color w:val="auto"/>
        </w:rPr>
        <w:t>by 10 a.m. MDT on Tuesday, May 5, 2026 (or, if the</w:t>
      </w:r>
      <w:r>
        <w:rPr>
          <w:rFonts w:ascii="Arial" w:cs="Arial" w:eastAsia="Arial" w:hAnsi="Arial"/>
          <w:sz w:val="16"/>
          <w:szCs w:val="16"/>
          <w:color w:val="auto"/>
        </w:rPr>
        <w:t xml:space="preserve"> </w:t>
      </w:r>
      <w:r>
        <w:rPr>
          <w:rFonts w:ascii="Arial" w:cs="Arial" w:eastAsia="Arial" w:hAnsi="Arial"/>
          <w:sz w:val="16"/>
          <w:szCs w:val="16"/>
          <w:b w:val="1"/>
          <w:bCs w:val="1"/>
          <w:color w:val="auto"/>
        </w:rPr>
        <w:t>meeting is adjourned or postponed, 48 hours, excluding Saturdays, Sundays and statutory holidays in the Province of Alberta, prior to the commencement of the reconvened meeting)</w:t>
      </w:r>
      <w:r>
        <w:rPr>
          <w:rFonts w:ascii="Arial" w:cs="Arial" w:eastAsia="Arial" w:hAnsi="Arial"/>
          <w:sz w:val="16"/>
          <w:szCs w:val="16"/>
          <w:color w:val="auto"/>
        </w:rPr>
        <w:t>.</w:t>
      </w:r>
    </w:p>
    <w:p>
      <w:pPr>
        <w:sectPr>
          <w:pgSz w:w="11900" w:h="16838" w:orient="portrait"/>
          <w:cols w:equalWidth="0" w:num="2">
            <w:col w:w="5200" w:space="720"/>
            <w:col w:w="5180"/>
          </w:cols>
          <w:pgMar w:left="320" w:top="1129" w:right="479" w:bottom="1440" w:gutter="0" w:footer="0" w:header="0"/>
        </w:sectPr>
      </w:pPr>
    </w:p>
    <w:bookmarkStart w:id="16" w:name="page17"/>
    <w:bookmarkEnd w:id="16"/>
    <w:p>
      <w:pPr>
        <w:ind w:right="1500"/>
        <w:spacing w:after="0" w:line="354" w:lineRule="auto"/>
        <w:rPr>
          <w:sz w:val="20"/>
          <w:szCs w:val="20"/>
          <w:color w:val="auto"/>
        </w:rPr>
      </w:pPr>
      <w:r>
        <w:rPr>
          <w:rFonts w:ascii="Arial" w:cs="Arial" w:eastAsia="Arial" w:hAnsi="Arial"/>
          <w:sz w:val="16"/>
          <w:szCs w:val="16"/>
          <w:color w:val="auto"/>
        </w:rPr>
        <w:t>If your package is missing an envelope, use a blank one and address it to: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Computershare Investor Services, Inc.</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Stock Transfer Services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320 Bay Street, 14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Toronto, ON, Canada, M5H 4A6</w:t>
      </w:r>
    </w:p>
    <w:p>
      <w:pPr>
        <w:spacing w:after="0" w:line="13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If you want to submit your voting instructions by phone or on the internet, you must do so </w:t>
      </w:r>
      <w:r>
        <w:rPr>
          <w:rFonts w:ascii="Arial" w:cs="Arial" w:eastAsia="Arial" w:hAnsi="Arial"/>
          <w:sz w:val="16"/>
          <w:szCs w:val="16"/>
          <w:b w:val="1"/>
          <w:bCs w:val="1"/>
          <w:color w:val="auto"/>
        </w:rPr>
        <w:t>by 10 a.m. MDT</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color w:val="auto"/>
        </w:rPr>
        <w:t>on Tuesday, May 5, 2026 (or, if the meeting is adjourned or postponed, 48 hours, excluding Saturdays, Sundays and statutory holidays in the Province of Alberta, prior to the commencement of the reconvened meeting)</w:t>
      </w:r>
      <w:r>
        <w:rPr>
          <w:rFonts w:ascii="Arial" w:cs="Arial" w:eastAsia="Arial" w:hAnsi="Arial"/>
          <w:sz w:val="16"/>
          <w:szCs w:val="16"/>
          <w:color w:val="auto"/>
        </w:rPr>
        <w:t>. See the instructions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your proxy form.</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If you appoint someone else as your proxyholder, but</w:t>
      </w:r>
    </w:p>
    <w:p>
      <w:pPr>
        <w:spacing w:after="0" w:line="44" w:lineRule="exact"/>
        <w:rPr>
          <w:sz w:val="20"/>
          <w:szCs w:val="20"/>
          <w:color w:val="auto"/>
        </w:rPr>
      </w:pPr>
    </w:p>
    <w:p>
      <w:pPr>
        <w:ind w:right="200"/>
        <w:spacing w:after="0" w:line="354" w:lineRule="auto"/>
        <w:rPr>
          <w:sz w:val="20"/>
          <w:szCs w:val="20"/>
          <w:color w:val="auto"/>
        </w:rPr>
      </w:pPr>
      <w:r>
        <w:rPr>
          <w:rFonts w:ascii="Arial" w:cs="Arial" w:eastAsia="Arial" w:hAnsi="Arial"/>
          <w:sz w:val="16"/>
          <w:szCs w:val="16"/>
          <w:color w:val="auto"/>
        </w:rPr>
        <w:t>do not specify how you want them to vote your shares, the person can vote as they see fit.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If there are any amendments to the items of business</w:t>
      </w:r>
    </w:p>
    <w:p>
      <w:pPr>
        <w:spacing w:after="0" w:line="5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or any other matters that properly come before the meeting (including where the meeting will be reconvened if it was adjourned), your proxyholder has the discretion to vote as they see fit, in each instance, to the extent permitted by law whether the amendment or other matter of business that properly comes before the meeting is routine or contested.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Late proxies may be accepted or rejected by the chair</w:t>
      </w:r>
    </w:p>
    <w:p>
      <w:pPr>
        <w:spacing w:after="0" w:line="44"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of the meeting at their discretion and the chair of the meeting is under no obligation to accept or reject any particular late proxy. The chair of the meeting may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waive or extend the proxy cut-off without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You can choose anyone to be your proxyholder –</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person does not need to be a TC Energy shareholder or the TC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 representatives named in the proxy form. You must write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person's name on your proxy form, and return the signed proxy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to Computershare to appoint someone as your proxyholder.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 you must go to</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https://www.computershare.com/TCEnergyAGM and provide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Computershare with the name and email address of your appointee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 that Computershare may provide the appointee with a username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via email to log into the meeting.</w:t>
      </w:r>
    </w:p>
    <w:p>
      <w:pPr>
        <w:spacing w:after="0" w:line="138" w:lineRule="exact"/>
        <w:rPr>
          <w:sz w:val="20"/>
          <w:szCs w:val="20"/>
          <w:color w:val="auto"/>
        </w:rPr>
      </w:pPr>
    </w:p>
    <w:p>
      <w:pPr>
        <w:jc w:val="both"/>
        <w:ind w:right="160"/>
        <w:spacing w:after="0" w:line="319" w:lineRule="auto"/>
        <w:rPr>
          <w:sz w:val="20"/>
          <w:szCs w:val="20"/>
          <w:color w:val="auto"/>
        </w:rPr>
      </w:pPr>
      <w:r>
        <w:rPr>
          <w:rFonts w:ascii="Arial" w:cs="Arial" w:eastAsia="Arial" w:hAnsi="Arial"/>
          <w:sz w:val="16"/>
          <w:szCs w:val="16"/>
          <w:b w:val="1"/>
          <w:bCs w:val="1"/>
          <w:color w:val="auto"/>
        </w:rPr>
        <w:t>You should tell this person that you have appointed them as your proxyholder and that they need to attend the meeting and vote on your behalf. Your proxyholder must vote your shares according to your instructions. Your shares will not be voted if your proxyholder does not attend the meeting to vote for you.</w:t>
      </w:r>
    </w:p>
    <w:p>
      <w:pPr>
        <w:spacing w:after="0" w:line="40" w:lineRule="exact"/>
        <w:rPr>
          <w:sz w:val="20"/>
          <w:szCs w:val="20"/>
          <w:color w:val="auto"/>
        </w:rPr>
      </w:pPr>
    </w:p>
    <w:p>
      <w:pPr>
        <w:ind w:right="180"/>
        <w:spacing w:after="0" w:line="317" w:lineRule="auto"/>
        <w:rPr>
          <w:sz w:val="20"/>
          <w:szCs w:val="20"/>
          <w:color w:val="auto"/>
        </w:rPr>
      </w:pPr>
      <w:r>
        <w:rPr>
          <w:rFonts w:ascii="Arial" w:cs="Arial" w:eastAsia="Arial" w:hAnsi="Arial"/>
          <w:sz w:val="16"/>
          <w:szCs w:val="16"/>
          <w:b w:val="1"/>
          <w:bCs w:val="1"/>
          <w:color w:val="auto"/>
        </w:rPr>
        <w:t>If you have returned your signed proxy form and you do not appoint anyone to be your proxyholder, John E. Lowe, Chair of the Board, François L. Poirier, President and Chief Executive Officer or Jane M. Brindle, Vice-President, Law and Corporate Secretary (TC Energy Proxyholders) will be appointed to act as your proxyholder to vote your shares at the meeting according to your instructions.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Participating in the meeting and voting</w:t>
      </w:r>
    </w:p>
    <w:p>
      <w:pPr>
        <w:spacing w:after="0" w:line="56" w:lineRule="exact"/>
        <w:rPr>
          <w:sz w:val="20"/>
          <w:szCs w:val="20"/>
          <w:color w:val="auto"/>
        </w:rPr>
      </w:pPr>
    </w:p>
    <w:p>
      <w:pPr>
        <w:ind w:right="240"/>
        <w:spacing w:after="0" w:line="326" w:lineRule="auto"/>
        <w:rPr>
          <w:sz w:val="20"/>
          <w:szCs w:val="20"/>
          <w:color w:val="auto"/>
        </w:rPr>
      </w:pPr>
      <w:r>
        <w:rPr>
          <w:rFonts w:ascii="Arial" w:cs="Arial" w:eastAsia="Arial" w:hAnsi="Arial"/>
          <w:sz w:val="16"/>
          <w:szCs w:val="16"/>
          <w:color w:val="auto"/>
        </w:rPr>
        <w:t>If you want to attend the meeting and vote, do not complete the proxy form. Just log into the virtual meeting using the instructions provided on pages 8 and 9 and vote online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11</w:t>
      </w:r>
    </w:p>
    <w:p>
      <w:pPr>
        <w:sectPr>
          <w:pgSz w:w="11900" w:h="16838" w:orient="portrait"/>
          <w:cols w:equalWidth="0" w:num="2">
            <w:col w:w="5200" w:space="720"/>
            <w:col w:w="5320"/>
          </w:cols>
          <w:pgMar w:left="320" w:top="1039"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Non-registered (beneficial) shareholders</w:t>
      </w:r>
    </w:p>
    <w:p>
      <w:pPr>
        <w:spacing w:after="0" w:line="58"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auto"/>
        </w:rPr>
        <w:t>Your broker, its agent or its nominee can only vote your TC Energy shares if they have received proper voting instructions from you. If you are a beneficial shareholder, your package includes a voting instruction form. Complete the form and follow the return instructions on the form.</w:t>
      </w:r>
    </w:p>
    <w:p>
      <w:pPr>
        <w:spacing w:after="0" w:line="52" w:lineRule="exact"/>
        <w:rPr>
          <w:sz w:val="20"/>
          <w:szCs w:val="20"/>
          <w:color w:val="auto"/>
        </w:rPr>
      </w:pPr>
    </w:p>
    <w:p>
      <w:pPr>
        <w:jc w:val="both"/>
        <w:ind w:right="40"/>
        <w:spacing w:after="0" w:line="326" w:lineRule="auto"/>
        <w:rPr>
          <w:sz w:val="20"/>
          <w:szCs w:val="20"/>
          <w:color w:val="auto"/>
        </w:rPr>
      </w:pPr>
      <w:r>
        <w:rPr>
          <w:rFonts w:ascii="Arial" w:cs="Arial" w:eastAsia="Arial" w:hAnsi="Arial"/>
          <w:sz w:val="16"/>
          <w:szCs w:val="16"/>
          <w:color w:val="auto"/>
        </w:rPr>
        <w:t>The voting instruction form is similar to a proxy form, however it can only instruct the registered shareholder how to vote your shares. You cannot use the form to vote your shares directly.</w:t>
      </w:r>
    </w:p>
    <w:p>
      <w:pPr>
        <w:spacing w:after="0" w:line="5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Your broker is required by law to receive voting instructions from you before voting your shares. Every broker has their own mailing procedures and instructions for returning the completed voting instruction form, so be sure to follow the instructions provided on the form which may require you to take action earlier than the deadline for voting by proxy.</w:t>
      </w:r>
    </w:p>
    <w:p>
      <w:pPr>
        <w:spacing w:after="0" w:line="56"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Most brokers delegate responsibility for obtaining instructions from their clients to Broadridge Investor Communications Corporation (Broadridge). Broadridge, or any other intermediary as applicable, mails the proxy materials and voting instruction form to beneficial shareholders, at our expense.</w:t>
      </w:r>
    </w:p>
    <w:p>
      <w:pPr>
        <w:spacing w:after="0" w:line="52" w:lineRule="exact"/>
        <w:rPr>
          <w:sz w:val="20"/>
          <w:szCs w:val="20"/>
          <w:color w:val="auto"/>
        </w:rPr>
      </w:pPr>
    </w:p>
    <w:p>
      <w:pPr>
        <w:ind w:right="320"/>
        <w:spacing w:after="0" w:line="354" w:lineRule="auto"/>
        <w:rPr>
          <w:sz w:val="20"/>
          <w:szCs w:val="20"/>
          <w:color w:val="auto"/>
        </w:rPr>
      </w:pPr>
      <w:r>
        <w:rPr>
          <w:rFonts w:ascii="Arial" w:cs="Arial" w:eastAsia="Arial" w:hAnsi="Arial"/>
          <w:sz w:val="16"/>
          <w:szCs w:val="16"/>
          <w:color w:val="auto"/>
        </w:rPr>
        <w:t>The voting instruction form will name the same TC Energy representatives listed on page 11 to act as TC Energy Proxyholders.</w:t>
      </w:r>
    </w:p>
    <w:p>
      <w:pPr>
        <w:spacing w:after="0" w:line="22"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auto"/>
        </w:rPr>
        <w:t>You may request a paper copy of the circular and/or 2025 Annual Report by following the instructions in the Notice that was mailed to you.</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Participating in the meeting and voting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You can attend the virtual meeting and vote, or you</w:t>
      </w:r>
    </w:p>
    <w:p>
      <w:pPr>
        <w:spacing w:after="0" w:line="44"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auto"/>
        </w:rPr>
        <w:t>can appoint someone else to attend the meeting and give them your voting instructions by following the directions on pages 8 and 9 of this circular. In order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to submit your voting instructions, print your name,</w:t>
      </w:r>
    </w:p>
    <w:p>
      <w:pPr>
        <w:spacing w:after="0" w:line="58"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or the name of the person you are appointing, in the blank space provided on the voting instruction form. Complete the rest of the form and then mail it to Broadridge (or to your broker, as instructed on your voting instruction form) as soon as possible. Your package also includes instructions for submitting your voting instructions by phone or on the internet if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you prefer either of these methods.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Broadridge tabulates the results of all the instructions</w:t>
      </w:r>
    </w:p>
    <w:p>
      <w:pPr>
        <w:spacing w:after="0" w:line="44" w:lineRule="exact"/>
        <w:rPr>
          <w:sz w:val="20"/>
          <w:szCs w:val="20"/>
          <w:color w:val="auto"/>
        </w:rPr>
      </w:pPr>
    </w:p>
    <w:p>
      <w:pPr>
        <w:ind w:right="40"/>
        <w:spacing w:after="0" w:line="337" w:lineRule="auto"/>
        <w:rPr>
          <w:sz w:val="20"/>
          <w:szCs w:val="20"/>
          <w:color w:val="auto"/>
        </w:rPr>
      </w:pPr>
      <w:r>
        <w:rPr>
          <w:rFonts w:ascii="Arial" w:cs="Arial" w:eastAsia="Arial" w:hAnsi="Arial"/>
          <w:sz w:val="16"/>
          <w:szCs w:val="16"/>
          <w:color w:val="auto"/>
        </w:rPr>
        <w:t>it receives from beneficial shareholders, and provides appropriate voting instructions to our transfer agent.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0D64EF"/>
        </w:rPr>
        <w:t>CHANGING YOUR VOTE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Registered shareholders</w:t>
      </w:r>
    </w:p>
    <w:p>
      <w:pPr>
        <w:spacing w:after="0" w:line="56"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auto"/>
        </w:rPr>
        <w:t>If you change your mind and want to revoke your proxy, you may revoke it by:</w:t>
      </w:r>
    </w:p>
    <w:p>
      <w:pPr>
        <w:spacing w:after="0" w:line="48" w:lineRule="exact"/>
        <w:rPr>
          <w:sz w:val="20"/>
          <w:szCs w:val="20"/>
          <w:color w:val="auto"/>
        </w:rPr>
      </w:pPr>
    </w:p>
    <w:p>
      <w:pPr>
        <w:jc w:val="both"/>
        <w:ind w:left="160" w:hanging="152"/>
        <w:spacing w:after="0" w:line="306" w:lineRule="auto"/>
        <w:tabs>
          <w:tab w:leader="none" w:pos="1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completing and signing a proxy bearing a later date (see page 10) and delivering such proxy to Computershare </w:t>
      </w:r>
      <w:r>
        <w:rPr>
          <w:rFonts w:ascii="Arial" w:cs="Arial" w:eastAsia="Arial" w:hAnsi="Arial"/>
          <w:sz w:val="16"/>
          <w:szCs w:val="16"/>
          <w:b w:val="1"/>
          <w:bCs w:val="1"/>
          <w:color w:val="auto"/>
        </w:rPr>
        <w:t>by 10 a.m. MDT on Tuesday,</w:t>
      </w:r>
    </w:p>
    <w:p>
      <w:pPr>
        <w:spacing w:after="0" w:line="1" w:lineRule="exact"/>
        <w:rPr>
          <w:rFonts w:ascii="Arial" w:cs="Arial" w:eastAsia="Arial" w:hAnsi="Arial"/>
          <w:sz w:val="16"/>
          <w:szCs w:val="16"/>
          <w:color w:val="auto"/>
        </w:rPr>
      </w:pPr>
    </w:p>
    <w:p>
      <w:pPr>
        <w:ind w:left="160" w:right="200"/>
        <w:spacing w:after="0" w:line="303" w:lineRule="auto"/>
        <w:rPr>
          <w:rFonts w:ascii="Arial" w:cs="Arial" w:eastAsia="Arial" w:hAnsi="Arial"/>
          <w:sz w:val="16"/>
          <w:szCs w:val="16"/>
          <w:color w:val="auto"/>
        </w:rPr>
      </w:pPr>
      <w:r>
        <w:rPr>
          <w:rFonts w:ascii="Arial" w:cs="Arial" w:eastAsia="Arial" w:hAnsi="Arial"/>
          <w:sz w:val="16"/>
          <w:szCs w:val="16"/>
          <w:b w:val="1"/>
          <w:bCs w:val="1"/>
          <w:color w:val="auto"/>
        </w:rPr>
        <w:t>May 5, 2026 (or, if the meeting is adjourned or postponed, 48 hours, excluding Saturdays, Sundays and statutory holidays in the Province</w:t>
      </w:r>
    </w:p>
    <w:p>
      <w:pPr>
        <w:spacing w:after="0" w:line="1" w:lineRule="exact"/>
        <w:rPr>
          <w:rFonts w:ascii="Arial" w:cs="Arial" w:eastAsia="Arial" w:hAnsi="Arial"/>
          <w:sz w:val="16"/>
          <w:szCs w:val="16"/>
          <w:color w:val="auto"/>
        </w:rPr>
      </w:pPr>
    </w:p>
    <w:p>
      <w:pPr>
        <w:ind w:left="160" w:right="640"/>
        <w:spacing w:after="0" w:line="347" w:lineRule="auto"/>
        <w:rPr>
          <w:rFonts w:ascii="Arial" w:cs="Arial" w:eastAsia="Arial" w:hAnsi="Arial"/>
          <w:sz w:val="16"/>
          <w:szCs w:val="16"/>
          <w:color w:val="auto"/>
        </w:rPr>
      </w:pPr>
      <w:r>
        <w:rPr>
          <w:rFonts w:ascii="Arial" w:cs="Arial" w:eastAsia="Arial" w:hAnsi="Arial"/>
          <w:sz w:val="16"/>
          <w:szCs w:val="16"/>
          <w:b w:val="1"/>
          <w:bCs w:val="1"/>
          <w:color w:val="auto"/>
        </w:rPr>
        <w:t>of Alberta, prior to the commencement of the reconvened meeting),</w:t>
      </w:r>
    </w:p>
    <w:p>
      <w:pPr>
        <w:spacing w:after="0" w:line="32" w:lineRule="exact"/>
        <w:rPr>
          <w:rFonts w:ascii="Arial" w:cs="Arial" w:eastAsia="Arial" w:hAnsi="Arial"/>
          <w:sz w:val="16"/>
          <w:szCs w:val="16"/>
          <w:color w:val="auto"/>
        </w:rPr>
      </w:pPr>
    </w:p>
    <w:p>
      <w:pPr>
        <w:ind w:left="160" w:right="460" w:hanging="152"/>
        <w:spacing w:after="0" w:line="337" w:lineRule="auto"/>
        <w:tabs>
          <w:tab w:leader="none" w:pos="1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sending a signed written statement (or have your attorney sign a statement with your written authorization) to:</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Corporate Secretary</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TC Energy Corporation</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450 - 1 Street S.W. Calgary, AB</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Canada T2P 5H1</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corporate_secretary@tcenergy.com</w:t>
      </w:r>
    </w:p>
    <w:p>
      <w:pPr>
        <w:spacing w:after="0" w:line="152" w:lineRule="exact"/>
        <w:rPr>
          <w:sz w:val="20"/>
          <w:szCs w:val="20"/>
          <w:color w:val="auto"/>
        </w:rPr>
      </w:pPr>
    </w:p>
    <w:p>
      <w:pPr>
        <w:ind w:left="160" w:right="320"/>
        <w:spacing w:after="0" w:line="326" w:lineRule="auto"/>
        <w:rPr>
          <w:sz w:val="20"/>
          <w:szCs w:val="20"/>
          <w:color w:val="auto"/>
        </w:rPr>
      </w:pPr>
      <w:r>
        <w:rPr>
          <w:rFonts w:ascii="Arial" w:cs="Arial" w:eastAsia="Arial" w:hAnsi="Arial"/>
          <w:sz w:val="16"/>
          <w:szCs w:val="16"/>
          <w:color w:val="auto"/>
        </w:rPr>
        <w:t xml:space="preserve">We must receive your written statement prior to </w:t>
      </w:r>
      <w:r>
        <w:rPr>
          <w:rFonts w:ascii="Arial" w:cs="Arial" w:eastAsia="Arial" w:hAnsi="Arial"/>
          <w:sz w:val="16"/>
          <w:szCs w:val="16"/>
          <w:b w:val="1"/>
          <w:bCs w:val="1"/>
          <w:color w:val="auto"/>
        </w:rPr>
        <w:t>5 p.m. MDT 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Wednesday, May 6, 2026 </w:t>
      </w:r>
      <w:r>
        <w:rPr>
          <w:rFonts w:ascii="Arial" w:cs="Arial" w:eastAsia="Arial" w:hAnsi="Arial"/>
          <w:sz w:val="16"/>
          <w:szCs w:val="16"/>
          <w:color w:val="auto"/>
        </w:rPr>
        <w:t>or 5 p.m. MDT on the last business day</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day the meeting is reconvened if it is adjourned, or</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any other manner permitted by law.</w:t>
      </w:r>
    </w:p>
    <w:p>
      <w:pPr>
        <w:spacing w:after="0" w:line="152" w:lineRule="exact"/>
        <w:rPr>
          <w:sz w:val="20"/>
          <w:szCs w:val="20"/>
          <w:color w:val="auto"/>
        </w:rPr>
      </w:pPr>
    </w:p>
    <w:p>
      <w:pPr>
        <w:ind w:right="460"/>
        <w:spacing w:after="0" w:line="337" w:lineRule="auto"/>
        <w:rPr>
          <w:sz w:val="20"/>
          <w:szCs w:val="20"/>
          <w:color w:val="auto"/>
        </w:rPr>
      </w:pPr>
      <w:r>
        <w:rPr>
          <w:rFonts w:ascii="Arial" w:cs="Arial" w:eastAsia="Arial" w:hAnsi="Arial"/>
          <w:sz w:val="16"/>
          <w:szCs w:val="16"/>
          <w:color w:val="auto"/>
        </w:rPr>
        <w:t>If you have followed the instructions for attending and voting at the meeting, voting at the meeting will revoke any previous proxy.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Non-registered (beneficial) shareholders</w:t>
      </w:r>
    </w:p>
    <w:p>
      <w:pPr>
        <w:spacing w:after="0" w:line="42" w:lineRule="exact"/>
        <w:rPr>
          <w:sz w:val="20"/>
          <w:szCs w:val="20"/>
          <w:color w:val="auto"/>
        </w:rPr>
      </w:pPr>
    </w:p>
    <w:p>
      <w:pPr>
        <w:ind w:right="2000"/>
        <w:spacing w:after="0" w:line="354" w:lineRule="auto"/>
        <w:rPr>
          <w:sz w:val="20"/>
          <w:szCs w:val="20"/>
          <w:color w:val="auto"/>
        </w:rPr>
      </w:pPr>
      <w:r>
        <w:rPr>
          <w:rFonts w:ascii="Arial" w:cs="Arial" w:eastAsia="Arial" w:hAnsi="Arial"/>
          <w:sz w:val="16"/>
          <w:szCs w:val="16"/>
          <w:color w:val="auto"/>
        </w:rPr>
        <w:t>If you change your mind, contact your broker or nominee.</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HOW THE VOTES ARE COUNTED</w:t>
      </w:r>
    </w:p>
    <w:p>
      <w:pPr>
        <w:spacing w:after="0" w:line="4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As transfer agent, Computershare counts and tabulates the votes on our behalf to ensure the votes are kept confidential. They only show us the ballot or proxy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form if:</w:t>
      </w:r>
    </w:p>
    <w:p>
      <w:pPr>
        <w:spacing w:after="0" w:line="152"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it is required by law,</w:t>
      </w:r>
    </w:p>
    <w:p>
      <w:pPr>
        <w:spacing w:after="0" w:line="44" w:lineRule="exact"/>
        <w:rPr>
          <w:rFonts w:ascii="Arial" w:cs="Arial" w:eastAsia="Arial" w:hAnsi="Arial"/>
          <w:sz w:val="16"/>
          <w:szCs w:val="16"/>
          <w:color w:val="auto"/>
        </w:rPr>
      </w:pPr>
    </w:p>
    <w:p>
      <w:pPr>
        <w:ind w:left="240" w:hanging="232"/>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is a proxy contest, or</w:t>
      </w:r>
    </w:p>
    <w:p>
      <w:pPr>
        <w:spacing w:after="0" w:line="44" w:lineRule="exact"/>
        <w:rPr>
          <w:rFonts w:ascii="Arial" w:cs="Arial" w:eastAsia="Arial" w:hAnsi="Arial"/>
          <w:sz w:val="16"/>
          <w:szCs w:val="16"/>
          <w:color w:val="auto"/>
        </w:rPr>
      </w:pPr>
    </w:p>
    <w:p>
      <w:pPr>
        <w:ind w:left="240" w:hanging="232"/>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are written comments on the proxy form.</w:t>
      </w:r>
    </w:p>
    <w:p>
      <w:pPr>
        <w:sectPr>
          <w:pgSz w:w="11900" w:h="16838" w:orient="portrait"/>
          <w:cols w:equalWidth="0" w:num="2">
            <w:col w:w="5200" w:space="720"/>
            <w:col w:w="5200"/>
          </w:cols>
          <w:pgMar w:left="320" w:top="1093" w:right="459" w:bottom="1440" w:gutter="0" w:footer="0" w:header="0"/>
        </w:sectPr>
      </w:pPr>
    </w:p>
    <w:bookmarkStart w:id="18" w:name="page19"/>
    <w:bookmarkEnd w:id="18"/>
    <w:p>
      <w:pPr>
        <w:spacing w:after="0"/>
        <w:rPr>
          <w:sz w:val="20"/>
          <w:szCs w:val="20"/>
          <w:color w:val="auto"/>
        </w:rPr>
      </w:pPr>
      <w:r>
        <w:rPr>
          <w:rFonts w:ascii="Arial" w:cs="Arial" w:eastAsia="Arial" w:hAnsi="Arial"/>
          <w:sz w:val="29"/>
          <w:szCs w:val="29"/>
          <w:color w:val="0D64EF"/>
        </w:rPr>
        <w:t>Business of the Meeting</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meeting will cover five items of business, three of which require your vote: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D64EF"/>
        </w:rPr>
        <w:t>FINANCIAL STATEMENTS</w:t>
      </w:r>
    </w:p>
    <w:p>
      <w:pPr>
        <w:spacing w:after="0" w:line="48" w:lineRule="exact"/>
        <w:rPr>
          <w:sz w:val="20"/>
          <w:szCs w:val="20"/>
          <w:color w:val="auto"/>
        </w:rPr>
      </w:pPr>
    </w:p>
    <w:p>
      <w:pPr>
        <w:ind w:left="20"/>
        <w:spacing w:after="0" w:line="311" w:lineRule="auto"/>
        <w:rPr>
          <w:sz w:val="20"/>
          <w:szCs w:val="20"/>
          <w:color w:val="auto"/>
        </w:rPr>
      </w:pPr>
      <w:r>
        <w:rPr>
          <w:rFonts w:ascii="Arial" w:cs="Arial" w:eastAsia="Arial" w:hAnsi="Arial"/>
          <w:sz w:val="16"/>
          <w:szCs w:val="16"/>
          <w:color w:val="auto"/>
        </w:rPr>
        <w:t>We will place before shareholders at the meeting our consolidated financial statements for the year ended December 31, 2025, and the auditor's reports thereon. These documents have been filed with the appropriate government regulatory agencies and are included in our 2025 Annual Report. We deliver the Annual report using notice and access (see page 7). We mail you a paper copy of the Annual Report if you have provided instructions that you prefer to receive a paper copy, or you may request a paper copy as described in the Notice (see page 7). Our 2025 Annual Report is also available in English and French on our website (www.tcenergy.com), or you can request a copy from our Corporate Secretary or Investor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0D64EF"/>
          <w:highlight w:val="lightGray"/>
        </w:rPr>
        <w:t>About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-238125</wp:posOffset>
            </wp:positionV>
            <wp:extent cx="2346325" cy="1740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46325" cy="1740535"/>
                    </a:xfrm>
                    <a:prstGeom prst="rect">
                      <a:avLst/>
                    </a:prstGeom>
                    <a:noFill/>
                  </pic:spPr>
                </pic:pic>
              </a:graphicData>
            </a:graphic>
          </wp:anchor>
        </w:drawing>
      </w:r>
    </w:p>
    <w:p>
      <w:pPr>
        <w:spacing w:after="0" w:line="87" w:lineRule="exact"/>
        <w:rPr>
          <w:sz w:val="20"/>
          <w:szCs w:val="20"/>
          <w:color w:val="auto"/>
        </w:rPr>
      </w:pPr>
    </w:p>
    <w:p>
      <w:pPr>
        <w:ind w:right="540"/>
        <w:spacing w:after="0" w:line="284" w:lineRule="auto"/>
        <w:rPr>
          <w:sz w:val="20"/>
          <w:szCs w:val="20"/>
          <w:color w:val="auto"/>
        </w:rPr>
      </w:pPr>
      <w:r>
        <w:rPr>
          <w:rFonts w:ascii="Arial" w:cs="Arial" w:eastAsia="Arial" w:hAnsi="Arial"/>
          <w:sz w:val="16"/>
          <w:szCs w:val="16"/>
          <w:color w:val="auto"/>
        </w:rPr>
        <w:t>We must have a quorum for the meeting to proceed.</w:t>
      </w:r>
    </w:p>
    <w:p>
      <w:pPr>
        <w:spacing w:after="0" w:line="48"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Quorum constitutes two people present at the meeting who are entitled to vote at the meeting and represent at least 25 per cent of the issued and outstanding TC Energy common shares. The two people are entitled to vote in their own right, by proxy or as a duly authorized representative of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250825</wp:posOffset>
            </wp:positionV>
            <wp:extent cx="2346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4632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7160" w:space="480"/>
            <w:col w:w="3600"/>
          </w:cols>
          <w:pgMar w:left="320" w:top="10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D64EF"/>
        </w:rPr>
        <w:t>ELECTION OF DIRECTORS</w:t>
      </w:r>
    </w:p>
    <w:p>
      <w:pPr>
        <w:spacing w:after="0" w:line="48" w:lineRule="exact"/>
        <w:rPr>
          <w:sz w:val="20"/>
          <w:szCs w:val="20"/>
          <w:color w:val="auto"/>
        </w:rPr>
      </w:pPr>
    </w:p>
    <w:p>
      <w:pPr>
        <w:ind w:left="20" w:right="340"/>
        <w:spacing w:after="0" w:line="316" w:lineRule="auto"/>
        <w:rPr>
          <w:sz w:val="20"/>
          <w:szCs w:val="20"/>
          <w:color w:val="auto"/>
        </w:rPr>
      </w:pPr>
      <w:r>
        <w:rPr>
          <w:rFonts w:ascii="Arial" w:cs="Arial" w:eastAsia="Arial" w:hAnsi="Arial"/>
          <w:sz w:val="16"/>
          <w:szCs w:val="16"/>
          <w:color w:val="auto"/>
        </w:rPr>
        <w:t>You will be asked to vote on electing 13 directors to the Board. The nominated director profiles starting on page 20 give important information about each nominated director, including their background, experience and memberships on other public company boards they serve on. All of the nominated directors currently serve on our Board, and we have included in their profiles their 2025 attendance, the value of TC Energy shares or Deferred Share Units (DSUs) they currently hold (their at-risk investment) and their election results from the 2025 annual meeting. You can find more information about their at-risk investment on pages 83 and 84.</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All directors are elected for a one-year term.</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2220" w:type="dxa"/>
            <w:vAlign w:val="bottom"/>
          </w:tcPr>
          <w:p>
            <w:pPr>
              <w:spacing w:after="0"/>
              <w:rPr>
                <w:sz w:val="20"/>
                <w:szCs w:val="20"/>
                <w:color w:val="auto"/>
              </w:rPr>
            </w:pPr>
            <w:r>
              <w:rPr>
                <w:rFonts w:ascii="Arial" w:cs="Arial" w:eastAsia="Arial" w:hAnsi="Arial"/>
                <w:sz w:val="16"/>
                <w:szCs w:val="16"/>
                <w:color w:val="auto"/>
              </w:rPr>
              <w:t>1. Scott Bonham</w:t>
            </w:r>
          </w:p>
        </w:tc>
        <w:tc>
          <w:tcPr>
            <w:tcW w:w="3120" w:type="dxa"/>
            <w:vAlign w:val="bottom"/>
          </w:tcPr>
          <w:p>
            <w:pPr>
              <w:ind w:left="740"/>
              <w:spacing w:after="0"/>
              <w:rPr>
                <w:sz w:val="20"/>
                <w:szCs w:val="20"/>
                <w:color w:val="auto"/>
              </w:rPr>
            </w:pPr>
            <w:r>
              <w:rPr>
                <w:rFonts w:ascii="Arial" w:cs="Arial" w:eastAsia="Arial" w:hAnsi="Arial"/>
                <w:sz w:val="16"/>
                <w:szCs w:val="16"/>
                <w:color w:val="auto"/>
              </w:rPr>
              <w:t>6. John E. Lowe</w:t>
            </w:r>
          </w:p>
        </w:tc>
        <w:tc>
          <w:tcPr>
            <w:tcW w:w="2120" w:type="dxa"/>
            <w:vAlign w:val="bottom"/>
          </w:tcPr>
          <w:p>
            <w:pPr>
              <w:ind w:left="520"/>
              <w:spacing w:after="0"/>
              <w:rPr>
                <w:sz w:val="20"/>
                <w:szCs w:val="20"/>
                <w:color w:val="auto"/>
              </w:rPr>
            </w:pPr>
            <w:r>
              <w:rPr>
                <w:rFonts w:ascii="Arial" w:cs="Arial" w:eastAsia="Arial" w:hAnsi="Arial"/>
                <w:sz w:val="16"/>
                <w:szCs w:val="16"/>
                <w:color w:val="auto"/>
              </w:rPr>
              <w:t>11. Siim A. Vanaselja</w:t>
            </w:r>
          </w:p>
        </w:tc>
      </w:tr>
      <w:tr>
        <w:trPr>
          <w:trHeight w:val="215"/>
        </w:trPr>
        <w:tc>
          <w:tcPr>
            <w:tcW w:w="2220" w:type="dxa"/>
            <w:vAlign w:val="bottom"/>
          </w:tcPr>
          <w:p>
            <w:pPr>
              <w:spacing w:after="0"/>
              <w:rPr>
                <w:sz w:val="20"/>
                <w:szCs w:val="20"/>
                <w:color w:val="auto"/>
              </w:rPr>
            </w:pPr>
            <w:r>
              <w:rPr>
                <w:rFonts w:ascii="Arial" w:cs="Arial" w:eastAsia="Arial" w:hAnsi="Arial"/>
                <w:sz w:val="16"/>
                <w:szCs w:val="16"/>
                <w:color w:val="auto"/>
              </w:rPr>
              <w:t>2. Cheryl F. Campbell</w:t>
            </w:r>
          </w:p>
        </w:tc>
        <w:tc>
          <w:tcPr>
            <w:tcW w:w="3120" w:type="dxa"/>
            <w:vAlign w:val="bottom"/>
          </w:tcPr>
          <w:p>
            <w:pPr>
              <w:ind w:left="740"/>
              <w:spacing w:after="0"/>
              <w:rPr>
                <w:sz w:val="20"/>
                <w:szCs w:val="20"/>
                <w:color w:val="auto"/>
              </w:rPr>
            </w:pPr>
            <w:r>
              <w:rPr>
                <w:rFonts w:ascii="Arial" w:cs="Arial" w:eastAsia="Arial" w:hAnsi="Arial"/>
                <w:sz w:val="16"/>
                <w:szCs w:val="16"/>
                <w:color w:val="auto"/>
              </w:rPr>
              <w:t>7. Dawn Madahbee Leach</w:t>
            </w:r>
          </w:p>
        </w:tc>
        <w:tc>
          <w:tcPr>
            <w:tcW w:w="2120" w:type="dxa"/>
            <w:vAlign w:val="bottom"/>
          </w:tcPr>
          <w:p>
            <w:pPr>
              <w:ind w:left="500"/>
              <w:spacing w:after="0"/>
              <w:rPr>
                <w:sz w:val="20"/>
                <w:szCs w:val="20"/>
                <w:color w:val="auto"/>
              </w:rPr>
            </w:pPr>
            <w:r>
              <w:rPr>
                <w:rFonts w:ascii="Arial" w:cs="Arial" w:eastAsia="Arial" w:hAnsi="Arial"/>
                <w:sz w:val="16"/>
                <w:szCs w:val="16"/>
                <w:color w:val="auto"/>
              </w:rPr>
              <w:t>12. Thierry Vandal</w:t>
            </w:r>
          </w:p>
        </w:tc>
      </w:tr>
      <w:tr>
        <w:trPr>
          <w:trHeight w:val="215"/>
        </w:trPr>
        <w:tc>
          <w:tcPr>
            <w:tcW w:w="2220" w:type="dxa"/>
            <w:vAlign w:val="bottom"/>
          </w:tcPr>
          <w:p>
            <w:pPr>
              <w:spacing w:after="0"/>
              <w:rPr>
                <w:sz w:val="20"/>
                <w:szCs w:val="20"/>
                <w:color w:val="auto"/>
              </w:rPr>
            </w:pPr>
            <w:r>
              <w:rPr>
                <w:rFonts w:ascii="Arial" w:cs="Arial" w:eastAsia="Arial" w:hAnsi="Arial"/>
                <w:sz w:val="16"/>
                <w:szCs w:val="16"/>
                <w:color w:val="auto"/>
              </w:rPr>
              <w:t>3. Michael R. Culbert</w:t>
            </w:r>
          </w:p>
        </w:tc>
        <w:tc>
          <w:tcPr>
            <w:tcW w:w="3120" w:type="dxa"/>
            <w:vAlign w:val="bottom"/>
          </w:tcPr>
          <w:p>
            <w:pPr>
              <w:ind w:left="740"/>
              <w:spacing w:after="0"/>
              <w:rPr>
                <w:sz w:val="20"/>
                <w:szCs w:val="20"/>
                <w:color w:val="auto"/>
              </w:rPr>
            </w:pPr>
            <w:r>
              <w:rPr>
                <w:rFonts w:ascii="Arial" w:cs="Arial" w:eastAsia="Arial" w:hAnsi="Arial"/>
                <w:sz w:val="16"/>
                <w:szCs w:val="16"/>
                <w:color w:val="auto"/>
              </w:rPr>
              <w:t>8. François L. Poirier</w:t>
            </w:r>
          </w:p>
        </w:tc>
        <w:tc>
          <w:tcPr>
            <w:tcW w:w="2120" w:type="dxa"/>
            <w:vAlign w:val="bottom"/>
          </w:tcPr>
          <w:p>
            <w:pPr>
              <w:ind w:left="500"/>
              <w:spacing w:after="0"/>
              <w:rPr>
                <w:sz w:val="20"/>
                <w:szCs w:val="20"/>
                <w:color w:val="auto"/>
              </w:rPr>
            </w:pPr>
            <w:r>
              <w:rPr>
                <w:rFonts w:ascii="Arial" w:cs="Arial" w:eastAsia="Arial" w:hAnsi="Arial"/>
                <w:sz w:val="16"/>
                <w:szCs w:val="16"/>
                <w:color w:val="auto"/>
                <w:w w:val="98"/>
              </w:rPr>
              <w:t>13. Dheeraj "D" Verma</w:t>
            </w:r>
          </w:p>
        </w:tc>
      </w:tr>
      <w:tr>
        <w:trPr>
          <w:trHeight w:val="215"/>
        </w:trPr>
        <w:tc>
          <w:tcPr>
            <w:tcW w:w="2220" w:type="dxa"/>
            <w:vAlign w:val="bottom"/>
          </w:tcPr>
          <w:p>
            <w:pPr>
              <w:spacing w:after="0"/>
              <w:rPr>
                <w:sz w:val="20"/>
                <w:szCs w:val="20"/>
                <w:color w:val="auto"/>
              </w:rPr>
            </w:pPr>
            <w:r>
              <w:rPr>
                <w:rFonts w:ascii="Arial" w:cs="Arial" w:eastAsia="Arial" w:hAnsi="Arial"/>
                <w:sz w:val="16"/>
                <w:szCs w:val="16"/>
                <w:color w:val="auto"/>
              </w:rPr>
              <w:t>4. William D. Johnson</w:t>
            </w:r>
          </w:p>
        </w:tc>
        <w:tc>
          <w:tcPr>
            <w:tcW w:w="3120" w:type="dxa"/>
            <w:vAlign w:val="bottom"/>
          </w:tcPr>
          <w:p>
            <w:pPr>
              <w:ind w:left="740"/>
              <w:spacing w:after="0"/>
              <w:rPr>
                <w:sz w:val="20"/>
                <w:szCs w:val="20"/>
                <w:color w:val="auto"/>
              </w:rPr>
            </w:pPr>
            <w:r>
              <w:rPr>
                <w:rFonts w:ascii="Arial" w:cs="Arial" w:eastAsia="Arial" w:hAnsi="Arial"/>
                <w:sz w:val="16"/>
                <w:szCs w:val="16"/>
                <w:color w:val="auto"/>
              </w:rPr>
              <w:t>9. Una Power</w:t>
            </w:r>
          </w:p>
        </w:tc>
        <w:tc>
          <w:tcPr>
            <w:tcW w:w="2120" w:type="dxa"/>
            <w:vAlign w:val="bottom"/>
          </w:tcPr>
          <w:p>
            <w:pPr>
              <w:spacing w:after="0"/>
              <w:rPr>
                <w:sz w:val="18"/>
                <w:szCs w:val="18"/>
                <w:color w:val="auto"/>
              </w:rPr>
            </w:pPr>
          </w:p>
        </w:tc>
      </w:tr>
      <w:tr>
        <w:trPr>
          <w:trHeight w:val="215"/>
        </w:trPr>
        <w:tc>
          <w:tcPr>
            <w:tcW w:w="2220" w:type="dxa"/>
            <w:vAlign w:val="bottom"/>
          </w:tcPr>
          <w:p>
            <w:pPr>
              <w:spacing w:after="0"/>
              <w:rPr>
                <w:sz w:val="20"/>
                <w:szCs w:val="20"/>
                <w:color w:val="auto"/>
              </w:rPr>
            </w:pPr>
            <w:r>
              <w:rPr>
                <w:rFonts w:ascii="Arial" w:cs="Arial" w:eastAsia="Arial" w:hAnsi="Arial"/>
                <w:sz w:val="16"/>
                <w:szCs w:val="16"/>
                <w:color w:val="auto"/>
              </w:rPr>
              <w:t>5. Susan C. Jones</w:t>
            </w:r>
          </w:p>
        </w:tc>
        <w:tc>
          <w:tcPr>
            <w:tcW w:w="3120" w:type="dxa"/>
            <w:vAlign w:val="bottom"/>
          </w:tcPr>
          <w:p>
            <w:pPr>
              <w:ind w:left="660"/>
              <w:spacing w:after="0"/>
              <w:rPr>
                <w:sz w:val="20"/>
                <w:szCs w:val="20"/>
                <w:color w:val="auto"/>
              </w:rPr>
            </w:pPr>
            <w:r>
              <w:rPr>
                <w:rFonts w:ascii="Arial" w:cs="Arial" w:eastAsia="Arial" w:hAnsi="Arial"/>
                <w:sz w:val="16"/>
                <w:szCs w:val="16"/>
                <w:color w:val="auto"/>
              </w:rPr>
              <w:t>10. Mary Pat Salomone</w:t>
            </w:r>
          </w:p>
        </w:tc>
        <w:tc>
          <w:tcPr>
            <w:tcW w:w="2120" w:type="dxa"/>
            <w:vAlign w:val="bottom"/>
          </w:tcPr>
          <w:p>
            <w:pPr>
              <w:spacing w:after="0"/>
              <w:rPr>
                <w:sz w:val="18"/>
                <w:szCs w:val="18"/>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you vote </w:t>
      </w:r>
      <w:r>
        <w:rPr>
          <w:rFonts w:ascii="Arial" w:cs="Arial" w:eastAsia="Arial" w:hAnsi="Arial"/>
          <w:sz w:val="16"/>
          <w:szCs w:val="16"/>
          <w:b w:val="1"/>
          <w:bCs w:val="1"/>
          <w:i w:val="1"/>
          <w:iCs w:val="1"/>
          <w:color w:val="auto"/>
        </w:rPr>
        <w:t>for</w:t>
      </w:r>
      <w:r>
        <w:rPr>
          <w:rFonts w:ascii="Arial" w:cs="Arial" w:eastAsia="Arial" w:hAnsi="Arial"/>
          <w:sz w:val="16"/>
          <w:szCs w:val="16"/>
          <w:color w:val="auto"/>
        </w:rPr>
        <w:t xml:space="preserve"> the nominated directors:</w:t>
      </w:r>
    </w:p>
    <w:p>
      <w:pPr>
        <w:spacing w:after="0" w:line="154" w:lineRule="exact"/>
        <w:rPr>
          <w:sz w:val="20"/>
          <w:szCs w:val="20"/>
          <w:color w:val="auto"/>
        </w:rPr>
      </w:pPr>
    </w:p>
    <w:p>
      <w:pPr>
        <w:ind w:right="180"/>
        <w:spacing w:after="0" w:line="344" w:lineRule="auto"/>
        <w:rPr>
          <w:sz w:val="20"/>
          <w:szCs w:val="20"/>
          <w:color w:val="auto"/>
        </w:rPr>
      </w:pPr>
      <w:r>
        <w:rPr>
          <w:rFonts w:ascii="Arial" w:cs="Arial" w:eastAsia="Arial" w:hAnsi="Arial"/>
          <w:sz w:val="16"/>
          <w:szCs w:val="16"/>
          <w:b w:val="1"/>
          <w:bCs w:val="1"/>
          <w:i w:val="1"/>
          <w:iCs w:val="1"/>
          <w:color w:val="auto"/>
        </w:rPr>
        <w:t>RESOLVE to elect the directors listed in TC Energy’s Circular dated March 5, 2026 to hold office until the next annual meeting of shareholders or until their successors are earlier elected or appointed.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13</w:t>
      </w:r>
    </w:p>
    <w:p>
      <w:pPr>
        <w:sectPr>
          <w:pgSz w:w="11900" w:h="16838" w:orient="portrait"/>
          <w:cols w:equalWidth="0" w:num="1">
            <w:col w:w="11240"/>
          </w:cols>
          <w:pgMar w:left="320" w:top="104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0D64EF"/>
        </w:rPr>
        <w:t>AUDITOR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You will be asked to vote on appointing the external auditor. The auditor will hold office until the close of our next annual meeting of shareholders.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You will also vote on authorizing the directors to fix the auditor’s remuneration.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you vote </w:t>
      </w:r>
      <w:r>
        <w:rPr>
          <w:rFonts w:ascii="Arial" w:cs="Arial" w:eastAsia="Arial" w:hAnsi="Arial"/>
          <w:sz w:val="16"/>
          <w:szCs w:val="16"/>
          <w:b w:val="1"/>
          <w:bCs w:val="1"/>
          <w:i w:val="1"/>
          <w:iCs w:val="1"/>
          <w:color w:val="auto"/>
        </w:rPr>
        <w:t>for</w:t>
      </w:r>
      <w:r>
        <w:rPr>
          <w:rFonts w:ascii="Arial" w:cs="Arial" w:eastAsia="Arial" w:hAnsi="Arial"/>
          <w:sz w:val="16"/>
          <w:szCs w:val="16"/>
          <w:color w:val="auto"/>
        </w:rPr>
        <w:t xml:space="preserve"> appointing KPMG as auditor of TC Energy and authorizing the directors to fix their remuneration:</w:t>
      </w:r>
    </w:p>
    <w:p>
      <w:pPr>
        <w:spacing w:after="0" w:line="154" w:lineRule="exact"/>
        <w:rPr>
          <w:sz w:val="20"/>
          <w:szCs w:val="20"/>
          <w:color w:val="auto"/>
        </w:rPr>
      </w:pPr>
    </w:p>
    <w:p>
      <w:pPr>
        <w:ind w:right="180"/>
        <w:spacing w:after="0" w:line="344" w:lineRule="auto"/>
        <w:rPr>
          <w:sz w:val="20"/>
          <w:szCs w:val="20"/>
          <w:color w:val="auto"/>
        </w:rPr>
      </w:pPr>
      <w:r>
        <w:rPr>
          <w:rFonts w:ascii="Arial" w:cs="Arial" w:eastAsia="Arial" w:hAnsi="Arial"/>
          <w:sz w:val="16"/>
          <w:szCs w:val="16"/>
          <w:b w:val="1"/>
          <w:bCs w:val="1"/>
          <w:i w:val="1"/>
          <w:iCs w:val="1"/>
          <w:color w:val="auto"/>
        </w:rPr>
        <w:t>RESOLVE to appoint KPMG as auditor of TC Energy until the close of our next annual meeting of shareholders, and authorize the directors to fix their remuneration.</w:t>
      </w:r>
    </w:p>
    <w:p>
      <w:pPr>
        <w:spacing w:after="0" w:line="35" w:lineRule="exact"/>
        <w:rPr>
          <w:sz w:val="20"/>
          <w:szCs w:val="20"/>
          <w:color w:val="auto"/>
        </w:rPr>
      </w:pPr>
    </w:p>
    <w:p>
      <w:pPr>
        <w:ind w:right="80"/>
        <w:spacing w:after="0" w:line="317" w:lineRule="auto"/>
        <w:rPr>
          <w:sz w:val="20"/>
          <w:szCs w:val="20"/>
          <w:color w:val="auto"/>
        </w:rPr>
      </w:pPr>
      <w:r>
        <w:rPr>
          <w:rFonts w:ascii="Arial" w:cs="Arial" w:eastAsia="Arial" w:hAnsi="Arial"/>
          <w:sz w:val="16"/>
          <w:szCs w:val="16"/>
          <w:color w:val="auto"/>
        </w:rPr>
        <w:t xml:space="preserve">Through the processes described in the </w:t>
      </w:r>
      <w:r>
        <w:rPr>
          <w:rFonts w:ascii="Arial" w:cs="Arial" w:eastAsia="Arial" w:hAnsi="Arial"/>
          <w:sz w:val="16"/>
          <w:szCs w:val="16"/>
          <w:i w:val="1"/>
          <w:iCs w:val="1"/>
          <w:color w:val="auto"/>
        </w:rPr>
        <w:t>Auditor Independence</w:t>
      </w:r>
      <w:r>
        <w:rPr>
          <w:rFonts w:ascii="Arial" w:cs="Arial" w:eastAsia="Arial" w:hAnsi="Arial"/>
          <w:sz w:val="16"/>
          <w:szCs w:val="16"/>
          <w:color w:val="auto"/>
        </w:rPr>
        <w:t xml:space="preserve"> section we have confirmed KPMG is </w:t>
      </w:r>
      <w:r>
        <w:rPr>
          <w:rFonts w:ascii="Arial" w:cs="Arial" w:eastAsia="Arial" w:hAnsi="Arial"/>
          <w:sz w:val="16"/>
          <w:szCs w:val="16"/>
          <w:b w:val="1"/>
          <w:bCs w:val="1"/>
          <w:i w:val="1"/>
          <w:iCs w:val="1"/>
          <w:color w:val="auto"/>
        </w:rPr>
        <w:t>independent</w:t>
      </w:r>
      <w:r>
        <w:rPr>
          <w:rFonts w:ascii="Arial" w:cs="Arial" w:eastAsia="Arial" w:hAnsi="Arial"/>
          <w:sz w:val="16"/>
          <w:szCs w:val="16"/>
          <w:color w:val="auto"/>
        </w:rPr>
        <w:t xml:space="preserve"> with respect to TC Energy within the meaning of the relevant rules and related interpretations prescribed by all relevant professional bodies in Canada and applicable legal requirements and also that they are independent accountants with respect to TC Energy under all relevant U.S. professional and regulatory standards.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of KPMG will attend the meeting, have an opportunity to make a statement and respond to any questions.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Stakeholder engagement</w:t>
      </w:r>
    </w:p>
    <w:p>
      <w:pPr>
        <w:spacing w:after="0" w:line="53" w:lineRule="exact"/>
        <w:rPr>
          <w:sz w:val="20"/>
          <w:szCs w:val="20"/>
          <w:color w:val="auto"/>
        </w:rPr>
      </w:pPr>
    </w:p>
    <w:p>
      <w:pPr>
        <w:ind w:right="120"/>
        <w:spacing w:after="0" w:line="337" w:lineRule="auto"/>
        <w:rPr>
          <w:sz w:val="20"/>
          <w:szCs w:val="20"/>
          <w:color w:val="auto"/>
        </w:rPr>
      </w:pPr>
      <w:r>
        <w:rPr>
          <w:rFonts w:ascii="Arial" w:cs="Arial" w:eastAsia="Arial" w:hAnsi="Arial"/>
          <w:sz w:val="16"/>
          <w:szCs w:val="16"/>
          <w:color w:val="auto"/>
        </w:rPr>
        <w:t>In 2022 and 2023, TC Energy conducted a comprehensive stakeholder engagement program on auditor independence and tenure, including outreach to our largest investors and those investors whose voting guidelines highlighted concerns with extended auditor tenure.</w:t>
      </w:r>
    </w:p>
    <w:p>
      <w:pPr>
        <w:spacing w:after="0" w:line="48"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Following this engagement program, TC Energy has continued to actively engage with stakeholders on the topic of auditor independence and tenure. In 2025, TC Energy's CEO, CFO, other members of management and Investor Relations participated in over 500 meetings with shareholders and bondholders, including over 40 meetings on ESG-specific topics, some focused on how the Audit Committee satisfies itself of ongoing auditor independence and tenure considerations.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Our auditor support in recent years has been strong and reflects our commitment to engagement:</w:t>
      </w:r>
    </w:p>
    <w:p>
      <w:pPr>
        <w:spacing w:after="0" w:line="159" w:lineRule="exact"/>
        <w:rPr>
          <w:sz w:val="20"/>
          <w:szCs w:val="20"/>
          <w:color w:val="auto"/>
        </w:rPr>
      </w:pPr>
    </w:p>
    <w:tbl>
      <w:tblPr>
        <w:tblLayout w:type="fixed"/>
        <w:tblInd w:w="1860" w:type="dxa"/>
        <w:tblCellMar>
          <w:top w:w="0" w:type="dxa"/>
          <w:left w:w="0" w:type="dxa"/>
          <w:bottom w:w="0" w:type="dxa"/>
          <w:right w:w="0" w:type="dxa"/>
        </w:tblCellMar>
      </w:tblPr>
      <w:tr>
        <w:trPr>
          <w:trHeight w:val="260"/>
        </w:trPr>
        <w:tc>
          <w:tcPr>
            <w:tcW w:w="1080" w:type="dxa"/>
            <w:vAlign w:val="bottom"/>
            <w:tcBorders>
              <w:top w:val="single" w:sz="8" w:color="0D64EF"/>
              <w:bottom w:val="single" w:sz="8" w:color="D0D0CE"/>
            </w:tcBorders>
            <w:shd w:val="clear" w:color="auto" w:fill="D0D0CE"/>
          </w:tcPr>
          <w:p>
            <w:pPr>
              <w:ind w:left="360"/>
              <w:spacing w:after="0"/>
              <w:rPr>
                <w:sz w:val="20"/>
                <w:szCs w:val="20"/>
                <w:color w:val="auto"/>
              </w:rPr>
            </w:pPr>
            <w:r>
              <w:rPr>
                <w:rFonts w:ascii="Arial" w:cs="Arial" w:eastAsia="Arial" w:hAnsi="Arial"/>
                <w:sz w:val="14"/>
                <w:szCs w:val="14"/>
                <w:b w:val="1"/>
                <w:bCs w:val="1"/>
                <w:color w:val="auto"/>
              </w:rPr>
              <w:t>Year</w:t>
            </w:r>
          </w:p>
        </w:tc>
        <w:tc>
          <w:tcPr>
            <w:tcW w:w="2320" w:type="dxa"/>
            <w:vAlign w:val="bottom"/>
            <w:tcBorders>
              <w:top w:val="single" w:sz="8" w:color="0D64EF"/>
              <w:bottom w:val="single" w:sz="8" w:color="D0D0CE"/>
            </w:tcBorders>
            <w:shd w:val="clear" w:color="auto" w:fill="D0D0CE"/>
          </w:tcPr>
          <w:p>
            <w:pPr>
              <w:jc w:val="center"/>
              <w:ind w:right="8"/>
              <w:spacing w:after="0"/>
              <w:rPr>
                <w:sz w:val="20"/>
                <w:szCs w:val="20"/>
                <w:color w:val="auto"/>
              </w:rPr>
            </w:pPr>
            <w:r>
              <w:rPr>
                <w:rFonts w:ascii="Arial" w:cs="Arial" w:eastAsia="Arial" w:hAnsi="Arial"/>
                <w:sz w:val="14"/>
                <w:szCs w:val="14"/>
                <w:b w:val="1"/>
                <w:bCs w:val="1"/>
                <w:color w:val="auto"/>
              </w:rPr>
              <w:t>Votes in favour</w:t>
            </w:r>
          </w:p>
        </w:tc>
        <w:tc>
          <w:tcPr>
            <w:tcW w:w="2320" w:type="dxa"/>
            <w:vAlign w:val="bottom"/>
            <w:tcBorders>
              <w:top w:val="single" w:sz="8" w:color="0D64EF"/>
              <w:bottom w:val="single" w:sz="8" w:color="D0D0CE"/>
            </w:tcBorders>
            <w:shd w:val="clear" w:color="auto" w:fill="D0D0CE"/>
          </w:tcPr>
          <w:p>
            <w:pPr>
              <w:ind w:left="640"/>
              <w:spacing w:after="0"/>
              <w:rPr>
                <w:sz w:val="20"/>
                <w:szCs w:val="20"/>
                <w:color w:val="auto"/>
              </w:rPr>
            </w:pPr>
            <w:r>
              <w:rPr>
                <w:rFonts w:ascii="Arial" w:cs="Arial" w:eastAsia="Arial" w:hAnsi="Arial"/>
                <w:sz w:val="14"/>
                <w:szCs w:val="14"/>
                <w:b w:val="1"/>
                <w:bCs w:val="1"/>
                <w:color w:val="auto"/>
              </w:rPr>
              <w:t>Votes withheld</w:t>
            </w:r>
          </w:p>
        </w:tc>
      </w:tr>
      <w:tr>
        <w:trPr>
          <w:trHeight w:val="201"/>
        </w:trPr>
        <w:tc>
          <w:tcPr>
            <w:tcW w:w="1080" w:type="dxa"/>
            <w:vAlign w:val="bottom"/>
            <w:tcBorders>
              <w:top w:val="single" w:sz="8" w:color="0D64EF"/>
            </w:tcBorders>
          </w:tcPr>
          <w:p>
            <w:pPr>
              <w:ind w:left="360"/>
              <w:spacing w:after="0"/>
              <w:rPr>
                <w:sz w:val="20"/>
                <w:szCs w:val="20"/>
                <w:color w:val="auto"/>
              </w:rPr>
            </w:pPr>
            <w:r>
              <w:rPr>
                <w:rFonts w:ascii="Arial" w:cs="Arial" w:eastAsia="Arial" w:hAnsi="Arial"/>
                <w:sz w:val="14"/>
                <w:szCs w:val="14"/>
                <w:color w:val="auto"/>
              </w:rPr>
              <w:t>2025</w:t>
            </w:r>
          </w:p>
        </w:tc>
        <w:tc>
          <w:tcPr>
            <w:tcW w:w="2320" w:type="dxa"/>
            <w:vAlign w:val="bottom"/>
            <w:tcBorders>
              <w:top w:val="single" w:sz="8" w:color="0D64EF"/>
            </w:tcBorders>
          </w:tcPr>
          <w:p>
            <w:pPr>
              <w:jc w:val="center"/>
              <w:ind w:right="8"/>
              <w:spacing w:after="0"/>
              <w:rPr>
                <w:sz w:val="20"/>
                <w:szCs w:val="20"/>
                <w:color w:val="auto"/>
              </w:rPr>
            </w:pPr>
            <w:r>
              <w:rPr>
                <w:rFonts w:ascii="Arial" w:cs="Arial" w:eastAsia="Arial" w:hAnsi="Arial"/>
                <w:sz w:val="14"/>
                <w:szCs w:val="14"/>
                <w:color w:val="auto"/>
              </w:rPr>
              <w:t>637,619,923 (91.40%)</w:t>
            </w:r>
          </w:p>
        </w:tc>
        <w:tc>
          <w:tcPr>
            <w:tcW w:w="2320" w:type="dxa"/>
            <w:vAlign w:val="bottom"/>
            <w:tcBorders>
              <w:top w:val="single" w:sz="8" w:color="0D64EF"/>
            </w:tcBorders>
          </w:tcPr>
          <w:p>
            <w:pPr>
              <w:jc w:val="center"/>
              <w:spacing w:after="0"/>
              <w:rPr>
                <w:sz w:val="20"/>
                <w:szCs w:val="20"/>
                <w:color w:val="auto"/>
              </w:rPr>
            </w:pPr>
            <w:r>
              <w:rPr>
                <w:rFonts w:ascii="Arial" w:cs="Arial" w:eastAsia="Arial" w:hAnsi="Arial"/>
                <w:sz w:val="14"/>
                <w:szCs w:val="14"/>
                <w:color w:val="auto"/>
              </w:rPr>
              <w:t>60,028,125 (8.60%)</w:t>
            </w:r>
          </w:p>
        </w:tc>
      </w:tr>
      <w:tr>
        <w:trPr>
          <w:trHeight w:val="35"/>
        </w:trPr>
        <w:tc>
          <w:tcPr>
            <w:tcW w:w="1080" w:type="dxa"/>
            <w:vAlign w:val="bottom"/>
            <w:tcBorders>
              <w:bottom w:val="single" w:sz="8" w:color="B2B2B2"/>
            </w:tcBorders>
          </w:tcPr>
          <w:p>
            <w:pPr>
              <w:spacing w:after="0"/>
              <w:rPr>
                <w:sz w:val="3"/>
                <w:szCs w:val="3"/>
                <w:color w:val="auto"/>
              </w:rPr>
            </w:pPr>
          </w:p>
        </w:tc>
        <w:tc>
          <w:tcPr>
            <w:tcW w:w="2320" w:type="dxa"/>
            <w:vAlign w:val="bottom"/>
            <w:tcBorders>
              <w:bottom w:val="single" w:sz="8" w:color="B2B2B2"/>
            </w:tcBorders>
          </w:tcPr>
          <w:p>
            <w:pPr>
              <w:spacing w:after="0"/>
              <w:rPr>
                <w:sz w:val="3"/>
                <w:szCs w:val="3"/>
                <w:color w:val="auto"/>
              </w:rPr>
            </w:pPr>
          </w:p>
        </w:tc>
        <w:tc>
          <w:tcPr>
            <w:tcW w:w="2320" w:type="dxa"/>
            <w:vAlign w:val="bottom"/>
            <w:tcBorders>
              <w:bottom w:val="single" w:sz="8" w:color="B2B2B2"/>
            </w:tcBorders>
          </w:tcPr>
          <w:p>
            <w:pPr>
              <w:spacing w:after="0"/>
              <w:rPr>
                <w:sz w:val="3"/>
                <w:szCs w:val="3"/>
                <w:color w:val="auto"/>
              </w:rPr>
            </w:pPr>
          </w:p>
        </w:tc>
      </w:tr>
      <w:tr>
        <w:trPr>
          <w:trHeight w:val="201"/>
        </w:trPr>
        <w:tc>
          <w:tcPr>
            <w:tcW w:w="1080" w:type="dxa"/>
            <w:vAlign w:val="bottom"/>
          </w:tcPr>
          <w:p>
            <w:pPr>
              <w:ind w:left="360"/>
              <w:spacing w:after="0"/>
              <w:rPr>
                <w:sz w:val="20"/>
                <w:szCs w:val="20"/>
                <w:color w:val="auto"/>
              </w:rPr>
            </w:pPr>
            <w:r>
              <w:rPr>
                <w:rFonts w:ascii="Arial" w:cs="Arial" w:eastAsia="Arial" w:hAnsi="Arial"/>
                <w:sz w:val="14"/>
                <w:szCs w:val="14"/>
                <w:color w:val="auto"/>
              </w:rPr>
              <w:t>2024</w:t>
            </w:r>
          </w:p>
        </w:tc>
        <w:tc>
          <w:tcPr>
            <w:tcW w:w="2320" w:type="dxa"/>
            <w:vAlign w:val="bottom"/>
          </w:tcPr>
          <w:p>
            <w:pPr>
              <w:jc w:val="center"/>
              <w:ind w:right="8"/>
              <w:spacing w:after="0"/>
              <w:rPr>
                <w:sz w:val="20"/>
                <w:szCs w:val="20"/>
                <w:color w:val="auto"/>
              </w:rPr>
            </w:pPr>
            <w:r>
              <w:rPr>
                <w:rFonts w:ascii="Arial" w:cs="Arial" w:eastAsia="Arial" w:hAnsi="Arial"/>
                <w:sz w:val="14"/>
                <w:szCs w:val="14"/>
                <w:color w:val="auto"/>
              </w:rPr>
              <w:t>640,326,854 (93.24%)</w:t>
            </w:r>
          </w:p>
        </w:tc>
        <w:tc>
          <w:tcPr>
            <w:tcW w:w="2320" w:type="dxa"/>
            <w:vAlign w:val="bottom"/>
          </w:tcPr>
          <w:p>
            <w:pPr>
              <w:jc w:val="center"/>
              <w:spacing w:after="0"/>
              <w:rPr>
                <w:sz w:val="20"/>
                <w:szCs w:val="20"/>
                <w:color w:val="auto"/>
              </w:rPr>
            </w:pPr>
            <w:r>
              <w:rPr>
                <w:rFonts w:ascii="Arial" w:cs="Arial" w:eastAsia="Arial" w:hAnsi="Arial"/>
                <w:sz w:val="14"/>
                <w:szCs w:val="14"/>
                <w:color w:val="auto"/>
              </w:rPr>
              <w:t>46,460,250 (6.76%)</w:t>
            </w:r>
          </w:p>
        </w:tc>
      </w:tr>
      <w:tr>
        <w:trPr>
          <w:trHeight w:val="35"/>
        </w:trPr>
        <w:tc>
          <w:tcPr>
            <w:tcW w:w="1080" w:type="dxa"/>
            <w:vAlign w:val="bottom"/>
            <w:tcBorders>
              <w:bottom w:val="single" w:sz="8" w:color="B2B2B2"/>
            </w:tcBorders>
          </w:tcPr>
          <w:p>
            <w:pPr>
              <w:spacing w:after="0"/>
              <w:rPr>
                <w:sz w:val="3"/>
                <w:szCs w:val="3"/>
                <w:color w:val="auto"/>
              </w:rPr>
            </w:pPr>
          </w:p>
        </w:tc>
        <w:tc>
          <w:tcPr>
            <w:tcW w:w="2320" w:type="dxa"/>
            <w:vAlign w:val="bottom"/>
            <w:tcBorders>
              <w:bottom w:val="single" w:sz="8" w:color="B2B2B2"/>
            </w:tcBorders>
          </w:tcPr>
          <w:p>
            <w:pPr>
              <w:spacing w:after="0"/>
              <w:rPr>
                <w:sz w:val="3"/>
                <w:szCs w:val="3"/>
                <w:color w:val="auto"/>
              </w:rPr>
            </w:pPr>
          </w:p>
        </w:tc>
        <w:tc>
          <w:tcPr>
            <w:tcW w:w="2320" w:type="dxa"/>
            <w:vAlign w:val="bottom"/>
            <w:tcBorders>
              <w:bottom w:val="single" w:sz="8" w:color="B2B2B2"/>
            </w:tcBorders>
          </w:tcPr>
          <w:p>
            <w:pPr>
              <w:spacing w:after="0"/>
              <w:rPr>
                <w:sz w:val="3"/>
                <w:szCs w:val="3"/>
                <w:color w:val="auto"/>
              </w:rPr>
            </w:pPr>
          </w:p>
        </w:tc>
      </w:tr>
      <w:tr>
        <w:trPr>
          <w:trHeight w:val="201"/>
        </w:trPr>
        <w:tc>
          <w:tcPr>
            <w:tcW w:w="1080" w:type="dxa"/>
            <w:vAlign w:val="bottom"/>
          </w:tcPr>
          <w:p>
            <w:pPr>
              <w:ind w:left="360"/>
              <w:spacing w:after="0"/>
              <w:rPr>
                <w:sz w:val="20"/>
                <w:szCs w:val="20"/>
                <w:color w:val="auto"/>
              </w:rPr>
            </w:pPr>
            <w:r>
              <w:rPr>
                <w:rFonts w:ascii="Arial" w:cs="Arial" w:eastAsia="Arial" w:hAnsi="Arial"/>
                <w:sz w:val="14"/>
                <w:szCs w:val="14"/>
                <w:color w:val="auto"/>
              </w:rPr>
              <w:t>2023</w:t>
            </w:r>
          </w:p>
        </w:tc>
        <w:tc>
          <w:tcPr>
            <w:tcW w:w="2320" w:type="dxa"/>
            <w:vAlign w:val="bottom"/>
          </w:tcPr>
          <w:p>
            <w:pPr>
              <w:jc w:val="center"/>
              <w:ind w:right="8"/>
              <w:spacing w:after="0"/>
              <w:rPr>
                <w:sz w:val="20"/>
                <w:szCs w:val="20"/>
                <w:color w:val="auto"/>
              </w:rPr>
            </w:pPr>
            <w:r>
              <w:rPr>
                <w:rFonts w:ascii="Arial" w:cs="Arial" w:eastAsia="Arial" w:hAnsi="Arial"/>
                <w:sz w:val="14"/>
                <w:szCs w:val="14"/>
                <w:color w:val="auto"/>
              </w:rPr>
              <w:t>613,576,171 (89.00%)</w:t>
            </w:r>
          </w:p>
        </w:tc>
        <w:tc>
          <w:tcPr>
            <w:tcW w:w="2320" w:type="dxa"/>
            <w:vAlign w:val="bottom"/>
          </w:tcPr>
          <w:p>
            <w:pPr>
              <w:jc w:val="center"/>
              <w:spacing w:after="0"/>
              <w:rPr>
                <w:sz w:val="20"/>
                <w:szCs w:val="20"/>
                <w:color w:val="auto"/>
              </w:rPr>
            </w:pPr>
            <w:r>
              <w:rPr>
                <w:rFonts w:ascii="Arial" w:cs="Arial" w:eastAsia="Arial" w:hAnsi="Arial"/>
                <w:sz w:val="14"/>
                <w:szCs w:val="14"/>
                <w:color w:val="auto"/>
              </w:rPr>
              <w:t>75,802,855 (11.00%)</w:t>
            </w:r>
          </w:p>
        </w:tc>
      </w:tr>
      <w:tr>
        <w:trPr>
          <w:trHeight w:val="35"/>
        </w:trPr>
        <w:tc>
          <w:tcPr>
            <w:tcW w:w="1080" w:type="dxa"/>
            <w:vAlign w:val="bottom"/>
            <w:tcBorders>
              <w:bottom w:val="single" w:sz="8" w:color="0D64EF"/>
            </w:tcBorders>
          </w:tcPr>
          <w:p>
            <w:pPr>
              <w:spacing w:after="0"/>
              <w:rPr>
                <w:sz w:val="3"/>
                <w:szCs w:val="3"/>
                <w:color w:val="auto"/>
              </w:rPr>
            </w:pPr>
          </w:p>
        </w:tc>
        <w:tc>
          <w:tcPr>
            <w:tcW w:w="2320" w:type="dxa"/>
            <w:vAlign w:val="bottom"/>
            <w:tcBorders>
              <w:bottom w:val="single" w:sz="8" w:color="0D64EF"/>
            </w:tcBorders>
          </w:tcPr>
          <w:p>
            <w:pPr>
              <w:spacing w:after="0"/>
              <w:rPr>
                <w:sz w:val="3"/>
                <w:szCs w:val="3"/>
                <w:color w:val="auto"/>
              </w:rPr>
            </w:pPr>
          </w:p>
        </w:tc>
        <w:tc>
          <w:tcPr>
            <w:tcW w:w="2320" w:type="dxa"/>
            <w:vAlign w:val="bottom"/>
            <w:tcBorders>
              <w:bottom w:val="single" w:sz="8" w:color="0D64EF"/>
            </w:tcBorders>
          </w:tcPr>
          <w:p>
            <w:pPr>
              <w:spacing w:after="0"/>
              <w:rPr>
                <w:sz w:val="3"/>
                <w:szCs w:val="3"/>
                <w:color w:val="auto"/>
              </w:rPr>
            </w:pPr>
          </w:p>
        </w:tc>
      </w:tr>
    </w:tbl>
    <w:p>
      <w:pPr>
        <w:spacing w:after="0" w:line="228"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For more information on TC Energy’s overall shareholder engagement strategy, please see page 60 and for more information on the comprehensive review of the external auditor, please see page 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9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D64EF"/>
        </w:rPr>
        <w:t>Auditor fees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services KPMG provided during the last two fiscal years and the fees they invoiced us: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600" w:type="dxa"/>
            <w:vAlign w:val="bottom"/>
            <w:tcBorders>
              <w:top w:val="single" w:sz="8" w:color="0D64EF"/>
              <w:bottom w:val="single" w:sz="8" w:color="D0D0CE"/>
            </w:tcBorders>
            <w:shd w:val="clear" w:color="auto" w:fill="D0D0CE"/>
          </w:tcPr>
          <w:p>
            <w:pPr>
              <w:ind w:left="20"/>
              <w:spacing w:after="0"/>
              <w:rPr>
                <w:sz w:val="20"/>
                <w:szCs w:val="20"/>
                <w:color w:val="auto"/>
              </w:rPr>
            </w:pPr>
            <w:r>
              <w:rPr>
                <w:rFonts w:ascii="Arial" w:cs="Arial" w:eastAsia="Arial" w:hAnsi="Arial"/>
                <w:sz w:val="14"/>
                <w:szCs w:val="14"/>
                <w:b w:val="1"/>
                <w:bCs w:val="1"/>
                <w:color w:val="auto"/>
              </w:rPr>
              <w:t>($ millions)</w:t>
            </w:r>
          </w:p>
        </w:tc>
        <w:tc>
          <w:tcPr>
            <w:tcW w:w="4480" w:type="dxa"/>
            <w:vAlign w:val="bottom"/>
            <w:tcBorders>
              <w:top w:val="single" w:sz="8" w:color="0D64EF"/>
              <w:bottom w:val="single" w:sz="8" w:color="0D64EF"/>
            </w:tcBorders>
            <w:shd w:val="clear" w:color="auto" w:fill="D0D0CE"/>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top w:val="single" w:sz="8" w:color="0D64EF"/>
              <w:bottom w:val="single" w:sz="8" w:color="0D64EF"/>
            </w:tcBorders>
            <w:shd w:val="clear" w:color="auto" w:fill="D0D0CE"/>
          </w:tcPr>
          <w:p>
            <w:pPr>
              <w:jc w:val="right"/>
              <w:spacing w:after="0"/>
              <w:rPr>
                <w:sz w:val="20"/>
                <w:szCs w:val="20"/>
                <w:color w:val="auto"/>
              </w:rPr>
            </w:pPr>
            <w:r>
              <w:rPr>
                <w:rFonts w:ascii="Arial" w:cs="Arial" w:eastAsia="Arial" w:hAnsi="Arial"/>
                <w:sz w:val="14"/>
                <w:szCs w:val="14"/>
                <w:b w:val="1"/>
                <w:bCs w:val="1"/>
                <w:color w:val="auto"/>
              </w:rPr>
              <w:t>2024</w:t>
            </w:r>
          </w:p>
        </w:tc>
      </w:tr>
      <w:tr>
        <w:trPr>
          <w:trHeight w:val="242"/>
        </w:trPr>
        <w:tc>
          <w:tcPr>
            <w:tcW w:w="4600" w:type="dxa"/>
            <w:vAlign w:val="bottom"/>
            <w:tcBorders>
              <w:top w:val="single" w:sz="8" w:color="0D64EF"/>
            </w:tcBorders>
          </w:tcPr>
          <w:p>
            <w:pPr>
              <w:ind w:left="20"/>
              <w:spacing w:after="0"/>
              <w:rPr>
                <w:sz w:val="20"/>
                <w:szCs w:val="20"/>
                <w:color w:val="auto"/>
              </w:rPr>
            </w:pPr>
            <w:r>
              <w:rPr>
                <w:rFonts w:ascii="Arial" w:cs="Arial" w:eastAsia="Arial" w:hAnsi="Arial"/>
                <w:sz w:val="14"/>
                <w:szCs w:val="14"/>
                <w:b w:val="1"/>
                <w:bCs w:val="1"/>
                <w:color w:val="auto"/>
              </w:rPr>
              <w:t>Audit fees</w:t>
            </w:r>
          </w:p>
        </w:tc>
        <w:tc>
          <w:tcPr>
            <w:tcW w:w="4480" w:type="dxa"/>
            <w:vAlign w:val="bottom"/>
            <w:tcBorders>
              <w:top w:val="single" w:sz="8" w:color="0D64EF"/>
            </w:tcBorders>
          </w:tcPr>
          <w:p>
            <w:pPr>
              <w:jc w:val="right"/>
              <w:ind w:right="248"/>
              <w:spacing w:after="0"/>
              <w:rPr>
                <w:sz w:val="20"/>
                <w:szCs w:val="20"/>
                <w:color w:val="auto"/>
              </w:rPr>
            </w:pPr>
            <w:r>
              <w:rPr>
                <w:rFonts w:ascii="Arial" w:cs="Arial" w:eastAsia="Arial" w:hAnsi="Arial"/>
                <w:sz w:val="14"/>
                <w:szCs w:val="14"/>
                <w:color w:val="auto"/>
              </w:rPr>
              <w:t>18.7</w:t>
            </w:r>
          </w:p>
        </w:tc>
        <w:tc>
          <w:tcPr>
            <w:tcW w:w="680" w:type="dxa"/>
            <w:vAlign w:val="bottom"/>
            <w:tcBorders>
              <w:top w:val="single" w:sz="8" w:color="0D64EF"/>
            </w:tcBorders>
          </w:tcPr>
          <w:p>
            <w:pPr>
              <w:jc w:val="right"/>
              <w:spacing w:after="0"/>
              <w:rPr>
                <w:sz w:val="20"/>
                <w:szCs w:val="20"/>
                <w:color w:val="auto"/>
              </w:rPr>
            </w:pPr>
            <w:r>
              <w:rPr>
                <w:rFonts w:ascii="Arial" w:cs="Arial" w:eastAsia="Arial" w:hAnsi="Arial"/>
                <w:sz w:val="14"/>
                <w:szCs w:val="14"/>
                <w:color w:val="auto"/>
              </w:rPr>
              <w:t>19.4</w:t>
            </w:r>
          </w:p>
        </w:tc>
      </w:tr>
    </w:tbl>
    <w:p>
      <w:pPr>
        <w:spacing w:after="0" w:line="66" w:lineRule="exact"/>
        <w:rPr>
          <w:sz w:val="20"/>
          <w:szCs w:val="20"/>
          <w:color w:val="auto"/>
        </w:rPr>
      </w:pPr>
    </w:p>
    <w:p>
      <w:pPr>
        <w:ind w:left="160" w:hanging="135"/>
        <w:spacing w:after="0"/>
        <w:tabs>
          <w:tab w:leader="none" w:pos="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audit of the annual consolidated financial statements</w:t>
      </w:r>
    </w:p>
    <w:p>
      <w:pPr>
        <w:spacing w:after="0" w:line="134" w:lineRule="exact"/>
        <w:rPr>
          <w:rFonts w:ascii="Arial" w:cs="Arial" w:eastAsia="Arial" w:hAnsi="Arial"/>
          <w:sz w:val="14"/>
          <w:szCs w:val="14"/>
          <w:color w:val="auto"/>
        </w:rPr>
      </w:pPr>
    </w:p>
    <w:p>
      <w:pPr>
        <w:ind w:left="160" w:hanging="135"/>
        <w:spacing w:after="0"/>
        <w:tabs>
          <w:tab w:leader="none" w:pos="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services related to statutory and regulatory filings or engagements</w:t>
      </w:r>
    </w:p>
    <w:p>
      <w:pPr>
        <w:spacing w:after="0" w:line="134" w:lineRule="exact"/>
        <w:rPr>
          <w:rFonts w:ascii="Arial" w:cs="Arial" w:eastAsia="Arial" w:hAnsi="Arial"/>
          <w:sz w:val="14"/>
          <w:szCs w:val="14"/>
          <w:color w:val="auto"/>
        </w:rPr>
      </w:pPr>
    </w:p>
    <w:p>
      <w:pPr>
        <w:ind w:left="180" w:right="4000" w:hanging="155"/>
        <w:spacing w:after="0" w:line="303" w:lineRule="auto"/>
        <w:tabs>
          <w:tab w:leader="none" w:pos="163"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 of interim consolidated financial statements and information contained in various prospectuses and other securities offering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1944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94425" cy="8255"/>
                    </a:xfrm>
                    <a:prstGeom prst="rect">
                      <a:avLst/>
                    </a:prstGeom>
                    <a:noFill/>
                  </pic:spPr>
                </pic:pic>
              </a:graphicData>
            </a:graphic>
          </wp:anchor>
        </w:drawing>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880" w:type="dxa"/>
            <w:vAlign w:val="bottom"/>
          </w:tcPr>
          <w:p>
            <w:pPr>
              <w:spacing w:after="0"/>
              <w:rPr>
                <w:sz w:val="20"/>
                <w:szCs w:val="20"/>
                <w:color w:val="auto"/>
              </w:rPr>
            </w:pPr>
            <w:r>
              <w:rPr>
                <w:rFonts w:ascii="Arial" w:cs="Arial" w:eastAsia="Arial" w:hAnsi="Arial"/>
                <w:sz w:val="14"/>
                <w:szCs w:val="14"/>
                <w:b w:val="1"/>
                <w:bCs w:val="1"/>
                <w:color w:val="auto"/>
              </w:rPr>
              <w:t>Audit-related fees</w:t>
            </w:r>
          </w:p>
        </w:tc>
        <w:tc>
          <w:tcPr>
            <w:tcW w:w="4240" w:type="dxa"/>
            <w:vAlign w:val="bottom"/>
          </w:tcPr>
          <w:p>
            <w:pPr>
              <w:jc w:val="right"/>
              <w:ind w:right="308"/>
              <w:spacing w:after="0"/>
              <w:rPr>
                <w:sz w:val="20"/>
                <w:szCs w:val="20"/>
                <w:color w:val="auto"/>
              </w:rPr>
            </w:pPr>
            <w:r>
              <w:rPr>
                <w:rFonts w:ascii="Arial" w:cs="Arial" w:eastAsia="Arial" w:hAnsi="Arial"/>
                <w:sz w:val="14"/>
                <w:szCs w:val="14"/>
                <w:color w:val="auto"/>
              </w:rPr>
              <w:t>0.1</w:t>
            </w: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r>
    </w:tbl>
    <w:p>
      <w:pPr>
        <w:spacing w:after="0" w:line="93" w:lineRule="exact"/>
        <w:rPr>
          <w:sz w:val="20"/>
          <w:szCs w:val="20"/>
          <w:color w:val="auto"/>
        </w:rPr>
      </w:pPr>
    </w:p>
    <w:p>
      <w:pPr>
        <w:ind w:left="180" w:right="3780" w:hanging="155"/>
        <w:spacing w:after="0" w:line="303" w:lineRule="auto"/>
        <w:tabs>
          <w:tab w:leader="none" w:pos="163"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services related to the audit of the financial statements of TC Energy pipeline abandonment trusts and certain post-retirement plans, and certain special purpose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194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94425" cy="8255"/>
                    </a:xfrm>
                    <a:prstGeom prst="rect">
                      <a:avLst/>
                    </a:prstGeom>
                    <a:noFill/>
                  </pic:spPr>
                </pic:pic>
              </a:graphicData>
            </a:graphic>
          </wp:anchor>
        </w:drawing>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540" w:type="dxa"/>
            <w:vAlign w:val="bottom"/>
          </w:tcPr>
          <w:p>
            <w:pPr>
              <w:spacing w:after="0"/>
              <w:rPr>
                <w:sz w:val="20"/>
                <w:szCs w:val="20"/>
                <w:color w:val="auto"/>
              </w:rPr>
            </w:pPr>
            <w:r>
              <w:rPr>
                <w:rFonts w:ascii="Arial" w:cs="Arial" w:eastAsia="Arial" w:hAnsi="Arial"/>
                <w:sz w:val="14"/>
                <w:szCs w:val="14"/>
                <w:b w:val="1"/>
                <w:bCs w:val="1"/>
                <w:color w:val="auto"/>
              </w:rPr>
              <w:t>Tax fees</w:t>
            </w:r>
          </w:p>
        </w:tc>
        <w:tc>
          <w:tcPr>
            <w:tcW w:w="4580" w:type="dxa"/>
            <w:vAlign w:val="bottom"/>
          </w:tcPr>
          <w:p>
            <w:pPr>
              <w:jc w:val="right"/>
              <w:ind w:right="308"/>
              <w:spacing w:after="0"/>
              <w:rPr>
                <w:sz w:val="20"/>
                <w:szCs w:val="20"/>
                <w:color w:val="auto"/>
              </w:rPr>
            </w:pPr>
            <w:r>
              <w:rPr>
                <w:rFonts w:ascii="Arial" w:cs="Arial" w:eastAsia="Arial" w:hAnsi="Arial"/>
                <w:sz w:val="14"/>
                <w:szCs w:val="14"/>
                <w:color w:val="auto"/>
              </w:rPr>
              <w:t>1.0</w:t>
            </w: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r>
    </w:tbl>
    <w:p>
      <w:pPr>
        <w:spacing w:after="0" w:line="93" w:lineRule="exact"/>
        <w:rPr>
          <w:sz w:val="20"/>
          <w:szCs w:val="20"/>
          <w:color w:val="auto"/>
        </w:rPr>
      </w:pPr>
    </w:p>
    <w:p>
      <w:pPr>
        <w:ind w:left="180" w:right="3760" w:hanging="155"/>
        <w:spacing w:after="0" w:line="303" w:lineRule="auto"/>
        <w:tabs>
          <w:tab w:leader="none" w:pos="163"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Canadian and international tax planning and tax compliance matters, including the review of income tax returns and other tax filings</w:t>
      </w: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B2B2B2"/>
            </w:tcBorders>
          </w:tcPr>
          <w:p>
            <w:pPr>
              <w:ind w:left="20"/>
              <w:spacing w:after="0"/>
              <w:rPr>
                <w:sz w:val="20"/>
                <w:szCs w:val="20"/>
                <w:color w:val="auto"/>
              </w:rPr>
            </w:pPr>
            <w:r>
              <w:rPr>
                <w:rFonts w:ascii="Arial" w:cs="Arial" w:eastAsia="Arial" w:hAnsi="Arial"/>
                <w:sz w:val="14"/>
                <w:szCs w:val="14"/>
                <w:b w:val="1"/>
                <w:bCs w:val="1"/>
                <w:color w:val="auto"/>
              </w:rPr>
              <w:t>All other fees</w:t>
            </w:r>
          </w:p>
        </w:tc>
        <w:tc>
          <w:tcPr>
            <w:tcW w:w="4400" w:type="dxa"/>
            <w:vAlign w:val="bottom"/>
            <w:tcBorders>
              <w:top w:val="single" w:sz="8" w:color="B2B2B2"/>
            </w:tcBorders>
          </w:tcPr>
          <w:p>
            <w:pPr>
              <w:jc w:val="right"/>
              <w:ind w:right="308"/>
              <w:spacing w:after="0"/>
              <w:rPr>
                <w:sz w:val="20"/>
                <w:szCs w:val="20"/>
                <w:color w:val="auto"/>
              </w:rPr>
            </w:pPr>
            <w:r>
              <w:rPr>
                <w:rFonts w:ascii="Arial" w:cs="Arial" w:eastAsia="Arial" w:hAnsi="Arial"/>
                <w:sz w:val="14"/>
                <w:szCs w:val="14"/>
                <w:color w:val="auto"/>
              </w:rPr>
              <w:t>0.4</w:t>
            </w:r>
          </w:p>
        </w:tc>
        <w:tc>
          <w:tcPr>
            <w:tcW w:w="620" w:type="dxa"/>
            <w:vAlign w:val="bottom"/>
            <w:tcBorders>
              <w:top w:val="single" w:sz="8" w:color="B2B2B2"/>
            </w:tcBorders>
          </w:tcPr>
          <w:p>
            <w:pPr>
              <w:jc w:val="right"/>
              <w:spacing w:after="0"/>
              <w:rPr>
                <w:sz w:val="20"/>
                <w:szCs w:val="20"/>
                <w:color w:val="auto"/>
              </w:rPr>
            </w:pPr>
            <w:r>
              <w:rPr>
                <w:rFonts w:ascii="Arial" w:cs="Arial" w:eastAsia="Arial" w:hAnsi="Arial"/>
                <w:sz w:val="14"/>
                <w:szCs w:val="14"/>
                <w:color w:val="auto"/>
              </w:rPr>
              <w:t>0.5</w:t>
            </w:r>
          </w:p>
        </w:tc>
      </w:tr>
    </w:tbl>
    <w:p>
      <w:pPr>
        <w:spacing w:after="0" w:line="60" w:lineRule="exact"/>
        <w:rPr>
          <w:sz w:val="20"/>
          <w:szCs w:val="20"/>
          <w:color w:val="auto"/>
        </w:rPr>
      </w:pPr>
    </w:p>
    <w:p>
      <w:pPr>
        <w:ind w:left="180" w:right="3660" w:hanging="155"/>
        <w:spacing w:after="0" w:line="303" w:lineRule="auto"/>
        <w:tabs>
          <w:tab w:leader="none" w:pos="163"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fees for other products and services provided by the auditors and not described above, which included fees related to advice and assistance with ESG services, and French and Spanish translation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1944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9442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ind w:left="20"/>
              <w:spacing w:after="0"/>
              <w:rPr>
                <w:sz w:val="20"/>
                <w:szCs w:val="20"/>
                <w:color w:val="auto"/>
              </w:rPr>
            </w:pPr>
            <w:r>
              <w:rPr>
                <w:rFonts w:ascii="Arial" w:cs="Arial" w:eastAsia="Arial" w:hAnsi="Arial"/>
                <w:sz w:val="14"/>
                <w:szCs w:val="14"/>
                <w:b w:val="1"/>
                <w:bCs w:val="1"/>
                <w:color w:val="0D64EF"/>
              </w:rPr>
              <w:t>Total fees</w:t>
            </w:r>
          </w:p>
        </w:tc>
        <w:tc>
          <w:tcPr>
            <w:tcW w:w="4520" w:type="dxa"/>
            <w:vAlign w:val="bottom"/>
          </w:tcPr>
          <w:p>
            <w:pPr>
              <w:jc w:val="right"/>
              <w:ind w:right="268"/>
              <w:spacing w:after="0"/>
              <w:rPr>
                <w:sz w:val="20"/>
                <w:szCs w:val="20"/>
                <w:color w:val="auto"/>
              </w:rPr>
            </w:pPr>
            <w:r>
              <w:rPr>
                <w:rFonts w:ascii="Arial" w:cs="Arial" w:eastAsia="Arial" w:hAnsi="Arial"/>
                <w:sz w:val="14"/>
                <w:szCs w:val="14"/>
                <w:color w:val="auto"/>
              </w:rPr>
              <w:t>20.2</w:t>
            </w:r>
          </w:p>
        </w:tc>
        <w:tc>
          <w:tcPr>
            <w:tcW w:w="66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35"/>
        </w:trPr>
        <w:tc>
          <w:tcPr>
            <w:tcW w:w="4580" w:type="dxa"/>
            <w:vAlign w:val="bottom"/>
            <w:tcBorders>
              <w:bottom w:val="single" w:sz="8" w:color="0D64EF"/>
            </w:tcBorders>
          </w:tcPr>
          <w:p>
            <w:pPr>
              <w:spacing w:after="0"/>
              <w:rPr>
                <w:sz w:val="3"/>
                <w:szCs w:val="3"/>
                <w:color w:val="auto"/>
              </w:rPr>
            </w:pPr>
          </w:p>
        </w:tc>
        <w:tc>
          <w:tcPr>
            <w:tcW w:w="4520" w:type="dxa"/>
            <w:vAlign w:val="bottom"/>
            <w:tcBorders>
              <w:bottom w:val="single" w:sz="8" w:color="0D64EF"/>
            </w:tcBorders>
          </w:tcPr>
          <w:p>
            <w:pPr>
              <w:spacing w:after="0"/>
              <w:rPr>
                <w:sz w:val="3"/>
                <w:szCs w:val="3"/>
                <w:color w:val="auto"/>
              </w:rPr>
            </w:pPr>
          </w:p>
        </w:tc>
        <w:tc>
          <w:tcPr>
            <w:tcW w:w="660" w:type="dxa"/>
            <w:vAlign w:val="bottom"/>
            <w:tcBorders>
              <w:bottom w:val="single" w:sz="8" w:color="0D64EF"/>
            </w:tcBorders>
          </w:tcPr>
          <w:p>
            <w:pPr>
              <w:spacing w:after="0"/>
              <w:rPr>
                <w:sz w:val="3"/>
                <w:szCs w:val="3"/>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spacing w:after="0" w:line="45" w:lineRule="exact"/>
        <w:rPr>
          <w:sz w:val="20"/>
          <w:szCs w:val="20"/>
          <w:color w:val="auto"/>
        </w:rPr>
      </w:pPr>
    </w:p>
    <w:p>
      <w:pPr>
        <w:ind w:left="160" w:right="460" w:hanging="153"/>
        <w:spacing w:after="0" w:line="306" w:lineRule="auto"/>
        <w:tabs>
          <w:tab w:leader="none" w:pos="137" w:val="left"/>
        </w:tabs>
        <w:numPr>
          <w:ilvl w:val="0"/>
          <w:numId w:val="20"/>
        </w:numPr>
        <w:rPr>
          <w:rFonts w:ascii="Arial" w:cs="Arial" w:eastAsia="Arial" w:hAnsi="Arial"/>
          <w:sz w:val="13"/>
          <w:szCs w:val="13"/>
          <w:color w:val="auto"/>
        </w:rPr>
      </w:pPr>
      <w:r>
        <w:rPr>
          <w:rFonts w:ascii="Arial" w:cs="Arial" w:eastAsia="Arial" w:hAnsi="Arial"/>
          <w:sz w:val="13"/>
          <w:szCs w:val="13"/>
          <w:color w:val="auto"/>
        </w:rPr>
        <w:t>2024 total fees are higher than 2025 due to increased audit work related to the spinoff of our Liquids Pipeline business, including additional financial statements required in connection with debt financings of certain Liquids subsidiaries and additional securities work.</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Pre-Approval Policy for Audit and Non-Audit Services</w:t>
      </w:r>
    </w:p>
    <w:p>
      <w:pPr>
        <w:spacing w:after="0" w:line="58" w:lineRule="exact"/>
        <w:rPr>
          <w:sz w:val="20"/>
          <w:szCs w:val="20"/>
          <w:color w:val="auto"/>
        </w:rPr>
      </w:pPr>
    </w:p>
    <w:p>
      <w:pPr>
        <w:ind w:right="2840"/>
        <w:spacing w:after="0" w:line="310" w:lineRule="auto"/>
        <w:rPr>
          <w:sz w:val="20"/>
          <w:szCs w:val="20"/>
          <w:color w:val="auto"/>
        </w:rPr>
      </w:pPr>
      <w:r>
        <w:rPr>
          <w:rFonts w:ascii="Arial" w:cs="Arial" w:eastAsia="Arial" w:hAnsi="Arial"/>
          <w:sz w:val="16"/>
          <w:szCs w:val="16"/>
          <w:color w:val="auto"/>
        </w:rPr>
        <w:t>The Audit Committee maintains a Pre-Approval Policy with respect to permitted non-audit services and audit services. For non-audit service engagements of up to $250,000, approval of the Audit Committee chair is required, and the Audit Committee is to be informed of the engagement at the next scheduled Audit Committee meeting. For all non-audit service engagements of $250,000 or more, pre-approval of the Audit Committee is required.</w:t>
      </w:r>
    </w:p>
    <w:p>
      <w:pPr>
        <w:spacing w:after="0" w:line="71" w:lineRule="exact"/>
        <w:rPr>
          <w:sz w:val="20"/>
          <w:szCs w:val="20"/>
          <w:color w:val="auto"/>
        </w:rPr>
      </w:pPr>
    </w:p>
    <w:p>
      <w:pPr>
        <w:ind w:right="2840"/>
        <w:spacing w:after="0" w:line="297" w:lineRule="auto"/>
        <w:rPr>
          <w:sz w:val="20"/>
          <w:szCs w:val="20"/>
          <w:color w:val="auto"/>
        </w:rPr>
      </w:pPr>
      <w:r>
        <w:rPr>
          <w:rFonts w:ascii="Arial" w:cs="Arial" w:eastAsia="Arial" w:hAnsi="Arial"/>
          <w:sz w:val="16"/>
          <w:szCs w:val="16"/>
          <w:color w:val="auto"/>
        </w:rPr>
        <w:t>As required under professional standards, KPMG is required to have any proposed non-audit services pre-approved by the Audit Committee or the Chair of the Audit Committee. The pre-approval process for non-audit services requires</w:t>
      </w:r>
    </w:p>
    <w:p>
      <w:pPr>
        <w:spacing w:after="0" w:line="1" w:lineRule="exact"/>
        <w:rPr>
          <w:sz w:val="20"/>
          <w:szCs w:val="20"/>
          <w:color w:val="auto"/>
        </w:rPr>
      </w:pPr>
    </w:p>
    <w:p>
      <w:pPr>
        <w:ind w:right="120"/>
        <w:spacing w:after="0" w:line="326" w:lineRule="auto"/>
        <w:rPr>
          <w:sz w:val="20"/>
          <w:szCs w:val="20"/>
          <w:color w:val="auto"/>
        </w:rPr>
      </w:pPr>
      <w:r>
        <w:rPr>
          <w:rFonts w:ascii="Arial" w:cs="Arial" w:eastAsia="Arial" w:hAnsi="Arial"/>
          <w:sz w:val="16"/>
          <w:szCs w:val="16"/>
          <w:color w:val="auto"/>
        </w:rPr>
        <w:t>that KPMG provide a written description of the service, an assessment of the independence considerations related to the service and a description of the nature and magnitude of the proposed fees. Prior to pre-approving any non-audit services, the Audit Committee and/or Audit Committee Chair considers the following factors:</w:t>
      </w:r>
    </w:p>
    <w:p>
      <w:pPr>
        <w:spacing w:after="0" w:line="43" w:lineRule="exact"/>
        <w:rPr>
          <w:sz w:val="20"/>
          <w:szCs w:val="20"/>
          <w:color w:val="auto"/>
        </w:rPr>
      </w:pPr>
    </w:p>
    <w:p>
      <w:pPr>
        <w:ind w:left="140" w:hanging="133"/>
        <w:spacing w:after="0"/>
        <w:tabs>
          <w:tab w:leader="none" w:pos="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independence assessment provided by KPMG,</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process under which management has assessed that KPMG is best suited to perform the non-audit services,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magnitude of the fees relative to total fees paid to KPMG.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15</w:t>
      </w:r>
    </w:p>
    <w:p>
      <w:pPr>
        <w:sectPr>
          <w:pgSz w:w="11900" w:h="16838" w:orient="portrait"/>
          <w:cols w:equalWidth="0" w:num="1">
            <w:col w:w="11240"/>
          </w:cols>
          <w:pgMar w:left="320" w:top="10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D64EF"/>
        </w:rPr>
        <w:t>Auditor independence</w:t>
      </w:r>
    </w:p>
    <w:p>
      <w:pPr>
        <w:spacing w:after="0" w:line="40" w:lineRule="exact"/>
        <w:rPr>
          <w:sz w:val="20"/>
          <w:szCs w:val="20"/>
          <w:color w:val="auto"/>
        </w:rPr>
      </w:pPr>
    </w:p>
    <w:p>
      <w:pPr>
        <w:spacing w:after="0" w:line="326" w:lineRule="auto"/>
        <w:rPr>
          <w:sz w:val="20"/>
          <w:szCs w:val="20"/>
          <w:color w:val="auto"/>
        </w:rPr>
      </w:pPr>
      <w:r>
        <w:rPr>
          <w:rFonts w:ascii="Arial" w:cs="Arial" w:eastAsia="Arial" w:hAnsi="Arial"/>
          <w:sz w:val="16"/>
          <w:szCs w:val="16"/>
          <w:color w:val="auto"/>
        </w:rPr>
        <w:t>TC Energy recognizes that auditor independence is critical to the integrity of our financial information. As such, TC Energy’s auditor selection process is designed to maintain auditor independence while balancing a need for continuity of knowledge in order to ensure a high quality audit provided by an audit firm with the depth and breadth of experience to effectively and efficiently audit a multi-national company with complex operations.</w:t>
      </w:r>
    </w:p>
    <w:p>
      <w:pPr>
        <w:spacing w:after="0" w:line="56" w:lineRule="exact"/>
        <w:rPr>
          <w:sz w:val="20"/>
          <w:szCs w:val="20"/>
          <w:color w:val="auto"/>
        </w:rPr>
      </w:pPr>
    </w:p>
    <w:p>
      <w:pPr>
        <w:jc w:val="both"/>
        <w:ind w:right="120"/>
        <w:spacing w:after="0" w:line="317" w:lineRule="auto"/>
        <w:rPr>
          <w:sz w:val="20"/>
          <w:szCs w:val="20"/>
          <w:color w:val="auto"/>
        </w:rPr>
      </w:pPr>
      <w:r>
        <w:rPr>
          <w:rFonts w:ascii="Arial" w:cs="Arial" w:eastAsia="Arial" w:hAnsi="Arial"/>
          <w:sz w:val="16"/>
          <w:szCs w:val="16"/>
          <w:color w:val="auto"/>
        </w:rPr>
        <w:t>The Audit Committee continuously assesses the external auditor and, on an annual basis, reviews audit quality, auditor tenure and appropriateness of audit fees, including the benefits and risks of having a long-tenured auditor and the controls and processes that ensure their independence. This assessment also considers the nature, extent and permissibility of any proposed non-audit services and adherence to the mandatory partner rotation requirements.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Below are additional details regarding factors the Audit Committee considered when assessing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97155</wp:posOffset>
            </wp:positionV>
            <wp:extent cx="4709795" cy="128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09795" cy="128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expertise and independence reviews</w:t>
      </w:r>
    </w:p>
    <w:p>
      <w:pPr>
        <w:spacing w:after="0" w:line="44" w:lineRule="exact"/>
        <w:rPr>
          <w:sz w:val="20"/>
          <w:szCs w:val="20"/>
          <w:color w:val="auto"/>
        </w:rPr>
      </w:pPr>
    </w:p>
    <w:p>
      <w:pPr>
        <w:ind w:right="3140"/>
        <w:spacing w:after="0" w:line="354" w:lineRule="auto"/>
        <w:rPr>
          <w:sz w:val="20"/>
          <w:szCs w:val="20"/>
          <w:color w:val="auto"/>
        </w:rPr>
      </w:pPr>
      <w:r>
        <w:rPr>
          <w:rFonts w:ascii="Arial" w:cs="Arial" w:eastAsia="Arial" w:hAnsi="Arial"/>
          <w:sz w:val="16"/>
          <w:szCs w:val="16"/>
          <w:color w:val="auto"/>
        </w:rPr>
        <w:t>All members of the Audit Committee are independent and financially literate. One member of the Audit Committee is a designated financial expert under New York Stock Exchange (NYSE) rules.</w:t>
      </w:r>
    </w:p>
    <w:p>
      <w:pPr>
        <w:spacing w:after="0" w:line="22" w:lineRule="exact"/>
        <w:rPr>
          <w:sz w:val="20"/>
          <w:szCs w:val="20"/>
          <w:color w:val="auto"/>
        </w:rPr>
      </w:pPr>
    </w:p>
    <w:p>
      <w:pPr>
        <w:jc w:val="both"/>
        <w:ind w:right="100"/>
        <w:spacing w:after="0" w:line="326" w:lineRule="auto"/>
        <w:rPr>
          <w:sz w:val="20"/>
          <w:szCs w:val="20"/>
          <w:color w:val="auto"/>
        </w:rPr>
      </w:pPr>
      <w:r>
        <w:rPr>
          <w:rFonts w:ascii="Arial" w:cs="Arial" w:eastAsia="Arial" w:hAnsi="Arial"/>
          <w:sz w:val="16"/>
          <w:szCs w:val="16"/>
          <w:color w:val="auto"/>
        </w:rPr>
        <w:t>As part of its annual assessment on independence, the Audit Committee receives and reviews the auditor’s reports regarding independence. The committee also considers whether any factors are present that may impair the independence of the auditor at each meeting of the committee. The auditor maintains an open and direct line of communication with both the Chair of the Audit Committee and the Audit Committee.</w:t>
      </w:r>
    </w:p>
    <w:p>
      <w:pPr>
        <w:spacing w:after="0" w:line="56" w:lineRule="exact"/>
        <w:rPr>
          <w:sz w:val="20"/>
          <w:szCs w:val="20"/>
          <w:color w:val="auto"/>
        </w:rPr>
      </w:pPr>
    </w:p>
    <w:p>
      <w:pPr>
        <w:ind w:right="20"/>
        <w:spacing w:after="0" w:line="337" w:lineRule="auto"/>
        <w:rPr>
          <w:sz w:val="20"/>
          <w:szCs w:val="20"/>
          <w:color w:val="auto"/>
        </w:rPr>
      </w:pPr>
      <w:r>
        <w:rPr>
          <w:rFonts w:ascii="Arial" w:cs="Arial" w:eastAsia="Arial" w:hAnsi="Arial"/>
          <w:sz w:val="16"/>
          <w:szCs w:val="16"/>
          <w:color w:val="auto"/>
        </w:rPr>
        <w:t>Our Annual Information Form (AIF) includes more information about the Audit Committee, including the committee charter, starting on page 31 of the AIF. The 2025 AIF is available on our website (www.tcenergy.com) and on SEDAR+ (www.sedarplus.ca).</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 magnitude and objectivity considerations</w:t>
      </w:r>
    </w:p>
    <w:p>
      <w:pPr>
        <w:spacing w:after="0" w:line="44" w:lineRule="exact"/>
        <w:rPr>
          <w:sz w:val="20"/>
          <w:szCs w:val="20"/>
          <w:color w:val="auto"/>
        </w:rPr>
      </w:pPr>
    </w:p>
    <w:p>
      <w:pPr>
        <w:ind w:right="140"/>
        <w:spacing w:after="0" w:line="316" w:lineRule="auto"/>
        <w:rPr>
          <w:sz w:val="20"/>
          <w:szCs w:val="20"/>
          <w:color w:val="auto"/>
        </w:rPr>
      </w:pPr>
      <w:r>
        <w:rPr>
          <w:rFonts w:ascii="Arial" w:cs="Arial" w:eastAsia="Arial" w:hAnsi="Arial"/>
          <w:sz w:val="16"/>
          <w:szCs w:val="16"/>
          <w:color w:val="auto"/>
        </w:rPr>
        <w:t>The Audit Committee understands that the magnitude of fees paid to an auditor could negatively impact auditor independence if a financial interest will inappropriately influence an auditor’s judgment or behaviour. In reaching the conclusion to recommend the re-appointment of KPMG as our external auditor, the Audit Committee considered the magnitude of the fees that TC Energy pays to KPMG LLP (Canada) and KPMG LLP (US) in context of the size of their respective firms. For 2025, KPMG has confirmed to the Audit Committee that the fees payable to KPMG are not material to KPMG LLP (Canada) or KPMG LLP (US).</w:t>
      </w:r>
    </w:p>
    <w:p>
      <w:pPr>
        <w:spacing w:after="0" w:line="52"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Similarly, there is a threat to independence if an auditor will be deterred from acting objectively because of actual or perceived pressures. We consider safeguards that KPMG has implemented to manage this threat as an important element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our assessment of audit quality. The safeguards against this risk include:</w:t>
      </w:r>
    </w:p>
    <w:p>
      <w:pPr>
        <w:spacing w:after="0" w:line="152" w:lineRule="exact"/>
        <w:rPr>
          <w:sz w:val="20"/>
          <w:szCs w:val="20"/>
          <w:color w:val="auto"/>
        </w:rPr>
      </w:pPr>
    </w:p>
    <w:p>
      <w:pPr>
        <w:ind w:left="140" w:hanging="133"/>
        <w:spacing w:after="0"/>
        <w:tabs>
          <w:tab w:leader="none" w:pos="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assignment of an engagement quality control review partner to the audit engagement by a risk management partner,</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involvement of experienced national office professionals outside of the engagement team when dealing with complex or judgmental matters,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structure of the respective firms, and</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compensation policies in place.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Given the Audit Committee’s understanding of the relative magnitude of fees paid to each respective firm, as well as</w:t>
      </w:r>
    </w:p>
    <w:p>
      <w:pPr>
        <w:spacing w:after="0" w:line="58" w:lineRule="exact"/>
        <w:rPr>
          <w:sz w:val="20"/>
          <w:szCs w:val="20"/>
          <w:color w:val="auto"/>
        </w:rPr>
      </w:pPr>
    </w:p>
    <w:p>
      <w:pPr>
        <w:ind w:right="820"/>
        <w:spacing w:after="0" w:line="337" w:lineRule="auto"/>
        <w:rPr>
          <w:sz w:val="20"/>
          <w:szCs w:val="20"/>
          <w:color w:val="auto"/>
        </w:rPr>
      </w:pPr>
      <w:r>
        <w:rPr>
          <w:rFonts w:ascii="Arial" w:cs="Arial" w:eastAsia="Arial" w:hAnsi="Arial"/>
          <w:sz w:val="16"/>
          <w:szCs w:val="16"/>
          <w:color w:val="auto"/>
        </w:rPr>
        <w:t>the Audit Committee’s observations of safeguards that have been implemented by KPMG, the Audit Committee is satisfied these threats to auditor independence have been appropriately managed.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6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Canadian and U.S. partner rotations and partner qualifications</w:t>
      </w:r>
    </w:p>
    <w:p>
      <w:pPr>
        <w:spacing w:after="0" w:line="58"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As part of the annual review of auditor independence, the Audit Committee assesses KPMG’s ongoing compliance with mandatory rotation requirements. This means that the lead audit partner and quality control review partner may serve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 maximum of five years, followed by a five-year period without any involvement in the TC Energy audit, before they</w:t>
      </w:r>
    </w:p>
    <w:p>
      <w:pPr>
        <w:spacing w:after="0" w:line="58" w:lineRule="exact"/>
        <w:rPr>
          <w:sz w:val="20"/>
          <w:szCs w:val="20"/>
          <w:color w:val="auto"/>
        </w:rPr>
      </w:pPr>
    </w:p>
    <w:p>
      <w:pPr>
        <w:ind w:right="2580"/>
        <w:spacing w:after="0" w:line="306" w:lineRule="auto"/>
        <w:rPr>
          <w:sz w:val="20"/>
          <w:szCs w:val="20"/>
          <w:color w:val="auto"/>
        </w:rPr>
      </w:pPr>
      <w:r>
        <w:rPr>
          <w:rFonts w:ascii="Arial" w:cs="Arial" w:eastAsia="Arial" w:hAnsi="Arial"/>
          <w:sz w:val="16"/>
          <w:szCs w:val="16"/>
          <w:color w:val="auto"/>
        </w:rPr>
        <w:t>can be re-considered for a partner role. For other audit partners of KPMG involved in the TC Energy audit, which includes the lead partner and quality control review partner from KPMG's Houston team, the mandatory rotation occurs after</w:t>
      </w:r>
    </w:p>
    <w:p>
      <w:pPr>
        <w:spacing w:after="0" w:line="1" w:lineRule="exact"/>
        <w:rPr>
          <w:sz w:val="20"/>
          <w:szCs w:val="20"/>
          <w:color w:val="auto"/>
        </w:rPr>
      </w:pPr>
    </w:p>
    <w:p>
      <w:pPr>
        <w:ind w:right="2800"/>
        <w:spacing w:after="0" w:line="317" w:lineRule="auto"/>
        <w:rPr>
          <w:sz w:val="20"/>
          <w:szCs w:val="20"/>
          <w:color w:val="auto"/>
        </w:rPr>
      </w:pPr>
      <w:r>
        <w:rPr>
          <w:rFonts w:ascii="Arial" w:cs="Arial" w:eastAsia="Arial" w:hAnsi="Arial"/>
          <w:sz w:val="16"/>
          <w:szCs w:val="16"/>
          <w:color w:val="auto"/>
        </w:rPr>
        <w:t>a maximum of seven years of service followed by a two-year period without any involvement in the TC Energy audit. This rotation helps ensure auditor independence is maintained by changing the key personnel working on TC Energy’s audits after a set period of time.</w:t>
      </w:r>
    </w:p>
    <w:p>
      <w:pPr>
        <w:spacing w:after="0" w:line="64" w:lineRule="exact"/>
        <w:rPr>
          <w:sz w:val="20"/>
          <w:szCs w:val="20"/>
          <w:color w:val="auto"/>
        </w:rPr>
      </w:pPr>
    </w:p>
    <w:p>
      <w:pPr>
        <w:ind w:right="2960"/>
        <w:spacing w:after="0" w:line="337" w:lineRule="auto"/>
        <w:rPr>
          <w:sz w:val="20"/>
          <w:szCs w:val="20"/>
          <w:color w:val="auto"/>
        </w:rPr>
      </w:pPr>
      <w:r>
        <w:rPr>
          <w:rFonts w:ascii="Arial" w:cs="Arial" w:eastAsia="Arial" w:hAnsi="Arial"/>
          <w:sz w:val="16"/>
          <w:szCs w:val="16"/>
          <w:color w:val="auto"/>
        </w:rPr>
        <w:t>In addition to the partner rotations described above, all lead partners and quality control review partners must satisfy the following minimum requirements:</w:t>
      </w:r>
    </w:p>
    <w:p>
      <w:pPr>
        <w:spacing w:after="0" w:line="48" w:lineRule="exact"/>
        <w:rPr>
          <w:sz w:val="20"/>
          <w:szCs w:val="20"/>
          <w:color w:val="auto"/>
        </w:rPr>
      </w:pPr>
    </w:p>
    <w:p>
      <w:pPr>
        <w:ind w:left="140" w:hanging="133"/>
        <w:spacing w:after="0"/>
        <w:tabs>
          <w:tab w:leader="none" w:pos="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Chartered Professional Accountant, in good standing,</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industry-specific experience,</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completion of relevant professional development and accreditation training,</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knowledge of, and experience with, the applicable financial reporting framework and auditing standards,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knowledge of, and experience with, the SEC rules and regulations.</w:t>
      </w:r>
    </w:p>
    <w:p>
      <w:pPr>
        <w:spacing w:after="0" w:line="152" w:lineRule="exact"/>
        <w:rPr>
          <w:sz w:val="20"/>
          <w:szCs w:val="20"/>
          <w:color w:val="auto"/>
        </w:rPr>
      </w:pPr>
    </w:p>
    <w:p>
      <w:pPr>
        <w:ind w:right="160"/>
        <w:spacing w:after="0" w:line="326" w:lineRule="auto"/>
        <w:rPr>
          <w:sz w:val="20"/>
          <w:szCs w:val="20"/>
          <w:color w:val="auto"/>
        </w:rPr>
      </w:pPr>
      <w:r>
        <w:rPr>
          <w:rFonts w:ascii="Arial" w:cs="Arial" w:eastAsia="Arial" w:hAnsi="Arial"/>
          <w:sz w:val="16"/>
          <w:szCs w:val="16"/>
          <w:color w:val="auto"/>
        </w:rPr>
        <w:t>The Audit Committee is satisfied with KPMG’s on-going compliance with the regulatory mandated rotation requirements (five and seven years as applicable in the circumstances) as well as the transition plans that have been followed to on-board qualified engagement partners who are new to providing audit services to TC Energy.</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2015 Request for proposal</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In 2015, it was determined that a request for proposal (RFP) process would further strengthen the external audit process</w:t>
      </w:r>
    </w:p>
    <w:p>
      <w:pPr>
        <w:spacing w:after="0" w:line="4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and auditor independence. The Audit Committee oversaw this RFP for TC Energy’s external audit engagement and conducted a detailed assessment of the submissions from large multi-national firms, including interviews with each firm.</w:t>
      </w:r>
    </w:p>
    <w:p>
      <w:pPr>
        <w:spacing w:after="0" w:line="1" w:lineRule="exact"/>
        <w:rPr>
          <w:sz w:val="20"/>
          <w:szCs w:val="20"/>
          <w:color w:val="auto"/>
        </w:rPr>
      </w:pPr>
    </w:p>
    <w:p>
      <w:pPr>
        <w:ind w:right="500"/>
        <w:spacing w:after="0" w:line="337" w:lineRule="auto"/>
        <w:rPr>
          <w:sz w:val="20"/>
          <w:szCs w:val="20"/>
          <w:color w:val="auto"/>
        </w:rPr>
      </w:pPr>
      <w:r>
        <w:rPr>
          <w:rFonts w:ascii="Arial" w:cs="Arial" w:eastAsia="Arial" w:hAnsi="Arial"/>
          <w:sz w:val="16"/>
          <w:szCs w:val="16"/>
          <w:color w:val="auto"/>
        </w:rPr>
        <w:t>A limited number of potential audit firms had the breadth of capabilities required to provide high-quality, independent audit services to a company of TC Energy’s scope, geographic presence and complexity of operations.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Requirements and factors which determined the successful candidate included:</w:t>
      </w:r>
    </w:p>
    <w:p>
      <w:pPr>
        <w:spacing w:after="0" w:line="138" w:lineRule="exact"/>
        <w:rPr>
          <w:sz w:val="20"/>
          <w:szCs w:val="20"/>
          <w:color w:val="auto"/>
        </w:rPr>
      </w:pPr>
    </w:p>
    <w:p>
      <w:pPr>
        <w:ind w:left="160" w:right="3160" w:hanging="153"/>
        <w:spacing w:after="0" w:line="306" w:lineRule="auto"/>
        <w:tabs>
          <w:tab w:leader="none" w:pos="1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experience, qualifications and ability to audit a large-scale, energy-focused, public company, headquartered in Canada with significant operations in the U.S. and Mexico,</w:t>
      </w:r>
    </w:p>
    <w:p>
      <w:pPr>
        <w:spacing w:after="0" w:line="1" w:lineRule="exact"/>
        <w:rPr>
          <w:rFonts w:ascii="Arial" w:cs="Arial" w:eastAsia="Arial" w:hAnsi="Arial"/>
          <w:sz w:val="16"/>
          <w:szCs w:val="16"/>
          <w:color w:val="auto"/>
        </w:rPr>
      </w:pPr>
    </w:p>
    <w:p>
      <w:pPr>
        <w:ind w:left="140" w:hanging="133"/>
        <w:spacing w:after="0"/>
        <w:tabs>
          <w:tab w:leader="none" w:pos="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familiarity with complex rate-regulated accounting,</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conflicts with TC Energy through existing non-audit services provided to TC Energy nor close relationships with competitor companies in the industry,</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availability of resources and local access to U.S. GAAP expertise,</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audit quality and auditor tenure, and</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appropriateness of fees.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Based on the results of this process, the Audit Committee and Board recommended KPMG continue as TC Energy's</w:t>
      </w:r>
    </w:p>
    <w:p>
      <w:pPr>
        <w:spacing w:after="0" w:line="58" w:lineRule="exact"/>
        <w:rPr>
          <w:sz w:val="20"/>
          <w:szCs w:val="20"/>
          <w:color w:val="auto"/>
        </w:rPr>
      </w:pPr>
    </w:p>
    <w:p>
      <w:pPr>
        <w:ind w:right="100"/>
        <w:spacing w:after="0" w:line="326" w:lineRule="auto"/>
        <w:rPr>
          <w:sz w:val="20"/>
          <w:szCs w:val="20"/>
          <w:color w:val="auto"/>
        </w:rPr>
      </w:pPr>
      <w:r>
        <w:rPr>
          <w:rFonts w:ascii="Arial" w:cs="Arial" w:eastAsia="Arial" w:hAnsi="Arial"/>
          <w:sz w:val="16"/>
          <w:szCs w:val="16"/>
          <w:color w:val="auto"/>
        </w:rPr>
        <w:t>external auditor, subject to its annual review of auditor performance, including audit quality and independence considerations. The Audit Committee made its recommendation based on KPMG's qualifications, experience and other decision criteria, including KPMG's ability to provide a quality audit that met the requirements of TC Energy and its shareholders, taking into account the scope, geographic presence and complexity of TC Energy's business.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17</w:t>
      </w:r>
    </w:p>
    <w:p>
      <w:pPr>
        <w:sectPr>
          <w:pgSz w:w="11900" w:h="16838" w:orient="portrait"/>
          <w:cols w:equalWidth="0" w:num="1">
            <w:col w:w="11240"/>
          </w:cols>
          <w:pgMar w:left="320" w:top="103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Periodic comprehensive review of auditor</w:t>
      </w:r>
    </w:p>
    <w:p>
      <w:pPr>
        <w:spacing w:after="0" w:line="5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order to further enhance the governance processes relating to assessing auditor independence and audit quality, in November 2022, the Audit Committee approved amendments to the Audit Committee’s charter to mandate the completion of a comprehensive review of the external auditor at least every five years. Such a review is contained as a recommendation of the Enhancing Audit Quality initiative of the Chartered Professional Accountants of Canada, the Canadian Public Accountability Board and the Institute of Corporate Directors. The comprehensive review is intended to enhance audit quality through a deeper and broader analysis of the external auditor than in the annual assessment.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This fulsome and detailed review is intended to provide the Audit Committee data on three indicia of audit quality:</w:t>
      </w:r>
    </w:p>
    <w:p>
      <w:pPr>
        <w:spacing w:after="0" w:line="138" w:lineRule="exact"/>
        <w:rPr>
          <w:sz w:val="20"/>
          <w:szCs w:val="20"/>
          <w:color w:val="auto"/>
        </w:rPr>
      </w:pPr>
    </w:p>
    <w:p>
      <w:pPr>
        <w:ind w:left="140" w:hanging="133"/>
        <w:spacing w:after="0"/>
        <w:tabs>
          <w:tab w:leader="none" w:pos="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independence, objectivity and professional skepticism,</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quality of engagement team,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quality of communications and interactions with the external auditor.</w:t>
      </w:r>
    </w:p>
    <w:p>
      <w:pPr>
        <w:spacing w:after="0" w:line="152" w:lineRule="exact"/>
        <w:rPr>
          <w:sz w:val="20"/>
          <w:szCs w:val="20"/>
          <w:color w:val="auto"/>
        </w:rPr>
      </w:pPr>
    </w:p>
    <w:p>
      <w:pPr>
        <w:ind w:right="2740"/>
        <w:spacing w:after="0" w:line="337" w:lineRule="auto"/>
        <w:rPr>
          <w:sz w:val="20"/>
          <w:szCs w:val="20"/>
          <w:color w:val="auto"/>
        </w:rPr>
      </w:pPr>
      <w:r>
        <w:rPr>
          <w:rFonts w:ascii="Arial" w:cs="Arial" w:eastAsia="Arial" w:hAnsi="Arial"/>
          <w:sz w:val="16"/>
          <w:szCs w:val="16"/>
          <w:color w:val="auto"/>
        </w:rPr>
        <w:t>The Audit Committee reviews the results of the comprehensive review and uses it to assess whether a fulsome request for proposal process is required.</w:t>
      </w:r>
    </w:p>
    <w:p>
      <w:pPr>
        <w:spacing w:after="0" w:line="48" w:lineRule="exact"/>
        <w:rPr>
          <w:sz w:val="20"/>
          <w:szCs w:val="20"/>
          <w:color w:val="auto"/>
        </w:rPr>
      </w:pPr>
    </w:p>
    <w:p>
      <w:pPr>
        <w:ind w:right="1380"/>
        <w:spacing w:after="0" w:line="368" w:lineRule="auto"/>
        <w:rPr>
          <w:sz w:val="20"/>
          <w:szCs w:val="20"/>
          <w:color w:val="auto"/>
        </w:rPr>
      </w:pPr>
      <w:r>
        <w:rPr>
          <w:rFonts w:ascii="Arial" w:cs="Arial" w:eastAsia="Arial" w:hAnsi="Arial"/>
          <w:sz w:val="16"/>
          <w:szCs w:val="16"/>
          <w:color w:val="auto"/>
        </w:rPr>
        <w:t xml:space="preserve">This comprehensive review was completed in 2023 and supported the recommendation to appoint KPMG as TC Energy’s external auditor. </w:t>
      </w:r>
      <w:r>
        <w:rPr>
          <w:rFonts w:ascii="Arial" w:cs="Arial" w:eastAsia="Arial" w:hAnsi="Arial"/>
          <w:sz w:val="16"/>
          <w:szCs w:val="16"/>
          <w:b w:val="1"/>
          <w:bCs w:val="1"/>
          <w:color w:val="auto"/>
        </w:rPr>
        <w:t>Audit Committee independence recommendation</w:t>
      </w:r>
    </w:p>
    <w:p>
      <w:pPr>
        <w:ind w:right="360"/>
        <w:spacing w:after="0" w:line="297" w:lineRule="auto"/>
        <w:rPr>
          <w:sz w:val="20"/>
          <w:szCs w:val="20"/>
          <w:color w:val="auto"/>
        </w:rPr>
      </w:pPr>
      <w:r>
        <w:rPr>
          <w:rFonts w:ascii="Arial" w:cs="Arial" w:eastAsia="Arial" w:hAnsi="Arial"/>
          <w:sz w:val="16"/>
          <w:szCs w:val="16"/>
          <w:color w:val="auto"/>
        </w:rPr>
        <w:t>In reaching the conclusion to recommend KPMG as external auditor to serve for the 2025 financial year, the Audit Committee reviewed the above factors relating to auditor independence and confirmed it was satisfied that KPMG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is independent within the meaning of applicable Canadian and U.S. securities rules.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ADVISORY VOTE ON OUR APPROACH TO EXECUTIVE COMPENSATION</w:t>
      </w:r>
    </w:p>
    <w:p>
      <w:pPr>
        <w:spacing w:after="0" w:line="62" w:lineRule="exact"/>
        <w:rPr>
          <w:sz w:val="20"/>
          <w:szCs w:val="20"/>
          <w:color w:val="auto"/>
        </w:rPr>
      </w:pPr>
    </w:p>
    <w:p>
      <w:pPr>
        <w:ind w:right="220"/>
        <w:spacing w:after="0" w:line="337" w:lineRule="auto"/>
        <w:rPr>
          <w:sz w:val="20"/>
          <w:szCs w:val="20"/>
          <w:color w:val="auto"/>
        </w:rPr>
      </w:pPr>
      <w:r>
        <w:rPr>
          <w:rFonts w:ascii="Arial" w:cs="Arial" w:eastAsia="Arial" w:hAnsi="Arial"/>
          <w:sz w:val="16"/>
          <w:szCs w:val="16"/>
          <w:color w:val="auto"/>
        </w:rPr>
        <w:t>You will have an opportunity to have a say on pay by participating in the advisory vote on our approach to executive compensation. The Board believes the vote is beneficial because it holds directors accountable to shareholders for their decisions on executive compensation and provides valuable feedback.</w:t>
      </w:r>
    </w:p>
    <w:p>
      <w:pPr>
        <w:spacing w:after="0" w:line="48"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While the vote is non-binding, the Board will take the results into consideration when it considers compensation policies, procedures and decisions in the future. We will disclose the results of the advisory vote in our report on voting results 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meeting, which will be posted on our website (www.tcenergy.com) and on SEDAR+ (www.sedarplus.ca).</w:t>
      </w:r>
    </w:p>
    <w:p>
      <w:pPr>
        <w:spacing w:after="0" w:line="152" w:lineRule="exact"/>
        <w:rPr>
          <w:sz w:val="20"/>
          <w:szCs w:val="20"/>
          <w:color w:val="auto"/>
        </w:rPr>
      </w:pPr>
    </w:p>
    <w:p>
      <w:pPr>
        <w:ind w:right="140"/>
        <w:spacing w:after="0" w:line="337" w:lineRule="auto"/>
        <w:rPr>
          <w:sz w:val="20"/>
          <w:szCs w:val="20"/>
          <w:color w:val="auto"/>
        </w:rPr>
      </w:pPr>
      <w:r>
        <w:rPr>
          <w:rFonts w:ascii="Arial" w:cs="Arial" w:eastAsia="Arial" w:hAnsi="Arial"/>
          <w:sz w:val="16"/>
          <w:szCs w:val="16"/>
          <w:color w:val="auto"/>
        </w:rPr>
        <w:t>Since 2010, we have held annual say on pay votes at our annual shareholder meetings. Over the last three years, these advisory votes were approved by a significant majority of shareholders.</w:t>
      </w:r>
    </w:p>
    <w:p>
      <w:pPr>
        <w:spacing w:after="0" w:line="55" w:lineRule="exact"/>
        <w:rPr>
          <w:sz w:val="20"/>
          <w:szCs w:val="20"/>
          <w:color w:val="auto"/>
        </w:rPr>
      </w:pPr>
    </w:p>
    <w:tbl>
      <w:tblPr>
        <w:tblLayout w:type="fixed"/>
        <w:tblInd w:w="1860" w:type="dxa"/>
        <w:tblCellMar>
          <w:top w:w="0" w:type="dxa"/>
          <w:left w:w="0" w:type="dxa"/>
          <w:bottom w:w="0" w:type="dxa"/>
          <w:right w:w="0" w:type="dxa"/>
        </w:tblCellMar>
      </w:tblPr>
      <w:tr>
        <w:trPr>
          <w:trHeight w:val="260"/>
        </w:trPr>
        <w:tc>
          <w:tcPr>
            <w:tcW w:w="1080" w:type="dxa"/>
            <w:vAlign w:val="bottom"/>
            <w:tcBorders>
              <w:top w:val="single" w:sz="8" w:color="0D64EF"/>
              <w:bottom w:val="single" w:sz="8" w:color="D0D0CE"/>
            </w:tcBorders>
            <w:shd w:val="clear" w:color="auto" w:fill="D0D0CE"/>
          </w:tcPr>
          <w:p>
            <w:pPr>
              <w:ind w:left="360"/>
              <w:spacing w:after="0"/>
              <w:rPr>
                <w:sz w:val="20"/>
                <w:szCs w:val="20"/>
                <w:color w:val="auto"/>
              </w:rPr>
            </w:pPr>
            <w:r>
              <w:rPr>
                <w:rFonts w:ascii="Arial" w:cs="Arial" w:eastAsia="Arial" w:hAnsi="Arial"/>
                <w:sz w:val="14"/>
                <w:szCs w:val="14"/>
                <w:b w:val="1"/>
                <w:bCs w:val="1"/>
                <w:color w:val="auto"/>
              </w:rPr>
              <w:t>Year</w:t>
            </w:r>
          </w:p>
        </w:tc>
        <w:tc>
          <w:tcPr>
            <w:tcW w:w="2340" w:type="dxa"/>
            <w:vAlign w:val="bottom"/>
            <w:tcBorders>
              <w:top w:val="single" w:sz="8" w:color="0D64EF"/>
              <w:bottom w:val="single" w:sz="8" w:color="D0D0CE"/>
            </w:tcBorders>
            <w:shd w:val="clear" w:color="auto" w:fill="D0D0CE"/>
          </w:tcPr>
          <w:p>
            <w:pPr>
              <w:jc w:val="center"/>
              <w:ind w:right="28"/>
              <w:spacing w:after="0"/>
              <w:rPr>
                <w:sz w:val="20"/>
                <w:szCs w:val="20"/>
                <w:color w:val="auto"/>
              </w:rPr>
            </w:pPr>
            <w:r>
              <w:rPr>
                <w:rFonts w:ascii="Arial" w:cs="Arial" w:eastAsia="Arial" w:hAnsi="Arial"/>
                <w:sz w:val="14"/>
                <w:szCs w:val="14"/>
                <w:b w:val="1"/>
                <w:bCs w:val="1"/>
                <w:color w:val="auto"/>
              </w:rPr>
              <w:t>Votes in favour</w:t>
            </w:r>
          </w:p>
        </w:tc>
        <w:tc>
          <w:tcPr>
            <w:tcW w:w="2300" w:type="dxa"/>
            <w:vAlign w:val="bottom"/>
            <w:tcBorders>
              <w:top w:val="single" w:sz="8" w:color="0D64EF"/>
              <w:bottom w:val="single" w:sz="8" w:color="D0D0CE"/>
            </w:tcBorders>
            <w:shd w:val="clear" w:color="auto" w:fill="D0D0CE"/>
          </w:tcPr>
          <w:p>
            <w:pPr>
              <w:jc w:val="center"/>
              <w:spacing w:after="0"/>
              <w:rPr>
                <w:sz w:val="20"/>
                <w:szCs w:val="20"/>
                <w:color w:val="auto"/>
              </w:rPr>
            </w:pPr>
            <w:r>
              <w:rPr>
                <w:rFonts w:ascii="Arial" w:cs="Arial" w:eastAsia="Arial" w:hAnsi="Arial"/>
                <w:sz w:val="14"/>
                <w:szCs w:val="14"/>
                <w:b w:val="1"/>
                <w:bCs w:val="1"/>
                <w:color w:val="auto"/>
              </w:rPr>
              <w:t>Votes against</w:t>
            </w:r>
          </w:p>
        </w:tc>
      </w:tr>
      <w:tr>
        <w:trPr>
          <w:trHeight w:val="201"/>
        </w:trPr>
        <w:tc>
          <w:tcPr>
            <w:tcW w:w="1080" w:type="dxa"/>
            <w:vAlign w:val="bottom"/>
            <w:tcBorders>
              <w:top w:val="single" w:sz="8" w:color="0D64EF"/>
            </w:tcBorders>
          </w:tcPr>
          <w:p>
            <w:pPr>
              <w:ind w:left="360"/>
              <w:spacing w:after="0"/>
              <w:rPr>
                <w:sz w:val="20"/>
                <w:szCs w:val="20"/>
                <w:color w:val="auto"/>
              </w:rPr>
            </w:pPr>
            <w:r>
              <w:rPr>
                <w:rFonts w:ascii="Arial" w:cs="Arial" w:eastAsia="Arial" w:hAnsi="Arial"/>
                <w:sz w:val="14"/>
                <w:szCs w:val="14"/>
                <w:color w:val="auto"/>
              </w:rPr>
              <w:t>2025</w:t>
            </w:r>
          </w:p>
        </w:tc>
        <w:tc>
          <w:tcPr>
            <w:tcW w:w="2340" w:type="dxa"/>
            <w:vAlign w:val="bottom"/>
            <w:tcBorders>
              <w:top w:val="single" w:sz="8" w:color="0D64EF"/>
            </w:tcBorders>
          </w:tcPr>
          <w:p>
            <w:pPr>
              <w:jc w:val="center"/>
              <w:ind w:right="28"/>
              <w:spacing w:after="0"/>
              <w:rPr>
                <w:sz w:val="20"/>
                <w:szCs w:val="20"/>
                <w:color w:val="auto"/>
              </w:rPr>
            </w:pPr>
            <w:r>
              <w:rPr>
                <w:rFonts w:ascii="Arial" w:cs="Arial" w:eastAsia="Arial" w:hAnsi="Arial"/>
                <w:sz w:val="14"/>
                <w:szCs w:val="14"/>
                <w:color w:val="auto"/>
              </w:rPr>
              <w:t>657,530,688 (96.97%)</w:t>
            </w:r>
          </w:p>
        </w:tc>
        <w:tc>
          <w:tcPr>
            <w:tcW w:w="2300" w:type="dxa"/>
            <w:vAlign w:val="bottom"/>
            <w:tcBorders>
              <w:top w:val="single" w:sz="8" w:color="0D64EF"/>
            </w:tcBorders>
          </w:tcPr>
          <w:p>
            <w:pPr>
              <w:jc w:val="center"/>
              <w:spacing w:after="0"/>
              <w:rPr>
                <w:sz w:val="20"/>
                <w:szCs w:val="20"/>
                <w:color w:val="auto"/>
              </w:rPr>
            </w:pPr>
            <w:r>
              <w:rPr>
                <w:rFonts w:ascii="Arial" w:cs="Arial" w:eastAsia="Arial" w:hAnsi="Arial"/>
                <w:sz w:val="14"/>
                <w:szCs w:val="14"/>
                <w:color w:val="auto"/>
              </w:rPr>
              <w:t>20,547,941 (3.03%)</w:t>
            </w:r>
          </w:p>
        </w:tc>
      </w:tr>
      <w:tr>
        <w:trPr>
          <w:trHeight w:val="35"/>
        </w:trPr>
        <w:tc>
          <w:tcPr>
            <w:tcW w:w="1080" w:type="dxa"/>
            <w:vAlign w:val="bottom"/>
            <w:tcBorders>
              <w:bottom w:val="single" w:sz="8" w:color="B2B2B2"/>
            </w:tcBorders>
          </w:tcPr>
          <w:p>
            <w:pPr>
              <w:spacing w:after="0"/>
              <w:rPr>
                <w:sz w:val="3"/>
                <w:szCs w:val="3"/>
                <w:color w:val="auto"/>
              </w:rPr>
            </w:pPr>
          </w:p>
        </w:tc>
        <w:tc>
          <w:tcPr>
            <w:tcW w:w="2340" w:type="dxa"/>
            <w:vAlign w:val="bottom"/>
            <w:tcBorders>
              <w:bottom w:val="single" w:sz="8" w:color="B2B2B2"/>
            </w:tcBorders>
          </w:tcPr>
          <w:p>
            <w:pPr>
              <w:spacing w:after="0"/>
              <w:rPr>
                <w:sz w:val="3"/>
                <w:szCs w:val="3"/>
                <w:color w:val="auto"/>
              </w:rPr>
            </w:pPr>
          </w:p>
        </w:tc>
        <w:tc>
          <w:tcPr>
            <w:tcW w:w="2300" w:type="dxa"/>
            <w:vAlign w:val="bottom"/>
            <w:tcBorders>
              <w:bottom w:val="single" w:sz="8" w:color="B2B2B2"/>
            </w:tcBorders>
          </w:tcPr>
          <w:p>
            <w:pPr>
              <w:spacing w:after="0"/>
              <w:rPr>
                <w:sz w:val="3"/>
                <w:szCs w:val="3"/>
                <w:color w:val="auto"/>
              </w:rPr>
            </w:pPr>
          </w:p>
        </w:tc>
      </w:tr>
      <w:tr>
        <w:trPr>
          <w:trHeight w:val="201"/>
        </w:trPr>
        <w:tc>
          <w:tcPr>
            <w:tcW w:w="1080" w:type="dxa"/>
            <w:vAlign w:val="bottom"/>
          </w:tcPr>
          <w:p>
            <w:pPr>
              <w:ind w:left="360"/>
              <w:spacing w:after="0"/>
              <w:rPr>
                <w:sz w:val="20"/>
                <w:szCs w:val="20"/>
                <w:color w:val="auto"/>
              </w:rPr>
            </w:pPr>
            <w:r>
              <w:rPr>
                <w:rFonts w:ascii="Arial" w:cs="Arial" w:eastAsia="Arial" w:hAnsi="Arial"/>
                <w:sz w:val="14"/>
                <w:szCs w:val="14"/>
                <w:color w:val="auto"/>
              </w:rPr>
              <w:t>2024</w:t>
            </w:r>
          </w:p>
        </w:tc>
        <w:tc>
          <w:tcPr>
            <w:tcW w:w="2340" w:type="dxa"/>
            <w:vAlign w:val="bottom"/>
          </w:tcPr>
          <w:p>
            <w:pPr>
              <w:jc w:val="center"/>
              <w:ind w:right="28"/>
              <w:spacing w:after="0"/>
              <w:rPr>
                <w:sz w:val="20"/>
                <w:szCs w:val="20"/>
                <w:color w:val="auto"/>
              </w:rPr>
            </w:pPr>
            <w:r>
              <w:rPr>
                <w:rFonts w:ascii="Arial" w:cs="Arial" w:eastAsia="Arial" w:hAnsi="Arial"/>
                <w:sz w:val="14"/>
                <w:szCs w:val="14"/>
                <w:color w:val="auto"/>
              </w:rPr>
              <w:t>640,895,659 (96.37%)</w:t>
            </w:r>
          </w:p>
        </w:tc>
        <w:tc>
          <w:tcPr>
            <w:tcW w:w="2300" w:type="dxa"/>
            <w:vAlign w:val="bottom"/>
          </w:tcPr>
          <w:p>
            <w:pPr>
              <w:jc w:val="center"/>
              <w:spacing w:after="0"/>
              <w:rPr>
                <w:sz w:val="20"/>
                <w:szCs w:val="20"/>
                <w:color w:val="auto"/>
              </w:rPr>
            </w:pPr>
            <w:r>
              <w:rPr>
                <w:rFonts w:ascii="Arial" w:cs="Arial" w:eastAsia="Arial" w:hAnsi="Arial"/>
                <w:sz w:val="14"/>
                <w:szCs w:val="14"/>
                <w:color w:val="auto"/>
              </w:rPr>
              <w:t>24,130,789 (3.63%)</w:t>
            </w:r>
          </w:p>
        </w:tc>
      </w:tr>
      <w:tr>
        <w:trPr>
          <w:trHeight w:val="35"/>
        </w:trPr>
        <w:tc>
          <w:tcPr>
            <w:tcW w:w="1080" w:type="dxa"/>
            <w:vAlign w:val="bottom"/>
            <w:tcBorders>
              <w:bottom w:val="single" w:sz="8" w:color="B2B2B2"/>
            </w:tcBorders>
          </w:tcPr>
          <w:p>
            <w:pPr>
              <w:spacing w:after="0"/>
              <w:rPr>
                <w:sz w:val="3"/>
                <w:szCs w:val="3"/>
                <w:color w:val="auto"/>
              </w:rPr>
            </w:pPr>
          </w:p>
        </w:tc>
        <w:tc>
          <w:tcPr>
            <w:tcW w:w="2340" w:type="dxa"/>
            <w:vAlign w:val="bottom"/>
            <w:tcBorders>
              <w:bottom w:val="single" w:sz="8" w:color="B2B2B2"/>
            </w:tcBorders>
          </w:tcPr>
          <w:p>
            <w:pPr>
              <w:spacing w:after="0"/>
              <w:rPr>
                <w:sz w:val="3"/>
                <w:szCs w:val="3"/>
                <w:color w:val="auto"/>
              </w:rPr>
            </w:pPr>
          </w:p>
        </w:tc>
        <w:tc>
          <w:tcPr>
            <w:tcW w:w="2300" w:type="dxa"/>
            <w:vAlign w:val="bottom"/>
            <w:tcBorders>
              <w:bottom w:val="single" w:sz="8" w:color="B2B2B2"/>
            </w:tcBorders>
          </w:tcPr>
          <w:p>
            <w:pPr>
              <w:spacing w:after="0"/>
              <w:rPr>
                <w:sz w:val="3"/>
                <w:szCs w:val="3"/>
                <w:color w:val="auto"/>
              </w:rPr>
            </w:pPr>
          </w:p>
        </w:tc>
      </w:tr>
      <w:tr>
        <w:trPr>
          <w:trHeight w:val="201"/>
        </w:trPr>
        <w:tc>
          <w:tcPr>
            <w:tcW w:w="1080" w:type="dxa"/>
            <w:vAlign w:val="bottom"/>
          </w:tcPr>
          <w:p>
            <w:pPr>
              <w:ind w:left="360"/>
              <w:spacing w:after="0"/>
              <w:rPr>
                <w:sz w:val="20"/>
                <w:szCs w:val="20"/>
                <w:color w:val="auto"/>
              </w:rPr>
            </w:pPr>
            <w:r>
              <w:rPr>
                <w:rFonts w:ascii="Arial" w:cs="Arial" w:eastAsia="Arial" w:hAnsi="Arial"/>
                <w:sz w:val="14"/>
                <w:szCs w:val="14"/>
                <w:color w:val="auto"/>
              </w:rPr>
              <w:t>2023</w:t>
            </w:r>
          </w:p>
        </w:tc>
        <w:tc>
          <w:tcPr>
            <w:tcW w:w="2340" w:type="dxa"/>
            <w:vAlign w:val="bottom"/>
          </w:tcPr>
          <w:p>
            <w:pPr>
              <w:jc w:val="center"/>
              <w:ind w:right="28"/>
              <w:spacing w:after="0"/>
              <w:rPr>
                <w:sz w:val="20"/>
                <w:szCs w:val="20"/>
                <w:color w:val="auto"/>
              </w:rPr>
            </w:pPr>
            <w:r>
              <w:rPr>
                <w:rFonts w:ascii="Arial" w:cs="Arial" w:eastAsia="Arial" w:hAnsi="Arial"/>
                <w:sz w:val="14"/>
                <w:szCs w:val="14"/>
                <w:color w:val="auto"/>
              </w:rPr>
              <w:t>634,750,021 (94.20%)</w:t>
            </w:r>
          </w:p>
        </w:tc>
        <w:tc>
          <w:tcPr>
            <w:tcW w:w="2300" w:type="dxa"/>
            <w:vAlign w:val="bottom"/>
          </w:tcPr>
          <w:p>
            <w:pPr>
              <w:jc w:val="center"/>
              <w:spacing w:after="0"/>
              <w:rPr>
                <w:sz w:val="20"/>
                <w:szCs w:val="20"/>
                <w:color w:val="auto"/>
              </w:rPr>
            </w:pPr>
            <w:r>
              <w:rPr>
                <w:rFonts w:ascii="Arial" w:cs="Arial" w:eastAsia="Arial" w:hAnsi="Arial"/>
                <w:sz w:val="14"/>
                <w:szCs w:val="14"/>
                <w:color w:val="auto"/>
              </w:rPr>
              <w:t>39,104,279 (5.80%)</w:t>
            </w:r>
          </w:p>
        </w:tc>
      </w:tr>
      <w:tr>
        <w:trPr>
          <w:trHeight w:val="35"/>
        </w:trPr>
        <w:tc>
          <w:tcPr>
            <w:tcW w:w="1080" w:type="dxa"/>
            <w:vAlign w:val="bottom"/>
            <w:tcBorders>
              <w:bottom w:val="single" w:sz="8" w:color="0D64EF"/>
            </w:tcBorders>
          </w:tcPr>
          <w:p>
            <w:pPr>
              <w:spacing w:after="0"/>
              <w:rPr>
                <w:sz w:val="3"/>
                <w:szCs w:val="3"/>
                <w:color w:val="auto"/>
              </w:rPr>
            </w:pPr>
          </w:p>
        </w:tc>
        <w:tc>
          <w:tcPr>
            <w:tcW w:w="2340" w:type="dxa"/>
            <w:vAlign w:val="bottom"/>
            <w:tcBorders>
              <w:bottom w:val="single" w:sz="8" w:color="0D64EF"/>
            </w:tcBorders>
          </w:tcPr>
          <w:p>
            <w:pPr>
              <w:spacing w:after="0"/>
              <w:rPr>
                <w:sz w:val="3"/>
                <w:szCs w:val="3"/>
                <w:color w:val="auto"/>
              </w:rPr>
            </w:pPr>
          </w:p>
        </w:tc>
        <w:tc>
          <w:tcPr>
            <w:tcW w:w="2300" w:type="dxa"/>
            <w:vAlign w:val="bottom"/>
            <w:tcBorders>
              <w:bottom w:val="single" w:sz="8" w:color="0D64EF"/>
            </w:tcBorders>
          </w:tcPr>
          <w:p>
            <w:pPr>
              <w:spacing w:after="0"/>
              <w:rPr>
                <w:sz w:val="3"/>
                <w:szCs w:val="3"/>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you vote </w:t>
      </w:r>
      <w:r>
        <w:rPr>
          <w:rFonts w:ascii="Arial" w:cs="Arial" w:eastAsia="Arial" w:hAnsi="Arial"/>
          <w:sz w:val="16"/>
          <w:szCs w:val="16"/>
          <w:b w:val="1"/>
          <w:bCs w:val="1"/>
          <w:i w:val="1"/>
          <w:iCs w:val="1"/>
          <w:color w:val="auto"/>
        </w:rPr>
        <w:t>for</w:t>
      </w:r>
      <w:r>
        <w:rPr>
          <w:rFonts w:ascii="Arial" w:cs="Arial" w:eastAsia="Arial" w:hAnsi="Arial"/>
          <w:sz w:val="16"/>
          <w:szCs w:val="16"/>
          <w:color w:val="auto"/>
        </w:rPr>
        <w:t xml:space="preserve"> our approach to executive compensation:</w:t>
      </w:r>
    </w:p>
    <w:p>
      <w:pPr>
        <w:spacing w:after="0" w:line="154" w:lineRule="exact"/>
        <w:rPr>
          <w:sz w:val="20"/>
          <w:szCs w:val="20"/>
          <w:color w:val="auto"/>
        </w:rPr>
      </w:pPr>
    </w:p>
    <w:p>
      <w:pPr>
        <w:spacing w:after="0" w:line="344" w:lineRule="auto"/>
        <w:rPr>
          <w:sz w:val="20"/>
          <w:szCs w:val="20"/>
          <w:color w:val="auto"/>
        </w:rPr>
      </w:pPr>
      <w:r>
        <w:rPr>
          <w:rFonts w:ascii="Arial" w:cs="Arial" w:eastAsia="Arial" w:hAnsi="Arial"/>
          <w:sz w:val="16"/>
          <w:szCs w:val="16"/>
          <w:b w:val="1"/>
          <w:bCs w:val="1"/>
          <w:i w:val="1"/>
          <w:iCs w:val="1"/>
          <w:color w:val="auto"/>
        </w:rPr>
        <w:t>RESOLVE on an advisory basis, without diminishing the role and responsibilities of TC Energy's Board, that the shareholders accept the approach to executive compensation disclosed in TC Energy’s Circular dated March 5, 2026.</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OTHER BUSINESS</w:t>
      </w:r>
    </w:p>
    <w:p>
      <w:pPr>
        <w:spacing w:after="0" w:line="48" w:lineRule="exact"/>
        <w:rPr>
          <w:sz w:val="20"/>
          <w:szCs w:val="20"/>
          <w:color w:val="auto"/>
        </w:rPr>
      </w:pPr>
    </w:p>
    <w:p>
      <w:pPr>
        <w:ind w:right="220"/>
        <w:spacing w:after="0" w:line="354" w:lineRule="auto"/>
        <w:rPr>
          <w:sz w:val="20"/>
          <w:szCs w:val="20"/>
          <w:color w:val="auto"/>
        </w:rPr>
      </w:pPr>
      <w:r>
        <w:rPr>
          <w:rFonts w:ascii="Arial" w:cs="Arial" w:eastAsia="Arial" w:hAnsi="Arial"/>
          <w:sz w:val="16"/>
          <w:szCs w:val="16"/>
          <w:color w:val="auto"/>
        </w:rPr>
        <w:t>We did not receive any shareholder proposals for the meeting. The Board and management are not aware of any other items to be properly brought before the meeting.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39"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0D64EF"/>
        </w:rPr>
        <w:t>ELECTION OF DIRECTORS</w:t>
      </w:r>
    </w:p>
    <w:p>
      <w:pPr>
        <w:spacing w:after="0" w:line="317" w:lineRule="exact"/>
        <w:rPr>
          <w:sz w:val="20"/>
          <w:szCs w:val="20"/>
          <w:color w:val="auto"/>
        </w:rPr>
      </w:pPr>
    </w:p>
    <w:p>
      <w:pPr>
        <w:spacing w:after="0" w:line="326" w:lineRule="auto"/>
        <w:rPr>
          <w:sz w:val="20"/>
          <w:szCs w:val="20"/>
          <w:color w:val="auto"/>
        </w:rPr>
      </w:pPr>
      <w:r>
        <w:rPr>
          <w:rFonts w:ascii="Arial" w:cs="Arial" w:eastAsia="Arial" w:hAnsi="Arial"/>
          <w:sz w:val="16"/>
          <w:szCs w:val="16"/>
          <w:color w:val="auto"/>
        </w:rPr>
        <w:t>Our articles currently state that the Board must have a minimum of eight and a maximum of 15 directors. The Board has determined that 13 directors will be elected at the meeting.</w:t>
      </w:r>
    </w:p>
    <w:p>
      <w:pPr>
        <w:spacing w:after="0" w:line="56"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auto"/>
        </w:rPr>
        <w:t>The Board believes this size is appropriate based on the scope of our business, the skills and experience of the nominated directors and the four standing committees and to achieve effective decision-making. It believes that all of the nominated directors are well qualified to serve on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right="1580"/>
        <w:spacing w:after="0" w:line="264" w:lineRule="auto"/>
        <w:rPr>
          <w:sz w:val="20"/>
          <w:szCs w:val="20"/>
          <w:color w:val="auto"/>
        </w:rPr>
      </w:pPr>
      <w:r>
        <w:rPr>
          <w:rFonts w:ascii="Arial" w:cs="Arial" w:eastAsia="Arial" w:hAnsi="Arial"/>
          <w:sz w:val="16"/>
          <w:szCs w:val="16"/>
          <w:color w:val="auto"/>
        </w:rPr>
        <w:t>Each nominated director has expressed their willingness to serve on our Board until our next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-555625</wp:posOffset>
            </wp:positionV>
            <wp:extent cx="2073275" cy="1236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73275" cy="1236980"/>
                    </a:xfrm>
                    <a:prstGeom prst="rect">
                      <a:avLst/>
                    </a:prstGeom>
                    <a:noFill/>
                  </pic:spPr>
                </pic:pic>
              </a:graphicData>
            </a:graphic>
          </wp:anchor>
        </w:drawing>
      </w:r>
    </w:p>
    <w:p>
      <w:pPr>
        <w:spacing w:after="0" w:line="44" w:lineRule="exact"/>
        <w:rPr>
          <w:sz w:val="20"/>
          <w:szCs w:val="20"/>
          <w:color w:val="auto"/>
        </w:rPr>
      </w:pPr>
    </w:p>
    <w:p>
      <w:pPr>
        <w:ind w:right="1820"/>
        <w:spacing w:after="0" w:line="264" w:lineRule="auto"/>
        <w:rPr>
          <w:sz w:val="20"/>
          <w:szCs w:val="20"/>
          <w:color w:val="auto"/>
        </w:rPr>
      </w:pPr>
      <w:r>
        <w:rPr>
          <w:rFonts w:ascii="Arial" w:cs="Arial" w:eastAsia="Arial" w:hAnsi="Arial"/>
          <w:sz w:val="16"/>
          <w:szCs w:val="16"/>
          <w:color w:val="auto"/>
        </w:rPr>
        <w:t>If elected, they will also serve on the Board of TransCanada PipeLines Limited (TCPL), our main operating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126365</wp:posOffset>
            </wp:positionV>
            <wp:extent cx="20732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73275" cy="8255"/>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6200" w:space="600"/>
            <w:col w:w="4420"/>
          </w:cols>
          <w:pgMar w:left="340" w:top="1245" w:right="339" w:bottom="1440" w:gutter="0" w:footer="0" w:header="0"/>
        </w:sectPr>
      </w:pPr>
    </w:p>
    <w:p>
      <w:pPr>
        <w:spacing w:after="0" w:line="54" w:lineRule="exact"/>
        <w:rPr>
          <w:sz w:val="20"/>
          <w:szCs w:val="20"/>
          <w:color w:val="auto"/>
        </w:rPr>
      </w:pPr>
    </w:p>
    <w:p>
      <w:pPr>
        <w:jc w:val="both"/>
        <w:ind w:right="1520"/>
        <w:spacing w:after="0" w:line="326" w:lineRule="auto"/>
        <w:rPr>
          <w:sz w:val="20"/>
          <w:szCs w:val="20"/>
          <w:color w:val="auto"/>
        </w:rPr>
      </w:pPr>
      <w:r>
        <w:rPr>
          <w:rFonts w:ascii="Arial" w:cs="Arial" w:eastAsia="Arial" w:hAnsi="Arial"/>
          <w:sz w:val="16"/>
          <w:szCs w:val="16"/>
          <w:color w:val="auto"/>
        </w:rPr>
        <w:t>Twelve of the 13 nominated directors (92 per cent) are independent within the meaning of Canadian and applicable U.S. securities laws, regulations and policies and the applicable rules of the Toronto Stock Exchange (TSX) and New York Stock Exchange (NYSE). The only exception is Mr. Poirier because of his role as President and CEO.</w:t>
      </w:r>
    </w:p>
    <w:p>
      <w:pPr>
        <w:spacing w:after="0" w:line="56" w:lineRule="exact"/>
        <w:rPr>
          <w:sz w:val="20"/>
          <w:szCs w:val="20"/>
          <w:color w:val="auto"/>
        </w:rPr>
      </w:pPr>
    </w:p>
    <w:p>
      <w:pPr>
        <w:ind w:right="1480"/>
        <w:spacing w:after="0" w:line="317" w:lineRule="auto"/>
        <w:rPr>
          <w:sz w:val="20"/>
          <w:szCs w:val="20"/>
          <w:color w:val="auto"/>
        </w:rPr>
      </w:pPr>
      <w:r>
        <w:rPr>
          <w:rFonts w:ascii="Arial" w:cs="Arial" w:eastAsia="Arial" w:hAnsi="Arial"/>
          <w:sz w:val="16"/>
          <w:szCs w:val="16"/>
          <w:color w:val="auto"/>
        </w:rPr>
        <w:t>The profiles on the following pages show each director’s holdings in TC Energy shares at March 14, 2025 and as of the date of this Circular. DSUs are calculated on the basis of retainer fees paid in 2025 and dividend equivalents credited up to January 31, 2025 and January 30, 2026. The profiles also indicate the year the director joined the Board and has continually served as a director of TC Energy.</w:t>
      </w:r>
    </w:p>
    <w:p>
      <w:pPr>
        <w:spacing w:after="0" w:line="64" w:lineRule="exact"/>
        <w:rPr>
          <w:sz w:val="20"/>
          <w:szCs w:val="20"/>
          <w:color w:val="auto"/>
        </w:rPr>
      </w:pPr>
    </w:p>
    <w:p>
      <w:pPr>
        <w:ind w:right="1800"/>
        <w:spacing w:after="0" w:line="337" w:lineRule="auto"/>
        <w:rPr>
          <w:sz w:val="20"/>
          <w:szCs w:val="20"/>
          <w:color w:val="auto"/>
        </w:rPr>
      </w:pPr>
      <w:r>
        <w:rPr>
          <w:rFonts w:ascii="Arial" w:cs="Arial" w:eastAsia="Arial" w:hAnsi="Arial"/>
          <w:sz w:val="16"/>
          <w:szCs w:val="16"/>
          <w:color w:val="auto"/>
        </w:rPr>
        <w:t>All of the nominated directors are Canadian residents except for Mr. Bonham, Ms. Campbell, Mr. Johnson, Mr. Lowe, Ms. Salomone, Mr. Vandal and Mr. Verma who are U.S. residents. Mr. Bonham and Mr. Vandal also hold Canadian citizenship.</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We have share ownership requirements for our directors and executives to align their interests with those of our shareholders.</w:t>
      </w:r>
    </w:p>
    <w:p>
      <w:pPr>
        <w:spacing w:after="0" w:line="138" w:lineRule="exact"/>
        <w:rPr>
          <w:sz w:val="20"/>
          <w:szCs w:val="20"/>
          <w:color w:val="auto"/>
        </w:rPr>
      </w:pPr>
    </w:p>
    <w:p>
      <w:pPr>
        <w:jc w:val="both"/>
        <w:ind w:right="1660"/>
        <w:spacing w:after="0" w:line="326" w:lineRule="auto"/>
        <w:rPr>
          <w:sz w:val="20"/>
          <w:szCs w:val="20"/>
          <w:color w:val="auto"/>
        </w:rPr>
      </w:pPr>
      <w:r>
        <w:rPr>
          <w:rFonts w:ascii="Arial" w:cs="Arial" w:eastAsia="Arial" w:hAnsi="Arial"/>
          <w:sz w:val="16"/>
          <w:szCs w:val="16"/>
          <w:color w:val="auto"/>
        </w:rPr>
        <w:t xml:space="preserve">As of the date of this Circular, all of our directors are in compliance with our director Share Ownership Policy or are not yet required to meet the requirements given the length of their tenure on the Board, see </w:t>
      </w:r>
      <w:r>
        <w:rPr>
          <w:rFonts w:ascii="Arial" w:cs="Arial" w:eastAsia="Arial" w:hAnsi="Arial"/>
          <w:sz w:val="16"/>
          <w:szCs w:val="16"/>
          <w:i w:val="1"/>
          <w:iCs w:val="1"/>
          <w:color w:val="auto"/>
        </w:rPr>
        <w:t>Director Compensation Discussion and Analysis - Approach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Aligning the interests of directors and shareholders </w:t>
      </w:r>
      <w:r>
        <w:rPr>
          <w:rFonts w:ascii="Arial" w:cs="Arial" w:eastAsia="Arial" w:hAnsi="Arial"/>
          <w:sz w:val="16"/>
          <w:szCs w:val="16"/>
          <w:color w:val="auto"/>
        </w:rPr>
        <w:t>on page 79 for more information.</w:t>
      </w:r>
    </w:p>
    <w:p>
      <w:pPr>
        <w:spacing w:after="0" w:line="56" w:lineRule="exact"/>
        <w:rPr>
          <w:sz w:val="20"/>
          <w:szCs w:val="20"/>
          <w:color w:val="auto"/>
        </w:rPr>
      </w:pPr>
    </w:p>
    <w:p>
      <w:pPr>
        <w:ind w:right="1340"/>
        <w:spacing w:after="0" w:line="337" w:lineRule="auto"/>
        <w:rPr>
          <w:sz w:val="20"/>
          <w:szCs w:val="20"/>
          <w:color w:val="auto"/>
        </w:rPr>
      </w:pPr>
      <w:r>
        <w:rPr>
          <w:rFonts w:ascii="Arial" w:cs="Arial" w:eastAsia="Arial" w:hAnsi="Arial"/>
          <w:sz w:val="16"/>
          <w:szCs w:val="16"/>
          <w:color w:val="auto"/>
        </w:rPr>
        <w:t xml:space="preserve">The at-risk investment reflects the total market value of the director’s TC Energy shares and DSUs based on the closing share price on the TSX of $87.24 on March 5, 2026. See </w:t>
      </w:r>
      <w:r>
        <w:rPr>
          <w:rFonts w:ascii="Arial" w:cs="Arial" w:eastAsia="Arial" w:hAnsi="Arial"/>
          <w:sz w:val="16"/>
          <w:szCs w:val="16"/>
          <w:i w:val="1"/>
          <w:iCs w:val="1"/>
          <w:color w:val="auto"/>
        </w:rPr>
        <w:t>At-Risk Investment</w:t>
      </w:r>
      <w:r>
        <w:rPr>
          <w:rFonts w:ascii="Arial" w:cs="Arial" w:eastAsia="Arial" w:hAnsi="Arial"/>
          <w:sz w:val="16"/>
          <w:szCs w:val="16"/>
          <w:color w:val="auto"/>
        </w:rPr>
        <w:t xml:space="preserve"> on pages 83 and 84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19</w:t>
      </w:r>
    </w:p>
    <w:p>
      <w:pPr>
        <w:sectPr>
          <w:pgSz w:w="11900" w:h="16838" w:orient="portrait"/>
          <w:cols w:equalWidth="0" w:num="1">
            <w:col w:w="11220"/>
          </w:cols>
          <w:pgMar w:left="340" w:top="1245" w:right="33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60" w:hanging="135"/>
        <w:spacing w:after="0"/>
        <w:tabs>
          <w:tab w:leader="none" w:pos="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Accounting/Audit</w:t>
      </w:r>
    </w:p>
    <w:p>
      <w:pPr>
        <w:spacing w:after="0" w:line="53" w:lineRule="exact"/>
        <w:rPr>
          <w:rFonts w:ascii="Arial" w:cs="Arial" w:eastAsia="Arial" w:hAnsi="Arial"/>
          <w:sz w:val="14"/>
          <w:szCs w:val="14"/>
          <w:color w:val="auto"/>
        </w:rPr>
      </w:pPr>
    </w:p>
    <w:p>
      <w:pPr>
        <w:ind w:left="180" w:right="640" w:hanging="155"/>
        <w:spacing w:after="0" w:line="310" w:lineRule="auto"/>
        <w:tabs>
          <w:tab w:leader="none" w:pos="163"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Capital Markets/Mergers &amp; Acquisitions</w:t>
      </w:r>
    </w:p>
    <w:p>
      <w:pPr>
        <w:ind w:left="180" w:hanging="155"/>
        <w:spacing w:after="0" w:line="300" w:lineRule="auto"/>
        <w:tabs>
          <w:tab w:leader="none" w:pos="163" w:val="left"/>
        </w:tabs>
        <w:numPr>
          <w:ilvl w:val="0"/>
          <w:numId w:val="26"/>
        </w:numPr>
        <w:rPr>
          <w:rFonts w:ascii="Arial" w:cs="Arial" w:eastAsia="Arial" w:hAnsi="Arial"/>
          <w:sz w:val="14"/>
          <w:szCs w:val="14"/>
          <w:color w:val="auto"/>
        </w:rPr>
      </w:pPr>
      <w:r>
        <w:rPr>
          <w:rFonts w:ascii="Arial" w:cs="Arial" w:eastAsia="Arial" w:hAnsi="Arial"/>
          <w:sz w:val="14"/>
          <w:szCs w:val="14"/>
          <w:color w:val="auto"/>
        </w:rPr>
        <w:t>Electric Power &amp; Electrification Value Chain</w:t>
      </w:r>
    </w:p>
    <w:p>
      <w:pPr>
        <w:ind w:left="160" w:hanging="135"/>
        <w:spacing w:after="0"/>
        <w:tabs>
          <w:tab w:leader="none" w:pos="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Enterprise Risk Management</w:t>
      </w:r>
    </w:p>
    <w:p>
      <w:pPr>
        <w:spacing w:after="0" w:line="67" w:lineRule="exact"/>
        <w:rPr>
          <w:rFonts w:ascii="Arial" w:cs="Arial" w:eastAsia="Arial" w:hAnsi="Arial"/>
          <w:sz w:val="14"/>
          <w:szCs w:val="14"/>
          <w:color w:val="auto"/>
        </w:rPr>
      </w:pPr>
    </w:p>
    <w:p>
      <w:pPr>
        <w:ind w:left="160" w:hanging="135"/>
        <w:spacing w:after="0"/>
        <w:tabs>
          <w:tab w:leader="none" w:pos="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Governance</w:t>
      </w:r>
    </w:p>
    <w:p>
      <w:pPr>
        <w:spacing w:after="0" w:line="53" w:lineRule="exact"/>
        <w:rPr>
          <w:rFonts w:ascii="Arial" w:cs="Arial" w:eastAsia="Arial" w:hAnsi="Arial"/>
          <w:sz w:val="14"/>
          <w:szCs w:val="14"/>
          <w:color w:val="auto"/>
        </w:rPr>
      </w:pPr>
    </w:p>
    <w:p>
      <w:pPr>
        <w:ind w:left="160" w:hanging="135"/>
        <w:spacing w:after="0"/>
        <w:tabs>
          <w:tab w:leader="none" w:pos="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Major Projects</w:t>
      </w:r>
    </w:p>
    <w:p>
      <w:pPr>
        <w:spacing w:after="0" w:line="67" w:lineRule="exact"/>
        <w:rPr>
          <w:rFonts w:ascii="Arial" w:cs="Arial" w:eastAsia="Arial" w:hAnsi="Arial"/>
          <w:sz w:val="14"/>
          <w:szCs w:val="14"/>
          <w:color w:val="auto"/>
        </w:rPr>
      </w:pPr>
    </w:p>
    <w:p>
      <w:pPr>
        <w:ind w:left="180" w:right="500" w:hanging="155"/>
        <w:spacing w:after="0" w:line="300" w:lineRule="auto"/>
        <w:tabs>
          <w:tab w:leader="none" w:pos="163" w:val="left"/>
        </w:tabs>
        <w:numPr>
          <w:ilvl w:val="0"/>
          <w:numId w:val="26"/>
        </w:numPr>
        <w:rPr>
          <w:rFonts w:ascii="Arial" w:cs="Arial" w:eastAsia="Arial" w:hAnsi="Arial"/>
          <w:sz w:val="14"/>
          <w:szCs w:val="14"/>
          <w:color w:val="auto"/>
        </w:rPr>
      </w:pPr>
      <w:r>
        <w:rPr>
          <w:rFonts w:ascii="Arial" w:cs="Arial" w:eastAsia="Arial" w:hAnsi="Arial"/>
          <w:sz w:val="14"/>
          <w:szCs w:val="14"/>
          <w:color w:val="auto"/>
        </w:rPr>
        <w:t>Operations/Health, Safety, Sustainability &amp; Environment</w:t>
      </w:r>
    </w:p>
    <w:p>
      <w:pPr>
        <w:ind w:left="160" w:hanging="135"/>
        <w:spacing w:after="0"/>
        <w:tabs>
          <w:tab w:leader="none" w:pos="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$601,345</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TC Energy</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Board/Committees</w:t>
      </w:r>
    </w:p>
    <w:p>
      <w:pPr>
        <w:ind w:left="20"/>
        <w:spacing w:after="0"/>
        <w:rPr>
          <w:sz w:val="20"/>
          <w:szCs w:val="20"/>
          <w:color w:val="auto"/>
        </w:rPr>
      </w:pPr>
      <w:r>
        <w:rPr>
          <w:rFonts w:ascii="Arial" w:cs="Arial" w:eastAsia="Arial" w:hAnsi="Arial"/>
          <w:sz w:val="16"/>
          <w:szCs w:val="16"/>
          <w:b w:val="1"/>
          <w:bCs w:val="1"/>
          <w:color w:val="0D64EF"/>
        </w:rPr>
        <w:t>2025 meeting attendance</w:t>
      </w:r>
    </w:p>
    <w:p>
      <w:pPr>
        <w:spacing w:after="0" w:line="60" w:lineRule="exact"/>
        <w:rPr>
          <w:sz w:val="20"/>
          <w:szCs w:val="20"/>
          <w:color w:val="auto"/>
        </w:rPr>
      </w:pPr>
    </w:p>
    <w:p>
      <w:pPr>
        <w:ind w:left="180" w:right="1000" w:hanging="155"/>
        <w:spacing w:after="0" w:line="330" w:lineRule="auto"/>
        <w:tabs>
          <w:tab w:leader="none" w:pos="163" w:val="left"/>
        </w:tabs>
        <w:numPr>
          <w:ilvl w:val="0"/>
          <w:numId w:val="27"/>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ind w:left="160" w:hanging="135"/>
        <w:spacing w:after="0"/>
        <w:tabs>
          <w:tab w:leader="none" w:pos="1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Audit Committee</w:t>
      </w:r>
    </w:p>
    <w:p>
      <w:pPr>
        <w:spacing w:after="0" w:line="53"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4"/>
          <w:szCs w:val="14"/>
          <w:color w:val="auto"/>
        </w:rPr>
        <w:t>4/4 meetings (100%)</w:t>
      </w:r>
    </w:p>
    <w:p>
      <w:pPr>
        <w:spacing w:after="0" w:line="67" w:lineRule="exact"/>
        <w:rPr>
          <w:rFonts w:ascii="Arial" w:cs="Arial" w:eastAsia="Arial" w:hAnsi="Arial"/>
          <w:sz w:val="14"/>
          <w:szCs w:val="14"/>
          <w:color w:val="auto"/>
        </w:rPr>
      </w:pPr>
    </w:p>
    <w:p>
      <w:pPr>
        <w:ind w:left="180" w:right="420" w:hanging="155"/>
        <w:spacing w:after="0" w:line="363" w:lineRule="auto"/>
        <w:tabs>
          <w:tab w:leader="none" w:pos="163" w:val="left"/>
        </w:tabs>
        <w:numPr>
          <w:ilvl w:val="0"/>
          <w:numId w:val="27"/>
        </w:numPr>
        <w:rPr>
          <w:rFonts w:ascii="Arial" w:cs="Arial" w:eastAsia="Arial" w:hAnsi="Arial"/>
          <w:sz w:val="14"/>
          <w:szCs w:val="14"/>
          <w:color w:val="auto"/>
        </w:rPr>
      </w:pPr>
      <w:r>
        <w:rPr>
          <w:rFonts w:ascii="Arial" w:cs="Arial" w:eastAsia="Arial" w:hAnsi="Arial"/>
          <w:sz w:val="14"/>
          <w:szCs w:val="14"/>
          <w:color w:val="auto"/>
        </w:rPr>
        <w:t>Human Resources Committee 4/4 meetings (100%)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Scott Bonham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-190500</wp:posOffset>
            </wp:positionV>
            <wp:extent cx="8255" cy="7790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779018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64, ATHERTON, CA, U.S.A. | DIRECTOR SINCE 2024</w:t>
      </w:r>
    </w:p>
    <w:p>
      <w:pPr>
        <w:spacing w:after="0" w:line="364" w:lineRule="exact"/>
        <w:rPr>
          <w:sz w:val="20"/>
          <w:szCs w:val="20"/>
          <w:color w:val="auto"/>
        </w:rPr>
      </w:pPr>
    </w:p>
    <w:p>
      <w:pPr>
        <w:jc w:val="both"/>
        <w:ind w:left="20" w:right="80"/>
        <w:spacing w:after="0" w:line="326" w:lineRule="auto"/>
        <w:rPr>
          <w:sz w:val="20"/>
          <w:szCs w:val="20"/>
          <w:color w:val="auto"/>
        </w:rPr>
      </w:pPr>
      <w:r>
        <w:rPr>
          <w:rFonts w:ascii="Arial" w:cs="Arial" w:eastAsia="Arial" w:hAnsi="Arial"/>
          <w:sz w:val="16"/>
          <w:szCs w:val="16"/>
          <w:color w:val="auto"/>
        </w:rPr>
        <w:t>Scott Bonham is a corporate director. Since 2016 he has served on the board of Loblaw Companies Limited (retail grocery). He also previously served on the boards of The Bank of Nova Scotia (chartered bank) from January 2016 until April 2025 and Magna International Inc. (manufacturing, auto parts) from May 2012 until May 2021.</w:t>
      </w:r>
    </w:p>
    <w:p>
      <w:pPr>
        <w:spacing w:after="0" w:line="56" w:lineRule="exact"/>
        <w:rPr>
          <w:sz w:val="20"/>
          <w:szCs w:val="20"/>
          <w:color w:val="auto"/>
        </w:rPr>
      </w:pPr>
    </w:p>
    <w:p>
      <w:pPr>
        <w:ind w:left="20" w:right="400"/>
        <w:spacing w:after="0" w:line="316" w:lineRule="auto"/>
        <w:rPr>
          <w:sz w:val="20"/>
          <w:szCs w:val="20"/>
          <w:color w:val="auto"/>
        </w:rPr>
      </w:pPr>
      <w:r>
        <w:rPr>
          <w:rFonts w:ascii="Arial" w:cs="Arial" w:eastAsia="Arial" w:hAnsi="Arial"/>
          <w:sz w:val="16"/>
          <w:szCs w:val="16"/>
          <w:color w:val="auto"/>
        </w:rPr>
        <w:t>He is a co-founder of Intentional Capital Real Estate (Canada), a privately-held real estate asset management company. From 2000 to 2015, he was co-founder of GGV Capital, an expansion stage venture capital firm with investments in the U.S. and China. Prior to GGV Capital, he served as a Vice President of the Capital Group Companies (financial services) and previously held marketing roles at Silicon Graphics (technology).</w:t>
      </w:r>
    </w:p>
    <w:p>
      <w:pPr>
        <w:spacing w:after="0" w:line="52" w:lineRule="exact"/>
        <w:rPr>
          <w:sz w:val="20"/>
          <w:szCs w:val="20"/>
          <w:color w:val="auto"/>
        </w:rPr>
      </w:pPr>
    </w:p>
    <w:p>
      <w:pPr>
        <w:ind w:left="20" w:right="120"/>
        <w:spacing w:after="0" w:line="354" w:lineRule="auto"/>
        <w:rPr>
          <w:sz w:val="20"/>
          <w:szCs w:val="20"/>
          <w:color w:val="auto"/>
        </w:rPr>
      </w:pPr>
      <w:r>
        <w:rPr>
          <w:rFonts w:ascii="Arial" w:cs="Arial" w:eastAsia="Arial" w:hAnsi="Arial"/>
          <w:sz w:val="16"/>
          <w:szCs w:val="16"/>
          <w:color w:val="auto"/>
        </w:rPr>
        <w:t>Mr. Bonham is also a board member of the Canadian Institute for Advanced Research and the DenmarkBridge, an initiative connecting Danish companies to Silicon Valley.</w:t>
      </w:r>
    </w:p>
    <w:p>
      <w:pPr>
        <w:spacing w:after="0" w:line="22" w:lineRule="exact"/>
        <w:rPr>
          <w:sz w:val="20"/>
          <w:szCs w:val="20"/>
          <w:color w:val="auto"/>
        </w:rPr>
      </w:pPr>
    </w:p>
    <w:p>
      <w:pPr>
        <w:ind w:left="20" w:right="20"/>
        <w:spacing w:after="0" w:line="354" w:lineRule="auto"/>
        <w:rPr>
          <w:sz w:val="20"/>
          <w:szCs w:val="20"/>
          <w:color w:val="auto"/>
        </w:rPr>
      </w:pPr>
      <w:r>
        <w:rPr>
          <w:rFonts w:ascii="Arial" w:cs="Arial" w:eastAsia="Arial" w:hAnsi="Arial"/>
          <w:sz w:val="16"/>
          <w:szCs w:val="16"/>
          <w:color w:val="auto"/>
        </w:rPr>
        <w:t>Mr. Bonham has a Bachelor of Science in electrical engineering from Queen’s University and a Masters of Business Administration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3060" w:type="dxa"/>
            <w:vAlign w:val="bottom"/>
            <w:tcBorders>
              <w:top w:val="single" w:sz="8" w:color="0D64EF"/>
              <w:bottom w:val="single" w:sz="8" w:color="0D64EF"/>
            </w:tcBorders>
            <w:shd w:val="clear" w:color="auto" w:fill="D1D0CF"/>
          </w:tcPr>
          <w:p>
            <w:pPr>
              <w:jc w:val="right"/>
              <w:ind w:right="1248"/>
              <w:spacing w:after="0"/>
              <w:rPr>
                <w:sz w:val="20"/>
                <w:szCs w:val="20"/>
                <w:color w:val="auto"/>
              </w:rPr>
            </w:pPr>
            <w:r>
              <w:rPr>
                <w:rFonts w:ascii="Arial" w:cs="Arial" w:eastAsia="Arial" w:hAnsi="Arial"/>
                <w:sz w:val="14"/>
                <w:szCs w:val="14"/>
                <w:b w:val="1"/>
                <w:bCs w:val="1"/>
                <w:color w:val="auto"/>
              </w:rPr>
              <w:t>Votes in favour</w:t>
            </w:r>
          </w:p>
        </w:tc>
        <w:tc>
          <w:tcPr>
            <w:tcW w:w="2440" w:type="dxa"/>
            <w:vAlign w:val="bottom"/>
            <w:tcBorders>
              <w:top w:val="single" w:sz="8" w:color="0D64EF"/>
              <w:bottom w:val="single" w:sz="8" w:color="0D64EF"/>
            </w:tcBorders>
            <w:shd w:val="clear" w:color="auto" w:fill="D1D0CF"/>
          </w:tcPr>
          <w:p>
            <w:pPr>
              <w:jc w:val="right"/>
              <w:ind w:right="1308"/>
              <w:spacing w:after="0"/>
              <w:rPr>
                <w:sz w:val="20"/>
                <w:szCs w:val="20"/>
                <w:color w:val="auto"/>
              </w:rPr>
            </w:pPr>
            <w:r>
              <w:rPr>
                <w:rFonts w:ascii="Arial" w:cs="Arial" w:eastAsia="Arial" w:hAnsi="Arial"/>
                <w:sz w:val="14"/>
                <w:szCs w:val="14"/>
                <w:b w:val="1"/>
                <w:bCs w:val="1"/>
                <w:color w:val="auto"/>
              </w:rPr>
              <w:t>Votes against</w:t>
            </w:r>
          </w:p>
        </w:tc>
      </w:tr>
      <w:tr>
        <w:trPr>
          <w:trHeight w:val="234"/>
        </w:trPr>
        <w:tc>
          <w:tcPr>
            <w:tcW w:w="2780" w:type="dxa"/>
            <w:vAlign w:val="bottom"/>
          </w:tcPr>
          <w:p>
            <w:pPr>
              <w:ind w:left="20"/>
              <w:spacing w:after="0"/>
              <w:rPr>
                <w:sz w:val="20"/>
                <w:szCs w:val="20"/>
                <w:color w:val="auto"/>
              </w:rPr>
            </w:pPr>
            <w:r>
              <w:rPr>
                <w:rFonts w:ascii="Arial" w:cs="Arial" w:eastAsia="Arial" w:hAnsi="Arial"/>
                <w:sz w:val="14"/>
                <w:szCs w:val="14"/>
                <w:color w:val="auto"/>
              </w:rPr>
              <w:t>2025</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677,017,619 (99.84%)</w:t>
            </w:r>
          </w:p>
        </w:tc>
        <w:tc>
          <w:tcPr>
            <w:tcW w:w="2440" w:type="dxa"/>
            <w:vAlign w:val="bottom"/>
          </w:tcPr>
          <w:p>
            <w:pPr>
              <w:jc w:val="right"/>
              <w:spacing w:after="0"/>
              <w:rPr>
                <w:sz w:val="20"/>
                <w:szCs w:val="20"/>
                <w:color w:val="auto"/>
              </w:rPr>
            </w:pPr>
            <w:r>
              <w:rPr>
                <w:rFonts w:ascii="Arial" w:cs="Arial" w:eastAsia="Arial" w:hAnsi="Arial"/>
                <w:sz w:val="14"/>
                <w:szCs w:val="14"/>
                <w:color w:val="auto"/>
              </w:rPr>
              <w:t>1,061,492.00 (0.16%)</w:t>
            </w:r>
          </w:p>
        </w:tc>
      </w:tr>
      <w:tr>
        <w:trPr>
          <w:trHeight w:val="255"/>
        </w:trPr>
        <w:tc>
          <w:tcPr>
            <w:tcW w:w="2780" w:type="dxa"/>
            <w:vAlign w:val="bottom"/>
          </w:tcPr>
          <w:p>
            <w:pPr>
              <w:ind w:left="20"/>
              <w:spacing w:after="0"/>
              <w:rPr>
                <w:sz w:val="20"/>
                <w:szCs w:val="20"/>
                <w:color w:val="auto"/>
              </w:rPr>
            </w:pPr>
            <w:r>
              <w:rPr>
                <w:rFonts w:ascii="Arial" w:cs="Arial" w:eastAsia="Arial" w:hAnsi="Arial"/>
                <w:sz w:val="14"/>
                <w:szCs w:val="14"/>
                <w:color w:val="auto"/>
              </w:rPr>
              <w:t>2024</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8"/>
        </w:trPr>
        <w:tc>
          <w:tcPr>
            <w:tcW w:w="2780" w:type="dxa"/>
            <w:vAlign w:val="bottom"/>
          </w:tcPr>
          <w:p>
            <w:pPr>
              <w:ind w:left="20"/>
              <w:spacing w:after="0"/>
              <w:rPr>
                <w:sz w:val="20"/>
                <w:szCs w:val="20"/>
                <w:color w:val="auto"/>
              </w:rPr>
            </w:pPr>
            <w:r>
              <w:rPr>
                <w:rFonts w:ascii="Arial" w:cs="Arial" w:eastAsia="Arial" w:hAnsi="Arial"/>
                <w:sz w:val="14"/>
                <w:szCs w:val="14"/>
                <w:color w:val="auto"/>
              </w:rPr>
              <w:t>2023</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1880" w:type="dxa"/>
            <w:vAlign w:val="bottom"/>
            <w:tcBorders>
              <w:top w:val="single" w:sz="8" w:color="0D64EF"/>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Stock exchange</w:t>
            </w:r>
          </w:p>
        </w:tc>
        <w:tc>
          <w:tcPr>
            <w:tcW w:w="88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r>
      <w:tr>
        <w:trPr>
          <w:trHeight w:val="165"/>
        </w:trPr>
        <w:tc>
          <w:tcPr>
            <w:tcW w:w="3080" w:type="dxa"/>
            <w:vAlign w:val="bottom"/>
          </w:tcPr>
          <w:p>
            <w:pPr>
              <w:ind w:left="20"/>
              <w:spacing w:after="0"/>
              <w:rPr>
                <w:sz w:val="20"/>
                <w:szCs w:val="20"/>
                <w:color w:val="auto"/>
              </w:rPr>
            </w:pPr>
            <w:r>
              <w:rPr>
                <w:rFonts w:ascii="Arial" w:cs="Arial" w:eastAsia="Arial" w:hAnsi="Arial"/>
                <w:sz w:val="14"/>
                <w:szCs w:val="14"/>
                <w:color w:val="auto"/>
              </w:rPr>
              <w:t>Loblaw Companies Limited (retail)</w:t>
            </w:r>
          </w:p>
        </w:tc>
        <w:tc>
          <w:tcPr>
            <w:tcW w:w="1880" w:type="dxa"/>
            <w:vAlign w:val="bottom"/>
          </w:tcPr>
          <w:p>
            <w:pPr>
              <w:ind w:left="400"/>
              <w:spacing w:after="0"/>
              <w:rPr>
                <w:sz w:val="20"/>
                <w:szCs w:val="20"/>
                <w:color w:val="auto"/>
              </w:rPr>
            </w:pPr>
            <w:r>
              <w:rPr>
                <w:rFonts w:ascii="Arial" w:cs="Arial" w:eastAsia="Arial" w:hAnsi="Arial"/>
                <w:sz w:val="14"/>
                <w:szCs w:val="14"/>
                <w:color w:val="auto"/>
              </w:rPr>
              <w:t>TSX</w:t>
            </w:r>
          </w:p>
        </w:tc>
        <w:tc>
          <w:tcPr>
            <w:tcW w:w="8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Audit</w:t>
            </w:r>
          </w:p>
        </w:tc>
      </w:tr>
      <w:tr>
        <w:trPr>
          <w:trHeight w:val="161"/>
        </w:trPr>
        <w:tc>
          <w:tcPr>
            <w:tcW w:w="3080" w:type="dxa"/>
            <w:vAlign w:val="bottom"/>
          </w:tcPr>
          <w:p>
            <w:pPr>
              <w:ind w:left="20"/>
              <w:spacing w:after="0"/>
              <w:rPr>
                <w:sz w:val="20"/>
                <w:szCs w:val="20"/>
                <w:color w:val="auto"/>
              </w:rPr>
            </w:pPr>
            <w:r>
              <w:rPr>
                <w:rFonts w:ascii="Arial" w:cs="Arial" w:eastAsia="Arial" w:hAnsi="Arial"/>
                <w:sz w:val="14"/>
                <w:szCs w:val="14"/>
                <w:color w:val="auto"/>
              </w:rPr>
              <w:t>(since October 2016)</w:t>
            </w:r>
          </w:p>
        </w:tc>
        <w:tc>
          <w:tcPr>
            <w:tcW w:w="1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Governance, Talent and</w:t>
            </w:r>
          </w:p>
        </w:tc>
      </w:tr>
      <w:tr>
        <w:trPr>
          <w:trHeight w:val="194"/>
        </w:trPr>
        <w:tc>
          <w:tcPr>
            <w:tcW w:w="3080" w:type="dxa"/>
            <w:vAlign w:val="bottom"/>
            <w:tcBorders>
              <w:bottom w:val="single" w:sz="8" w:color="0D64EF"/>
            </w:tcBorders>
          </w:tcPr>
          <w:p>
            <w:pPr>
              <w:spacing w:after="0"/>
              <w:rPr>
                <w:sz w:val="16"/>
                <w:szCs w:val="16"/>
                <w:color w:val="auto"/>
              </w:rPr>
            </w:pPr>
          </w:p>
        </w:tc>
        <w:tc>
          <w:tcPr>
            <w:tcW w:w="1880" w:type="dxa"/>
            <w:vAlign w:val="bottom"/>
            <w:tcBorders>
              <w:bottom w:val="single" w:sz="8" w:color="0D64EF"/>
            </w:tcBorders>
          </w:tcPr>
          <w:p>
            <w:pPr>
              <w:spacing w:after="0"/>
              <w:rPr>
                <w:sz w:val="16"/>
                <w:szCs w:val="16"/>
                <w:color w:val="auto"/>
              </w:rPr>
            </w:pPr>
          </w:p>
        </w:tc>
        <w:tc>
          <w:tcPr>
            <w:tcW w:w="880" w:type="dxa"/>
            <w:vAlign w:val="bottom"/>
            <w:tcBorders>
              <w:bottom w:val="single" w:sz="8" w:color="0D64EF"/>
            </w:tcBorders>
          </w:tcPr>
          <w:p>
            <w:pPr>
              <w:spacing w:after="0"/>
              <w:rPr>
                <w:sz w:val="16"/>
                <w:szCs w:val="16"/>
                <w:color w:val="auto"/>
              </w:rPr>
            </w:pPr>
          </w:p>
        </w:tc>
        <w:tc>
          <w:tcPr>
            <w:tcW w:w="2440" w:type="dxa"/>
            <w:vAlign w:val="bottom"/>
            <w:tcBorders>
              <w:bottom w:val="single" w:sz="8" w:color="0D64EF"/>
            </w:tcBorders>
          </w:tcPr>
          <w:p>
            <w:pPr>
              <w:ind w:left="140"/>
              <w:spacing w:after="0"/>
              <w:rPr>
                <w:sz w:val="20"/>
                <w:szCs w:val="20"/>
                <w:color w:val="auto"/>
              </w:rPr>
            </w:pPr>
            <w:r>
              <w:rPr>
                <w:rFonts w:ascii="Arial" w:cs="Arial" w:eastAsia="Arial" w:hAnsi="Arial"/>
                <w:sz w:val="14"/>
                <w:szCs w:val="14"/>
                <w:color w:val="auto"/>
              </w:rPr>
              <w:t>Compensation</w:t>
            </w:r>
          </w:p>
        </w:tc>
      </w:tr>
      <w:tr>
        <w:trPr>
          <w:trHeight w:val="149"/>
        </w:trPr>
        <w:tc>
          <w:tcPr>
            <w:tcW w:w="3080" w:type="dxa"/>
            <w:vAlign w:val="bottom"/>
            <w:shd w:val="clear" w:color="auto" w:fill="D1D0CF"/>
          </w:tcPr>
          <w:p>
            <w:pPr>
              <w:spacing w:after="0"/>
              <w:rPr>
                <w:sz w:val="12"/>
                <w:szCs w:val="12"/>
                <w:color w:val="auto"/>
              </w:rPr>
            </w:pPr>
          </w:p>
        </w:tc>
        <w:tc>
          <w:tcPr>
            <w:tcW w:w="1880" w:type="dxa"/>
            <w:vAlign w:val="bottom"/>
            <w:shd w:val="clear" w:color="auto" w:fill="D1D0CF"/>
          </w:tcPr>
          <w:p>
            <w:pPr>
              <w:spacing w:after="0"/>
              <w:rPr>
                <w:sz w:val="12"/>
                <w:szCs w:val="12"/>
                <w:color w:val="auto"/>
              </w:rPr>
            </w:pPr>
          </w:p>
        </w:tc>
        <w:tc>
          <w:tcPr>
            <w:tcW w:w="88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9" w:lineRule="exact"/>
              <w:rPr>
                <w:sz w:val="20"/>
                <w:szCs w:val="20"/>
                <w:color w:val="auto"/>
              </w:rPr>
            </w:pPr>
            <w:r>
              <w:rPr>
                <w:rFonts w:ascii="Arial" w:cs="Arial" w:eastAsia="Arial" w:hAnsi="Arial"/>
                <w:sz w:val="14"/>
                <w:szCs w:val="14"/>
                <w:b w:val="1"/>
                <w:bCs w:val="1"/>
                <w:color w:val="auto"/>
              </w:rPr>
              <w:t>Meets share ownership</w:t>
            </w:r>
          </w:p>
        </w:tc>
      </w:tr>
      <w:tr>
        <w:trPr>
          <w:trHeight w:val="210"/>
        </w:trPr>
        <w:tc>
          <w:tcPr>
            <w:tcW w:w="30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880" w:type="dxa"/>
            <w:vAlign w:val="bottom"/>
            <w:tcBorders>
              <w:bottom w:val="single" w:sz="8" w:color="0D64EF"/>
            </w:tcBorders>
            <w:shd w:val="clear" w:color="auto" w:fill="D1D0CF"/>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88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r>
      <w:tr>
        <w:trPr>
          <w:trHeight w:val="213"/>
        </w:trPr>
        <w:tc>
          <w:tcPr>
            <w:tcW w:w="3080" w:type="dxa"/>
            <w:vAlign w:val="bottom"/>
          </w:tcPr>
          <w:p>
            <w:pPr>
              <w:ind w:left="20"/>
              <w:spacing w:after="0"/>
              <w:rPr>
                <w:sz w:val="20"/>
                <w:szCs w:val="20"/>
                <w:color w:val="auto"/>
              </w:rPr>
            </w:pPr>
            <w:r>
              <w:rPr>
                <w:rFonts w:ascii="Arial" w:cs="Arial" w:eastAsia="Arial" w:hAnsi="Arial"/>
                <w:sz w:val="14"/>
                <w:szCs w:val="14"/>
                <w:color w:val="auto"/>
              </w:rPr>
              <w:t>Shares</w:t>
            </w:r>
          </w:p>
        </w:tc>
        <w:tc>
          <w:tcPr>
            <w:tcW w:w="18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Mr. Bonham has until November</w:t>
            </w:r>
          </w:p>
        </w:tc>
      </w:tr>
      <w:tr>
        <w:trPr>
          <w:trHeight w:val="243"/>
        </w:trPr>
        <w:tc>
          <w:tcPr>
            <w:tcW w:w="3080" w:type="dxa"/>
            <w:vAlign w:val="bottom"/>
          </w:tcPr>
          <w:p>
            <w:pPr>
              <w:ind w:left="20"/>
              <w:spacing w:after="0"/>
              <w:rPr>
                <w:sz w:val="20"/>
                <w:szCs w:val="20"/>
                <w:color w:val="auto"/>
              </w:rPr>
            </w:pPr>
            <w:r>
              <w:rPr>
                <w:rFonts w:ascii="Arial" w:cs="Arial" w:eastAsia="Arial" w:hAnsi="Arial"/>
                <w:sz w:val="14"/>
                <w:szCs w:val="14"/>
                <w:color w:val="auto"/>
              </w:rPr>
              <w:t>DSUs</w:t>
            </w:r>
          </w:p>
        </w:tc>
        <w:tc>
          <w:tcPr>
            <w:tcW w:w="1880" w:type="dxa"/>
            <w:vAlign w:val="bottom"/>
          </w:tcPr>
          <w:p>
            <w:pPr>
              <w:jc w:val="right"/>
              <w:ind w:right="448"/>
              <w:spacing w:after="0"/>
              <w:rPr>
                <w:sz w:val="20"/>
                <w:szCs w:val="20"/>
                <w:color w:val="auto"/>
              </w:rPr>
            </w:pPr>
            <w:r>
              <w:rPr>
                <w:rFonts w:ascii="Arial" w:cs="Arial" w:eastAsia="Arial" w:hAnsi="Arial"/>
                <w:sz w:val="14"/>
                <w:szCs w:val="14"/>
                <w:color w:val="auto"/>
              </w:rPr>
              <w:t>6,893</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1,010</w:t>
            </w:r>
          </w:p>
        </w:tc>
        <w:tc>
          <w:tcPr>
            <w:tcW w:w="2440" w:type="dxa"/>
            <w:vAlign w:val="bottom"/>
          </w:tcPr>
          <w:p>
            <w:pPr>
              <w:ind w:left="140"/>
              <w:spacing w:after="0"/>
              <w:rPr>
                <w:sz w:val="20"/>
                <w:szCs w:val="20"/>
                <w:color w:val="auto"/>
              </w:rPr>
            </w:pPr>
            <w:r>
              <w:rPr>
                <w:rFonts w:ascii="Arial" w:cs="Arial" w:eastAsia="Arial" w:hAnsi="Arial"/>
                <w:sz w:val="14"/>
                <w:szCs w:val="14"/>
                <w:color w:val="auto"/>
              </w:rPr>
              <w:t>4, 2029 to meet the requirements.</w:t>
            </w:r>
          </w:p>
        </w:tc>
      </w:tr>
    </w:tbl>
    <w:p>
      <w:pPr>
        <w:spacing w:after="0" w:line="1128" w:lineRule="exact"/>
        <w:rPr>
          <w:sz w:val="20"/>
          <w:szCs w:val="20"/>
          <w:color w:val="auto"/>
        </w:rPr>
      </w:pPr>
    </w:p>
    <w:p>
      <w:pPr>
        <w:sectPr>
          <w:pgSz w:w="11900" w:h="16838" w:orient="portrait"/>
          <w:cols w:equalWidth="0" w:num="2">
            <w:col w:w="2500" w:space="460"/>
            <w:col w:w="8280"/>
          </w:cols>
          <w:pgMar w:left="320" w:top="10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34" w:right="33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40" w:hanging="135"/>
        <w:spacing w:after="0"/>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Accounting/Audit</w:t>
      </w:r>
    </w:p>
    <w:p>
      <w:pPr>
        <w:spacing w:after="0" w:line="53" w:lineRule="exact"/>
        <w:rPr>
          <w:rFonts w:ascii="Arial" w:cs="Arial" w:eastAsia="Arial" w:hAnsi="Arial"/>
          <w:sz w:val="14"/>
          <w:szCs w:val="14"/>
          <w:color w:val="auto"/>
        </w:rPr>
      </w:pPr>
    </w:p>
    <w:p>
      <w:pPr>
        <w:ind w:left="140" w:hanging="135"/>
        <w:spacing w:after="0"/>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Energy, Pipelines &amp; Midstream</w:t>
      </w:r>
    </w:p>
    <w:p>
      <w:pPr>
        <w:spacing w:after="0" w:line="67" w:lineRule="exact"/>
        <w:rPr>
          <w:rFonts w:ascii="Arial" w:cs="Arial" w:eastAsia="Arial" w:hAnsi="Arial"/>
          <w:sz w:val="14"/>
          <w:szCs w:val="14"/>
          <w:color w:val="auto"/>
        </w:rPr>
      </w:pPr>
    </w:p>
    <w:p>
      <w:pPr>
        <w:ind w:left="140" w:hanging="135"/>
        <w:spacing w:after="0"/>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Enterprise Risk Management</w:t>
      </w:r>
    </w:p>
    <w:p>
      <w:pPr>
        <w:spacing w:after="0" w:line="53" w:lineRule="exact"/>
        <w:rPr>
          <w:rFonts w:ascii="Arial" w:cs="Arial" w:eastAsia="Arial" w:hAnsi="Arial"/>
          <w:sz w:val="14"/>
          <w:szCs w:val="14"/>
          <w:color w:val="auto"/>
        </w:rPr>
      </w:pPr>
    </w:p>
    <w:p>
      <w:pPr>
        <w:ind w:left="140" w:hanging="135"/>
        <w:spacing w:after="0"/>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Governance</w:t>
      </w:r>
    </w:p>
    <w:p>
      <w:pPr>
        <w:spacing w:after="0" w:line="67" w:lineRule="exact"/>
        <w:rPr>
          <w:rFonts w:ascii="Arial" w:cs="Arial" w:eastAsia="Arial" w:hAnsi="Arial"/>
          <w:sz w:val="14"/>
          <w:szCs w:val="14"/>
          <w:color w:val="auto"/>
        </w:rPr>
      </w:pPr>
    </w:p>
    <w:p>
      <w:pPr>
        <w:ind w:left="160" w:right="400" w:hanging="155"/>
        <w:spacing w:after="0" w:line="300" w:lineRule="auto"/>
        <w:tabs>
          <w:tab w:leader="none" w:pos="143" w:val="left"/>
        </w:tabs>
        <w:numPr>
          <w:ilvl w:val="0"/>
          <w:numId w:val="28"/>
        </w:numPr>
        <w:rPr>
          <w:rFonts w:ascii="Arial" w:cs="Arial" w:eastAsia="Arial" w:hAnsi="Arial"/>
          <w:sz w:val="14"/>
          <w:szCs w:val="14"/>
          <w:color w:val="auto"/>
        </w:rPr>
      </w:pPr>
      <w:r>
        <w:rPr>
          <w:rFonts w:ascii="Arial" w:cs="Arial" w:eastAsia="Arial" w:hAnsi="Arial"/>
          <w:sz w:val="14"/>
          <w:szCs w:val="14"/>
          <w:color w:val="auto"/>
        </w:rPr>
        <w:t>Government, Regulatory &amp; Stakeholder Relations</w:t>
      </w:r>
    </w:p>
    <w:p>
      <w:pPr>
        <w:ind w:left="140" w:hanging="135"/>
        <w:spacing w:after="0"/>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Major Projects</w:t>
      </w:r>
    </w:p>
    <w:p>
      <w:pPr>
        <w:spacing w:after="0" w:line="67" w:lineRule="exact"/>
        <w:rPr>
          <w:rFonts w:ascii="Arial" w:cs="Arial" w:eastAsia="Arial" w:hAnsi="Arial"/>
          <w:sz w:val="14"/>
          <w:szCs w:val="14"/>
          <w:color w:val="auto"/>
        </w:rPr>
      </w:pPr>
    </w:p>
    <w:p>
      <w:pPr>
        <w:ind w:left="160" w:right="260" w:hanging="155"/>
        <w:spacing w:after="0" w:line="300" w:lineRule="auto"/>
        <w:tabs>
          <w:tab w:leader="none" w:pos="143" w:val="left"/>
        </w:tabs>
        <w:numPr>
          <w:ilvl w:val="0"/>
          <w:numId w:val="28"/>
        </w:numPr>
        <w:rPr>
          <w:rFonts w:ascii="Arial" w:cs="Arial" w:eastAsia="Arial" w:hAnsi="Arial"/>
          <w:sz w:val="14"/>
          <w:szCs w:val="14"/>
          <w:color w:val="auto"/>
        </w:rPr>
      </w:pPr>
      <w:r>
        <w:rPr>
          <w:rFonts w:ascii="Arial" w:cs="Arial" w:eastAsia="Arial" w:hAnsi="Arial"/>
          <w:sz w:val="14"/>
          <w:szCs w:val="14"/>
          <w:color w:val="auto"/>
        </w:rPr>
        <w:t>Operations/Health, Safety, Sustainability &amp; Environment</w:t>
      </w:r>
    </w:p>
    <w:p>
      <w:pPr>
        <w:ind w:left="140" w:hanging="135"/>
        <w:spacing w:after="0"/>
        <w:tabs>
          <w:tab w:leader="none" w:pos="1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$2,263,704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TC Energy</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Board/Committees</w:t>
      </w:r>
    </w:p>
    <w:p>
      <w:pPr>
        <w:spacing w:after="0"/>
        <w:rPr>
          <w:sz w:val="20"/>
          <w:szCs w:val="20"/>
          <w:color w:val="auto"/>
        </w:rPr>
      </w:pPr>
      <w:r>
        <w:rPr>
          <w:rFonts w:ascii="Arial" w:cs="Arial" w:eastAsia="Arial" w:hAnsi="Arial"/>
          <w:sz w:val="16"/>
          <w:szCs w:val="16"/>
          <w:b w:val="1"/>
          <w:bCs w:val="1"/>
          <w:color w:val="0D64EF"/>
        </w:rPr>
        <w:t>2025 meeting attendance</w:t>
      </w:r>
    </w:p>
    <w:p>
      <w:pPr>
        <w:spacing w:after="0" w:line="60" w:lineRule="exact"/>
        <w:rPr>
          <w:sz w:val="20"/>
          <w:szCs w:val="20"/>
          <w:color w:val="auto"/>
        </w:rPr>
      </w:pPr>
    </w:p>
    <w:p>
      <w:pPr>
        <w:ind w:left="160" w:right="760" w:hanging="155"/>
        <w:spacing w:after="0" w:line="330" w:lineRule="auto"/>
        <w:tabs>
          <w:tab w:leader="none" w:pos="143" w:val="left"/>
        </w:tabs>
        <w:numPr>
          <w:ilvl w:val="0"/>
          <w:numId w:val="29"/>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ind w:left="140" w:hanging="135"/>
        <w:spacing w:after="0"/>
        <w:tabs>
          <w:tab w:leader="none" w:pos="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Audit Committee</w:t>
      </w:r>
    </w:p>
    <w:p>
      <w:pPr>
        <w:spacing w:after="0" w:line="53" w:lineRule="exact"/>
        <w:rPr>
          <w:rFonts w:ascii="Arial" w:cs="Arial" w:eastAsia="Arial" w:hAnsi="Arial"/>
          <w:sz w:val="14"/>
          <w:szCs w:val="14"/>
          <w:color w:val="auto"/>
        </w:rPr>
      </w:pPr>
    </w:p>
    <w:p>
      <w:pPr>
        <w:ind w:left="160"/>
        <w:spacing w:after="0"/>
        <w:rPr>
          <w:rFonts w:ascii="Arial" w:cs="Arial" w:eastAsia="Arial" w:hAnsi="Arial"/>
          <w:sz w:val="14"/>
          <w:szCs w:val="14"/>
          <w:color w:val="auto"/>
        </w:rPr>
      </w:pPr>
      <w:r>
        <w:rPr>
          <w:rFonts w:ascii="Arial" w:cs="Arial" w:eastAsia="Arial" w:hAnsi="Arial"/>
          <w:sz w:val="14"/>
          <w:szCs w:val="14"/>
          <w:color w:val="auto"/>
        </w:rPr>
        <w:t>4/4 meetings (100%)</w:t>
      </w:r>
    </w:p>
    <w:p>
      <w:pPr>
        <w:spacing w:after="0" w:line="67" w:lineRule="exact"/>
        <w:rPr>
          <w:rFonts w:ascii="Arial" w:cs="Arial" w:eastAsia="Arial" w:hAnsi="Arial"/>
          <w:sz w:val="14"/>
          <w:szCs w:val="14"/>
          <w:color w:val="auto"/>
        </w:rPr>
      </w:pPr>
    </w:p>
    <w:p>
      <w:pPr>
        <w:ind w:left="160" w:hanging="155"/>
        <w:spacing w:after="0" w:line="300" w:lineRule="auto"/>
        <w:tabs>
          <w:tab w:leader="none" w:pos="143" w:val="left"/>
        </w:tabs>
        <w:numPr>
          <w:ilvl w:val="0"/>
          <w:numId w:val="29"/>
        </w:numPr>
        <w:rPr>
          <w:rFonts w:ascii="Arial" w:cs="Arial" w:eastAsia="Arial" w:hAnsi="Arial"/>
          <w:sz w:val="14"/>
          <w:szCs w:val="14"/>
          <w:color w:val="auto"/>
        </w:rPr>
      </w:pPr>
      <w:r>
        <w:rPr>
          <w:rFonts w:ascii="Arial" w:cs="Arial" w:eastAsia="Arial" w:hAnsi="Arial"/>
          <w:sz w:val="14"/>
          <w:szCs w:val="14"/>
          <w:color w:val="auto"/>
        </w:rPr>
        <w:t>Health, Safety, Sustainability and Environment Committee</w:t>
      </w:r>
    </w:p>
    <w:p>
      <w:pPr>
        <w:ind w:left="160"/>
        <w:spacing w:after="0"/>
        <w:rPr>
          <w:rFonts w:ascii="Arial" w:cs="Arial" w:eastAsia="Arial" w:hAnsi="Arial"/>
          <w:sz w:val="14"/>
          <w:szCs w:val="14"/>
          <w:color w:val="auto"/>
        </w:rPr>
      </w:pPr>
      <w:r>
        <w:rPr>
          <w:rFonts w:ascii="Arial" w:cs="Arial" w:eastAsia="Arial" w:hAnsi="Arial"/>
          <w:sz w:val="14"/>
          <w:szCs w:val="14"/>
          <w:color w:val="auto"/>
        </w:rPr>
        <w:t>4/4 meetings (100%)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Cheryl F.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-190500</wp:posOffset>
            </wp:positionV>
            <wp:extent cx="8255" cy="7764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776414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66, MONUMENT, CO, U.S.A. | DIRECTOR SINCE 2022</w:t>
      </w:r>
    </w:p>
    <w:p>
      <w:pPr>
        <w:spacing w:after="0" w:line="364" w:lineRule="exact"/>
        <w:rPr>
          <w:sz w:val="20"/>
          <w:szCs w:val="20"/>
          <w:color w:val="auto"/>
        </w:rPr>
      </w:pPr>
    </w:p>
    <w:p>
      <w:pPr>
        <w:ind w:left="20" w:right="80"/>
        <w:spacing w:after="0" w:line="306" w:lineRule="auto"/>
        <w:rPr>
          <w:sz w:val="20"/>
          <w:szCs w:val="20"/>
          <w:color w:val="auto"/>
        </w:rPr>
      </w:pPr>
      <w:r>
        <w:rPr>
          <w:rFonts w:ascii="Arial" w:cs="Arial" w:eastAsia="Arial" w:hAnsi="Arial"/>
          <w:sz w:val="16"/>
          <w:szCs w:val="16"/>
          <w:color w:val="auto"/>
        </w:rPr>
        <w:t>Ms. Campbell is a corporate director and has 35 years of energy experience in midstream, interstate pipelines and utilities. She currently serves on the board of PG&amp;E Corporation (PG&amp;E) (utilities), where she is Chair of the Safety</w:t>
      </w:r>
    </w:p>
    <w:p>
      <w:pPr>
        <w:spacing w:after="0" w:line="1" w:lineRule="exact"/>
        <w:rPr>
          <w:sz w:val="20"/>
          <w:szCs w:val="20"/>
          <w:color w:val="auto"/>
        </w:rPr>
      </w:pPr>
    </w:p>
    <w:p>
      <w:pPr>
        <w:ind w:left="20" w:right="220" w:firstLine="1"/>
        <w:spacing w:after="0" w:line="306" w:lineRule="auto"/>
        <w:tabs>
          <w:tab w:leader="none" w:pos="1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Nuclear Oversight Committee as well as a member of its Sustainability &amp; Governance Committee. She also serves on the boards of Summit Utilities (natural gas distribution), as Chair, and JANA Corporation (infrastructure</w:t>
      </w:r>
    </w:p>
    <w:p>
      <w:pPr>
        <w:spacing w:after="0" w:line="1" w:lineRule="exact"/>
        <w:rPr>
          <w:rFonts w:ascii="Arial" w:cs="Arial" w:eastAsia="Arial" w:hAnsi="Arial"/>
          <w:sz w:val="16"/>
          <w:szCs w:val="16"/>
          <w:color w:val="auto"/>
        </w:rPr>
      </w:pPr>
    </w:p>
    <w:p>
      <w:pPr>
        <w:ind w:left="20" w:right="660"/>
        <w:spacing w:after="0" w:line="337" w:lineRule="auto"/>
        <w:rPr>
          <w:rFonts w:ascii="Arial" w:cs="Arial" w:eastAsia="Arial" w:hAnsi="Arial"/>
          <w:sz w:val="16"/>
          <w:szCs w:val="16"/>
          <w:color w:val="auto"/>
        </w:rPr>
      </w:pPr>
      <w:r>
        <w:rPr>
          <w:rFonts w:ascii="Arial" w:cs="Arial" w:eastAsia="Arial" w:hAnsi="Arial"/>
          <w:sz w:val="16"/>
          <w:szCs w:val="16"/>
          <w:color w:val="auto"/>
        </w:rPr>
        <w:t>service provider). She is involved in non-profit board work serving on the National Association of Corporate Directors (NACD), Colorado chapter board.</w:t>
      </w:r>
    </w:p>
    <w:p>
      <w:pPr>
        <w:spacing w:after="0" w:line="48" w:lineRule="exact"/>
        <w:rPr>
          <w:sz w:val="20"/>
          <w:szCs w:val="20"/>
          <w:color w:val="auto"/>
        </w:rPr>
      </w:pPr>
    </w:p>
    <w:p>
      <w:pPr>
        <w:ind w:left="20" w:right="40"/>
        <w:spacing w:after="0" w:line="326" w:lineRule="auto"/>
        <w:rPr>
          <w:sz w:val="20"/>
          <w:szCs w:val="20"/>
          <w:color w:val="auto"/>
        </w:rPr>
      </w:pPr>
      <w:r>
        <w:rPr>
          <w:rFonts w:ascii="Arial" w:cs="Arial" w:eastAsia="Arial" w:hAnsi="Arial"/>
          <w:sz w:val="16"/>
          <w:szCs w:val="16"/>
          <w:color w:val="auto"/>
        </w:rPr>
        <w:t>Ms. Campbell previously served as a Senior Vice President, Gas, with Xcel Energy, Inc. (utility supplier). During her 13-year tenure there, she developed industry leading gas integrity and risk management programs, improving regulatory returns and overall operating, environmental and safety metrics.</w:t>
      </w:r>
    </w:p>
    <w:p>
      <w:pPr>
        <w:spacing w:after="0" w:line="43" w:lineRule="exact"/>
        <w:rPr>
          <w:sz w:val="20"/>
          <w:szCs w:val="20"/>
          <w:color w:val="auto"/>
        </w:rPr>
      </w:pPr>
    </w:p>
    <w:p>
      <w:pPr>
        <w:ind w:left="20" w:right="160"/>
        <w:spacing w:after="0" w:line="326" w:lineRule="auto"/>
        <w:rPr>
          <w:sz w:val="20"/>
          <w:szCs w:val="20"/>
          <w:color w:val="auto"/>
        </w:rPr>
      </w:pPr>
      <w:r>
        <w:rPr>
          <w:rFonts w:ascii="Arial" w:cs="Arial" w:eastAsia="Arial" w:hAnsi="Arial"/>
          <w:sz w:val="16"/>
          <w:szCs w:val="16"/>
          <w:color w:val="auto"/>
        </w:rPr>
        <w:t>Ms. Campbell also served on the U.S. Department of Transportation's Gas Pipeline Advisory Committee providing guidance to the Secretary of Transportation on pipeline safety regulations, and testified before a congressional subcommittee on pipeline infrastructure safety.</w:t>
      </w:r>
    </w:p>
    <w:p>
      <w:pPr>
        <w:spacing w:after="0" w:line="43" w:lineRule="exact"/>
        <w:rPr>
          <w:sz w:val="20"/>
          <w:szCs w:val="20"/>
          <w:color w:val="auto"/>
        </w:rPr>
      </w:pPr>
    </w:p>
    <w:p>
      <w:pPr>
        <w:ind w:left="20" w:right="240"/>
        <w:spacing w:after="0" w:line="354" w:lineRule="auto"/>
        <w:rPr>
          <w:sz w:val="20"/>
          <w:szCs w:val="20"/>
          <w:color w:val="auto"/>
        </w:rPr>
      </w:pPr>
      <w:r>
        <w:rPr>
          <w:rFonts w:ascii="Arial" w:cs="Arial" w:eastAsia="Arial" w:hAnsi="Arial"/>
          <w:sz w:val="16"/>
          <w:szCs w:val="16"/>
          <w:color w:val="auto"/>
        </w:rPr>
        <w:t>In 2019, Ms. Campbell was awarded the Natural Gas Leadership Award from the American Gas Association and was named one of the Top Women in Energy by the Denver Business Journal in 2014.</w:t>
      </w:r>
    </w:p>
    <w:p>
      <w:pPr>
        <w:spacing w:after="0" w:line="22" w:lineRule="exact"/>
        <w:rPr>
          <w:sz w:val="20"/>
          <w:szCs w:val="20"/>
          <w:color w:val="auto"/>
        </w:rPr>
      </w:pPr>
    </w:p>
    <w:p>
      <w:pPr>
        <w:ind w:left="20" w:right="360"/>
        <w:spacing w:after="0" w:line="326" w:lineRule="auto"/>
        <w:rPr>
          <w:sz w:val="20"/>
          <w:szCs w:val="20"/>
          <w:color w:val="auto"/>
        </w:rPr>
      </w:pPr>
      <w:r>
        <w:rPr>
          <w:rFonts w:ascii="Arial" w:cs="Arial" w:eastAsia="Arial" w:hAnsi="Arial"/>
          <w:sz w:val="16"/>
          <w:szCs w:val="16"/>
          <w:color w:val="auto"/>
        </w:rPr>
        <w:t>Ms. Campbell holds a Master of Science degree in finance, with a minor in management, from the University of Colorado at Denver, as well as Bachelor of Science degrees in chemical engineering and business from the University of Colorado at Boulder.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1840" w:type="dxa"/>
            <w:vAlign w:val="bottom"/>
            <w:tcBorders>
              <w:top w:val="single" w:sz="8" w:color="0D64EF"/>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Votes in favour</w:t>
            </w:r>
          </w:p>
        </w:tc>
        <w:tc>
          <w:tcPr>
            <w:tcW w:w="92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Votes against</w:t>
            </w:r>
          </w:p>
        </w:tc>
      </w:tr>
      <w:tr>
        <w:trPr>
          <w:trHeight w:val="234"/>
        </w:trPr>
        <w:tc>
          <w:tcPr>
            <w:tcW w:w="3080" w:type="dxa"/>
            <w:vAlign w:val="bottom"/>
          </w:tcPr>
          <w:p>
            <w:pPr>
              <w:ind w:left="20"/>
              <w:spacing w:after="0"/>
              <w:rPr>
                <w:sz w:val="20"/>
                <w:szCs w:val="20"/>
                <w:color w:val="auto"/>
              </w:rPr>
            </w:pPr>
            <w:r>
              <w:rPr>
                <w:rFonts w:ascii="Arial" w:cs="Arial" w:eastAsia="Arial" w:hAnsi="Arial"/>
                <w:sz w:val="14"/>
                <w:szCs w:val="14"/>
                <w:color w:val="auto"/>
              </w:rPr>
              <w:t>2025</w:t>
            </w:r>
          </w:p>
        </w:tc>
        <w:tc>
          <w:tcPr>
            <w:tcW w:w="2760" w:type="dxa"/>
            <w:vAlign w:val="bottom"/>
            <w:gridSpan w:val="2"/>
          </w:tcPr>
          <w:p>
            <w:pPr>
              <w:jc w:val="right"/>
              <w:ind w:right="68"/>
              <w:spacing w:after="0"/>
              <w:rPr>
                <w:sz w:val="20"/>
                <w:szCs w:val="20"/>
                <w:color w:val="auto"/>
              </w:rPr>
            </w:pPr>
            <w:r>
              <w:rPr>
                <w:rFonts w:ascii="Arial" w:cs="Arial" w:eastAsia="Arial" w:hAnsi="Arial"/>
                <w:sz w:val="14"/>
                <w:szCs w:val="14"/>
                <w:color w:val="auto"/>
              </w:rPr>
              <w:t>673,225,982 (99.28%)</w:t>
            </w:r>
          </w:p>
        </w:tc>
        <w:tc>
          <w:tcPr>
            <w:tcW w:w="2440" w:type="dxa"/>
            <w:vAlign w:val="bottom"/>
          </w:tcPr>
          <w:p>
            <w:pPr>
              <w:ind w:left="1240"/>
              <w:spacing w:after="0"/>
              <w:rPr>
                <w:sz w:val="20"/>
                <w:szCs w:val="20"/>
                <w:color w:val="auto"/>
              </w:rPr>
            </w:pPr>
            <w:r>
              <w:rPr>
                <w:rFonts w:ascii="Arial" w:cs="Arial" w:eastAsia="Arial" w:hAnsi="Arial"/>
                <w:sz w:val="14"/>
                <w:szCs w:val="14"/>
                <w:color w:val="auto"/>
              </w:rPr>
              <w:t>4,853,157 (0.72%)</w:t>
            </w:r>
          </w:p>
        </w:tc>
      </w:tr>
      <w:tr>
        <w:trPr>
          <w:trHeight w:val="255"/>
        </w:trPr>
        <w:tc>
          <w:tcPr>
            <w:tcW w:w="3080" w:type="dxa"/>
            <w:vAlign w:val="bottom"/>
          </w:tcPr>
          <w:p>
            <w:pPr>
              <w:ind w:left="20"/>
              <w:spacing w:after="0"/>
              <w:rPr>
                <w:sz w:val="20"/>
                <w:szCs w:val="20"/>
                <w:color w:val="auto"/>
              </w:rPr>
            </w:pPr>
            <w:r>
              <w:rPr>
                <w:rFonts w:ascii="Arial" w:cs="Arial" w:eastAsia="Arial" w:hAnsi="Arial"/>
                <w:sz w:val="14"/>
                <w:szCs w:val="14"/>
                <w:color w:val="auto"/>
              </w:rPr>
              <w:t>2024</w:t>
            </w:r>
          </w:p>
        </w:tc>
        <w:tc>
          <w:tcPr>
            <w:tcW w:w="2760" w:type="dxa"/>
            <w:vAlign w:val="bottom"/>
            <w:gridSpan w:val="2"/>
          </w:tcPr>
          <w:p>
            <w:pPr>
              <w:jc w:val="right"/>
              <w:ind w:right="68"/>
              <w:spacing w:after="0"/>
              <w:rPr>
                <w:sz w:val="20"/>
                <w:szCs w:val="20"/>
                <w:color w:val="auto"/>
              </w:rPr>
            </w:pPr>
            <w:r>
              <w:rPr>
                <w:rFonts w:ascii="Arial" w:cs="Arial" w:eastAsia="Arial" w:hAnsi="Arial"/>
                <w:sz w:val="14"/>
                <w:szCs w:val="14"/>
                <w:color w:val="auto"/>
              </w:rPr>
              <w:t>658,934,044 (99.08%)</w:t>
            </w:r>
          </w:p>
        </w:tc>
        <w:tc>
          <w:tcPr>
            <w:tcW w:w="2440" w:type="dxa"/>
            <w:vAlign w:val="bottom"/>
          </w:tcPr>
          <w:p>
            <w:pPr>
              <w:ind w:left="1240"/>
              <w:spacing w:after="0"/>
              <w:rPr>
                <w:sz w:val="20"/>
                <w:szCs w:val="20"/>
                <w:color w:val="auto"/>
              </w:rPr>
            </w:pPr>
            <w:r>
              <w:rPr>
                <w:rFonts w:ascii="Arial" w:cs="Arial" w:eastAsia="Arial" w:hAnsi="Arial"/>
                <w:sz w:val="14"/>
                <w:szCs w:val="14"/>
                <w:color w:val="auto"/>
              </w:rPr>
              <w:t>6,091,745 (0.92%)</w:t>
            </w:r>
          </w:p>
        </w:tc>
      </w:tr>
      <w:tr>
        <w:trPr>
          <w:trHeight w:val="259"/>
        </w:trPr>
        <w:tc>
          <w:tcPr>
            <w:tcW w:w="308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2023</w:t>
            </w:r>
          </w:p>
        </w:tc>
        <w:tc>
          <w:tcPr>
            <w:tcW w:w="2760" w:type="dxa"/>
            <w:vAlign w:val="bottom"/>
            <w:tcBorders>
              <w:bottom w:val="single" w:sz="8" w:color="0D64EF"/>
            </w:tcBorders>
            <w:gridSpan w:val="2"/>
          </w:tcPr>
          <w:p>
            <w:pPr>
              <w:jc w:val="right"/>
              <w:ind w:right="68"/>
              <w:spacing w:after="0"/>
              <w:rPr>
                <w:sz w:val="20"/>
                <w:szCs w:val="20"/>
                <w:color w:val="auto"/>
              </w:rPr>
            </w:pPr>
            <w:r>
              <w:rPr>
                <w:rFonts w:ascii="Arial" w:cs="Arial" w:eastAsia="Arial" w:hAnsi="Arial"/>
                <w:sz w:val="14"/>
                <w:szCs w:val="14"/>
                <w:color w:val="auto"/>
              </w:rPr>
              <w:t>671,097,465 (99.59%)</w:t>
            </w:r>
          </w:p>
        </w:tc>
        <w:tc>
          <w:tcPr>
            <w:tcW w:w="2440" w:type="dxa"/>
            <w:vAlign w:val="bottom"/>
            <w:tcBorders>
              <w:bottom w:val="single" w:sz="8" w:color="0D64EF"/>
            </w:tcBorders>
          </w:tcPr>
          <w:p>
            <w:pPr>
              <w:ind w:left="1240"/>
              <w:spacing w:after="0"/>
              <w:rPr>
                <w:sz w:val="20"/>
                <w:szCs w:val="20"/>
                <w:color w:val="auto"/>
              </w:rPr>
            </w:pPr>
            <w:r>
              <w:rPr>
                <w:rFonts w:ascii="Arial" w:cs="Arial" w:eastAsia="Arial" w:hAnsi="Arial"/>
                <w:sz w:val="14"/>
                <w:szCs w:val="14"/>
                <w:color w:val="auto"/>
              </w:rPr>
              <w:t>2,756,843 (0.41%)</w:t>
            </w:r>
          </w:p>
        </w:tc>
      </w:tr>
      <w:tr>
        <w:trPr>
          <w:trHeight w:val="233"/>
        </w:trPr>
        <w:tc>
          <w:tcPr>
            <w:tcW w:w="30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1840" w:type="dxa"/>
            <w:vAlign w:val="bottom"/>
            <w:tcBorders>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Stock exchange</w:t>
            </w:r>
          </w:p>
        </w:tc>
        <w:tc>
          <w:tcPr>
            <w:tcW w:w="920" w:type="dxa"/>
            <w:vAlign w:val="bottom"/>
            <w:tcBorders>
              <w:bottom w:val="single" w:sz="8" w:color="0D64EF"/>
            </w:tcBorders>
            <w:shd w:val="clear" w:color="auto" w:fill="D1D0CF"/>
          </w:tcPr>
          <w:p>
            <w:pPr>
              <w:spacing w:after="0"/>
              <w:rPr>
                <w:sz w:val="20"/>
                <w:szCs w:val="20"/>
                <w:color w:val="auto"/>
              </w:rPr>
            </w:pP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r>
      <w:tr>
        <w:trPr>
          <w:trHeight w:val="165"/>
        </w:trPr>
        <w:tc>
          <w:tcPr>
            <w:tcW w:w="3080" w:type="dxa"/>
            <w:vAlign w:val="bottom"/>
          </w:tcPr>
          <w:p>
            <w:pPr>
              <w:ind w:left="20"/>
              <w:spacing w:after="0"/>
              <w:rPr>
                <w:sz w:val="20"/>
                <w:szCs w:val="20"/>
                <w:color w:val="auto"/>
              </w:rPr>
            </w:pPr>
            <w:r>
              <w:rPr>
                <w:rFonts w:ascii="Arial" w:cs="Arial" w:eastAsia="Arial" w:hAnsi="Arial"/>
                <w:sz w:val="14"/>
                <w:szCs w:val="14"/>
                <w:color w:val="auto"/>
              </w:rPr>
              <w:t>PG&amp;E Corporation (utilities)</w:t>
            </w:r>
          </w:p>
        </w:tc>
        <w:tc>
          <w:tcPr>
            <w:tcW w:w="1840" w:type="dxa"/>
            <w:vAlign w:val="bottom"/>
          </w:tcPr>
          <w:p>
            <w:pPr>
              <w:ind w:left="400"/>
              <w:spacing w:after="0"/>
              <w:rPr>
                <w:sz w:val="20"/>
                <w:szCs w:val="20"/>
                <w:color w:val="auto"/>
              </w:rPr>
            </w:pPr>
            <w:r>
              <w:rPr>
                <w:rFonts w:ascii="Arial" w:cs="Arial" w:eastAsia="Arial" w:hAnsi="Arial"/>
                <w:sz w:val="14"/>
                <w:szCs w:val="14"/>
                <w:color w:val="auto"/>
              </w:rPr>
              <w:t>NYSE</w:t>
            </w:r>
          </w:p>
        </w:tc>
        <w:tc>
          <w:tcPr>
            <w:tcW w:w="9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Safety and Nuclear Oversight</w:t>
            </w:r>
          </w:p>
        </w:tc>
      </w:tr>
      <w:tr>
        <w:trPr>
          <w:trHeight w:val="161"/>
        </w:trPr>
        <w:tc>
          <w:tcPr>
            <w:tcW w:w="3080" w:type="dxa"/>
            <w:vAlign w:val="bottom"/>
          </w:tcPr>
          <w:p>
            <w:pPr>
              <w:ind w:left="20"/>
              <w:spacing w:after="0"/>
              <w:rPr>
                <w:sz w:val="20"/>
                <w:szCs w:val="20"/>
                <w:color w:val="auto"/>
              </w:rPr>
            </w:pPr>
            <w:r>
              <w:rPr>
                <w:rFonts w:ascii="Arial" w:cs="Arial" w:eastAsia="Arial" w:hAnsi="Arial"/>
                <w:sz w:val="14"/>
                <w:szCs w:val="14"/>
                <w:color w:val="auto"/>
              </w:rPr>
              <w:t>(since April 2019)</w:t>
            </w: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(Chair)</w:t>
            </w:r>
          </w:p>
        </w:tc>
      </w:tr>
      <w:tr>
        <w:trPr>
          <w:trHeight w:val="190"/>
        </w:trPr>
        <w:tc>
          <w:tcPr>
            <w:tcW w:w="30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Sustainability and Governance</w:t>
            </w:r>
          </w:p>
        </w:tc>
      </w:tr>
      <w:tr>
        <w:trPr>
          <w:trHeight w:val="169"/>
        </w:trPr>
        <w:tc>
          <w:tcPr>
            <w:tcW w:w="3080" w:type="dxa"/>
            <w:vAlign w:val="bottom"/>
            <w:tcBorders>
              <w:bottom w:val="single" w:sz="8" w:color="0D64EF"/>
            </w:tcBorders>
          </w:tcPr>
          <w:p>
            <w:pPr>
              <w:spacing w:after="0"/>
              <w:rPr>
                <w:sz w:val="14"/>
                <w:szCs w:val="14"/>
                <w:color w:val="auto"/>
              </w:rPr>
            </w:pPr>
          </w:p>
        </w:tc>
        <w:tc>
          <w:tcPr>
            <w:tcW w:w="1840" w:type="dxa"/>
            <w:vAlign w:val="bottom"/>
            <w:tcBorders>
              <w:bottom w:val="single" w:sz="8" w:color="0D64EF"/>
            </w:tcBorders>
          </w:tcPr>
          <w:p>
            <w:pPr>
              <w:spacing w:after="0"/>
              <w:rPr>
                <w:sz w:val="14"/>
                <w:szCs w:val="14"/>
                <w:color w:val="auto"/>
              </w:rPr>
            </w:pPr>
          </w:p>
        </w:tc>
        <w:tc>
          <w:tcPr>
            <w:tcW w:w="920" w:type="dxa"/>
            <w:vAlign w:val="bottom"/>
            <w:tcBorders>
              <w:bottom w:val="single" w:sz="8" w:color="0D64EF"/>
            </w:tcBorders>
          </w:tcPr>
          <w:p>
            <w:pPr>
              <w:spacing w:after="0"/>
              <w:rPr>
                <w:sz w:val="14"/>
                <w:szCs w:val="14"/>
                <w:color w:val="auto"/>
              </w:rPr>
            </w:pPr>
          </w:p>
        </w:tc>
        <w:tc>
          <w:tcPr>
            <w:tcW w:w="2440" w:type="dxa"/>
            <w:vAlign w:val="bottom"/>
            <w:tcBorders>
              <w:bottom w:val="single" w:sz="8" w:color="0D64EF"/>
            </w:tcBorders>
          </w:tcPr>
          <w:p>
            <w:pPr>
              <w:spacing w:after="0"/>
              <w:rPr>
                <w:sz w:val="14"/>
                <w:szCs w:val="14"/>
                <w:color w:val="auto"/>
              </w:rPr>
            </w:pPr>
          </w:p>
        </w:tc>
      </w:tr>
      <w:tr>
        <w:trPr>
          <w:trHeight w:val="145"/>
        </w:trPr>
        <w:tc>
          <w:tcPr>
            <w:tcW w:w="3080" w:type="dxa"/>
            <w:vAlign w:val="bottom"/>
            <w:shd w:val="clear" w:color="auto" w:fill="D1D0CF"/>
          </w:tcPr>
          <w:p>
            <w:pPr>
              <w:spacing w:after="0"/>
              <w:rPr>
                <w:sz w:val="12"/>
                <w:szCs w:val="12"/>
                <w:color w:val="auto"/>
              </w:rPr>
            </w:pPr>
          </w:p>
        </w:tc>
        <w:tc>
          <w:tcPr>
            <w:tcW w:w="1840" w:type="dxa"/>
            <w:vAlign w:val="bottom"/>
            <w:shd w:val="clear" w:color="auto" w:fill="D1D0CF"/>
          </w:tcPr>
          <w:p>
            <w:pPr>
              <w:spacing w:after="0"/>
              <w:rPr>
                <w:sz w:val="12"/>
                <w:szCs w:val="12"/>
                <w:color w:val="auto"/>
              </w:rPr>
            </w:pPr>
          </w:p>
        </w:tc>
        <w:tc>
          <w:tcPr>
            <w:tcW w:w="92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5" w:lineRule="exact"/>
              <w:rPr>
                <w:sz w:val="20"/>
                <w:szCs w:val="20"/>
                <w:color w:val="auto"/>
              </w:rPr>
            </w:pPr>
            <w:r>
              <w:rPr>
                <w:rFonts w:ascii="Arial" w:cs="Arial" w:eastAsia="Arial" w:hAnsi="Arial"/>
                <w:sz w:val="14"/>
                <w:szCs w:val="14"/>
                <w:b w:val="1"/>
                <w:bCs w:val="1"/>
                <w:color w:val="auto"/>
              </w:rPr>
              <w:t>Meets share ownership</w:t>
            </w:r>
          </w:p>
        </w:tc>
      </w:tr>
      <w:tr>
        <w:trPr>
          <w:trHeight w:val="210"/>
        </w:trPr>
        <w:tc>
          <w:tcPr>
            <w:tcW w:w="30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840" w:type="dxa"/>
            <w:vAlign w:val="bottom"/>
            <w:tcBorders>
              <w:bottom w:val="single" w:sz="8" w:color="0D64EF"/>
            </w:tcBorders>
            <w:shd w:val="clear" w:color="auto" w:fill="D1D0CF"/>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r>
      <w:tr>
        <w:trPr>
          <w:trHeight w:val="228"/>
        </w:trPr>
        <w:tc>
          <w:tcPr>
            <w:tcW w:w="3080" w:type="dxa"/>
            <w:vAlign w:val="bottom"/>
          </w:tcPr>
          <w:p>
            <w:pPr>
              <w:ind w:left="20"/>
              <w:spacing w:after="0"/>
              <w:rPr>
                <w:sz w:val="20"/>
                <w:szCs w:val="20"/>
                <w:color w:val="auto"/>
              </w:rPr>
            </w:pPr>
            <w:r>
              <w:rPr>
                <w:rFonts w:ascii="Arial" w:cs="Arial" w:eastAsia="Arial" w:hAnsi="Arial"/>
                <w:sz w:val="14"/>
                <w:szCs w:val="14"/>
                <w:color w:val="auto"/>
              </w:rPr>
              <w:t>Shares</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6,231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5,921</w:t>
            </w:r>
          </w:p>
        </w:tc>
        <w:tc>
          <w:tcPr>
            <w:tcW w:w="2440" w:type="dxa"/>
            <w:vAlign w:val="bottom"/>
          </w:tcPr>
          <w:p>
            <w:pPr>
              <w:ind w:left="140"/>
              <w:spacing w:after="0"/>
              <w:rPr>
                <w:sz w:val="20"/>
                <w:szCs w:val="20"/>
                <w:color w:val="auto"/>
              </w:rPr>
            </w:pPr>
            <w:r>
              <w:rPr>
                <w:rFonts w:ascii="Arial" w:cs="Arial" w:eastAsia="Arial" w:hAnsi="Arial"/>
                <w:sz w:val="14"/>
                <w:szCs w:val="14"/>
                <w:color w:val="auto"/>
              </w:rPr>
              <w:t>Yes</w:t>
            </w:r>
          </w:p>
        </w:tc>
      </w:tr>
      <w:tr>
        <w:trPr>
          <w:trHeight w:val="228"/>
        </w:trPr>
        <w:tc>
          <w:tcPr>
            <w:tcW w:w="3080" w:type="dxa"/>
            <w:vAlign w:val="bottom"/>
          </w:tcPr>
          <w:p>
            <w:pPr>
              <w:ind w:left="20"/>
              <w:spacing w:after="0"/>
              <w:rPr>
                <w:sz w:val="20"/>
                <w:szCs w:val="20"/>
                <w:color w:val="auto"/>
              </w:rPr>
            </w:pPr>
            <w:r>
              <w:rPr>
                <w:rFonts w:ascii="Arial" w:cs="Arial" w:eastAsia="Arial" w:hAnsi="Arial"/>
                <w:sz w:val="14"/>
                <w:szCs w:val="14"/>
                <w:color w:val="auto"/>
              </w:rPr>
              <w:t>DSUs</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19,717</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15,449</w:t>
            </w:r>
          </w:p>
        </w:tc>
        <w:tc>
          <w:tcPr>
            <w:tcW w:w="24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1489710</wp:posOffset>
            </wp:positionV>
            <wp:extent cx="5255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55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right="40"/>
        <w:spacing w:after="0" w:line="279" w:lineRule="auto"/>
        <w:rPr>
          <w:sz w:val="20"/>
          <w:szCs w:val="20"/>
          <w:color w:val="auto"/>
        </w:rPr>
      </w:pPr>
      <w:r>
        <w:rPr>
          <w:rFonts w:ascii="Arial" w:cs="Arial" w:eastAsia="Arial" w:hAnsi="Arial"/>
          <w:sz w:val="11"/>
          <w:szCs w:val="11"/>
          <w:color w:val="auto"/>
        </w:rPr>
        <w:t>PG&amp;E filed for bankruptcy under Chapter 11 of the United States Bankruptcy Code in January 2019 as a result of claims arising from fires caused by PG&amp;E's electrical equipment. Ms. Campbell joined the board of directors of PG&amp;E in April 2019, after PG&amp;E filed for bankruptcy under Chapter 11 of</w:t>
      </w:r>
    </w:p>
    <w:p>
      <w:pPr>
        <w:ind w:left="20" w:right="60"/>
        <w:spacing w:after="0" w:line="231" w:lineRule="auto"/>
        <w:rPr>
          <w:sz w:val="20"/>
          <w:szCs w:val="20"/>
          <w:color w:val="auto"/>
        </w:rPr>
      </w:pPr>
      <w:r>
        <w:rPr>
          <w:rFonts w:ascii="Arial" w:cs="Arial" w:eastAsia="Arial" w:hAnsi="Arial"/>
          <w:sz w:val="13"/>
          <w:szCs w:val="13"/>
          <w:color w:val="auto"/>
        </w:rPr>
        <w:t>the United States Bankruptcy Code in January 2019 and prior to its emergence from Chapter 11 bankruptcy in July 2020. Ms. Campbell continues to be a director of PG&amp;E.</w:t>
      </w:r>
    </w:p>
    <w:p>
      <w:pPr>
        <w:spacing w:after="0" w:line="200" w:lineRule="exact"/>
        <w:rPr>
          <w:sz w:val="20"/>
          <w:szCs w:val="20"/>
          <w:color w:val="auto"/>
        </w:rPr>
      </w:pPr>
    </w:p>
    <w:p>
      <w:pPr>
        <w:sectPr>
          <w:pgSz w:w="11900" w:h="16838" w:orient="portrait"/>
          <w:cols w:equalWidth="0" w:num="2">
            <w:col w:w="2240" w:space="700"/>
            <w:col w:w="8280"/>
          </w:cols>
          <w:pgMar w:left="34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21</w:t>
      </w:r>
    </w:p>
    <w:p>
      <w:pPr>
        <w:sectPr>
          <w:pgSz w:w="11900" w:h="16838" w:orient="portrait"/>
          <w:cols w:equalWidth="0" w:num="1">
            <w:col w:w="11220"/>
          </w:cols>
          <w:pgMar w:left="340" w:top="1035" w:right="33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60" w:hanging="135"/>
        <w:spacing w:after="0"/>
        <w:tabs>
          <w:tab w:leader="none" w:pos="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Accounting/Audit</w:t>
      </w:r>
    </w:p>
    <w:p>
      <w:pPr>
        <w:spacing w:after="0" w:line="53" w:lineRule="exact"/>
        <w:rPr>
          <w:rFonts w:ascii="Arial" w:cs="Arial" w:eastAsia="Arial" w:hAnsi="Arial"/>
          <w:sz w:val="14"/>
          <w:szCs w:val="14"/>
          <w:color w:val="auto"/>
        </w:rPr>
      </w:pPr>
    </w:p>
    <w:p>
      <w:pPr>
        <w:ind w:left="180" w:right="400" w:hanging="155"/>
        <w:spacing w:after="0" w:line="310" w:lineRule="auto"/>
        <w:tabs>
          <w:tab w:leader="none" w:pos="163"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Capital Markets/Mergers &amp; Acquisitions</w:t>
      </w:r>
    </w:p>
    <w:p>
      <w:pPr>
        <w:ind w:left="160" w:hanging="135"/>
        <w:spacing w:after="0"/>
        <w:tabs>
          <w:tab w:leader="none" w:pos="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CEO</w:t>
      </w:r>
    </w:p>
    <w:p>
      <w:pPr>
        <w:spacing w:after="0" w:line="53" w:lineRule="exact"/>
        <w:rPr>
          <w:rFonts w:ascii="Arial" w:cs="Arial" w:eastAsia="Arial" w:hAnsi="Arial"/>
          <w:sz w:val="14"/>
          <w:szCs w:val="14"/>
          <w:color w:val="auto"/>
        </w:rPr>
      </w:pPr>
    </w:p>
    <w:p>
      <w:pPr>
        <w:ind w:left="160" w:hanging="135"/>
        <w:spacing w:after="0"/>
        <w:tabs>
          <w:tab w:leader="none" w:pos="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Energy, Pipelines &amp; Midstream</w:t>
      </w:r>
    </w:p>
    <w:p>
      <w:pPr>
        <w:spacing w:after="0" w:line="67" w:lineRule="exact"/>
        <w:rPr>
          <w:rFonts w:ascii="Arial" w:cs="Arial" w:eastAsia="Arial" w:hAnsi="Arial"/>
          <w:sz w:val="14"/>
          <w:szCs w:val="14"/>
          <w:color w:val="auto"/>
        </w:rPr>
      </w:pPr>
    </w:p>
    <w:p>
      <w:pPr>
        <w:ind w:left="160" w:hanging="135"/>
        <w:spacing w:after="0"/>
        <w:tabs>
          <w:tab w:leader="none" w:pos="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Governance</w:t>
      </w:r>
    </w:p>
    <w:p>
      <w:pPr>
        <w:spacing w:after="0" w:line="53" w:lineRule="exact"/>
        <w:rPr>
          <w:rFonts w:ascii="Arial" w:cs="Arial" w:eastAsia="Arial" w:hAnsi="Arial"/>
          <w:sz w:val="14"/>
          <w:szCs w:val="14"/>
          <w:color w:val="auto"/>
        </w:rPr>
      </w:pPr>
    </w:p>
    <w:p>
      <w:pPr>
        <w:ind w:left="180" w:right="400" w:hanging="155"/>
        <w:spacing w:after="0" w:line="310" w:lineRule="auto"/>
        <w:tabs>
          <w:tab w:leader="none" w:pos="163" w:val="left"/>
        </w:tabs>
        <w:numPr>
          <w:ilvl w:val="0"/>
          <w:numId w:val="31"/>
        </w:numPr>
        <w:rPr>
          <w:rFonts w:ascii="Arial" w:cs="Arial" w:eastAsia="Arial" w:hAnsi="Arial"/>
          <w:sz w:val="14"/>
          <w:szCs w:val="14"/>
          <w:color w:val="auto"/>
        </w:rPr>
      </w:pPr>
      <w:r>
        <w:rPr>
          <w:rFonts w:ascii="Arial" w:cs="Arial" w:eastAsia="Arial" w:hAnsi="Arial"/>
          <w:sz w:val="14"/>
          <w:szCs w:val="14"/>
          <w:color w:val="auto"/>
        </w:rPr>
        <w:t>Government, Regulatory &amp; Stakeholder Relations</w:t>
      </w:r>
    </w:p>
    <w:p>
      <w:pPr>
        <w:ind w:left="180" w:right="260" w:hanging="155"/>
        <w:spacing w:after="0" w:line="300" w:lineRule="auto"/>
        <w:tabs>
          <w:tab w:leader="none" w:pos="163" w:val="left"/>
        </w:tabs>
        <w:numPr>
          <w:ilvl w:val="0"/>
          <w:numId w:val="31"/>
        </w:numPr>
        <w:rPr>
          <w:rFonts w:ascii="Arial" w:cs="Arial" w:eastAsia="Arial" w:hAnsi="Arial"/>
          <w:sz w:val="14"/>
          <w:szCs w:val="14"/>
          <w:color w:val="auto"/>
        </w:rPr>
      </w:pPr>
      <w:r>
        <w:rPr>
          <w:rFonts w:ascii="Arial" w:cs="Arial" w:eastAsia="Arial" w:hAnsi="Arial"/>
          <w:sz w:val="14"/>
          <w:szCs w:val="14"/>
          <w:color w:val="auto"/>
        </w:rPr>
        <w:t>Operations/Health, Safety, Sustainability &amp; Environment</w:t>
      </w:r>
    </w:p>
    <w:p>
      <w:pPr>
        <w:ind w:left="160" w:hanging="135"/>
        <w:spacing w:after="0"/>
        <w:tabs>
          <w:tab w:leader="none" w:pos="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$4,027,522</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TC Energy</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Board/Committees</w:t>
      </w:r>
    </w:p>
    <w:p>
      <w:pPr>
        <w:ind w:left="20"/>
        <w:spacing w:after="0"/>
        <w:rPr>
          <w:sz w:val="20"/>
          <w:szCs w:val="20"/>
          <w:color w:val="auto"/>
        </w:rPr>
      </w:pPr>
      <w:r>
        <w:rPr>
          <w:rFonts w:ascii="Arial" w:cs="Arial" w:eastAsia="Arial" w:hAnsi="Arial"/>
          <w:sz w:val="16"/>
          <w:szCs w:val="16"/>
          <w:b w:val="1"/>
          <w:bCs w:val="1"/>
          <w:color w:val="0D64EF"/>
        </w:rPr>
        <w:t>2025 meeting attendance</w:t>
      </w:r>
    </w:p>
    <w:p>
      <w:pPr>
        <w:spacing w:after="0" w:line="60" w:lineRule="exact"/>
        <w:rPr>
          <w:sz w:val="20"/>
          <w:szCs w:val="20"/>
          <w:color w:val="auto"/>
        </w:rPr>
      </w:pPr>
    </w:p>
    <w:p>
      <w:pPr>
        <w:ind w:left="180" w:right="760" w:hanging="155"/>
        <w:spacing w:after="0" w:line="330" w:lineRule="auto"/>
        <w:tabs>
          <w:tab w:leader="none" w:pos="163" w:val="left"/>
        </w:tabs>
        <w:numPr>
          <w:ilvl w:val="0"/>
          <w:numId w:val="32"/>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ind w:left="160" w:hanging="135"/>
        <w:spacing w:after="0"/>
        <w:tabs>
          <w:tab w:leader="none" w:pos="1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Audit Committee</w:t>
      </w:r>
    </w:p>
    <w:p>
      <w:pPr>
        <w:spacing w:after="0" w:line="53"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4"/>
          <w:szCs w:val="14"/>
          <w:color w:val="auto"/>
        </w:rPr>
        <w:t>4/4 meetings (100%)</w:t>
      </w:r>
    </w:p>
    <w:p>
      <w:pPr>
        <w:spacing w:after="0" w:line="67" w:lineRule="exact"/>
        <w:rPr>
          <w:rFonts w:ascii="Arial" w:cs="Arial" w:eastAsia="Arial" w:hAnsi="Arial"/>
          <w:sz w:val="14"/>
          <w:szCs w:val="14"/>
          <w:color w:val="auto"/>
        </w:rPr>
      </w:pPr>
    </w:p>
    <w:p>
      <w:pPr>
        <w:ind w:left="180" w:hanging="155"/>
        <w:spacing w:after="0" w:line="300" w:lineRule="auto"/>
        <w:tabs>
          <w:tab w:leader="none" w:pos="163" w:val="left"/>
        </w:tabs>
        <w:numPr>
          <w:ilvl w:val="0"/>
          <w:numId w:val="32"/>
        </w:numPr>
        <w:rPr>
          <w:rFonts w:ascii="Arial" w:cs="Arial" w:eastAsia="Arial" w:hAnsi="Arial"/>
          <w:sz w:val="14"/>
          <w:szCs w:val="14"/>
          <w:color w:val="auto"/>
        </w:rPr>
      </w:pPr>
      <w:r>
        <w:rPr>
          <w:rFonts w:ascii="Arial" w:cs="Arial" w:eastAsia="Arial" w:hAnsi="Arial"/>
          <w:sz w:val="14"/>
          <w:szCs w:val="14"/>
          <w:color w:val="auto"/>
        </w:rPr>
        <w:t>Health, Safety, Sustainability and Environment Committee</w:t>
      </w:r>
    </w:p>
    <w:p>
      <w:pPr>
        <w:ind w:left="180"/>
        <w:spacing w:after="0"/>
        <w:rPr>
          <w:rFonts w:ascii="Arial" w:cs="Arial" w:eastAsia="Arial" w:hAnsi="Arial"/>
          <w:sz w:val="14"/>
          <w:szCs w:val="14"/>
          <w:color w:val="auto"/>
        </w:rPr>
      </w:pPr>
      <w:r>
        <w:rPr>
          <w:rFonts w:ascii="Arial" w:cs="Arial" w:eastAsia="Arial" w:hAnsi="Arial"/>
          <w:sz w:val="14"/>
          <w:szCs w:val="14"/>
          <w:color w:val="auto"/>
        </w:rPr>
        <w:t>4/4 meetings (100%)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Michael R. Culbert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-190500</wp:posOffset>
            </wp:positionV>
            <wp:extent cx="8255" cy="7790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779018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68, CALGARY, AB, CANADA | DIRECTOR SINCE 2020</w:t>
      </w:r>
    </w:p>
    <w:p>
      <w:pPr>
        <w:spacing w:after="0" w:line="364" w:lineRule="exact"/>
        <w:rPr>
          <w:sz w:val="20"/>
          <w:szCs w:val="20"/>
          <w:color w:val="auto"/>
        </w:rPr>
      </w:pPr>
    </w:p>
    <w:p>
      <w:pPr>
        <w:ind w:left="20" w:right="280"/>
        <w:spacing w:after="0" w:line="354" w:lineRule="auto"/>
        <w:rPr>
          <w:sz w:val="20"/>
          <w:szCs w:val="20"/>
          <w:color w:val="auto"/>
        </w:rPr>
      </w:pPr>
      <w:r>
        <w:rPr>
          <w:rFonts w:ascii="Arial" w:cs="Arial" w:eastAsia="Arial" w:hAnsi="Arial"/>
          <w:sz w:val="16"/>
          <w:szCs w:val="16"/>
          <w:color w:val="auto"/>
        </w:rPr>
        <w:t>Mr. Culbert is a corporate director. He currently serves on the board of directors for ARC Resources Ltd. (oil and gas production) since May 2024.</w:t>
      </w:r>
    </w:p>
    <w:p>
      <w:pPr>
        <w:spacing w:after="0" w:line="22" w:lineRule="exact"/>
        <w:rPr>
          <w:sz w:val="20"/>
          <w:szCs w:val="20"/>
          <w:color w:val="auto"/>
        </w:rPr>
      </w:pPr>
    </w:p>
    <w:p>
      <w:pPr>
        <w:ind w:left="20" w:right="80"/>
        <w:spacing w:after="0" w:line="313" w:lineRule="auto"/>
        <w:rPr>
          <w:sz w:val="20"/>
          <w:szCs w:val="20"/>
          <w:color w:val="auto"/>
        </w:rPr>
      </w:pPr>
      <w:r>
        <w:rPr>
          <w:rFonts w:ascii="Arial" w:cs="Arial" w:eastAsia="Arial" w:hAnsi="Arial"/>
          <w:sz w:val="16"/>
          <w:szCs w:val="16"/>
          <w:color w:val="auto"/>
        </w:rPr>
        <w:t>Mr. Culbert previously served as a director of Precision Drilling Corporation (oil and gas services) from 2017 to 2024, and as director and Vice Chair of PETRONAS Canada Ltd. (oil and gas, exploration and production) from 2016 to 2020. He has also previously served as a director and President of Pacific NorthWest LNG LP (natural gas services) (2013 to 2017). He is a former co-founder, director, President and Chief Executive Officer of Progress Energy Ltd. (oil and gas, exploration and production) from 2004 to 2016 and, prior to that, he was the Vice-President, Marketing and Business Development from 2001 to 2004. He has also held senior leadership positions in marketing and business development throughout his career.</w:t>
      </w:r>
    </w:p>
    <w:p>
      <w:pPr>
        <w:spacing w:after="0" w:line="54" w:lineRule="exact"/>
        <w:rPr>
          <w:sz w:val="20"/>
          <w:szCs w:val="20"/>
          <w:color w:val="auto"/>
        </w:rPr>
      </w:pPr>
    </w:p>
    <w:p>
      <w:pPr>
        <w:ind w:left="20" w:right="60"/>
        <w:spacing w:after="0" w:line="326" w:lineRule="auto"/>
        <w:rPr>
          <w:sz w:val="20"/>
          <w:szCs w:val="20"/>
          <w:color w:val="auto"/>
        </w:rPr>
      </w:pPr>
      <w:r>
        <w:rPr>
          <w:rFonts w:ascii="Arial" w:cs="Arial" w:eastAsia="Arial" w:hAnsi="Arial"/>
          <w:sz w:val="16"/>
          <w:szCs w:val="16"/>
          <w:color w:val="auto"/>
        </w:rPr>
        <w:t>Mr. Culbert is a patron of the Rogers Charity Classic, which since its inception in 2013 has successfully raised approximately $165 million for children and youth charities in Alberta. He is also a founding member of the Creative Destruction Lab Energy stream at the University of Calgary, Haskayne School of Business.</w:t>
      </w:r>
    </w:p>
    <w:p>
      <w:pPr>
        <w:spacing w:after="0" w:line="43" w:lineRule="exact"/>
        <w:rPr>
          <w:sz w:val="20"/>
          <w:szCs w:val="20"/>
          <w:color w:val="auto"/>
        </w:rPr>
      </w:pPr>
    </w:p>
    <w:p>
      <w:pPr>
        <w:ind w:left="20" w:right="120"/>
        <w:spacing w:after="0" w:line="326" w:lineRule="auto"/>
        <w:rPr>
          <w:sz w:val="20"/>
          <w:szCs w:val="20"/>
          <w:color w:val="auto"/>
        </w:rPr>
      </w:pPr>
      <w:r>
        <w:rPr>
          <w:rFonts w:ascii="Arial" w:cs="Arial" w:eastAsia="Arial" w:hAnsi="Arial"/>
          <w:sz w:val="16"/>
          <w:szCs w:val="16"/>
          <w:color w:val="auto"/>
        </w:rPr>
        <w:t>In 2019, Mr. Culbert was awarded the 2019 Distinguished Business Leader – Recognizing Ethical Leadership from the University of Calgary Haskayne School of Business and the Calgary Chamber of Commerce. In 2025, Mr. Culbert was inducted into the Southern Alberta Business Hall of Fame.</w:t>
      </w:r>
    </w:p>
    <w:p>
      <w:pPr>
        <w:spacing w:after="0" w:line="56" w:lineRule="exact"/>
        <w:rPr>
          <w:sz w:val="20"/>
          <w:szCs w:val="20"/>
          <w:color w:val="auto"/>
        </w:rPr>
      </w:pPr>
    </w:p>
    <w:p>
      <w:pPr>
        <w:ind w:left="20" w:right="580"/>
        <w:spacing w:after="0" w:line="337" w:lineRule="auto"/>
        <w:rPr>
          <w:sz w:val="20"/>
          <w:szCs w:val="20"/>
          <w:color w:val="auto"/>
        </w:rPr>
      </w:pPr>
      <w:r>
        <w:rPr>
          <w:rFonts w:ascii="Arial" w:cs="Arial" w:eastAsia="Arial" w:hAnsi="Arial"/>
          <w:sz w:val="16"/>
          <w:szCs w:val="16"/>
          <w:color w:val="auto"/>
        </w:rPr>
        <w:t>Mr. Culbert holds a Bachelor of Science Business Administration degree from Emmanuel College in Boston,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3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1540" w:type="dxa"/>
            <w:vAlign w:val="bottom"/>
            <w:tcBorders>
              <w:top w:val="single" w:sz="8" w:color="0D64EF"/>
              <w:bottom w:val="single" w:sz="8" w:color="0D64EF"/>
            </w:tcBorders>
            <w:shd w:val="clear" w:color="auto" w:fill="D1D0CF"/>
          </w:tcPr>
          <w:p>
            <w:pPr>
              <w:ind w:left="100"/>
              <w:spacing w:after="0"/>
              <w:rPr>
                <w:sz w:val="20"/>
                <w:szCs w:val="20"/>
                <w:color w:val="auto"/>
              </w:rPr>
            </w:pPr>
            <w:r>
              <w:rPr>
                <w:rFonts w:ascii="Arial" w:cs="Arial" w:eastAsia="Arial" w:hAnsi="Arial"/>
                <w:sz w:val="14"/>
                <w:szCs w:val="14"/>
                <w:b w:val="1"/>
                <w:bCs w:val="1"/>
                <w:color w:val="auto"/>
              </w:rPr>
              <w:t>Votes in favour</w:t>
            </w:r>
          </w:p>
        </w:tc>
        <w:tc>
          <w:tcPr>
            <w:tcW w:w="92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Votes against</w:t>
            </w:r>
          </w:p>
        </w:tc>
      </w:tr>
      <w:tr>
        <w:trPr>
          <w:trHeight w:val="234"/>
        </w:trPr>
        <w:tc>
          <w:tcPr>
            <w:tcW w:w="3380" w:type="dxa"/>
            <w:vAlign w:val="bottom"/>
          </w:tcPr>
          <w:p>
            <w:pPr>
              <w:ind w:left="20"/>
              <w:spacing w:after="0"/>
              <w:rPr>
                <w:sz w:val="20"/>
                <w:szCs w:val="20"/>
                <w:color w:val="auto"/>
              </w:rPr>
            </w:pPr>
            <w:r>
              <w:rPr>
                <w:rFonts w:ascii="Arial" w:cs="Arial" w:eastAsia="Arial" w:hAnsi="Arial"/>
                <w:sz w:val="14"/>
                <w:szCs w:val="14"/>
                <w:color w:val="auto"/>
              </w:rPr>
              <w:t>2025</w:t>
            </w:r>
          </w:p>
        </w:tc>
        <w:tc>
          <w:tcPr>
            <w:tcW w:w="2460" w:type="dxa"/>
            <w:vAlign w:val="bottom"/>
            <w:gridSpan w:val="2"/>
          </w:tcPr>
          <w:p>
            <w:pPr>
              <w:jc w:val="right"/>
              <w:ind w:right="68"/>
              <w:spacing w:after="0"/>
              <w:rPr>
                <w:sz w:val="20"/>
                <w:szCs w:val="20"/>
                <w:color w:val="auto"/>
              </w:rPr>
            </w:pPr>
            <w:r>
              <w:rPr>
                <w:rFonts w:ascii="Arial" w:cs="Arial" w:eastAsia="Arial" w:hAnsi="Arial"/>
                <w:sz w:val="14"/>
                <w:szCs w:val="14"/>
                <w:color w:val="auto"/>
              </w:rPr>
              <w:t>673,422,055 (99.31%)</w:t>
            </w:r>
          </w:p>
        </w:tc>
        <w:tc>
          <w:tcPr>
            <w:tcW w:w="2440" w:type="dxa"/>
            <w:vAlign w:val="bottom"/>
          </w:tcPr>
          <w:p>
            <w:pPr>
              <w:ind w:left="1240"/>
              <w:spacing w:after="0"/>
              <w:rPr>
                <w:sz w:val="20"/>
                <w:szCs w:val="20"/>
                <w:color w:val="auto"/>
              </w:rPr>
            </w:pPr>
            <w:r>
              <w:rPr>
                <w:rFonts w:ascii="Arial" w:cs="Arial" w:eastAsia="Arial" w:hAnsi="Arial"/>
                <w:sz w:val="14"/>
                <w:szCs w:val="14"/>
                <w:color w:val="auto"/>
              </w:rPr>
              <w:t>4,657,086 (0.69%)</w:t>
            </w:r>
          </w:p>
        </w:tc>
      </w:tr>
      <w:tr>
        <w:trPr>
          <w:trHeight w:val="255"/>
        </w:trPr>
        <w:tc>
          <w:tcPr>
            <w:tcW w:w="3380" w:type="dxa"/>
            <w:vAlign w:val="bottom"/>
          </w:tcPr>
          <w:p>
            <w:pPr>
              <w:ind w:left="20"/>
              <w:spacing w:after="0"/>
              <w:rPr>
                <w:sz w:val="20"/>
                <w:szCs w:val="20"/>
                <w:color w:val="auto"/>
              </w:rPr>
            </w:pPr>
            <w:r>
              <w:rPr>
                <w:rFonts w:ascii="Arial" w:cs="Arial" w:eastAsia="Arial" w:hAnsi="Arial"/>
                <w:sz w:val="14"/>
                <w:szCs w:val="14"/>
                <w:color w:val="auto"/>
              </w:rPr>
              <w:t>2024</w:t>
            </w:r>
          </w:p>
        </w:tc>
        <w:tc>
          <w:tcPr>
            <w:tcW w:w="2460" w:type="dxa"/>
            <w:vAlign w:val="bottom"/>
            <w:gridSpan w:val="2"/>
          </w:tcPr>
          <w:p>
            <w:pPr>
              <w:jc w:val="right"/>
              <w:ind w:right="68"/>
              <w:spacing w:after="0"/>
              <w:rPr>
                <w:sz w:val="20"/>
                <w:szCs w:val="20"/>
                <w:color w:val="auto"/>
              </w:rPr>
            </w:pPr>
            <w:r>
              <w:rPr>
                <w:rFonts w:ascii="Arial" w:cs="Arial" w:eastAsia="Arial" w:hAnsi="Arial"/>
                <w:sz w:val="14"/>
                <w:szCs w:val="14"/>
                <w:color w:val="auto"/>
              </w:rPr>
              <w:t>659,109,877 (99.11%)</w:t>
            </w:r>
          </w:p>
        </w:tc>
        <w:tc>
          <w:tcPr>
            <w:tcW w:w="2440" w:type="dxa"/>
            <w:vAlign w:val="bottom"/>
          </w:tcPr>
          <w:p>
            <w:pPr>
              <w:ind w:left="1240"/>
              <w:spacing w:after="0"/>
              <w:rPr>
                <w:sz w:val="20"/>
                <w:szCs w:val="20"/>
                <w:color w:val="auto"/>
              </w:rPr>
            </w:pPr>
            <w:r>
              <w:rPr>
                <w:rFonts w:ascii="Arial" w:cs="Arial" w:eastAsia="Arial" w:hAnsi="Arial"/>
                <w:sz w:val="14"/>
                <w:szCs w:val="14"/>
                <w:color w:val="auto"/>
              </w:rPr>
              <w:t>5,915,912 (0.89%)</w:t>
            </w:r>
          </w:p>
        </w:tc>
      </w:tr>
      <w:tr>
        <w:trPr>
          <w:trHeight w:val="259"/>
        </w:trPr>
        <w:tc>
          <w:tcPr>
            <w:tcW w:w="338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2023</w:t>
            </w:r>
          </w:p>
        </w:tc>
        <w:tc>
          <w:tcPr>
            <w:tcW w:w="2460" w:type="dxa"/>
            <w:vAlign w:val="bottom"/>
            <w:tcBorders>
              <w:bottom w:val="single" w:sz="8" w:color="0D64EF"/>
            </w:tcBorders>
            <w:gridSpan w:val="2"/>
          </w:tcPr>
          <w:p>
            <w:pPr>
              <w:jc w:val="right"/>
              <w:ind w:right="68"/>
              <w:spacing w:after="0"/>
              <w:rPr>
                <w:sz w:val="20"/>
                <w:szCs w:val="20"/>
                <w:color w:val="auto"/>
              </w:rPr>
            </w:pPr>
            <w:r>
              <w:rPr>
                <w:rFonts w:ascii="Arial" w:cs="Arial" w:eastAsia="Arial" w:hAnsi="Arial"/>
                <w:sz w:val="14"/>
                <w:szCs w:val="14"/>
                <w:color w:val="auto"/>
              </w:rPr>
              <w:t>670,063,432 (99.44%)</w:t>
            </w:r>
          </w:p>
        </w:tc>
        <w:tc>
          <w:tcPr>
            <w:tcW w:w="2440" w:type="dxa"/>
            <w:vAlign w:val="bottom"/>
            <w:tcBorders>
              <w:bottom w:val="single" w:sz="8" w:color="0D64EF"/>
            </w:tcBorders>
          </w:tcPr>
          <w:p>
            <w:pPr>
              <w:ind w:left="1240"/>
              <w:spacing w:after="0"/>
              <w:rPr>
                <w:sz w:val="20"/>
                <w:szCs w:val="20"/>
                <w:color w:val="auto"/>
              </w:rPr>
            </w:pPr>
            <w:r>
              <w:rPr>
                <w:rFonts w:ascii="Arial" w:cs="Arial" w:eastAsia="Arial" w:hAnsi="Arial"/>
                <w:sz w:val="14"/>
                <w:szCs w:val="14"/>
                <w:color w:val="auto"/>
              </w:rPr>
              <w:t>3,790,876 (0.56%)</w:t>
            </w:r>
          </w:p>
        </w:tc>
      </w:tr>
      <w:tr>
        <w:trPr>
          <w:trHeight w:val="233"/>
        </w:trPr>
        <w:tc>
          <w:tcPr>
            <w:tcW w:w="33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1540" w:type="dxa"/>
            <w:vAlign w:val="bottom"/>
            <w:tcBorders>
              <w:bottom w:val="single" w:sz="8" w:color="0D64EF"/>
            </w:tcBorders>
            <w:shd w:val="clear" w:color="auto" w:fill="D1D0CF"/>
          </w:tcPr>
          <w:p>
            <w:pPr>
              <w:ind w:left="100"/>
              <w:spacing w:after="0"/>
              <w:rPr>
                <w:sz w:val="20"/>
                <w:szCs w:val="20"/>
                <w:color w:val="auto"/>
              </w:rPr>
            </w:pPr>
            <w:r>
              <w:rPr>
                <w:rFonts w:ascii="Arial" w:cs="Arial" w:eastAsia="Arial" w:hAnsi="Arial"/>
                <w:sz w:val="14"/>
                <w:szCs w:val="14"/>
                <w:b w:val="1"/>
                <w:bCs w:val="1"/>
                <w:color w:val="auto"/>
              </w:rPr>
              <w:t>Stock exchange</w:t>
            </w:r>
          </w:p>
        </w:tc>
        <w:tc>
          <w:tcPr>
            <w:tcW w:w="920" w:type="dxa"/>
            <w:vAlign w:val="bottom"/>
            <w:tcBorders>
              <w:bottom w:val="single" w:sz="8" w:color="0D64EF"/>
            </w:tcBorders>
            <w:shd w:val="clear" w:color="auto" w:fill="D1D0CF"/>
          </w:tcPr>
          <w:p>
            <w:pPr>
              <w:spacing w:after="0"/>
              <w:rPr>
                <w:sz w:val="20"/>
                <w:szCs w:val="20"/>
                <w:color w:val="auto"/>
              </w:rPr>
            </w:pP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r>
      <w:tr>
        <w:trPr>
          <w:trHeight w:val="165"/>
        </w:trPr>
        <w:tc>
          <w:tcPr>
            <w:tcW w:w="3380" w:type="dxa"/>
            <w:vAlign w:val="bottom"/>
          </w:tcPr>
          <w:p>
            <w:pPr>
              <w:ind w:left="20"/>
              <w:spacing w:after="0"/>
              <w:rPr>
                <w:sz w:val="20"/>
                <w:szCs w:val="20"/>
                <w:color w:val="auto"/>
              </w:rPr>
            </w:pPr>
            <w:r>
              <w:rPr>
                <w:rFonts w:ascii="Arial" w:cs="Arial" w:eastAsia="Arial" w:hAnsi="Arial"/>
                <w:sz w:val="14"/>
                <w:szCs w:val="14"/>
                <w:color w:val="auto"/>
              </w:rPr>
              <w:t>ARC Resources Ltd. (oil and gas production) (since</w:t>
            </w:r>
          </w:p>
        </w:tc>
        <w:tc>
          <w:tcPr>
            <w:tcW w:w="1540" w:type="dxa"/>
            <w:vAlign w:val="bottom"/>
          </w:tcPr>
          <w:p>
            <w:pPr>
              <w:ind w:left="100"/>
              <w:spacing w:after="0"/>
              <w:rPr>
                <w:sz w:val="20"/>
                <w:szCs w:val="20"/>
                <w:color w:val="auto"/>
              </w:rPr>
            </w:pPr>
            <w:r>
              <w:rPr>
                <w:rFonts w:ascii="Arial" w:cs="Arial" w:eastAsia="Arial" w:hAnsi="Arial"/>
                <w:sz w:val="14"/>
                <w:szCs w:val="14"/>
                <w:color w:val="auto"/>
              </w:rPr>
              <w:t>TSX</w:t>
            </w:r>
          </w:p>
        </w:tc>
        <w:tc>
          <w:tcPr>
            <w:tcW w:w="9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Human Resources &amp; Compensation</w:t>
            </w:r>
          </w:p>
        </w:tc>
      </w:tr>
      <w:tr>
        <w:trPr>
          <w:trHeight w:val="203"/>
        </w:trPr>
        <w:tc>
          <w:tcPr>
            <w:tcW w:w="3380" w:type="dxa"/>
            <w:vAlign w:val="bottom"/>
          </w:tcPr>
          <w:p>
            <w:pPr>
              <w:ind w:left="20"/>
              <w:spacing w:after="0"/>
              <w:rPr>
                <w:sz w:val="20"/>
                <w:szCs w:val="20"/>
                <w:color w:val="auto"/>
              </w:rPr>
            </w:pPr>
            <w:r>
              <w:rPr>
                <w:rFonts w:ascii="Arial" w:cs="Arial" w:eastAsia="Arial" w:hAnsi="Arial"/>
                <w:sz w:val="14"/>
                <w:szCs w:val="14"/>
                <w:color w:val="auto"/>
              </w:rPr>
              <w:t>May 2024)</w:t>
            </w: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Policy and Board Governance</w:t>
            </w:r>
          </w:p>
        </w:tc>
      </w:tr>
      <w:tr>
        <w:trPr>
          <w:trHeight w:val="317"/>
        </w:trPr>
        <w:tc>
          <w:tcPr>
            <w:tcW w:w="3380" w:type="dxa"/>
            <w:vAlign w:val="bottom"/>
            <w:tcBorders>
              <w:bottom w:val="single" w:sz="8" w:color="0D64EF"/>
            </w:tcBorders>
          </w:tcPr>
          <w:p>
            <w:pPr>
              <w:spacing w:after="0"/>
              <w:rPr>
                <w:sz w:val="24"/>
                <w:szCs w:val="24"/>
                <w:color w:val="auto"/>
              </w:rPr>
            </w:pPr>
          </w:p>
        </w:tc>
        <w:tc>
          <w:tcPr>
            <w:tcW w:w="1540" w:type="dxa"/>
            <w:vAlign w:val="bottom"/>
            <w:tcBorders>
              <w:bottom w:val="single" w:sz="8" w:color="0D64EF"/>
            </w:tcBorders>
          </w:tcPr>
          <w:p>
            <w:pPr>
              <w:spacing w:after="0"/>
              <w:rPr>
                <w:sz w:val="24"/>
                <w:szCs w:val="24"/>
                <w:color w:val="auto"/>
              </w:rPr>
            </w:pPr>
          </w:p>
        </w:tc>
        <w:tc>
          <w:tcPr>
            <w:tcW w:w="920" w:type="dxa"/>
            <w:vAlign w:val="bottom"/>
            <w:tcBorders>
              <w:bottom w:val="single" w:sz="8" w:color="0D64EF"/>
            </w:tcBorders>
          </w:tcPr>
          <w:p>
            <w:pPr>
              <w:spacing w:after="0"/>
              <w:rPr>
                <w:sz w:val="24"/>
                <w:szCs w:val="24"/>
                <w:color w:val="auto"/>
              </w:rPr>
            </w:pPr>
          </w:p>
        </w:tc>
        <w:tc>
          <w:tcPr>
            <w:tcW w:w="2440" w:type="dxa"/>
            <w:vAlign w:val="bottom"/>
            <w:tcBorders>
              <w:bottom w:val="single" w:sz="8" w:color="0D64EF"/>
            </w:tcBorders>
          </w:tcPr>
          <w:p>
            <w:pPr>
              <w:spacing w:after="0"/>
              <w:rPr>
                <w:sz w:val="24"/>
                <w:szCs w:val="24"/>
                <w:color w:val="auto"/>
              </w:rPr>
            </w:pPr>
          </w:p>
        </w:tc>
      </w:tr>
      <w:tr>
        <w:trPr>
          <w:trHeight w:val="145"/>
        </w:trPr>
        <w:tc>
          <w:tcPr>
            <w:tcW w:w="3380" w:type="dxa"/>
            <w:vAlign w:val="bottom"/>
            <w:shd w:val="clear" w:color="auto" w:fill="D1D0CF"/>
          </w:tcPr>
          <w:p>
            <w:pPr>
              <w:spacing w:after="0"/>
              <w:rPr>
                <w:sz w:val="12"/>
                <w:szCs w:val="12"/>
                <w:color w:val="auto"/>
              </w:rPr>
            </w:pPr>
          </w:p>
        </w:tc>
        <w:tc>
          <w:tcPr>
            <w:tcW w:w="1540" w:type="dxa"/>
            <w:vAlign w:val="bottom"/>
            <w:shd w:val="clear" w:color="auto" w:fill="D1D0CF"/>
          </w:tcPr>
          <w:p>
            <w:pPr>
              <w:spacing w:after="0"/>
              <w:rPr>
                <w:sz w:val="12"/>
                <w:szCs w:val="12"/>
                <w:color w:val="auto"/>
              </w:rPr>
            </w:pPr>
          </w:p>
        </w:tc>
        <w:tc>
          <w:tcPr>
            <w:tcW w:w="92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5" w:lineRule="exact"/>
              <w:rPr>
                <w:sz w:val="20"/>
                <w:szCs w:val="20"/>
                <w:color w:val="auto"/>
              </w:rPr>
            </w:pPr>
            <w:r>
              <w:rPr>
                <w:rFonts w:ascii="Arial" w:cs="Arial" w:eastAsia="Arial" w:hAnsi="Arial"/>
                <w:sz w:val="14"/>
                <w:szCs w:val="14"/>
                <w:b w:val="1"/>
                <w:bCs w:val="1"/>
                <w:color w:val="auto"/>
              </w:rPr>
              <w:t>Meets share ownership</w:t>
            </w:r>
          </w:p>
        </w:tc>
      </w:tr>
      <w:tr>
        <w:trPr>
          <w:trHeight w:val="210"/>
        </w:trPr>
        <w:tc>
          <w:tcPr>
            <w:tcW w:w="33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540" w:type="dxa"/>
            <w:vAlign w:val="bottom"/>
            <w:tcBorders>
              <w:bottom w:val="single" w:sz="8" w:color="0D64EF"/>
            </w:tcBorders>
            <w:shd w:val="clear" w:color="auto" w:fill="D1D0CF"/>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r>
      <w:tr>
        <w:trPr>
          <w:trHeight w:val="228"/>
        </w:trPr>
        <w:tc>
          <w:tcPr>
            <w:tcW w:w="3380" w:type="dxa"/>
            <w:vAlign w:val="bottom"/>
          </w:tcPr>
          <w:p>
            <w:pPr>
              <w:ind w:left="20"/>
              <w:spacing w:after="0"/>
              <w:rPr>
                <w:sz w:val="20"/>
                <w:szCs w:val="20"/>
                <w:color w:val="auto"/>
              </w:rPr>
            </w:pPr>
            <w:r>
              <w:rPr>
                <w:rFonts w:ascii="Arial" w:cs="Arial" w:eastAsia="Arial" w:hAnsi="Arial"/>
                <w:sz w:val="14"/>
                <w:szCs w:val="14"/>
                <w:color w:val="auto"/>
              </w:rPr>
              <w:t>Shares</w:t>
            </w:r>
          </w:p>
        </w:tc>
        <w:tc>
          <w:tcPr>
            <w:tcW w:w="1540" w:type="dxa"/>
            <w:vAlign w:val="bottom"/>
          </w:tcPr>
          <w:p>
            <w:pPr>
              <w:jc w:val="right"/>
              <w:ind w:right="408"/>
              <w:spacing w:after="0"/>
              <w:rPr>
                <w:sz w:val="20"/>
                <w:szCs w:val="20"/>
                <w:color w:val="auto"/>
              </w:rPr>
            </w:pPr>
            <w:r>
              <w:rPr>
                <w:rFonts w:ascii="Arial" w:cs="Arial" w:eastAsia="Arial" w:hAnsi="Arial"/>
                <w:sz w:val="14"/>
                <w:szCs w:val="14"/>
                <w:color w:val="auto"/>
              </w:rPr>
              <w:t>10,500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10,500</w:t>
            </w:r>
          </w:p>
        </w:tc>
        <w:tc>
          <w:tcPr>
            <w:tcW w:w="2440" w:type="dxa"/>
            <w:vAlign w:val="bottom"/>
          </w:tcPr>
          <w:p>
            <w:pPr>
              <w:ind w:left="140"/>
              <w:spacing w:after="0"/>
              <w:rPr>
                <w:sz w:val="20"/>
                <w:szCs w:val="20"/>
                <w:color w:val="auto"/>
              </w:rPr>
            </w:pPr>
            <w:r>
              <w:rPr>
                <w:rFonts w:ascii="Arial" w:cs="Arial" w:eastAsia="Arial" w:hAnsi="Arial"/>
                <w:sz w:val="14"/>
                <w:szCs w:val="14"/>
                <w:color w:val="auto"/>
              </w:rPr>
              <w:t>Yes</w:t>
            </w:r>
          </w:p>
        </w:tc>
      </w:tr>
      <w:tr>
        <w:trPr>
          <w:trHeight w:val="228"/>
        </w:trPr>
        <w:tc>
          <w:tcPr>
            <w:tcW w:w="3380" w:type="dxa"/>
            <w:vAlign w:val="bottom"/>
          </w:tcPr>
          <w:p>
            <w:pPr>
              <w:ind w:left="20"/>
              <w:spacing w:after="0"/>
              <w:rPr>
                <w:sz w:val="20"/>
                <w:szCs w:val="20"/>
                <w:color w:val="auto"/>
              </w:rPr>
            </w:pPr>
            <w:r>
              <w:rPr>
                <w:rFonts w:ascii="Arial" w:cs="Arial" w:eastAsia="Arial" w:hAnsi="Arial"/>
                <w:sz w:val="14"/>
                <w:szCs w:val="14"/>
                <w:color w:val="auto"/>
              </w:rPr>
              <w:t>DSUs</w:t>
            </w:r>
          </w:p>
        </w:tc>
        <w:tc>
          <w:tcPr>
            <w:tcW w:w="1540" w:type="dxa"/>
            <w:vAlign w:val="bottom"/>
          </w:tcPr>
          <w:p>
            <w:pPr>
              <w:jc w:val="right"/>
              <w:ind w:right="408"/>
              <w:spacing w:after="0"/>
              <w:rPr>
                <w:sz w:val="20"/>
                <w:szCs w:val="20"/>
                <w:color w:val="auto"/>
              </w:rPr>
            </w:pPr>
            <w:r>
              <w:rPr>
                <w:rFonts w:ascii="Arial" w:cs="Arial" w:eastAsia="Arial" w:hAnsi="Arial"/>
                <w:sz w:val="14"/>
                <w:szCs w:val="14"/>
                <w:color w:val="auto"/>
              </w:rPr>
              <w:t>35,666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29,580</w:t>
            </w:r>
          </w:p>
        </w:tc>
        <w:tc>
          <w:tcPr>
            <w:tcW w:w="2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2260" w:space="700"/>
            <w:col w:w="828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35" w:right="33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40" w:hanging="135"/>
        <w:spacing w:after="0"/>
        <w:tabs>
          <w:tab w:leader="none" w:pos="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Accounting/Audit</w:t>
      </w:r>
    </w:p>
    <w:p>
      <w:pPr>
        <w:spacing w:after="0" w:line="53" w:lineRule="exact"/>
        <w:rPr>
          <w:rFonts w:ascii="Arial" w:cs="Arial" w:eastAsia="Arial" w:hAnsi="Arial"/>
          <w:sz w:val="14"/>
          <w:szCs w:val="14"/>
          <w:color w:val="auto"/>
        </w:rPr>
      </w:pPr>
    </w:p>
    <w:p>
      <w:pPr>
        <w:ind w:left="140" w:hanging="135"/>
        <w:spacing w:after="0"/>
        <w:tabs>
          <w:tab w:leader="none" w:pos="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CEO</w:t>
      </w:r>
    </w:p>
    <w:p>
      <w:pPr>
        <w:spacing w:after="0" w:line="67" w:lineRule="exact"/>
        <w:rPr>
          <w:rFonts w:ascii="Arial" w:cs="Arial" w:eastAsia="Arial" w:hAnsi="Arial"/>
          <w:sz w:val="14"/>
          <w:szCs w:val="14"/>
          <w:color w:val="auto"/>
        </w:rPr>
      </w:pPr>
    </w:p>
    <w:p>
      <w:pPr>
        <w:ind w:left="160" w:right="60" w:hanging="155"/>
        <w:spacing w:after="0" w:line="300" w:lineRule="auto"/>
        <w:tabs>
          <w:tab w:leader="none" w:pos="143" w:val="left"/>
        </w:tabs>
        <w:numPr>
          <w:ilvl w:val="0"/>
          <w:numId w:val="33"/>
        </w:numPr>
        <w:rPr>
          <w:rFonts w:ascii="Arial" w:cs="Arial" w:eastAsia="Arial" w:hAnsi="Arial"/>
          <w:sz w:val="14"/>
          <w:szCs w:val="14"/>
          <w:color w:val="auto"/>
        </w:rPr>
      </w:pPr>
      <w:r>
        <w:rPr>
          <w:rFonts w:ascii="Arial" w:cs="Arial" w:eastAsia="Arial" w:hAnsi="Arial"/>
          <w:sz w:val="14"/>
          <w:szCs w:val="14"/>
          <w:color w:val="auto"/>
        </w:rPr>
        <w:t>Electric Power &amp; Electrification Value Chain</w:t>
      </w:r>
    </w:p>
    <w:p>
      <w:pPr>
        <w:ind w:left="140" w:hanging="135"/>
        <w:spacing w:after="0"/>
        <w:tabs>
          <w:tab w:leader="none" w:pos="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Governance</w:t>
      </w:r>
    </w:p>
    <w:p>
      <w:pPr>
        <w:spacing w:after="0" w:line="67" w:lineRule="exact"/>
        <w:rPr>
          <w:rFonts w:ascii="Arial" w:cs="Arial" w:eastAsia="Arial" w:hAnsi="Arial"/>
          <w:sz w:val="14"/>
          <w:szCs w:val="14"/>
          <w:color w:val="auto"/>
        </w:rPr>
      </w:pPr>
    </w:p>
    <w:p>
      <w:pPr>
        <w:ind w:left="160" w:right="700" w:hanging="155"/>
        <w:spacing w:after="0" w:line="300" w:lineRule="auto"/>
        <w:tabs>
          <w:tab w:leader="none" w:pos="143" w:val="left"/>
        </w:tabs>
        <w:numPr>
          <w:ilvl w:val="0"/>
          <w:numId w:val="33"/>
        </w:numPr>
        <w:rPr>
          <w:rFonts w:ascii="Arial" w:cs="Arial" w:eastAsia="Arial" w:hAnsi="Arial"/>
          <w:sz w:val="14"/>
          <w:szCs w:val="14"/>
          <w:color w:val="auto"/>
        </w:rPr>
      </w:pPr>
      <w:r>
        <w:rPr>
          <w:rFonts w:ascii="Arial" w:cs="Arial" w:eastAsia="Arial" w:hAnsi="Arial"/>
          <w:sz w:val="14"/>
          <w:szCs w:val="14"/>
          <w:color w:val="auto"/>
        </w:rPr>
        <w:t>Government, Regulatory &amp; Stakeholder Relations</w:t>
      </w:r>
    </w:p>
    <w:p>
      <w:pPr>
        <w:ind w:left="140" w:hanging="135"/>
        <w:spacing w:after="0"/>
        <w:tabs>
          <w:tab w:leader="none" w:pos="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Human Resources &amp; Compensation</w:t>
      </w:r>
    </w:p>
    <w:p>
      <w:pPr>
        <w:spacing w:after="0" w:line="67" w:lineRule="exact"/>
        <w:rPr>
          <w:rFonts w:ascii="Arial" w:cs="Arial" w:eastAsia="Arial" w:hAnsi="Arial"/>
          <w:sz w:val="14"/>
          <w:szCs w:val="14"/>
          <w:color w:val="auto"/>
        </w:rPr>
      </w:pPr>
    </w:p>
    <w:p>
      <w:pPr>
        <w:ind w:left="160" w:right="560" w:hanging="155"/>
        <w:spacing w:after="0" w:line="300" w:lineRule="auto"/>
        <w:tabs>
          <w:tab w:leader="none" w:pos="143"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Operations/Health, Safety, Sustainability &amp; Environment</w:t>
      </w:r>
    </w:p>
    <w:p>
      <w:pPr>
        <w:ind w:left="140" w:hanging="135"/>
        <w:spacing w:after="0"/>
        <w:tabs>
          <w:tab w:leader="none" w:pos="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$3,004,284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TC Energy</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Board/Committees</w:t>
      </w:r>
    </w:p>
    <w:p>
      <w:pPr>
        <w:spacing w:after="0"/>
        <w:rPr>
          <w:sz w:val="20"/>
          <w:szCs w:val="20"/>
          <w:color w:val="auto"/>
        </w:rPr>
      </w:pPr>
      <w:r>
        <w:rPr>
          <w:rFonts w:ascii="Arial" w:cs="Arial" w:eastAsia="Arial" w:hAnsi="Arial"/>
          <w:sz w:val="16"/>
          <w:szCs w:val="16"/>
          <w:b w:val="1"/>
          <w:bCs w:val="1"/>
          <w:color w:val="0D64EF"/>
        </w:rPr>
        <w:t>2025 meeting attendance</w:t>
      </w:r>
    </w:p>
    <w:p>
      <w:pPr>
        <w:spacing w:after="0" w:line="60" w:lineRule="exact"/>
        <w:rPr>
          <w:sz w:val="20"/>
          <w:szCs w:val="20"/>
          <w:color w:val="auto"/>
        </w:rPr>
      </w:pPr>
    </w:p>
    <w:p>
      <w:pPr>
        <w:ind w:left="160" w:right="1060" w:hanging="155"/>
        <w:spacing w:after="0" w:line="330" w:lineRule="auto"/>
        <w:tabs>
          <w:tab w:leader="none" w:pos="143" w:val="left"/>
        </w:tabs>
        <w:numPr>
          <w:ilvl w:val="0"/>
          <w:numId w:val="34"/>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ind w:left="140" w:hanging="135"/>
        <w:spacing w:after="0"/>
        <w:tabs>
          <w:tab w:leader="none" w:pos="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Audit Committee</w:t>
      </w:r>
    </w:p>
    <w:p>
      <w:pPr>
        <w:spacing w:after="0" w:line="53" w:lineRule="exact"/>
        <w:rPr>
          <w:rFonts w:ascii="Arial" w:cs="Arial" w:eastAsia="Arial" w:hAnsi="Arial"/>
          <w:sz w:val="14"/>
          <w:szCs w:val="14"/>
          <w:color w:val="auto"/>
        </w:rPr>
      </w:pPr>
    </w:p>
    <w:p>
      <w:pPr>
        <w:ind w:left="160"/>
        <w:spacing w:after="0"/>
        <w:rPr>
          <w:rFonts w:ascii="Arial" w:cs="Arial" w:eastAsia="Arial" w:hAnsi="Arial"/>
          <w:sz w:val="14"/>
          <w:szCs w:val="14"/>
          <w:color w:val="auto"/>
        </w:rPr>
      </w:pPr>
      <w:r>
        <w:rPr>
          <w:rFonts w:ascii="Arial" w:cs="Arial" w:eastAsia="Arial" w:hAnsi="Arial"/>
          <w:sz w:val="14"/>
          <w:szCs w:val="14"/>
          <w:color w:val="auto"/>
        </w:rPr>
        <w:t>2/2 meetings (100%)</w:t>
      </w:r>
    </w:p>
    <w:p>
      <w:pPr>
        <w:spacing w:after="0" w:line="67" w:lineRule="exact"/>
        <w:rPr>
          <w:rFonts w:ascii="Arial" w:cs="Arial" w:eastAsia="Arial" w:hAnsi="Arial"/>
          <w:sz w:val="14"/>
          <w:szCs w:val="14"/>
          <w:color w:val="auto"/>
        </w:rPr>
      </w:pPr>
    </w:p>
    <w:p>
      <w:pPr>
        <w:ind w:left="160" w:right="880" w:hanging="155"/>
        <w:spacing w:after="0" w:line="330" w:lineRule="auto"/>
        <w:tabs>
          <w:tab w:leader="none" w:pos="143" w:val="left"/>
        </w:tabs>
        <w:numPr>
          <w:ilvl w:val="0"/>
          <w:numId w:val="34"/>
        </w:numPr>
        <w:rPr>
          <w:rFonts w:ascii="Arial" w:cs="Arial" w:eastAsia="Arial" w:hAnsi="Arial"/>
          <w:sz w:val="14"/>
          <w:szCs w:val="14"/>
          <w:color w:val="auto"/>
        </w:rPr>
      </w:pPr>
      <w:r>
        <w:rPr>
          <w:rFonts w:ascii="Arial" w:cs="Arial" w:eastAsia="Arial" w:hAnsi="Arial"/>
          <w:sz w:val="14"/>
          <w:szCs w:val="14"/>
          <w:color w:val="auto"/>
        </w:rPr>
        <w:t>Governance Committee 2/2 meetings (100%)</w:t>
      </w:r>
    </w:p>
    <w:p>
      <w:pPr>
        <w:ind w:left="160" w:hanging="155"/>
        <w:spacing w:after="0" w:line="363" w:lineRule="auto"/>
        <w:tabs>
          <w:tab w:leader="none" w:pos="143" w:val="left"/>
        </w:tabs>
        <w:numPr>
          <w:ilvl w:val="0"/>
          <w:numId w:val="34"/>
        </w:numPr>
        <w:rPr>
          <w:rFonts w:ascii="Arial" w:cs="Arial" w:eastAsia="Arial" w:hAnsi="Arial"/>
          <w:sz w:val="14"/>
          <w:szCs w:val="14"/>
          <w:color w:val="auto"/>
        </w:rPr>
      </w:pPr>
      <w:r>
        <w:rPr>
          <w:rFonts w:ascii="Arial" w:cs="Arial" w:eastAsia="Arial" w:hAnsi="Arial"/>
          <w:sz w:val="14"/>
          <w:szCs w:val="14"/>
          <w:color w:val="auto"/>
        </w:rPr>
        <w:t>Human Resources Committee (Chair) 4/4 meetings (100%)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William 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-190500</wp:posOffset>
            </wp:positionV>
            <wp:extent cx="8255" cy="7832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783272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72, KNOXVILLE, TN, U.S.A. | DIRECTOR SINCE 2021</w:t>
      </w:r>
    </w:p>
    <w:p>
      <w:pPr>
        <w:spacing w:after="0" w:line="364" w:lineRule="exact"/>
        <w:rPr>
          <w:sz w:val="20"/>
          <w:szCs w:val="20"/>
          <w:color w:val="auto"/>
        </w:rPr>
      </w:pPr>
    </w:p>
    <w:p>
      <w:pPr>
        <w:ind w:left="20" w:right="120"/>
        <w:spacing w:after="0" w:line="312" w:lineRule="auto"/>
        <w:rPr>
          <w:sz w:val="20"/>
          <w:szCs w:val="20"/>
          <w:color w:val="auto"/>
        </w:rPr>
      </w:pPr>
      <w:r>
        <w:rPr>
          <w:rFonts w:ascii="Arial" w:cs="Arial" w:eastAsia="Arial" w:hAnsi="Arial"/>
          <w:sz w:val="16"/>
          <w:szCs w:val="16"/>
          <w:color w:val="auto"/>
        </w:rPr>
        <w:t>Mr. Johnson is a corporate director. He is currently a director of NiSource Inc. (utilities) since March 2022. He also serves on the boards of Strata Clean Energy (renewable power) since January 2025, Terrestrial Energy Inc. (nuclear power) since February 2023 and BrightNight LLC (renewable energy) since December 2021. Mr. Johnson most recently served as President and Chief Executive Officer of PG&amp;E from May 2019 through June 2020. Mr. Johnson also served as President and Chief Executive Officer of Tennessee Valley Authority (electricity) from January 2013 to May 2019.</w:t>
      </w:r>
    </w:p>
    <w:p>
      <w:pPr>
        <w:spacing w:after="0" w:line="70" w:lineRule="exact"/>
        <w:rPr>
          <w:sz w:val="20"/>
          <w:szCs w:val="20"/>
          <w:color w:val="auto"/>
        </w:rPr>
      </w:pPr>
    </w:p>
    <w:p>
      <w:pPr>
        <w:ind w:left="20" w:right="80"/>
        <w:spacing w:after="0" w:line="304" w:lineRule="auto"/>
        <w:rPr>
          <w:sz w:val="20"/>
          <w:szCs w:val="20"/>
          <w:color w:val="auto"/>
        </w:rPr>
      </w:pPr>
      <w:r>
        <w:rPr>
          <w:rFonts w:ascii="Arial" w:cs="Arial" w:eastAsia="Arial" w:hAnsi="Arial"/>
          <w:sz w:val="16"/>
          <w:szCs w:val="16"/>
          <w:color w:val="auto"/>
        </w:rPr>
        <w:t>Prior to joining Tennessee Valley Authority, Mr. Johnson held the positions of Chairman, President and CEO of Progress Energy, Inc. (Progress) (oil and gas) from October 2007 to July 2012 and previously to that, served as President and Chief Operating Officer (2005 to 2007). His career at Progress included leadership roles of increasing responsibility including as President, Energy Delivery (2004 to 2005) and President and Chief Executive Officer</w:t>
      </w:r>
    </w:p>
    <w:p>
      <w:pPr>
        <w:spacing w:after="0" w:line="4" w:lineRule="exact"/>
        <w:rPr>
          <w:sz w:val="20"/>
          <w:szCs w:val="20"/>
          <w:color w:val="auto"/>
        </w:rPr>
      </w:pPr>
    </w:p>
    <w:p>
      <w:pPr>
        <w:ind w:left="20" w:right="20"/>
        <w:spacing w:after="0" w:line="316" w:lineRule="auto"/>
        <w:rPr>
          <w:sz w:val="20"/>
          <w:szCs w:val="20"/>
          <w:color w:val="auto"/>
        </w:rPr>
      </w:pPr>
      <w:r>
        <w:rPr>
          <w:rFonts w:ascii="Arial" w:cs="Arial" w:eastAsia="Arial" w:hAnsi="Arial"/>
          <w:sz w:val="16"/>
          <w:szCs w:val="16"/>
          <w:color w:val="auto"/>
        </w:rPr>
        <w:t>(2002 to 2003) and Executive Vice President and General Counsel (2000 to 2002) of Progress Energy Service Company. Mr. Johnson's career began in 1992 at Carolina Power &amp; Light Company (predecessor to Progress) where he held increasing senior management roles of Associate General Counsel and Manager, Legal Department; Vice President, Senior Counsel and Corporate Secretary and Senior Vice President and Corporate Secretary.</w:t>
      </w:r>
    </w:p>
    <w:p>
      <w:pPr>
        <w:spacing w:after="0" w:line="52" w:lineRule="exact"/>
        <w:rPr>
          <w:sz w:val="20"/>
          <w:szCs w:val="20"/>
          <w:color w:val="auto"/>
        </w:rPr>
      </w:pPr>
    </w:p>
    <w:p>
      <w:pPr>
        <w:ind w:left="20" w:right="120"/>
        <w:spacing w:after="0" w:line="326" w:lineRule="auto"/>
        <w:rPr>
          <w:sz w:val="20"/>
          <w:szCs w:val="20"/>
          <w:color w:val="auto"/>
        </w:rPr>
      </w:pPr>
      <w:r>
        <w:rPr>
          <w:rFonts w:ascii="Arial" w:cs="Arial" w:eastAsia="Arial" w:hAnsi="Arial"/>
          <w:sz w:val="16"/>
          <w:szCs w:val="16"/>
          <w:color w:val="auto"/>
        </w:rPr>
        <w:t>Mr. Johnson has served on the boards of the following utility industry groups or associations: Edison Electric Institute (Vice Chair), Nuclear Energy Institute (Chair), Institute of Nuclear Power Operations, World Association of Nuclear Operators (Governor) and Nuclear Electric Insurance Limited.</w:t>
      </w:r>
    </w:p>
    <w:p>
      <w:pPr>
        <w:spacing w:after="0" w:line="56" w:lineRule="exact"/>
        <w:rPr>
          <w:sz w:val="20"/>
          <w:szCs w:val="20"/>
          <w:color w:val="auto"/>
        </w:rPr>
      </w:pPr>
    </w:p>
    <w:p>
      <w:pPr>
        <w:ind w:left="20" w:right="220"/>
        <w:spacing w:after="0" w:line="337" w:lineRule="auto"/>
        <w:rPr>
          <w:sz w:val="20"/>
          <w:szCs w:val="20"/>
          <w:color w:val="auto"/>
        </w:rPr>
      </w:pPr>
      <w:r>
        <w:rPr>
          <w:rFonts w:ascii="Arial" w:cs="Arial" w:eastAsia="Arial" w:hAnsi="Arial"/>
          <w:sz w:val="16"/>
          <w:szCs w:val="16"/>
          <w:color w:val="auto"/>
        </w:rPr>
        <w:t>Mr. Johnson holds a Juris Doctor degree (high honors) from the University of North Carolina School of Law and a Bachelor of Arts degree (history, summa cum laude) from Duke University in North Carolina.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1720" w:type="dxa"/>
            <w:vAlign w:val="bottom"/>
            <w:tcBorders>
              <w:top w:val="single" w:sz="8" w:color="0D64EF"/>
              <w:bottom w:val="single" w:sz="8" w:color="0D64EF"/>
            </w:tcBorders>
            <w:shd w:val="clear" w:color="auto" w:fill="D1D0CF"/>
          </w:tcPr>
          <w:p>
            <w:pPr>
              <w:ind w:left="700"/>
              <w:spacing w:after="0"/>
              <w:rPr>
                <w:sz w:val="20"/>
                <w:szCs w:val="20"/>
                <w:color w:val="auto"/>
              </w:rPr>
            </w:pPr>
            <w:r>
              <w:rPr>
                <w:rFonts w:ascii="Arial" w:cs="Arial" w:eastAsia="Arial" w:hAnsi="Arial"/>
                <w:sz w:val="14"/>
                <w:szCs w:val="14"/>
                <w:b w:val="1"/>
                <w:bCs w:val="1"/>
                <w:color w:val="auto"/>
                <w:w w:val="98"/>
              </w:rPr>
              <w:t>Votes in favour</w:t>
            </w:r>
          </w:p>
        </w:tc>
        <w:tc>
          <w:tcPr>
            <w:tcW w:w="1460" w:type="dxa"/>
            <w:vAlign w:val="bottom"/>
            <w:tcBorders>
              <w:top w:val="single" w:sz="8" w:color="0D64EF"/>
              <w:bottom w:val="single" w:sz="8" w:color="0D64EF"/>
            </w:tcBorders>
            <w:shd w:val="clear" w:color="auto" w:fill="D1D0CF"/>
          </w:tcPr>
          <w:p>
            <w:pPr>
              <w:spacing w:after="0"/>
              <w:rPr>
                <w:sz w:val="21"/>
                <w:szCs w:val="21"/>
                <w:color w:val="auto"/>
              </w:rPr>
            </w:pPr>
          </w:p>
        </w:tc>
        <w:tc>
          <w:tcPr>
            <w:tcW w:w="1780" w:type="dxa"/>
            <w:vAlign w:val="bottom"/>
            <w:tcBorders>
              <w:top w:val="single" w:sz="8" w:color="0D64EF"/>
              <w:bottom w:val="single" w:sz="8" w:color="0D64EF"/>
            </w:tcBorders>
            <w:shd w:val="clear" w:color="auto" w:fill="D1D0CF"/>
          </w:tcPr>
          <w:p>
            <w:pPr>
              <w:jc w:val="right"/>
              <w:ind w:right="768"/>
              <w:spacing w:after="0"/>
              <w:rPr>
                <w:sz w:val="20"/>
                <w:szCs w:val="20"/>
                <w:color w:val="auto"/>
              </w:rPr>
            </w:pPr>
            <w:r>
              <w:rPr>
                <w:rFonts w:ascii="Arial" w:cs="Arial" w:eastAsia="Arial" w:hAnsi="Arial"/>
                <w:sz w:val="14"/>
                <w:szCs w:val="14"/>
                <w:b w:val="1"/>
                <w:bCs w:val="1"/>
                <w:color w:val="auto"/>
              </w:rPr>
              <w:t>Votes against</w:t>
            </w:r>
          </w:p>
        </w:tc>
        <w:tc>
          <w:tcPr>
            <w:tcW w:w="540" w:type="dxa"/>
            <w:vAlign w:val="bottom"/>
            <w:tcBorders>
              <w:top w:val="single" w:sz="8" w:color="0D64EF"/>
              <w:bottom w:val="single" w:sz="8" w:color="0D64EF"/>
            </w:tcBorders>
            <w:shd w:val="clear" w:color="auto" w:fill="D1D0CF"/>
          </w:tcPr>
          <w:p>
            <w:pPr>
              <w:spacing w:after="0"/>
              <w:rPr>
                <w:sz w:val="21"/>
                <w:szCs w:val="21"/>
                <w:color w:val="auto"/>
              </w:rPr>
            </w:pPr>
          </w:p>
        </w:tc>
      </w:tr>
      <w:tr>
        <w:trPr>
          <w:trHeight w:val="234"/>
        </w:trPr>
        <w:tc>
          <w:tcPr>
            <w:tcW w:w="2780" w:type="dxa"/>
            <w:vAlign w:val="bottom"/>
          </w:tcPr>
          <w:p>
            <w:pPr>
              <w:ind w:left="20"/>
              <w:spacing w:after="0"/>
              <w:rPr>
                <w:sz w:val="20"/>
                <w:szCs w:val="20"/>
                <w:color w:val="auto"/>
              </w:rPr>
            </w:pPr>
            <w:r>
              <w:rPr>
                <w:rFonts w:ascii="Arial" w:cs="Arial" w:eastAsia="Arial" w:hAnsi="Arial"/>
                <w:sz w:val="14"/>
                <w:szCs w:val="14"/>
                <w:color w:val="auto"/>
              </w:rPr>
              <w:t>2025</w:t>
            </w:r>
          </w:p>
        </w:tc>
        <w:tc>
          <w:tcPr>
            <w:tcW w:w="17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665,190,544 (98.10%)</w:t>
            </w:r>
          </w:p>
        </w:tc>
        <w:tc>
          <w:tcPr>
            <w:tcW w:w="1780" w:type="dxa"/>
            <w:vAlign w:val="bottom"/>
          </w:tcPr>
          <w:p>
            <w:pPr>
              <w:jc w:val="right"/>
              <w:spacing w:after="0"/>
              <w:rPr>
                <w:sz w:val="20"/>
                <w:szCs w:val="20"/>
                <w:color w:val="auto"/>
              </w:rPr>
            </w:pPr>
            <w:r>
              <w:rPr>
                <w:rFonts w:ascii="Arial" w:cs="Arial" w:eastAsia="Arial" w:hAnsi="Arial"/>
                <w:sz w:val="14"/>
                <w:szCs w:val="14"/>
                <w:color w:val="auto"/>
              </w:rPr>
              <w:t>12,887,833</w:t>
            </w:r>
          </w:p>
        </w:tc>
        <w:tc>
          <w:tcPr>
            <w:tcW w:w="54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255"/>
        </w:trPr>
        <w:tc>
          <w:tcPr>
            <w:tcW w:w="2780" w:type="dxa"/>
            <w:vAlign w:val="bottom"/>
          </w:tcPr>
          <w:p>
            <w:pPr>
              <w:ind w:left="20"/>
              <w:spacing w:after="0"/>
              <w:rPr>
                <w:sz w:val="20"/>
                <w:szCs w:val="20"/>
                <w:color w:val="auto"/>
              </w:rPr>
            </w:pPr>
            <w:r>
              <w:rPr>
                <w:rFonts w:ascii="Arial" w:cs="Arial" w:eastAsia="Arial" w:hAnsi="Arial"/>
                <w:sz w:val="14"/>
                <w:szCs w:val="14"/>
                <w:color w:val="auto"/>
              </w:rPr>
              <w:t>2024</w:t>
            </w:r>
          </w:p>
        </w:tc>
        <w:tc>
          <w:tcPr>
            <w:tcW w:w="17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647,343,103 (97.34%)</w:t>
            </w:r>
          </w:p>
        </w:tc>
        <w:tc>
          <w:tcPr>
            <w:tcW w:w="1780" w:type="dxa"/>
            <w:vAlign w:val="bottom"/>
          </w:tcPr>
          <w:p>
            <w:pPr>
              <w:jc w:val="right"/>
              <w:spacing w:after="0"/>
              <w:rPr>
                <w:sz w:val="20"/>
                <w:szCs w:val="20"/>
                <w:color w:val="auto"/>
              </w:rPr>
            </w:pPr>
            <w:r>
              <w:rPr>
                <w:rFonts w:ascii="Arial" w:cs="Arial" w:eastAsia="Arial" w:hAnsi="Arial"/>
                <w:sz w:val="14"/>
                <w:szCs w:val="14"/>
                <w:color w:val="auto"/>
              </w:rPr>
              <w:t>17,682,684</w:t>
            </w:r>
          </w:p>
        </w:tc>
        <w:tc>
          <w:tcPr>
            <w:tcW w:w="54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228"/>
        </w:trPr>
        <w:tc>
          <w:tcPr>
            <w:tcW w:w="2780" w:type="dxa"/>
            <w:vAlign w:val="bottom"/>
          </w:tcPr>
          <w:p>
            <w:pPr>
              <w:ind w:left="20"/>
              <w:spacing w:after="0"/>
              <w:rPr>
                <w:sz w:val="20"/>
                <w:szCs w:val="20"/>
                <w:color w:val="auto"/>
              </w:rPr>
            </w:pPr>
            <w:r>
              <w:rPr>
                <w:rFonts w:ascii="Arial" w:cs="Arial" w:eastAsia="Arial" w:hAnsi="Arial"/>
                <w:sz w:val="14"/>
                <w:szCs w:val="14"/>
                <w:color w:val="auto"/>
              </w:rPr>
              <w:t>2023</w:t>
            </w:r>
          </w:p>
        </w:tc>
        <w:tc>
          <w:tcPr>
            <w:tcW w:w="17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670,426,693 (99.49%)</w:t>
            </w:r>
          </w:p>
        </w:tc>
        <w:tc>
          <w:tcPr>
            <w:tcW w:w="1780" w:type="dxa"/>
            <w:vAlign w:val="bottom"/>
          </w:tcPr>
          <w:p>
            <w:pPr>
              <w:jc w:val="right"/>
              <w:spacing w:after="0"/>
              <w:rPr>
                <w:sz w:val="20"/>
                <w:szCs w:val="20"/>
                <w:color w:val="auto"/>
              </w:rPr>
            </w:pPr>
            <w:r>
              <w:rPr>
                <w:rFonts w:ascii="Arial" w:cs="Arial" w:eastAsia="Arial" w:hAnsi="Arial"/>
                <w:sz w:val="14"/>
                <w:szCs w:val="14"/>
                <w:color w:val="auto"/>
              </w:rPr>
              <w:t>3,427,614</w:t>
            </w:r>
          </w:p>
        </w:tc>
        <w:tc>
          <w:tcPr>
            <w:tcW w:w="540" w:type="dxa"/>
            <w:vAlign w:val="bottom"/>
          </w:tcPr>
          <w:p>
            <w:pPr>
              <w:jc w:val="right"/>
              <w:spacing w:after="0"/>
              <w:rPr>
                <w:sz w:val="20"/>
                <w:szCs w:val="20"/>
                <w:color w:val="auto"/>
              </w:rPr>
            </w:pPr>
            <w:r>
              <w:rPr>
                <w:rFonts w:ascii="Arial" w:cs="Arial" w:eastAsia="Arial" w:hAnsi="Arial"/>
                <w:sz w:val="14"/>
                <w:szCs w:val="14"/>
                <w:color w:val="auto"/>
              </w:rPr>
              <w:t>(0.51%)</w:t>
            </w:r>
          </w:p>
        </w:tc>
      </w:tr>
    </w:tbl>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1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1740" w:type="dxa"/>
            <w:vAlign w:val="bottom"/>
            <w:tcBorders>
              <w:top w:val="single" w:sz="8" w:color="0D64EF"/>
              <w:bottom w:val="single" w:sz="8" w:color="0D64EF"/>
            </w:tcBorders>
            <w:shd w:val="clear" w:color="auto" w:fill="D1D0CF"/>
          </w:tcPr>
          <w:p>
            <w:pPr>
              <w:ind w:left="300"/>
              <w:spacing w:after="0"/>
              <w:rPr>
                <w:sz w:val="20"/>
                <w:szCs w:val="20"/>
                <w:color w:val="auto"/>
              </w:rPr>
            </w:pPr>
            <w:r>
              <w:rPr>
                <w:rFonts w:ascii="Arial" w:cs="Arial" w:eastAsia="Arial" w:hAnsi="Arial"/>
                <w:sz w:val="14"/>
                <w:szCs w:val="14"/>
                <w:b w:val="1"/>
                <w:bCs w:val="1"/>
                <w:color w:val="auto"/>
              </w:rPr>
              <w:t>Stock exchange</w:t>
            </w:r>
          </w:p>
        </w:tc>
        <w:tc>
          <w:tcPr>
            <w:tcW w:w="92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c>
          <w:tcPr>
            <w:tcW w:w="0" w:type="dxa"/>
            <w:vAlign w:val="bottom"/>
          </w:tcPr>
          <w:p>
            <w:pPr>
              <w:spacing w:after="0"/>
              <w:rPr>
                <w:sz w:val="1"/>
                <w:szCs w:val="1"/>
                <w:color w:val="auto"/>
              </w:rPr>
            </w:pPr>
          </w:p>
        </w:tc>
      </w:tr>
      <w:tr>
        <w:trPr>
          <w:trHeight w:val="194"/>
        </w:trPr>
        <w:tc>
          <w:tcPr>
            <w:tcW w:w="3180" w:type="dxa"/>
            <w:vAlign w:val="bottom"/>
          </w:tcPr>
          <w:p>
            <w:pPr>
              <w:ind w:left="20"/>
              <w:spacing w:after="0"/>
              <w:rPr>
                <w:sz w:val="20"/>
                <w:szCs w:val="20"/>
                <w:color w:val="auto"/>
              </w:rPr>
            </w:pPr>
            <w:r>
              <w:rPr>
                <w:rFonts w:ascii="Arial" w:cs="Arial" w:eastAsia="Arial" w:hAnsi="Arial"/>
                <w:sz w:val="14"/>
                <w:szCs w:val="14"/>
                <w:color w:val="auto"/>
              </w:rPr>
              <w:t>NiSource Inc. (utilities) (since March 2022)</w:t>
            </w:r>
          </w:p>
        </w:tc>
        <w:tc>
          <w:tcPr>
            <w:tcW w:w="1740" w:type="dxa"/>
            <w:vAlign w:val="bottom"/>
          </w:tcPr>
          <w:p>
            <w:pPr>
              <w:ind w:left="300"/>
              <w:spacing w:after="0"/>
              <w:rPr>
                <w:sz w:val="20"/>
                <w:szCs w:val="20"/>
                <w:color w:val="auto"/>
              </w:rPr>
            </w:pPr>
            <w:r>
              <w:rPr>
                <w:rFonts w:ascii="Arial" w:cs="Arial" w:eastAsia="Arial" w:hAnsi="Arial"/>
                <w:sz w:val="14"/>
                <w:szCs w:val="14"/>
                <w:color w:val="auto"/>
              </w:rPr>
              <w:t>TSX, NYSE</w:t>
            </w:r>
          </w:p>
        </w:tc>
        <w:tc>
          <w:tcPr>
            <w:tcW w:w="920" w:type="dxa"/>
            <w:vAlign w:val="bottom"/>
          </w:tcPr>
          <w:p>
            <w:pPr>
              <w:spacing w:after="0"/>
              <w:rPr>
                <w:sz w:val="16"/>
                <w:szCs w:val="16"/>
                <w:color w:val="auto"/>
              </w:rPr>
            </w:pPr>
          </w:p>
        </w:tc>
        <w:tc>
          <w:tcPr>
            <w:tcW w:w="2440" w:type="dxa"/>
            <w:vAlign w:val="bottom"/>
            <w:vMerge w:val="restart"/>
          </w:tcPr>
          <w:p>
            <w:pPr>
              <w:ind w:left="140"/>
              <w:spacing w:after="0"/>
              <w:rPr>
                <w:sz w:val="20"/>
                <w:szCs w:val="20"/>
                <w:color w:val="auto"/>
              </w:rPr>
            </w:pPr>
            <w:r>
              <w:rPr>
                <w:rFonts w:ascii="Arial" w:cs="Arial" w:eastAsia="Arial" w:hAnsi="Arial"/>
                <w:sz w:val="14"/>
                <w:szCs w:val="14"/>
                <w:color w:val="auto"/>
              </w:rPr>
              <w:t>Safety, Operations, Regulatory and</w:t>
            </w: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Policy (Chair)</w:t>
            </w: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Environmental, Social, Nominating</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and Governance</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Executive</w:t>
            </w:r>
          </w:p>
        </w:tc>
        <w:tc>
          <w:tcPr>
            <w:tcW w:w="0" w:type="dxa"/>
            <w:vAlign w:val="bottom"/>
          </w:tcPr>
          <w:p>
            <w:pPr>
              <w:spacing w:after="0"/>
              <w:rPr>
                <w:sz w:val="1"/>
                <w:szCs w:val="1"/>
                <w:color w:val="auto"/>
              </w:rPr>
            </w:pPr>
          </w:p>
        </w:tc>
      </w:tr>
      <w:tr>
        <w:trPr>
          <w:trHeight w:val="361"/>
        </w:trPr>
        <w:tc>
          <w:tcPr>
            <w:tcW w:w="3180" w:type="dxa"/>
            <w:vAlign w:val="bottom"/>
          </w:tcPr>
          <w:p>
            <w:pPr>
              <w:ind w:left="20"/>
              <w:spacing w:after="0"/>
              <w:rPr>
                <w:sz w:val="20"/>
                <w:szCs w:val="20"/>
                <w:color w:val="auto"/>
              </w:rPr>
            </w:pPr>
            <w:r>
              <w:rPr>
                <w:rFonts w:ascii="Arial" w:cs="Arial" w:eastAsia="Arial" w:hAnsi="Arial"/>
                <w:sz w:val="14"/>
                <w:szCs w:val="14"/>
                <w:color w:val="auto"/>
              </w:rPr>
              <w:t>Terrestrial Energy Inc. (nuclear power) (since</w:t>
            </w:r>
          </w:p>
        </w:tc>
        <w:tc>
          <w:tcPr>
            <w:tcW w:w="1740" w:type="dxa"/>
            <w:vAlign w:val="bottom"/>
          </w:tcPr>
          <w:p>
            <w:pPr>
              <w:ind w:left="300"/>
              <w:spacing w:after="0"/>
              <w:rPr>
                <w:sz w:val="20"/>
                <w:szCs w:val="20"/>
                <w:color w:val="auto"/>
              </w:rPr>
            </w:pPr>
            <w:r>
              <w:rPr>
                <w:rFonts w:ascii="Arial" w:cs="Arial" w:eastAsia="Arial" w:hAnsi="Arial"/>
                <w:sz w:val="14"/>
                <w:szCs w:val="14"/>
                <w:color w:val="auto"/>
              </w:rPr>
              <w:t>NASDAQ</w:t>
            </w:r>
          </w:p>
        </w:tc>
        <w:tc>
          <w:tcPr>
            <w:tcW w:w="9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rPr>
                <w:sz w:val="20"/>
                <w:szCs w:val="20"/>
                <w:color w:val="auto"/>
              </w:rPr>
            </w:pPr>
            <w:r>
              <w:rPr>
                <w:rFonts w:ascii="Arial" w:cs="Arial" w:eastAsia="Arial" w:hAnsi="Arial"/>
                <w:sz w:val="14"/>
                <w:szCs w:val="14"/>
                <w:color w:val="auto"/>
              </w:rPr>
              <w:t>February 2023)</w:t>
            </w:r>
          </w:p>
        </w:tc>
        <w:tc>
          <w:tcPr>
            <w:tcW w:w="1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Nominating and Corporate</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Governance (Chair)</w:t>
            </w:r>
          </w:p>
        </w:tc>
        <w:tc>
          <w:tcPr>
            <w:tcW w:w="0" w:type="dxa"/>
            <w:vAlign w:val="bottom"/>
          </w:tcPr>
          <w:p>
            <w:pPr>
              <w:spacing w:after="0"/>
              <w:rPr>
                <w:sz w:val="1"/>
                <w:szCs w:val="1"/>
                <w:color w:val="auto"/>
              </w:rPr>
            </w:pPr>
          </w:p>
        </w:tc>
      </w:tr>
      <w:tr>
        <w:trPr>
          <w:trHeight w:val="35"/>
        </w:trPr>
        <w:tc>
          <w:tcPr>
            <w:tcW w:w="3180" w:type="dxa"/>
            <w:vAlign w:val="bottom"/>
            <w:tcBorders>
              <w:bottom w:val="single" w:sz="8" w:color="0D64EF"/>
            </w:tcBorders>
          </w:tcPr>
          <w:p>
            <w:pPr>
              <w:spacing w:after="0"/>
              <w:rPr>
                <w:sz w:val="3"/>
                <w:szCs w:val="3"/>
                <w:color w:val="auto"/>
              </w:rPr>
            </w:pPr>
          </w:p>
        </w:tc>
        <w:tc>
          <w:tcPr>
            <w:tcW w:w="1740" w:type="dxa"/>
            <w:vAlign w:val="bottom"/>
            <w:tcBorders>
              <w:bottom w:val="single" w:sz="8" w:color="0D64EF"/>
            </w:tcBorders>
          </w:tcPr>
          <w:p>
            <w:pPr>
              <w:spacing w:after="0"/>
              <w:rPr>
                <w:sz w:val="3"/>
                <w:szCs w:val="3"/>
                <w:color w:val="auto"/>
              </w:rPr>
            </w:pPr>
          </w:p>
        </w:tc>
        <w:tc>
          <w:tcPr>
            <w:tcW w:w="920" w:type="dxa"/>
            <w:vAlign w:val="bottom"/>
            <w:tcBorders>
              <w:bottom w:val="single" w:sz="8" w:color="0D64EF"/>
            </w:tcBorders>
          </w:tcPr>
          <w:p>
            <w:pPr>
              <w:spacing w:after="0"/>
              <w:rPr>
                <w:sz w:val="3"/>
                <w:szCs w:val="3"/>
                <w:color w:val="auto"/>
              </w:rPr>
            </w:pPr>
          </w:p>
        </w:tc>
        <w:tc>
          <w:tcPr>
            <w:tcW w:w="2440" w:type="dxa"/>
            <w:vAlign w:val="bottom"/>
            <w:tcBorders>
              <w:bottom w:val="single" w:sz="8" w:color="0D64EF"/>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3180" w:type="dxa"/>
            <w:vAlign w:val="bottom"/>
            <w:shd w:val="clear" w:color="auto" w:fill="D1D0CF"/>
          </w:tcPr>
          <w:p>
            <w:pPr>
              <w:spacing w:after="0"/>
              <w:rPr>
                <w:sz w:val="12"/>
                <w:szCs w:val="12"/>
                <w:color w:val="auto"/>
              </w:rPr>
            </w:pPr>
          </w:p>
        </w:tc>
        <w:tc>
          <w:tcPr>
            <w:tcW w:w="1740" w:type="dxa"/>
            <w:vAlign w:val="bottom"/>
            <w:shd w:val="clear" w:color="auto" w:fill="D1D0CF"/>
          </w:tcPr>
          <w:p>
            <w:pPr>
              <w:spacing w:after="0"/>
              <w:rPr>
                <w:sz w:val="12"/>
                <w:szCs w:val="12"/>
                <w:color w:val="auto"/>
              </w:rPr>
            </w:pPr>
          </w:p>
        </w:tc>
        <w:tc>
          <w:tcPr>
            <w:tcW w:w="92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5" w:lineRule="exact"/>
              <w:rPr>
                <w:sz w:val="20"/>
                <w:szCs w:val="20"/>
                <w:color w:val="auto"/>
              </w:rPr>
            </w:pPr>
            <w:r>
              <w:rPr>
                <w:rFonts w:ascii="Arial" w:cs="Arial" w:eastAsia="Arial" w:hAnsi="Arial"/>
                <w:sz w:val="14"/>
                <w:szCs w:val="14"/>
                <w:b w:val="1"/>
                <w:bCs w:val="1"/>
                <w:color w:val="auto"/>
              </w:rPr>
              <w:t>Meets share ownership</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740" w:type="dxa"/>
            <w:vAlign w:val="bottom"/>
            <w:tcBorders>
              <w:bottom w:val="single" w:sz="8" w:color="0D64EF"/>
            </w:tcBorders>
            <w:shd w:val="clear" w:color="auto" w:fill="D1D0CF"/>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c>
          <w:tcPr>
            <w:tcW w:w="0" w:type="dxa"/>
            <w:vAlign w:val="bottom"/>
          </w:tcPr>
          <w:p>
            <w:pPr>
              <w:spacing w:after="0"/>
              <w:rPr>
                <w:sz w:val="1"/>
                <w:szCs w:val="1"/>
                <w:color w:val="auto"/>
              </w:rPr>
            </w:pPr>
          </w:p>
        </w:tc>
      </w:tr>
      <w:tr>
        <w:trPr>
          <w:trHeight w:val="228"/>
        </w:trPr>
        <w:tc>
          <w:tcPr>
            <w:tcW w:w="3180" w:type="dxa"/>
            <w:vAlign w:val="bottom"/>
          </w:tcPr>
          <w:p>
            <w:pPr>
              <w:ind w:left="20"/>
              <w:spacing w:after="0"/>
              <w:rPr>
                <w:sz w:val="20"/>
                <w:szCs w:val="20"/>
                <w:color w:val="auto"/>
              </w:rPr>
            </w:pPr>
            <w:r>
              <w:rPr>
                <w:rFonts w:ascii="Arial" w:cs="Arial" w:eastAsia="Arial" w:hAnsi="Arial"/>
                <w:sz w:val="14"/>
                <w:szCs w:val="14"/>
                <w:color w:val="auto"/>
              </w:rPr>
              <w:t>Shares</w:t>
            </w:r>
          </w:p>
        </w:tc>
        <w:tc>
          <w:tcPr>
            <w:tcW w:w="17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55"/>
        </w:trPr>
        <w:tc>
          <w:tcPr>
            <w:tcW w:w="3180" w:type="dxa"/>
            <w:vAlign w:val="bottom"/>
          </w:tcPr>
          <w:p>
            <w:pPr>
              <w:ind w:left="20"/>
              <w:spacing w:after="0"/>
              <w:rPr>
                <w:sz w:val="20"/>
                <w:szCs w:val="20"/>
                <w:color w:val="auto"/>
              </w:rPr>
            </w:pPr>
            <w:r>
              <w:rPr>
                <w:rFonts w:ascii="Arial" w:cs="Arial" w:eastAsia="Arial" w:hAnsi="Arial"/>
                <w:sz w:val="14"/>
                <w:szCs w:val="14"/>
                <w:color w:val="auto"/>
              </w:rPr>
              <w:t>DSUs</w:t>
            </w:r>
          </w:p>
        </w:tc>
        <w:tc>
          <w:tcPr>
            <w:tcW w:w="1740" w:type="dxa"/>
            <w:vAlign w:val="bottom"/>
          </w:tcPr>
          <w:p>
            <w:pPr>
              <w:jc w:val="right"/>
              <w:ind w:right="408"/>
              <w:spacing w:after="0"/>
              <w:rPr>
                <w:sz w:val="20"/>
                <w:szCs w:val="20"/>
                <w:color w:val="auto"/>
              </w:rPr>
            </w:pPr>
            <w:r>
              <w:rPr>
                <w:rFonts w:ascii="Arial" w:cs="Arial" w:eastAsia="Arial" w:hAnsi="Arial"/>
                <w:sz w:val="14"/>
                <w:szCs w:val="14"/>
                <w:color w:val="auto"/>
              </w:rPr>
              <w:t>34,437</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26,892</w:t>
            </w: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5255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55895" cy="8255"/>
                    </a:xfrm>
                    <a:prstGeom prst="rect">
                      <a:avLst/>
                    </a:prstGeom>
                    <a:noFill/>
                  </pic:spPr>
                </pic:pic>
              </a:graphicData>
            </a:graphic>
          </wp:anchor>
        </w:drawing>
      </w:r>
    </w:p>
    <w:p>
      <w:pPr>
        <w:spacing w:after="0" w:line="225" w:lineRule="exact"/>
        <w:rPr>
          <w:sz w:val="20"/>
          <w:szCs w:val="20"/>
          <w:color w:val="auto"/>
        </w:rPr>
      </w:pPr>
    </w:p>
    <w:p>
      <w:pPr>
        <w:ind w:left="20" w:right="20"/>
        <w:spacing w:after="0" w:line="330" w:lineRule="auto"/>
        <w:rPr>
          <w:sz w:val="20"/>
          <w:szCs w:val="20"/>
          <w:color w:val="auto"/>
        </w:rPr>
      </w:pPr>
      <w:r>
        <w:rPr>
          <w:rFonts w:ascii="Arial" w:cs="Arial" w:eastAsia="Arial" w:hAnsi="Arial"/>
          <w:sz w:val="11"/>
          <w:szCs w:val="11"/>
          <w:color w:val="auto"/>
        </w:rPr>
        <w:t>PG&amp;E filed for bankruptcy under Chapter 11 of the United States Bankruptcy Code in January 2019 as a result of claims arising from fires caused by PG&amp;E’s electrical equipment. Following discussions initiated by the PG&amp;E board of directors, Mr. Johnson agreed to serve as President and CEO throughout PG&amp;E’s bankruptcy process, beginning May 2, 2019, with the understanding that upon PG&amp;E’s emergence from bankruptcy he would resign from PG&amp;E. On July 1, 2020, PG&amp;E emerged from Chapter 11 bankruptcy, upon completing a restructuring process that was confirmed by the United States Bankruptcy Court on June 20, 2020. Mr. Johnson resigned as President and CEO of PG&amp;E on June 30, 2020.</w:t>
      </w:r>
    </w:p>
    <w:p>
      <w:pPr>
        <w:spacing w:after="0" w:line="200" w:lineRule="exact"/>
        <w:rPr>
          <w:sz w:val="20"/>
          <w:szCs w:val="20"/>
          <w:color w:val="auto"/>
        </w:rPr>
      </w:pPr>
    </w:p>
    <w:p>
      <w:pPr>
        <w:sectPr>
          <w:pgSz w:w="11900" w:h="16838" w:orient="portrait"/>
          <w:cols w:equalWidth="0" w:num="2">
            <w:col w:w="2540" w:space="400"/>
            <w:col w:w="8280"/>
          </w:cols>
          <w:pgMar w:left="34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23</w:t>
      </w:r>
    </w:p>
    <w:p>
      <w:pPr>
        <w:sectPr>
          <w:pgSz w:w="11900" w:h="16838" w:orient="portrait"/>
          <w:cols w:equalWidth="0" w:num="1">
            <w:col w:w="11220"/>
          </w:cols>
          <w:pgMar w:left="340" w:top="1035" w:right="33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80" w:right="600" w:hanging="155"/>
        <w:spacing w:after="0" w:line="300" w:lineRule="auto"/>
        <w:tabs>
          <w:tab w:leader="none" w:pos="163"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Capital markets/mergers &amp; acquisitions</w:t>
      </w:r>
    </w:p>
    <w:p>
      <w:pPr>
        <w:ind w:left="160" w:hanging="135"/>
        <w:spacing w:after="0"/>
        <w:tabs>
          <w:tab w:leader="none" w:pos="1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CEO</w:t>
      </w:r>
    </w:p>
    <w:p>
      <w:pPr>
        <w:spacing w:after="0" w:line="67" w:lineRule="exact"/>
        <w:rPr>
          <w:rFonts w:ascii="Arial" w:cs="Arial" w:eastAsia="Arial" w:hAnsi="Arial"/>
          <w:sz w:val="14"/>
          <w:szCs w:val="14"/>
          <w:color w:val="auto"/>
        </w:rPr>
      </w:pPr>
    </w:p>
    <w:p>
      <w:pPr>
        <w:ind w:left="160" w:hanging="135"/>
        <w:spacing w:after="0"/>
        <w:tabs>
          <w:tab w:leader="none" w:pos="1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Enterprise Risk Management</w:t>
      </w:r>
    </w:p>
    <w:p>
      <w:pPr>
        <w:spacing w:after="0" w:line="53" w:lineRule="exact"/>
        <w:rPr>
          <w:rFonts w:ascii="Arial" w:cs="Arial" w:eastAsia="Arial" w:hAnsi="Arial"/>
          <w:sz w:val="14"/>
          <w:szCs w:val="14"/>
          <w:color w:val="auto"/>
        </w:rPr>
      </w:pPr>
    </w:p>
    <w:p>
      <w:pPr>
        <w:ind w:left="160" w:hanging="135"/>
        <w:spacing w:after="0"/>
        <w:tabs>
          <w:tab w:leader="none" w:pos="1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Governance</w:t>
      </w:r>
    </w:p>
    <w:p>
      <w:pPr>
        <w:spacing w:after="0" w:line="67" w:lineRule="exact"/>
        <w:rPr>
          <w:rFonts w:ascii="Arial" w:cs="Arial" w:eastAsia="Arial" w:hAnsi="Arial"/>
          <w:sz w:val="14"/>
          <w:szCs w:val="14"/>
          <w:color w:val="auto"/>
        </w:rPr>
      </w:pPr>
    </w:p>
    <w:p>
      <w:pPr>
        <w:ind w:left="180" w:right="600" w:hanging="155"/>
        <w:spacing w:after="0" w:line="300" w:lineRule="auto"/>
        <w:tabs>
          <w:tab w:leader="none" w:pos="163" w:val="left"/>
        </w:tabs>
        <w:numPr>
          <w:ilvl w:val="0"/>
          <w:numId w:val="35"/>
        </w:numPr>
        <w:rPr>
          <w:rFonts w:ascii="Arial" w:cs="Arial" w:eastAsia="Arial" w:hAnsi="Arial"/>
          <w:sz w:val="14"/>
          <w:szCs w:val="14"/>
          <w:color w:val="auto"/>
        </w:rPr>
      </w:pPr>
      <w:r>
        <w:rPr>
          <w:rFonts w:ascii="Arial" w:cs="Arial" w:eastAsia="Arial" w:hAnsi="Arial"/>
          <w:sz w:val="14"/>
          <w:szCs w:val="14"/>
          <w:color w:val="auto"/>
        </w:rPr>
        <w:t>Government, Regulatory &amp; Stakeholder Relations</w:t>
      </w:r>
    </w:p>
    <w:p>
      <w:pPr>
        <w:ind w:left="160" w:hanging="135"/>
        <w:spacing w:after="0"/>
        <w:tabs>
          <w:tab w:leader="none" w:pos="1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Human Resources &amp; Compensation</w:t>
      </w:r>
    </w:p>
    <w:p>
      <w:pPr>
        <w:spacing w:after="0" w:line="67" w:lineRule="exact"/>
        <w:rPr>
          <w:rFonts w:ascii="Arial" w:cs="Arial" w:eastAsia="Arial" w:hAnsi="Arial"/>
          <w:sz w:val="14"/>
          <w:szCs w:val="14"/>
          <w:color w:val="auto"/>
        </w:rPr>
      </w:pPr>
    </w:p>
    <w:p>
      <w:pPr>
        <w:ind w:left="180" w:right="460" w:hanging="155"/>
        <w:spacing w:after="0" w:line="300" w:lineRule="auto"/>
        <w:tabs>
          <w:tab w:leader="none" w:pos="163"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Operations/Health, Safety, Sustainability &amp; Environment</w:t>
      </w:r>
    </w:p>
    <w:p>
      <w:pPr>
        <w:ind w:left="160" w:hanging="135"/>
        <w:spacing w:after="0"/>
        <w:tabs>
          <w:tab w:leader="none" w:pos="1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$6,755,604</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TC Energy</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Board/Committees</w:t>
      </w:r>
    </w:p>
    <w:p>
      <w:pPr>
        <w:ind w:left="20"/>
        <w:spacing w:after="0"/>
        <w:rPr>
          <w:sz w:val="20"/>
          <w:szCs w:val="20"/>
          <w:color w:val="auto"/>
        </w:rPr>
      </w:pPr>
      <w:r>
        <w:rPr>
          <w:rFonts w:ascii="Arial" w:cs="Arial" w:eastAsia="Arial" w:hAnsi="Arial"/>
          <w:sz w:val="16"/>
          <w:szCs w:val="16"/>
          <w:b w:val="1"/>
          <w:bCs w:val="1"/>
          <w:color w:val="0D64EF"/>
        </w:rPr>
        <w:t>2025 meeting attendance</w:t>
      </w:r>
    </w:p>
    <w:p>
      <w:pPr>
        <w:spacing w:after="0" w:line="60" w:lineRule="exact"/>
        <w:rPr>
          <w:sz w:val="20"/>
          <w:szCs w:val="20"/>
          <w:color w:val="auto"/>
        </w:rPr>
      </w:pPr>
    </w:p>
    <w:p>
      <w:pPr>
        <w:ind w:left="180" w:right="960" w:hanging="155"/>
        <w:spacing w:after="0" w:line="330" w:lineRule="auto"/>
        <w:tabs>
          <w:tab w:leader="none" w:pos="163" w:val="left"/>
        </w:tabs>
        <w:numPr>
          <w:ilvl w:val="0"/>
          <w:numId w:val="36"/>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ind w:left="160" w:hanging="135"/>
        <w:spacing w:after="0"/>
        <w:tabs>
          <w:tab w:leader="none" w:pos="1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Audit Committee</w:t>
      </w:r>
    </w:p>
    <w:p>
      <w:pPr>
        <w:spacing w:after="0" w:line="53"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4"/>
          <w:szCs w:val="14"/>
          <w:color w:val="auto"/>
        </w:rPr>
        <w:t>4/4 meetings (100%)</w:t>
      </w:r>
    </w:p>
    <w:p>
      <w:pPr>
        <w:spacing w:after="0" w:line="67" w:lineRule="exact"/>
        <w:rPr>
          <w:rFonts w:ascii="Arial" w:cs="Arial" w:eastAsia="Arial" w:hAnsi="Arial"/>
          <w:sz w:val="14"/>
          <w:szCs w:val="14"/>
          <w:color w:val="auto"/>
        </w:rPr>
      </w:pPr>
    </w:p>
    <w:p>
      <w:pPr>
        <w:ind w:left="180" w:right="380" w:hanging="155"/>
        <w:spacing w:after="0" w:line="363" w:lineRule="auto"/>
        <w:tabs>
          <w:tab w:leader="none" w:pos="163" w:val="left"/>
        </w:tabs>
        <w:numPr>
          <w:ilvl w:val="0"/>
          <w:numId w:val="36"/>
        </w:numPr>
        <w:rPr>
          <w:rFonts w:ascii="Arial" w:cs="Arial" w:eastAsia="Arial" w:hAnsi="Arial"/>
          <w:sz w:val="14"/>
          <w:szCs w:val="14"/>
          <w:color w:val="auto"/>
        </w:rPr>
      </w:pPr>
      <w:r>
        <w:rPr>
          <w:rFonts w:ascii="Arial" w:cs="Arial" w:eastAsia="Arial" w:hAnsi="Arial"/>
          <w:sz w:val="14"/>
          <w:szCs w:val="14"/>
          <w:color w:val="auto"/>
        </w:rPr>
        <w:t>Human Resources Committee 3/4 meetings (75%)</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Susan C.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-190500</wp:posOffset>
            </wp:positionV>
            <wp:extent cx="8255" cy="7815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781558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56, CALGARY, AB, CANADA | DIRECTOR SINCE 2020</w:t>
      </w:r>
    </w:p>
    <w:p>
      <w:pPr>
        <w:spacing w:after="0" w:line="364" w:lineRule="exact"/>
        <w:rPr>
          <w:sz w:val="20"/>
          <w:szCs w:val="20"/>
          <w:color w:val="auto"/>
        </w:rPr>
      </w:pPr>
    </w:p>
    <w:p>
      <w:pPr>
        <w:ind w:left="20" w:right="560"/>
        <w:spacing w:after="0" w:line="354" w:lineRule="auto"/>
        <w:rPr>
          <w:sz w:val="20"/>
          <w:szCs w:val="20"/>
          <w:color w:val="auto"/>
        </w:rPr>
      </w:pPr>
      <w:r>
        <w:rPr>
          <w:rFonts w:ascii="Arial" w:cs="Arial" w:eastAsia="Arial" w:hAnsi="Arial"/>
          <w:sz w:val="16"/>
          <w:szCs w:val="16"/>
          <w:color w:val="auto"/>
        </w:rPr>
        <w:t>Ms. Jones is a corporate director. She is currently a director of Canadian National Railway Company (freight railway) since May 2022.</w:t>
      </w:r>
    </w:p>
    <w:p>
      <w:pPr>
        <w:spacing w:after="0" w:line="22" w:lineRule="exact"/>
        <w:rPr>
          <w:sz w:val="20"/>
          <w:szCs w:val="20"/>
          <w:color w:val="auto"/>
        </w:rPr>
      </w:pPr>
    </w:p>
    <w:p>
      <w:pPr>
        <w:ind w:left="20" w:right="60"/>
        <w:spacing w:after="0" w:line="312" w:lineRule="auto"/>
        <w:rPr>
          <w:sz w:val="20"/>
          <w:szCs w:val="20"/>
          <w:color w:val="auto"/>
        </w:rPr>
      </w:pPr>
      <w:r>
        <w:rPr>
          <w:rFonts w:ascii="Arial" w:cs="Arial" w:eastAsia="Arial" w:hAnsi="Arial"/>
          <w:sz w:val="16"/>
          <w:szCs w:val="16"/>
          <w:color w:val="auto"/>
        </w:rPr>
        <w:t>Ms. Jones retired from her executive leadership role at Nutrien Ltd. (Nutrien) (agriculture) at the end of 2019 after 15 years with the company. While at Nutrien, she held a variety of roles between September 2004 to December 2019, including: Executive Vice-President and CEO of the Potash Business Unit of Nutrien (largest global underground soft-rock miner), Executive Vice-President and President of the Phosphate Business Unit; Chief Legal Officer; Business Development and Strategy; Managing Director of the European Distribution Business; and Vice-President of Wholesale Sales, Marketing and Logistics.</w:t>
      </w:r>
    </w:p>
    <w:p>
      <w:pPr>
        <w:spacing w:after="0" w:line="70" w:lineRule="exact"/>
        <w:rPr>
          <w:sz w:val="20"/>
          <w:szCs w:val="20"/>
          <w:color w:val="auto"/>
        </w:rPr>
      </w:pPr>
    </w:p>
    <w:p>
      <w:pPr>
        <w:ind w:left="20" w:right="20"/>
        <w:spacing w:after="0" w:line="316" w:lineRule="auto"/>
        <w:rPr>
          <w:sz w:val="20"/>
          <w:szCs w:val="20"/>
          <w:color w:val="auto"/>
        </w:rPr>
      </w:pPr>
      <w:r>
        <w:rPr>
          <w:rFonts w:ascii="Arial" w:cs="Arial" w:eastAsia="Arial" w:hAnsi="Arial"/>
          <w:sz w:val="16"/>
          <w:szCs w:val="16"/>
          <w:color w:val="auto"/>
        </w:rPr>
        <w:t>Ms. Jones served on the boards of Piedmont Lithium Limited (emerging lithium company) from June 2021 until June 2023, ARC Resources Ltd. (and predecessor company) (oil and gas, exploration and production) from May 2020 until February 2023, and Gibson Energy Inc. (mid-stream oil-focused infrastructure) from December 2018 until February 2020.</w:t>
      </w:r>
    </w:p>
    <w:p>
      <w:pPr>
        <w:spacing w:after="0" w:line="52" w:lineRule="exact"/>
        <w:rPr>
          <w:sz w:val="20"/>
          <w:szCs w:val="20"/>
          <w:color w:val="auto"/>
        </w:rPr>
      </w:pPr>
    </w:p>
    <w:p>
      <w:pPr>
        <w:ind w:left="20" w:right="160"/>
        <w:spacing w:after="0" w:line="326" w:lineRule="auto"/>
        <w:rPr>
          <w:sz w:val="20"/>
          <w:szCs w:val="20"/>
          <w:color w:val="auto"/>
        </w:rPr>
      </w:pPr>
      <w:r>
        <w:rPr>
          <w:rFonts w:ascii="Arial" w:cs="Arial" w:eastAsia="Arial" w:hAnsi="Arial"/>
          <w:sz w:val="16"/>
          <w:szCs w:val="16"/>
          <w:color w:val="auto"/>
        </w:rPr>
        <w:t>Ms. Jones was named the Osler Purdy Crawford Deal Maker of the Year 2017 at the Canadian General Counsel Awards for her role in the merger of Agrium Inc. and Potash Corporation of Saskatchewan Inc. She has served on the United Way and the Canadian Bar Association.</w:t>
      </w:r>
    </w:p>
    <w:p>
      <w:pPr>
        <w:spacing w:after="0" w:line="56" w:lineRule="exact"/>
        <w:rPr>
          <w:sz w:val="20"/>
          <w:szCs w:val="20"/>
          <w:color w:val="auto"/>
        </w:rPr>
      </w:pPr>
    </w:p>
    <w:p>
      <w:pPr>
        <w:ind w:left="20" w:right="120"/>
        <w:spacing w:after="0" w:line="326" w:lineRule="auto"/>
        <w:rPr>
          <w:sz w:val="20"/>
          <w:szCs w:val="20"/>
          <w:color w:val="auto"/>
        </w:rPr>
      </w:pPr>
      <w:r>
        <w:rPr>
          <w:rFonts w:ascii="Arial" w:cs="Arial" w:eastAsia="Arial" w:hAnsi="Arial"/>
          <w:sz w:val="16"/>
          <w:szCs w:val="16"/>
          <w:color w:val="auto"/>
        </w:rPr>
        <w:t>Ms. Jones holds a Bachelor of Arts degree in Political Science and Hispanic Studies from the University of Victoria as well as a Bachelor of Laws degree from the University of Ottawa. She also earned a Leadership Diploma from the University of Oxford and holds a Director Certificate from Harvard University.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1840" w:type="dxa"/>
            <w:vAlign w:val="bottom"/>
            <w:tcBorders>
              <w:top w:val="single" w:sz="8" w:color="0D64EF"/>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Votes in favour</w:t>
            </w:r>
          </w:p>
        </w:tc>
        <w:tc>
          <w:tcPr>
            <w:tcW w:w="92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Votes against</w:t>
            </w:r>
          </w:p>
        </w:tc>
      </w:tr>
      <w:tr>
        <w:trPr>
          <w:trHeight w:val="234"/>
        </w:trPr>
        <w:tc>
          <w:tcPr>
            <w:tcW w:w="3080" w:type="dxa"/>
            <w:vAlign w:val="bottom"/>
          </w:tcPr>
          <w:p>
            <w:pPr>
              <w:ind w:left="20"/>
              <w:spacing w:after="0"/>
              <w:rPr>
                <w:sz w:val="20"/>
                <w:szCs w:val="20"/>
                <w:color w:val="auto"/>
              </w:rPr>
            </w:pPr>
            <w:r>
              <w:rPr>
                <w:rFonts w:ascii="Arial" w:cs="Arial" w:eastAsia="Arial" w:hAnsi="Arial"/>
                <w:sz w:val="14"/>
                <w:szCs w:val="14"/>
                <w:color w:val="auto"/>
              </w:rPr>
              <w:t>2025</w:t>
            </w:r>
          </w:p>
        </w:tc>
        <w:tc>
          <w:tcPr>
            <w:tcW w:w="2760" w:type="dxa"/>
            <w:vAlign w:val="bottom"/>
            <w:gridSpan w:val="2"/>
          </w:tcPr>
          <w:p>
            <w:pPr>
              <w:jc w:val="right"/>
              <w:ind w:right="68"/>
              <w:spacing w:after="0"/>
              <w:rPr>
                <w:sz w:val="20"/>
                <w:szCs w:val="20"/>
                <w:color w:val="auto"/>
              </w:rPr>
            </w:pPr>
            <w:r>
              <w:rPr>
                <w:rFonts w:ascii="Arial" w:cs="Arial" w:eastAsia="Arial" w:hAnsi="Arial"/>
                <w:sz w:val="14"/>
                <w:szCs w:val="14"/>
                <w:color w:val="auto"/>
              </w:rPr>
              <w:t>673,349,772 (99.30%)</w:t>
            </w:r>
          </w:p>
        </w:tc>
        <w:tc>
          <w:tcPr>
            <w:tcW w:w="2440" w:type="dxa"/>
            <w:vAlign w:val="bottom"/>
          </w:tcPr>
          <w:p>
            <w:pPr>
              <w:ind w:left="1240"/>
              <w:spacing w:after="0"/>
              <w:rPr>
                <w:sz w:val="20"/>
                <w:szCs w:val="20"/>
                <w:color w:val="auto"/>
              </w:rPr>
            </w:pPr>
            <w:r>
              <w:rPr>
                <w:rFonts w:ascii="Arial" w:cs="Arial" w:eastAsia="Arial" w:hAnsi="Arial"/>
                <w:sz w:val="14"/>
                <w:szCs w:val="14"/>
                <w:color w:val="auto"/>
              </w:rPr>
              <w:t>4,729,368 (0.70%)</w:t>
            </w:r>
          </w:p>
        </w:tc>
      </w:tr>
      <w:tr>
        <w:trPr>
          <w:trHeight w:val="255"/>
        </w:trPr>
        <w:tc>
          <w:tcPr>
            <w:tcW w:w="3080" w:type="dxa"/>
            <w:vAlign w:val="bottom"/>
          </w:tcPr>
          <w:p>
            <w:pPr>
              <w:ind w:left="20"/>
              <w:spacing w:after="0"/>
              <w:rPr>
                <w:sz w:val="20"/>
                <w:szCs w:val="20"/>
                <w:color w:val="auto"/>
              </w:rPr>
            </w:pPr>
            <w:r>
              <w:rPr>
                <w:rFonts w:ascii="Arial" w:cs="Arial" w:eastAsia="Arial" w:hAnsi="Arial"/>
                <w:sz w:val="14"/>
                <w:szCs w:val="14"/>
                <w:color w:val="auto"/>
              </w:rPr>
              <w:t>2024</w:t>
            </w:r>
          </w:p>
        </w:tc>
        <w:tc>
          <w:tcPr>
            <w:tcW w:w="2760" w:type="dxa"/>
            <w:vAlign w:val="bottom"/>
            <w:gridSpan w:val="2"/>
          </w:tcPr>
          <w:p>
            <w:pPr>
              <w:jc w:val="right"/>
              <w:ind w:right="68"/>
              <w:spacing w:after="0"/>
              <w:rPr>
                <w:sz w:val="20"/>
                <w:szCs w:val="20"/>
                <w:color w:val="auto"/>
              </w:rPr>
            </w:pPr>
            <w:r>
              <w:rPr>
                <w:rFonts w:ascii="Arial" w:cs="Arial" w:eastAsia="Arial" w:hAnsi="Arial"/>
                <w:sz w:val="14"/>
                <w:szCs w:val="14"/>
                <w:color w:val="auto"/>
              </w:rPr>
              <w:t>659,081,705 (99.11%)</w:t>
            </w:r>
          </w:p>
        </w:tc>
        <w:tc>
          <w:tcPr>
            <w:tcW w:w="2440" w:type="dxa"/>
            <w:vAlign w:val="bottom"/>
          </w:tcPr>
          <w:p>
            <w:pPr>
              <w:ind w:left="1240"/>
              <w:spacing w:after="0"/>
              <w:rPr>
                <w:sz w:val="20"/>
                <w:szCs w:val="20"/>
                <w:color w:val="auto"/>
              </w:rPr>
            </w:pPr>
            <w:r>
              <w:rPr>
                <w:rFonts w:ascii="Arial" w:cs="Arial" w:eastAsia="Arial" w:hAnsi="Arial"/>
                <w:sz w:val="14"/>
                <w:szCs w:val="14"/>
                <w:color w:val="auto"/>
              </w:rPr>
              <w:t>5,944,056 (0.89%)</w:t>
            </w:r>
          </w:p>
        </w:tc>
      </w:tr>
      <w:tr>
        <w:trPr>
          <w:trHeight w:val="259"/>
        </w:trPr>
        <w:tc>
          <w:tcPr>
            <w:tcW w:w="308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2023</w:t>
            </w:r>
          </w:p>
        </w:tc>
        <w:tc>
          <w:tcPr>
            <w:tcW w:w="2760" w:type="dxa"/>
            <w:vAlign w:val="bottom"/>
            <w:tcBorders>
              <w:bottom w:val="single" w:sz="8" w:color="0D64EF"/>
            </w:tcBorders>
            <w:gridSpan w:val="2"/>
          </w:tcPr>
          <w:p>
            <w:pPr>
              <w:jc w:val="right"/>
              <w:ind w:right="68"/>
              <w:spacing w:after="0"/>
              <w:rPr>
                <w:sz w:val="20"/>
                <w:szCs w:val="20"/>
                <w:color w:val="auto"/>
              </w:rPr>
            </w:pPr>
            <w:r>
              <w:rPr>
                <w:rFonts w:ascii="Arial" w:cs="Arial" w:eastAsia="Arial" w:hAnsi="Arial"/>
                <w:sz w:val="14"/>
                <w:szCs w:val="14"/>
                <w:color w:val="auto"/>
              </w:rPr>
              <w:t>670,291,004 (99.47%)</w:t>
            </w:r>
          </w:p>
        </w:tc>
        <w:tc>
          <w:tcPr>
            <w:tcW w:w="2440" w:type="dxa"/>
            <w:vAlign w:val="bottom"/>
            <w:tcBorders>
              <w:bottom w:val="single" w:sz="8" w:color="0D64EF"/>
            </w:tcBorders>
          </w:tcPr>
          <w:p>
            <w:pPr>
              <w:ind w:left="1240"/>
              <w:spacing w:after="0"/>
              <w:rPr>
                <w:sz w:val="20"/>
                <w:szCs w:val="20"/>
                <w:color w:val="auto"/>
              </w:rPr>
            </w:pPr>
            <w:r>
              <w:rPr>
                <w:rFonts w:ascii="Arial" w:cs="Arial" w:eastAsia="Arial" w:hAnsi="Arial"/>
                <w:sz w:val="14"/>
                <w:szCs w:val="14"/>
                <w:color w:val="auto"/>
              </w:rPr>
              <w:t>3,563,305 (0.53%)</w:t>
            </w:r>
          </w:p>
        </w:tc>
      </w:tr>
      <w:tr>
        <w:trPr>
          <w:trHeight w:val="233"/>
        </w:trPr>
        <w:tc>
          <w:tcPr>
            <w:tcW w:w="30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1840" w:type="dxa"/>
            <w:vAlign w:val="bottom"/>
            <w:tcBorders>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Stock exchange</w:t>
            </w:r>
          </w:p>
        </w:tc>
        <w:tc>
          <w:tcPr>
            <w:tcW w:w="920" w:type="dxa"/>
            <w:vAlign w:val="bottom"/>
            <w:tcBorders>
              <w:bottom w:val="single" w:sz="8" w:color="0D64EF"/>
            </w:tcBorders>
            <w:shd w:val="clear" w:color="auto" w:fill="D1D0CF"/>
          </w:tcPr>
          <w:p>
            <w:pPr>
              <w:spacing w:after="0"/>
              <w:rPr>
                <w:sz w:val="20"/>
                <w:szCs w:val="20"/>
                <w:color w:val="auto"/>
              </w:rPr>
            </w:pP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r>
      <w:tr>
        <w:trPr>
          <w:trHeight w:val="165"/>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Canadian National Railway Company (freight railway) TSX, NYSE</w:t>
            </w:r>
          </w:p>
        </w:tc>
        <w:tc>
          <w:tcPr>
            <w:tcW w:w="9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Audit, Finance and Risk</w:t>
            </w: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(since May 2022)</w:t>
            </w:r>
          </w:p>
        </w:tc>
        <w:tc>
          <w:tcPr>
            <w:tcW w:w="1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Safety and Environment (Chair)</w:t>
            </w:r>
          </w:p>
        </w:tc>
      </w:tr>
      <w:tr>
        <w:trPr>
          <w:trHeight w:val="169"/>
        </w:trPr>
        <w:tc>
          <w:tcPr>
            <w:tcW w:w="3080" w:type="dxa"/>
            <w:vAlign w:val="bottom"/>
            <w:tcBorders>
              <w:bottom w:val="single" w:sz="8" w:color="0D64EF"/>
            </w:tcBorders>
          </w:tcPr>
          <w:p>
            <w:pPr>
              <w:spacing w:after="0"/>
              <w:rPr>
                <w:sz w:val="14"/>
                <w:szCs w:val="14"/>
                <w:color w:val="auto"/>
              </w:rPr>
            </w:pPr>
          </w:p>
        </w:tc>
        <w:tc>
          <w:tcPr>
            <w:tcW w:w="1840" w:type="dxa"/>
            <w:vAlign w:val="bottom"/>
            <w:tcBorders>
              <w:bottom w:val="single" w:sz="8" w:color="0D64EF"/>
            </w:tcBorders>
          </w:tcPr>
          <w:p>
            <w:pPr>
              <w:spacing w:after="0"/>
              <w:rPr>
                <w:sz w:val="14"/>
                <w:szCs w:val="14"/>
                <w:color w:val="auto"/>
              </w:rPr>
            </w:pPr>
          </w:p>
        </w:tc>
        <w:tc>
          <w:tcPr>
            <w:tcW w:w="920" w:type="dxa"/>
            <w:vAlign w:val="bottom"/>
            <w:tcBorders>
              <w:bottom w:val="single" w:sz="8" w:color="0D64EF"/>
            </w:tcBorders>
          </w:tcPr>
          <w:p>
            <w:pPr>
              <w:spacing w:after="0"/>
              <w:rPr>
                <w:sz w:val="14"/>
                <w:szCs w:val="14"/>
                <w:color w:val="auto"/>
              </w:rPr>
            </w:pPr>
          </w:p>
        </w:tc>
        <w:tc>
          <w:tcPr>
            <w:tcW w:w="2440" w:type="dxa"/>
            <w:vAlign w:val="bottom"/>
            <w:tcBorders>
              <w:bottom w:val="single" w:sz="8" w:color="0D64EF"/>
            </w:tcBorders>
          </w:tcPr>
          <w:p>
            <w:pPr>
              <w:spacing w:after="0"/>
              <w:rPr>
                <w:sz w:val="14"/>
                <w:szCs w:val="14"/>
                <w:color w:val="auto"/>
              </w:rPr>
            </w:pPr>
          </w:p>
        </w:tc>
      </w:tr>
      <w:tr>
        <w:trPr>
          <w:trHeight w:val="145"/>
        </w:trPr>
        <w:tc>
          <w:tcPr>
            <w:tcW w:w="3080" w:type="dxa"/>
            <w:vAlign w:val="bottom"/>
            <w:shd w:val="clear" w:color="auto" w:fill="D1D0CF"/>
          </w:tcPr>
          <w:p>
            <w:pPr>
              <w:spacing w:after="0"/>
              <w:rPr>
                <w:sz w:val="12"/>
                <w:szCs w:val="12"/>
                <w:color w:val="auto"/>
              </w:rPr>
            </w:pPr>
          </w:p>
        </w:tc>
        <w:tc>
          <w:tcPr>
            <w:tcW w:w="1840" w:type="dxa"/>
            <w:vAlign w:val="bottom"/>
            <w:shd w:val="clear" w:color="auto" w:fill="D1D0CF"/>
          </w:tcPr>
          <w:p>
            <w:pPr>
              <w:spacing w:after="0"/>
              <w:rPr>
                <w:sz w:val="12"/>
                <w:szCs w:val="12"/>
                <w:color w:val="auto"/>
              </w:rPr>
            </w:pPr>
          </w:p>
        </w:tc>
        <w:tc>
          <w:tcPr>
            <w:tcW w:w="92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5" w:lineRule="exact"/>
              <w:rPr>
                <w:sz w:val="20"/>
                <w:szCs w:val="20"/>
                <w:color w:val="auto"/>
              </w:rPr>
            </w:pPr>
            <w:r>
              <w:rPr>
                <w:rFonts w:ascii="Arial" w:cs="Arial" w:eastAsia="Arial" w:hAnsi="Arial"/>
                <w:sz w:val="14"/>
                <w:szCs w:val="14"/>
                <w:b w:val="1"/>
                <w:bCs w:val="1"/>
                <w:color w:val="auto"/>
              </w:rPr>
              <w:t>Meets share ownership</w:t>
            </w:r>
          </w:p>
        </w:tc>
      </w:tr>
      <w:tr>
        <w:trPr>
          <w:trHeight w:val="210"/>
        </w:trPr>
        <w:tc>
          <w:tcPr>
            <w:tcW w:w="30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840" w:type="dxa"/>
            <w:vAlign w:val="bottom"/>
            <w:tcBorders>
              <w:bottom w:val="single" w:sz="8" w:color="0D64EF"/>
            </w:tcBorders>
            <w:shd w:val="clear" w:color="auto" w:fill="D1D0CF"/>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r>
      <w:tr>
        <w:trPr>
          <w:trHeight w:val="228"/>
        </w:trPr>
        <w:tc>
          <w:tcPr>
            <w:tcW w:w="3080" w:type="dxa"/>
            <w:vAlign w:val="bottom"/>
          </w:tcPr>
          <w:p>
            <w:pPr>
              <w:ind w:left="20"/>
              <w:spacing w:after="0"/>
              <w:rPr>
                <w:sz w:val="20"/>
                <w:szCs w:val="20"/>
                <w:color w:val="auto"/>
              </w:rPr>
            </w:pPr>
            <w:r>
              <w:rPr>
                <w:rFonts w:ascii="Arial" w:cs="Arial" w:eastAsia="Arial" w:hAnsi="Arial"/>
                <w:sz w:val="14"/>
                <w:szCs w:val="14"/>
                <w:color w:val="auto"/>
              </w:rPr>
              <w:t>Shares</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34,576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14,166</w:t>
            </w:r>
          </w:p>
        </w:tc>
        <w:tc>
          <w:tcPr>
            <w:tcW w:w="2440" w:type="dxa"/>
            <w:vAlign w:val="bottom"/>
          </w:tcPr>
          <w:p>
            <w:pPr>
              <w:ind w:left="140"/>
              <w:spacing w:after="0"/>
              <w:rPr>
                <w:sz w:val="20"/>
                <w:szCs w:val="20"/>
                <w:color w:val="auto"/>
              </w:rPr>
            </w:pPr>
            <w:r>
              <w:rPr>
                <w:rFonts w:ascii="Arial" w:cs="Arial" w:eastAsia="Arial" w:hAnsi="Arial"/>
                <w:sz w:val="14"/>
                <w:szCs w:val="14"/>
                <w:color w:val="auto"/>
              </w:rPr>
              <w:t>Yes</w:t>
            </w:r>
          </w:p>
        </w:tc>
      </w:tr>
      <w:tr>
        <w:trPr>
          <w:trHeight w:val="228"/>
        </w:trPr>
        <w:tc>
          <w:tcPr>
            <w:tcW w:w="3080" w:type="dxa"/>
            <w:vAlign w:val="bottom"/>
          </w:tcPr>
          <w:p>
            <w:pPr>
              <w:ind w:left="20"/>
              <w:spacing w:after="0"/>
              <w:rPr>
                <w:sz w:val="20"/>
                <w:szCs w:val="20"/>
                <w:color w:val="auto"/>
              </w:rPr>
            </w:pPr>
            <w:r>
              <w:rPr>
                <w:rFonts w:ascii="Arial" w:cs="Arial" w:eastAsia="Arial" w:hAnsi="Arial"/>
                <w:sz w:val="14"/>
                <w:szCs w:val="14"/>
                <w:color w:val="auto"/>
              </w:rPr>
              <w:t>DSUs</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42,861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35,337</w:t>
            </w:r>
          </w:p>
        </w:tc>
        <w:tc>
          <w:tcPr>
            <w:tcW w:w="2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2460" w:space="500"/>
            <w:col w:w="828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35" w:right="33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40" w:hanging="135"/>
        <w:spacing w:after="0"/>
        <w:tabs>
          <w:tab w:leader="none" w:pos="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Accounting/Audit</w:t>
      </w:r>
    </w:p>
    <w:p>
      <w:pPr>
        <w:spacing w:after="0" w:line="53" w:lineRule="exact"/>
        <w:rPr>
          <w:rFonts w:ascii="Arial" w:cs="Arial" w:eastAsia="Arial" w:hAnsi="Arial"/>
          <w:sz w:val="14"/>
          <w:szCs w:val="14"/>
          <w:color w:val="auto"/>
        </w:rPr>
      </w:pPr>
    </w:p>
    <w:p>
      <w:pPr>
        <w:ind w:left="160" w:right="380" w:hanging="155"/>
        <w:spacing w:after="0" w:line="310" w:lineRule="auto"/>
        <w:tabs>
          <w:tab w:leader="none" w:pos="143" w:val="left"/>
        </w:tabs>
        <w:numPr>
          <w:ilvl w:val="0"/>
          <w:numId w:val="37"/>
        </w:numPr>
        <w:rPr>
          <w:rFonts w:ascii="Arial" w:cs="Arial" w:eastAsia="Arial" w:hAnsi="Arial"/>
          <w:sz w:val="14"/>
          <w:szCs w:val="14"/>
          <w:color w:val="auto"/>
        </w:rPr>
      </w:pPr>
      <w:r>
        <w:rPr>
          <w:rFonts w:ascii="Arial" w:cs="Arial" w:eastAsia="Arial" w:hAnsi="Arial"/>
          <w:sz w:val="14"/>
          <w:szCs w:val="14"/>
          <w:color w:val="auto"/>
        </w:rPr>
        <w:t>Capital Markets/Mergers &amp; Acquisitions</w:t>
      </w:r>
    </w:p>
    <w:p>
      <w:pPr>
        <w:ind w:left="140" w:hanging="135"/>
        <w:spacing w:after="0"/>
        <w:tabs>
          <w:tab w:leader="none" w:pos="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Energy, Pipelines &amp; Midstream</w:t>
      </w:r>
    </w:p>
    <w:p>
      <w:pPr>
        <w:spacing w:after="0" w:line="53" w:lineRule="exact"/>
        <w:rPr>
          <w:rFonts w:ascii="Arial" w:cs="Arial" w:eastAsia="Arial" w:hAnsi="Arial"/>
          <w:sz w:val="14"/>
          <w:szCs w:val="14"/>
          <w:color w:val="auto"/>
        </w:rPr>
      </w:pPr>
    </w:p>
    <w:p>
      <w:pPr>
        <w:ind w:left="140" w:hanging="135"/>
        <w:spacing w:after="0"/>
        <w:tabs>
          <w:tab w:leader="none" w:pos="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Enterprise Risk Management</w:t>
      </w:r>
    </w:p>
    <w:p>
      <w:pPr>
        <w:spacing w:after="0" w:line="67" w:lineRule="exact"/>
        <w:rPr>
          <w:rFonts w:ascii="Arial" w:cs="Arial" w:eastAsia="Arial" w:hAnsi="Arial"/>
          <w:sz w:val="14"/>
          <w:szCs w:val="14"/>
          <w:color w:val="auto"/>
        </w:rPr>
      </w:pPr>
    </w:p>
    <w:p>
      <w:pPr>
        <w:ind w:left="140" w:hanging="135"/>
        <w:spacing w:after="0"/>
        <w:tabs>
          <w:tab w:leader="none" w:pos="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Governance</w:t>
      </w:r>
    </w:p>
    <w:p>
      <w:pPr>
        <w:spacing w:after="0" w:line="53" w:lineRule="exact"/>
        <w:rPr>
          <w:rFonts w:ascii="Arial" w:cs="Arial" w:eastAsia="Arial" w:hAnsi="Arial"/>
          <w:sz w:val="14"/>
          <w:szCs w:val="14"/>
          <w:color w:val="auto"/>
        </w:rPr>
      </w:pPr>
    </w:p>
    <w:p>
      <w:pPr>
        <w:ind w:left="160" w:right="380" w:hanging="155"/>
        <w:spacing w:after="0" w:line="310" w:lineRule="auto"/>
        <w:tabs>
          <w:tab w:leader="none" w:pos="143" w:val="left"/>
        </w:tabs>
        <w:numPr>
          <w:ilvl w:val="0"/>
          <w:numId w:val="37"/>
        </w:numPr>
        <w:rPr>
          <w:rFonts w:ascii="Arial" w:cs="Arial" w:eastAsia="Arial" w:hAnsi="Arial"/>
          <w:sz w:val="14"/>
          <w:szCs w:val="14"/>
          <w:color w:val="auto"/>
        </w:rPr>
      </w:pPr>
      <w:r>
        <w:rPr>
          <w:rFonts w:ascii="Arial" w:cs="Arial" w:eastAsia="Arial" w:hAnsi="Arial"/>
          <w:sz w:val="14"/>
          <w:szCs w:val="14"/>
          <w:color w:val="auto"/>
        </w:rPr>
        <w:t>Government, Regulatory &amp; Stakeholder Relations</w:t>
      </w:r>
    </w:p>
    <w:p>
      <w:pPr>
        <w:ind w:left="160" w:right="240" w:hanging="155"/>
        <w:spacing w:after="0" w:line="300" w:lineRule="auto"/>
        <w:tabs>
          <w:tab w:leader="none" w:pos="143" w:val="left"/>
        </w:tabs>
        <w:numPr>
          <w:ilvl w:val="0"/>
          <w:numId w:val="37"/>
        </w:numPr>
        <w:rPr>
          <w:rFonts w:ascii="Arial" w:cs="Arial" w:eastAsia="Arial" w:hAnsi="Arial"/>
          <w:sz w:val="14"/>
          <w:szCs w:val="14"/>
          <w:color w:val="auto"/>
        </w:rPr>
      </w:pPr>
      <w:r>
        <w:rPr>
          <w:rFonts w:ascii="Arial" w:cs="Arial" w:eastAsia="Arial" w:hAnsi="Arial"/>
          <w:sz w:val="14"/>
          <w:szCs w:val="14"/>
          <w:color w:val="auto"/>
        </w:rPr>
        <w:t>Operations/Health, Safety, Sustainability &amp; Environment</w:t>
      </w:r>
    </w:p>
    <w:p>
      <w:pPr>
        <w:ind w:left="140" w:hanging="135"/>
        <w:spacing w:after="0"/>
        <w:tabs>
          <w:tab w:leader="none" w:pos="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$7,754,153</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TC Energy</w:t>
      </w:r>
    </w:p>
    <w:p>
      <w:pPr>
        <w:spacing w:after="0" w:line="236" w:lineRule="auto"/>
        <w:rPr>
          <w:sz w:val="20"/>
          <w:szCs w:val="20"/>
          <w:color w:val="auto"/>
        </w:rPr>
      </w:pPr>
      <w:r>
        <w:rPr>
          <w:rFonts w:ascii="Arial" w:cs="Arial" w:eastAsia="Arial" w:hAnsi="Arial"/>
          <w:sz w:val="16"/>
          <w:szCs w:val="16"/>
          <w:b w:val="1"/>
          <w:bCs w:val="1"/>
          <w:color w:val="0D64EF"/>
        </w:rPr>
        <w:t>Board/Committees</w:t>
      </w:r>
    </w:p>
    <w:p>
      <w:pPr>
        <w:spacing w:after="0"/>
        <w:rPr>
          <w:sz w:val="20"/>
          <w:szCs w:val="20"/>
          <w:color w:val="auto"/>
        </w:rPr>
      </w:pPr>
      <w:r>
        <w:rPr>
          <w:rFonts w:ascii="Arial" w:cs="Arial" w:eastAsia="Arial" w:hAnsi="Arial"/>
          <w:sz w:val="16"/>
          <w:szCs w:val="16"/>
          <w:b w:val="1"/>
          <w:bCs w:val="1"/>
          <w:color w:val="0D64EF"/>
        </w:rPr>
        <w:t>2025 meeting attendance</w:t>
      </w:r>
    </w:p>
    <w:p>
      <w:pPr>
        <w:spacing w:after="0" w:line="47" w:lineRule="exact"/>
        <w:rPr>
          <w:sz w:val="20"/>
          <w:szCs w:val="20"/>
          <w:color w:val="auto"/>
        </w:rPr>
      </w:pPr>
    </w:p>
    <w:p>
      <w:pPr>
        <w:ind w:left="160" w:right="440" w:hanging="155"/>
        <w:spacing w:after="0" w:line="330" w:lineRule="auto"/>
        <w:tabs>
          <w:tab w:leader="none" w:pos="143" w:val="left"/>
        </w:tabs>
        <w:numPr>
          <w:ilvl w:val="0"/>
          <w:numId w:val="38"/>
        </w:numPr>
        <w:rPr>
          <w:rFonts w:ascii="Arial" w:cs="Arial" w:eastAsia="Arial" w:hAnsi="Arial"/>
          <w:sz w:val="14"/>
          <w:szCs w:val="14"/>
          <w:color w:val="auto"/>
        </w:rPr>
      </w:pPr>
      <w:r>
        <w:rPr>
          <w:rFonts w:ascii="Arial" w:cs="Arial" w:eastAsia="Arial" w:hAnsi="Arial"/>
          <w:sz w:val="14"/>
          <w:szCs w:val="14"/>
          <w:color w:val="auto"/>
        </w:rPr>
        <w:t>Board of Directors (Chair) 5/5 meetings (100%)</w:t>
      </w:r>
    </w:p>
    <w:p>
      <w:pPr>
        <w:ind w:left="160" w:right="560" w:hanging="155"/>
        <w:spacing w:after="0" w:line="330" w:lineRule="auto"/>
        <w:tabs>
          <w:tab w:leader="none" w:pos="143" w:val="left"/>
        </w:tabs>
        <w:numPr>
          <w:ilvl w:val="0"/>
          <w:numId w:val="38"/>
        </w:numPr>
        <w:rPr>
          <w:rFonts w:ascii="Arial" w:cs="Arial" w:eastAsia="Arial" w:hAnsi="Arial"/>
          <w:sz w:val="14"/>
          <w:szCs w:val="14"/>
          <w:color w:val="auto"/>
        </w:rPr>
      </w:pPr>
      <w:r>
        <w:rPr>
          <w:rFonts w:ascii="Arial" w:cs="Arial" w:eastAsia="Arial" w:hAnsi="Arial"/>
          <w:sz w:val="14"/>
          <w:szCs w:val="14"/>
          <w:color w:val="auto"/>
        </w:rPr>
        <w:t>Governance Committee 4/4 meetings (100%)</w:t>
      </w:r>
    </w:p>
    <w:p>
      <w:pPr>
        <w:ind w:left="160" w:right="160" w:hanging="155"/>
        <w:spacing w:after="0" w:line="383" w:lineRule="auto"/>
        <w:tabs>
          <w:tab w:leader="none" w:pos="143" w:val="left"/>
        </w:tabs>
        <w:numPr>
          <w:ilvl w:val="0"/>
          <w:numId w:val="38"/>
        </w:numPr>
        <w:rPr>
          <w:rFonts w:ascii="Arial" w:cs="Arial" w:eastAsia="Arial" w:hAnsi="Arial"/>
          <w:sz w:val="14"/>
          <w:szCs w:val="14"/>
          <w:color w:val="auto"/>
        </w:rPr>
      </w:pPr>
      <w:r>
        <w:rPr>
          <w:rFonts w:ascii="Arial" w:cs="Arial" w:eastAsia="Arial" w:hAnsi="Arial"/>
          <w:sz w:val="14"/>
          <w:szCs w:val="14"/>
          <w:color w:val="auto"/>
        </w:rPr>
        <w:t>Human Resources Committee 4/4 meetings (100%)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John E.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-190500</wp:posOffset>
            </wp:positionV>
            <wp:extent cx="8255" cy="7798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779843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67, HOUSTON, TX, U.S.A. | BOARD CHAIR SINCE 2024 | DIRECTOR SINCE 2015</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Lowe is a corporate director. He is currently the Chair of the Board.</w:t>
      </w:r>
    </w:p>
    <w:p>
      <w:pPr>
        <w:spacing w:after="0" w:line="152" w:lineRule="exact"/>
        <w:rPr>
          <w:sz w:val="20"/>
          <w:szCs w:val="20"/>
          <w:color w:val="auto"/>
        </w:rPr>
      </w:pPr>
    </w:p>
    <w:p>
      <w:pPr>
        <w:ind w:left="20" w:right="180"/>
        <w:spacing w:after="0" w:line="308" w:lineRule="auto"/>
        <w:rPr>
          <w:sz w:val="20"/>
          <w:szCs w:val="20"/>
          <w:color w:val="auto"/>
        </w:rPr>
      </w:pPr>
      <w:r>
        <w:rPr>
          <w:rFonts w:ascii="Arial" w:cs="Arial" w:eastAsia="Arial" w:hAnsi="Arial"/>
          <w:sz w:val="16"/>
          <w:szCs w:val="16"/>
          <w:color w:val="auto"/>
        </w:rPr>
        <w:t>Mr. Lowe has previously served on the board of directors for Phillips 66 Company (oil and gas) from May 2012 to May 2025. He has also previously served as the non-executive Chair of Apache Corporation's (oil and gas) board of directors from August 2013 to September 2022, and served as a director of Agrium Inc. (agricultural) from May 2010 to August 2015, DCP Midstream LLC (oil and gas, exploration and production) and its wholly-owned subsidiary, DCP Midstream GP, LLC (oil and gas, exploration and production), the general partner of DCP Midstream Partners, LP (oil and gas, exploration and production), from October 2008 to April 2012 and Chevron Phillips Chemical Co. LLC (oil and gas refining) from October 2008 to January 2011. He has also held various executive and management positions with ConocoPhillips Co. (oil and gas) for more than 25 years, including Assistant to the Chief Executive Officer of ConocoPhillips Co., Executive Vice-President of Exploration &amp; Production and Executive Vice-President of Commercial.</w:t>
      </w:r>
    </w:p>
    <w:p>
      <w:pPr>
        <w:spacing w:after="0" w:line="71" w:lineRule="exact"/>
        <w:rPr>
          <w:sz w:val="20"/>
          <w:szCs w:val="20"/>
          <w:color w:val="auto"/>
        </w:rPr>
      </w:pPr>
    </w:p>
    <w:p>
      <w:pPr>
        <w:ind w:left="20" w:right="120"/>
        <w:spacing w:after="0" w:line="312" w:lineRule="auto"/>
        <w:rPr>
          <w:sz w:val="20"/>
          <w:szCs w:val="20"/>
          <w:color w:val="auto"/>
        </w:rPr>
      </w:pPr>
      <w:r>
        <w:rPr>
          <w:rFonts w:ascii="Arial" w:cs="Arial" w:eastAsia="Arial" w:hAnsi="Arial"/>
          <w:sz w:val="16"/>
          <w:szCs w:val="16"/>
          <w:color w:val="auto"/>
        </w:rPr>
        <w:t>Mr. Lowe is on the Board of Advisors of Horizon Engage, a global intelligence platform, and is also on the Board of Advisors of the Kelce College of Business at Pittsburg State University. He has also previously served as a Senior Executive Advisor at Tudor, Pickering, Holt &amp; Co. LLC (energy investment and merchant banking) from September 2012 to August 2021 and also served on the Texas Children's Hospital West Campus Advisory Council. He is a former director of the National Association of Manufacturers.</w:t>
      </w:r>
    </w:p>
    <w:p>
      <w:pPr>
        <w:spacing w:after="0" w:line="67" w:lineRule="exact"/>
        <w:rPr>
          <w:sz w:val="20"/>
          <w:szCs w:val="20"/>
          <w:color w:val="auto"/>
        </w:rPr>
      </w:pPr>
    </w:p>
    <w:p>
      <w:pPr>
        <w:ind w:left="20" w:right="680"/>
        <w:spacing w:after="0" w:line="337" w:lineRule="auto"/>
        <w:rPr>
          <w:sz w:val="20"/>
          <w:szCs w:val="20"/>
          <w:color w:val="auto"/>
        </w:rPr>
      </w:pPr>
      <w:r>
        <w:rPr>
          <w:rFonts w:ascii="Arial" w:cs="Arial" w:eastAsia="Arial" w:hAnsi="Arial"/>
          <w:sz w:val="16"/>
          <w:szCs w:val="16"/>
          <w:color w:val="auto"/>
        </w:rPr>
        <w:t>Mr. Lowe holds a Bachelor of Science degree in Finance and Accounting from Pittsburg State University in Pittsburg, Kansas and is a Certified Public Accountant (inactive).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1840" w:type="dxa"/>
            <w:vAlign w:val="bottom"/>
            <w:tcBorders>
              <w:top w:val="single" w:sz="8" w:color="0D64EF"/>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Votes in favour</w:t>
            </w:r>
          </w:p>
        </w:tc>
        <w:tc>
          <w:tcPr>
            <w:tcW w:w="92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Votes against</w:t>
            </w:r>
          </w:p>
        </w:tc>
      </w:tr>
      <w:tr>
        <w:trPr>
          <w:trHeight w:val="234"/>
        </w:trPr>
        <w:tc>
          <w:tcPr>
            <w:tcW w:w="3080" w:type="dxa"/>
            <w:vAlign w:val="bottom"/>
          </w:tcPr>
          <w:p>
            <w:pPr>
              <w:ind w:left="20"/>
              <w:spacing w:after="0"/>
              <w:rPr>
                <w:sz w:val="20"/>
                <w:szCs w:val="20"/>
                <w:color w:val="auto"/>
              </w:rPr>
            </w:pPr>
            <w:r>
              <w:rPr>
                <w:rFonts w:ascii="Arial" w:cs="Arial" w:eastAsia="Arial" w:hAnsi="Arial"/>
                <w:sz w:val="14"/>
                <w:szCs w:val="14"/>
                <w:color w:val="auto"/>
              </w:rPr>
              <w:t>2025</w:t>
            </w:r>
          </w:p>
        </w:tc>
        <w:tc>
          <w:tcPr>
            <w:tcW w:w="2760" w:type="dxa"/>
            <w:vAlign w:val="bottom"/>
            <w:gridSpan w:val="2"/>
          </w:tcPr>
          <w:p>
            <w:pPr>
              <w:jc w:val="right"/>
              <w:ind w:right="68"/>
              <w:spacing w:after="0"/>
              <w:rPr>
                <w:sz w:val="20"/>
                <w:szCs w:val="20"/>
                <w:color w:val="auto"/>
              </w:rPr>
            </w:pPr>
            <w:r>
              <w:rPr>
                <w:rFonts w:ascii="Arial" w:cs="Arial" w:eastAsia="Arial" w:hAnsi="Arial"/>
                <w:sz w:val="14"/>
                <w:szCs w:val="14"/>
                <w:color w:val="auto"/>
              </w:rPr>
              <w:t>663,231,215 (97.81%)</w:t>
            </w:r>
          </w:p>
        </w:tc>
        <w:tc>
          <w:tcPr>
            <w:tcW w:w="2440" w:type="dxa"/>
            <w:vAlign w:val="bottom"/>
          </w:tcPr>
          <w:p>
            <w:pPr>
              <w:jc w:val="right"/>
              <w:spacing w:after="0"/>
              <w:rPr>
                <w:sz w:val="20"/>
                <w:szCs w:val="20"/>
                <w:color w:val="auto"/>
              </w:rPr>
            </w:pPr>
            <w:r>
              <w:rPr>
                <w:rFonts w:ascii="Arial" w:cs="Arial" w:eastAsia="Arial" w:hAnsi="Arial"/>
                <w:sz w:val="14"/>
                <w:szCs w:val="14"/>
                <w:color w:val="auto"/>
              </w:rPr>
              <w:t>14,847,922 (2.19%)</w:t>
            </w:r>
          </w:p>
        </w:tc>
      </w:tr>
      <w:tr>
        <w:trPr>
          <w:trHeight w:val="255"/>
        </w:trPr>
        <w:tc>
          <w:tcPr>
            <w:tcW w:w="3080" w:type="dxa"/>
            <w:vAlign w:val="bottom"/>
          </w:tcPr>
          <w:p>
            <w:pPr>
              <w:ind w:left="20"/>
              <w:spacing w:after="0"/>
              <w:rPr>
                <w:sz w:val="20"/>
                <w:szCs w:val="20"/>
                <w:color w:val="auto"/>
              </w:rPr>
            </w:pPr>
            <w:r>
              <w:rPr>
                <w:rFonts w:ascii="Arial" w:cs="Arial" w:eastAsia="Arial" w:hAnsi="Arial"/>
                <w:sz w:val="14"/>
                <w:szCs w:val="14"/>
                <w:color w:val="auto"/>
              </w:rPr>
              <w:t>2024</w:t>
            </w:r>
          </w:p>
        </w:tc>
        <w:tc>
          <w:tcPr>
            <w:tcW w:w="2760" w:type="dxa"/>
            <w:vAlign w:val="bottom"/>
            <w:gridSpan w:val="2"/>
          </w:tcPr>
          <w:p>
            <w:pPr>
              <w:jc w:val="right"/>
              <w:ind w:right="68"/>
              <w:spacing w:after="0"/>
              <w:rPr>
                <w:sz w:val="20"/>
                <w:szCs w:val="20"/>
                <w:color w:val="auto"/>
              </w:rPr>
            </w:pPr>
            <w:r>
              <w:rPr>
                <w:rFonts w:ascii="Arial" w:cs="Arial" w:eastAsia="Arial" w:hAnsi="Arial"/>
                <w:sz w:val="14"/>
                <w:szCs w:val="14"/>
                <w:color w:val="auto"/>
              </w:rPr>
              <w:t>657,370,876 (98.85%)</w:t>
            </w:r>
          </w:p>
        </w:tc>
        <w:tc>
          <w:tcPr>
            <w:tcW w:w="2440" w:type="dxa"/>
            <w:vAlign w:val="bottom"/>
          </w:tcPr>
          <w:p>
            <w:pPr>
              <w:jc w:val="right"/>
              <w:spacing w:after="0"/>
              <w:rPr>
                <w:sz w:val="20"/>
                <w:szCs w:val="20"/>
                <w:color w:val="auto"/>
              </w:rPr>
            </w:pPr>
            <w:r>
              <w:rPr>
                <w:rFonts w:ascii="Arial" w:cs="Arial" w:eastAsia="Arial" w:hAnsi="Arial"/>
                <w:sz w:val="14"/>
                <w:szCs w:val="14"/>
                <w:color w:val="auto"/>
              </w:rPr>
              <w:t>7,654,409 (1.15%)</w:t>
            </w:r>
          </w:p>
        </w:tc>
      </w:tr>
      <w:tr>
        <w:trPr>
          <w:trHeight w:val="228"/>
        </w:trPr>
        <w:tc>
          <w:tcPr>
            <w:tcW w:w="3080" w:type="dxa"/>
            <w:vAlign w:val="bottom"/>
          </w:tcPr>
          <w:p>
            <w:pPr>
              <w:ind w:left="20"/>
              <w:spacing w:after="0"/>
              <w:rPr>
                <w:sz w:val="20"/>
                <w:szCs w:val="20"/>
                <w:color w:val="auto"/>
              </w:rPr>
            </w:pPr>
            <w:r>
              <w:rPr>
                <w:rFonts w:ascii="Arial" w:cs="Arial" w:eastAsia="Arial" w:hAnsi="Arial"/>
                <w:sz w:val="14"/>
                <w:szCs w:val="14"/>
                <w:color w:val="auto"/>
              </w:rPr>
              <w:t>2023</w:t>
            </w:r>
          </w:p>
        </w:tc>
        <w:tc>
          <w:tcPr>
            <w:tcW w:w="2760" w:type="dxa"/>
            <w:vAlign w:val="bottom"/>
            <w:gridSpan w:val="2"/>
          </w:tcPr>
          <w:p>
            <w:pPr>
              <w:jc w:val="right"/>
              <w:ind w:right="68"/>
              <w:spacing w:after="0"/>
              <w:rPr>
                <w:sz w:val="20"/>
                <w:szCs w:val="20"/>
                <w:color w:val="auto"/>
              </w:rPr>
            </w:pPr>
            <w:r>
              <w:rPr>
                <w:rFonts w:ascii="Arial" w:cs="Arial" w:eastAsia="Arial" w:hAnsi="Arial"/>
                <w:sz w:val="14"/>
                <w:szCs w:val="14"/>
                <w:color w:val="auto"/>
              </w:rPr>
              <w:t>667,990,495 (99.13%)</w:t>
            </w:r>
          </w:p>
        </w:tc>
        <w:tc>
          <w:tcPr>
            <w:tcW w:w="2440" w:type="dxa"/>
            <w:vAlign w:val="bottom"/>
          </w:tcPr>
          <w:p>
            <w:pPr>
              <w:jc w:val="right"/>
              <w:spacing w:after="0"/>
              <w:rPr>
                <w:sz w:val="20"/>
                <w:szCs w:val="20"/>
                <w:color w:val="auto"/>
              </w:rPr>
            </w:pPr>
            <w:r>
              <w:rPr>
                <w:rFonts w:ascii="Arial" w:cs="Arial" w:eastAsia="Arial" w:hAnsi="Arial"/>
                <w:sz w:val="14"/>
                <w:szCs w:val="14"/>
                <w:color w:val="auto"/>
              </w:rPr>
              <w:t>5,863,813 (0.87%)</w:t>
            </w:r>
          </w:p>
        </w:tc>
      </w:tr>
      <w:tr>
        <w:trPr>
          <w:trHeight w:val="35"/>
        </w:trPr>
        <w:tc>
          <w:tcPr>
            <w:tcW w:w="3080" w:type="dxa"/>
            <w:vAlign w:val="bottom"/>
            <w:tcBorders>
              <w:bottom w:val="single" w:sz="8" w:color="0D64EF"/>
            </w:tcBorders>
          </w:tcPr>
          <w:p>
            <w:pPr>
              <w:spacing w:after="0"/>
              <w:rPr>
                <w:sz w:val="3"/>
                <w:szCs w:val="3"/>
                <w:color w:val="auto"/>
              </w:rPr>
            </w:pPr>
          </w:p>
        </w:tc>
        <w:tc>
          <w:tcPr>
            <w:tcW w:w="1840" w:type="dxa"/>
            <w:vAlign w:val="bottom"/>
            <w:tcBorders>
              <w:bottom w:val="single" w:sz="8" w:color="0D64EF"/>
            </w:tcBorders>
          </w:tcPr>
          <w:p>
            <w:pPr>
              <w:spacing w:after="0"/>
              <w:rPr>
                <w:sz w:val="3"/>
                <w:szCs w:val="3"/>
                <w:color w:val="auto"/>
              </w:rPr>
            </w:pPr>
          </w:p>
        </w:tc>
        <w:tc>
          <w:tcPr>
            <w:tcW w:w="920" w:type="dxa"/>
            <w:vAlign w:val="bottom"/>
            <w:tcBorders>
              <w:bottom w:val="single" w:sz="8" w:color="0D64EF"/>
            </w:tcBorders>
          </w:tcPr>
          <w:p>
            <w:pPr>
              <w:spacing w:after="0"/>
              <w:rPr>
                <w:sz w:val="3"/>
                <w:szCs w:val="3"/>
                <w:color w:val="auto"/>
              </w:rPr>
            </w:pPr>
          </w:p>
        </w:tc>
        <w:tc>
          <w:tcPr>
            <w:tcW w:w="2440" w:type="dxa"/>
            <w:vAlign w:val="bottom"/>
            <w:tcBorders>
              <w:bottom w:val="single" w:sz="8" w:color="0D64EF"/>
            </w:tcBorders>
          </w:tcPr>
          <w:p>
            <w:pPr>
              <w:spacing w:after="0"/>
              <w:rPr>
                <w:sz w:val="3"/>
                <w:szCs w:val="3"/>
                <w:color w:val="auto"/>
              </w:rPr>
            </w:pPr>
          </w:p>
        </w:tc>
      </w:tr>
      <w:tr>
        <w:trPr>
          <w:trHeight w:val="229"/>
        </w:trPr>
        <w:tc>
          <w:tcPr>
            <w:tcW w:w="30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1840" w:type="dxa"/>
            <w:vAlign w:val="bottom"/>
            <w:tcBorders>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Stock exchange</w:t>
            </w:r>
          </w:p>
        </w:tc>
        <w:tc>
          <w:tcPr>
            <w:tcW w:w="920" w:type="dxa"/>
            <w:vAlign w:val="bottom"/>
            <w:tcBorders>
              <w:bottom w:val="single" w:sz="8" w:color="0D64EF"/>
            </w:tcBorders>
            <w:shd w:val="clear" w:color="auto" w:fill="D1D0CF"/>
          </w:tcPr>
          <w:p>
            <w:pPr>
              <w:spacing w:after="0"/>
              <w:rPr>
                <w:sz w:val="19"/>
                <w:szCs w:val="19"/>
                <w:color w:val="auto"/>
              </w:rPr>
            </w:pP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r>
      <w:tr>
        <w:trPr>
          <w:trHeight w:val="194"/>
        </w:trPr>
        <w:tc>
          <w:tcPr>
            <w:tcW w:w="3080" w:type="dxa"/>
            <w:vAlign w:val="bottom"/>
          </w:tcPr>
          <w:p>
            <w:pPr>
              <w:ind w:left="20"/>
              <w:spacing w:after="0"/>
              <w:rPr>
                <w:sz w:val="20"/>
                <w:szCs w:val="20"/>
                <w:color w:val="auto"/>
              </w:rPr>
            </w:pPr>
            <w:r>
              <w:rPr>
                <w:rFonts w:ascii="Arial" w:cs="Arial" w:eastAsia="Arial" w:hAnsi="Arial"/>
                <w:sz w:val="14"/>
                <w:szCs w:val="14"/>
                <w:color w:val="auto"/>
              </w:rPr>
              <w:t>—</w:t>
            </w:r>
          </w:p>
        </w:tc>
        <w:tc>
          <w:tcPr>
            <w:tcW w:w="1840" w:type="dxa"/>
            <w:vAlign w:val="bottom"/>
          </w:tcPr>
          <w:p>
            <w:pPr>
              <w:ind w:left="40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21"/>
        </w:trPr>
        <w:tc>
          <w:tcPr>
            <w:tcW w:w="3080" w:type="dxa"/>
            <w:vAlign w:val="bottom"/>
            <w:tcBorders>
              <w:bottom w:val="single" w:sz="8" w:color="0D64EF"/>
            </w:tcBorders>
          </w:tcPr>
          <w:p>
            <w:pPr>
              <w:spacing w:after="0" w:line="20" w:lineRule="exact"/>
              <w:rPr>
                <w:sz w:val="1"/>
                <w:szCs w:val="1"/>
                <w:color w:val="auto"/>
              </w:rPr>
            </w:pPr>
          </w:p>
        </w:tc>
        <w:tc>
          <w:tcPr>
            <w:tcW w:w="1840" w:type="dxa"/>
            <w:vAlign w:val="bottom"/>
            <w:tcBorders>
              <w:bottom w:val="single" w:sz="8" w:color="0D64EF"/>
            </w:tcBorders>
          </w:tcPr>
          <w:p>
            <w:pPr>
              <w:spacing w:after="0" w:line="20" w:lineRule="exact"/>
              <w:rPr>
                <w:sz w:val="1"/>
                <w:szCs w:val="1"/>
                <w:color w:val="auto"/>
              </w:rPr>
            </w:pPr>
          </w:p>
        </w:tc>
        <w:tc>
          <w:tcPr>
            <w:tcW w:w="920" w:type="dxa"/>
            <w:vAlign w:val="bottom"/>
            <w:tcBorders>
              <w:bottom w:val="single" w:sz="8" w:color="0D64EF"/>
            </w:tcBorders>
          </w:tcPr>
          <w:p>
            <w:pPr>
              <w:spacing w:after="0" w:line="20" w:lineRule="exact"/>
              <w:rPr>
                <w:sz w:val="1"/>
                <w:szCs w:val="1"/>
                <w:color w:val="auto"/>
              </w:rPr>
            </w:pPr>
          </w:p>
        </w:tc>
        <w:tc>
          <w:tcPr>
            <w:tcW w:w="2440" w:type="dxa"/>
            <w:vAlign w:val="bottom"/>
            <w:tcBorders>
              <w:bottom w:val="single" w:sz="8" w:color="0D64EF"/>
            </w:tcBorders>
          </w:tcPr>
          <w:p>
            <w:pPr>
              <w:spacing w:after="0" w:line="20" w:lineRule="exact"/>
              <w:rPr>
                <w:sz w:val="1"/>
                <w:szCs w:val="1"/>
                <w:color w:val="auto"/>
              </w:rPr>
            </w:pPr>
          </w:p>
        </w:tc>
      </w:tr>
      <w:tr>
        <w:trPr>
          <w:trHeight w:val="145"/>
        </w:trPr>
        <w:tc>
          <w:tcPr>
            <w:tcW w:w="3080" w:type="dxa"/>
            <w:vAlign w:val="bottom"/>
            <w:shd w:val="clear" w:color="auto" w:fill="D1D0CF"/>
          </w:tcPr>
          <w:p>
            <w:pPr>
              <w:spacing w:after="0"/>
              <w:rPr>
                <w:sz w:val="12"/>
                <w:szCs w:val="12"/>
                <w:color w:val="auto"/>
              </w:rPr>
            </w:pPr>
          </w:p>
        </w:tc>
        <w:tc>
          <w:tcPr>
            <w:tcW w:w="1840" w:type="dxa"/>
            <w:vAlign w:val="bottom"/>
            <w:shd w:val="clear" w:color="auto" w:fill="D1D0CF"/>
          </w:tcPr>
          <w:p>
            <w:pPr>
              <w:spacing w:after="0"/>
              <w:rPr>
                <w:sz w:val="12"/>
                <w:szCs w:val="12"/>
                <w:color w:val="auto"/>
              </w:rPr>
            </w:pPr>
          </w:p>
        </w:tc>
        <w:tc>
          <w:tcPr>
            <w:tcW w:w="92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5" w:lineRule="exact"/>
              <w:rPr>
                <w:sz w:val="20"/>
                <w:szCs w:val="20"/>
                <w:color w:val="auto"/>
              </w:rPr>
            </w:pPr>
            <w:r>
              <w:rPr>
                <w:rFonts w:ascii="Arial" w:cs="Arial" w:eastAsia="Arial" w:hAnsi="Arial"/>
                <w:sz w:val="14"/>
                <w:szCs w:val="14"/>
                <w:b w:val="1"/>
                <w:bCs w:val="1"/>
                <w:color w:val="auto"/>
              </w:rPr>
              <w:t>Meets share ownership</w:t>
            </w:r>
          </w:p>
        </w:tc>
      </w:tr>
      <w:tr>
        <w:trPr>
          <w:trHeight w:val="210"/>
        </w:trPr>
        <w:tc>
          <w:tcPr>
            <w:tcW w:w="30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840" w:type="dxa"/>
            <w:vAlign w:val="bottom"/>
            <w:tcBorders>
              <w:bottom w:val="single" w:sz="8" w:color="0D64EF"/>
            </w:tcBorders>
            <w:shd w:val="clear" w:color="auto" w:fill="D1D0CF"/>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r>
      <w:tr>
        <w:trPr>
          <w:trHeight w:val="228"/>
        </w:trPr>
        <w:tc>
          <w:tcPr>
            <w:tcW w:w="3080" w:type="dxa"/>
            <w:vAlign w:val="bottom"/>
          </w:tcPr>
          <w:p>
            <w:pPr>
              <w:ind w:left="20"/>
              <w:spacing w:after="0"/>
              <w:rPr>
                <w:sz w:val="20"/>
                <w:szCs w:val="20"/>
                <w:color w:val="auto"/>
              </w:rPr>
            </w:pPr>
            <w:r>
              <w:rPr>
                <w:rFonts w:ascii="Arial" w:cs="Arial" w:eastAsia="Arial" w:hAnsi="Arial"/>
                <w:sz w:val="14"/>
                <w:szCs w:val="14"/>
                <w:color w:val="auto"/>
              </w:rPr>
              <w:t>Shares</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30,000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30,000</w:t>
            </w:r>
          </w:p>
        </w:tc>
        <w:tc>
          <w:tcPr>
            <w:tcW w:w="2440" w:type="dxa"/>
            <w:vAlign w:val="bottom"/>
          </w:tcPr>
          <w:p>
            <w:pPr>
              <w:ind w:left="140"/>
              <w:spacing w:after="0"/>
              <w:rPr>
                <w:sz w:val="20"/>
                <w:szCs w:val="20"/>
                <w:color w:val="auto"/>
              </w:rPr>
            </w:pPr>
            <w:r>
              <w:rPr>
                <w:rFonts w:ascii="Arial" w:cs="Arial" w:eastAsia="Arial" w:hAnsi="Arial"/>
                <w:sz w:val="14"/>
                <w:szCs w:val="14"/>
                <w:color w:val="auto"/>
              </w:rPr>
              <w:t>Yes</w:t>
            </w:r>
          </w:p>
        </w:tc>
      </w:tr>
      <w:tr>
        <w:trPr>
          <w:trHeight w:val="228"/>
        </w:trPr>
        <w:tc>
          <w:tcPr>
            <w:tcW w:w="3080" w:type="dxa"/>
            <w:vAlign w:val="bottom"/>
          </w:tcPr>
          <w:p>
            <w:pPr>
              <w:ind w:left="20"/>
              <w:spacing w:after="0"/>
              <w:rPr>
                <w:sz w:val="20"/>
                <w:szCs w:val="20"/>
                <w:color w:val="auto"/>
              </w:rPr>
            </w:pPr>
            <w:r>
              <w:rPr>
                <w:rFonts w:ascii="Arial" w:cs="Arial" w:eastAsia="Arial" w:hAnsi="Arial"/>
                <w:sz w:val="14"/>
                <w:szCs w:val="14"/>
                <w:color w:val="auto"/>
              </w:rPr>
              <w:t>DSUs</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58,883</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50,582</w:t>
            </w:r>
          </w:p>
        </w:tc>
        <w:tc>
          <w:tcPr>
            <w:tcW w:w="2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2220" w:space="720"/>
            <w:col w:w="8280"/>
          </w:cols>
          <w:pgMar w:left="34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25</w:t>
      </w:r>
    </w:p>
    <w:p>
      <w:pPr>
        <w:sectPr>
          <w:pgSz w:w="11900" w:h="16838" w:orient="portrait"/>
          <w:cols w:equalWidth="0" w:num="1">
            <w:col w:w="11220"/>
          </w:cols>
          <w:pgMar w:left="340" w:top="1035" w:right="33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60" w:hanging="135"/>
        <w:spacing w:after="0"/>
        <w:tabs>
          <w:tab w:leader="none" w:pos="1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Accounting/Audit</w:t>
      </w:r>
    </w:p>
    <w:p>
      <w:pPr>
        <w:spacing w:after="0" w:line="53" w:lineRule="exact"/>
        <w:rPr>
          <w:rFonts w:ascii="Arial" w:cs="Arial" w:eastAsia="Arial" w:hAnsi="Arial"/>
          <w:sz w:val="14"/>
          <w:szCs w:val="14"/>
          <w:color w:val="auto"/>
        </w:rPr>
      </w:pPr>
    </w:p>
    <w:p>
      <w:pPr>
        <w:ind w:left="160" w:hanging="135"/>
        <w:spacing w:after="0"/>
        <w:tabs>
          <w:tab w:leader="none" w:pos="1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CEO</w:t>
      </w:r>
    </w:p>
    <w:p>
      <w:pPr>
        <w:spacing w:after="0" w:line="67" w:lineRule="exact"/>
        <w:rPr>
          <w:rFonts w:ascii="Arial" w:cs="Arial" w:eastAsia="Arial" w:hAnsi="Arial"/>
          <w:sz w:val="14"/>
          <w:szCs w:val="14"/>
          <w:color w:val="auto"/>
        </w:rPr>
      </w:pPr>
    </w:p>
    <w:p>
      <w:pPr>
        <w:ind w:left="160" w:hanging="135"/>
        <w:spacing w:after="0"/>
        <w:tabs>
          <w:tab w:leader="none" w:pos="1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Enterprise Risk Management</w:t>
      </w:r>
    </w:p>
    <w:p>
      <w:pPr>
        <w:spacing w:after="0" w:line="53" w:lineRule="exact"/>
        <w:rPr>
          <w:rFonts w:ascii="Arial" w:cs="Arial" w:eastAsia="Arial" w:hAnsi="Arial"/>
          <w:sz w:val="14"/>
          <w:szCs w:val="14"/>
          <w:color w:val="auto"/>
        </w:rPr>
      </w:pPr>
    </w:p>
    <w:p>
      <w:pPr>
        <w:ind w:left="180" w:right="400" w:hanging="155"/>
        <w:spacing w:after="0" w:line="310" w:lineRule="auto"/>
        <w:tabs>
          <w:tab w:leader="none" w:pos="163" w:val="left"/>
        </w:tabs>
        <w:numPr>
          <w:ilvl w:val="0"/>
          <w:numId w:val="39"/>
        </w:numPr>
        <w:rPr>
          <w:rFonts w:ascii="Arial" w:cs="Arial" w:eastAsia="Arial" w:hAnsi="Arial"/>
          <w:sz w:val="14"/>
          <w:szCs w:val="14"/>
          <w:color w:val="auto"/>
        </w:rPr>
      </w:pPr>
      <w:r>
        <w:rPr>
          <w:rFonts w:ascii="Arial" w:cs="Arial" w:eastAsia="Arial" w:hAnsi="Arial"/>
          <w:sz w:val="14"/>
          <w:szCs w:val="14"/>
          <w:color w:val="auto"/>
        </w:rPr>
        <w:t>Government, Regulatory &amp; Stakeholder Relations</w:t>
      </w:r>
    </w:p>
    <w:p>
      <w:pPr>
        <w:ind w:left="160" w:hanging="135"/>
        <w:spacing w:after="0"/>
        <w:tabs>
          <w:tab w:leader="none" w:pos="1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Governance</w:t>
      </w:r>
    </w:p>
    <w:p>
      <w:pPr>
        <w:spacing w:after="0" w:line="53" w:lineRule="exact"/>
        <w:rPr>
          <w:rFonts w:ascii="Arial" w:cs="Arial" w:eastAsia="Arial" w:hAnsi="Arial"/>
          <w:sz w:val="14"/>
          <w:szCs w:val="14"/>
          <w:color w:val="auto"/>
        </w:rPr>
      </w:pPr>
    </w:p>
    <w:p>
      <w:pPr>
        <w:ind w:left="160" w:hanging="135"/>
        <w:spacing w:after="0"/>
        <w:tabs>
          <w:tab w:leader="none" w:pos="1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Major Projects</w:t>
      </w:r>
    </w:p>
    <w:p>
      <w:pPr>
        <w:spacing w:after="0" w:line="67" w:lineRule="exact"/>
        <w:rPr>
          <w:rFonts w:ascii="Arial" w:cs="Arial" w:eastAsia="Arial" w:hAnsi="Arial"/>
          <w:sz w:val="14"/>
          <w:szCs w:val="14"/>
          <w:color w:val="auto"/>
        </w:rPr>
      </w:pPr>
    </w:p>
    <w:p>
      <w:pPr>
        <w:ind w:left="180" w:right="260" w:hanging="155"/>
        <w:spacing w:after="0" w:line="300" w:lineRule="auto"/>
        <w:tabs>
          <w:tab w:leader="none" w:pos="163" w:val="left"/>
        </w:tabs>
        <w:numPr>
          <w:ilvl w:val="0"/>
          <w:numId w:val="39"/>
        </w:numPr>
        <w:rPr>
          <w:rFonts w:ascii="Arial" w:cs="Arial" w:eastAsia="Arial" w:hAnsi="Arial"/>
          <w:sz w:val="14"/>
          <w:szCs w:val="14"/>
          <w:color w:val="auto"/>
        </w:rPr>
      </w:pPr>
      <w:r>
        <w:rPr>
          <w:rFonts w:ascii="Arial" w:cs="Arial" w:eastAsia="Arial" w:hAnsi="Arial"/>
          <w:sz w:val="14"/>
          <w:szCs w:val="14"/>
          <w:color w:val="auto"/>
        </w:rPr>
        <w:t>Operations/Health, Safety, Sustainability &amp; Environment</w:t>
      </w:r>
    </w:p>
    <w:p>
      <w:pPr>
        <w:ind w:left="160" w:hanging="135"/>
        <w:spacing w:after="0"/>
        <w:tabs>
          <w:tab w:leader="none" w:pos="1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$483,135</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TC Energy</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Board/Committees</w:t>
      </w:r>
    </w:p>
    <w:p>
      <w:pPr>
        <w:ind w:left="20"/>
        <w:spacing w:after="0"/>
        <w:rPr>
          <w:sz w:val="20"/>
          <w:szCs w:val="20"/>
          <w:color w:val="auto"/>
        </w:rPr>
      </w:pPr>
      <w:r>
        <w:rPr>
          <w:rFonts w:ascii="Arial" w:cs="Arial" w:eastAsia="Arial" w:hAnsi="Arial"/>
          <w:sz w:val="16"/>
          <w:szCs w:val="16"/>
          <w:b w:val="1"/>
          <w:bCs w:val="1"/>
          <w:color w:val="0D64EF"/>
        </w:rPr>
        <w:t>2025 meeting attendance</w:t>
      </w:r>
    </w:p>
    <w:p>
      <w:pPr>
        <w:spacing w:after="0" w:line="60" w:lineRule="exact"/>
        <w:rPr>
          <w:sz w:val="20"/>
          <w:szCs w:val="20"/>
          <w:color w:val="auto"/>
        </w:rPr>
      </w:pPr>
    </w:p>
    <w:p>
      <w:pPr>
        <w:ind w:left="180" w:right="760" w:hanging="155"/>
        <w:spacing w:after="0" w:line="330" w:lineRule="auto"/>
        <w:tabs>
          <w:tab w:leader="none" w:pos="163" w:val="left"/>
        </w:tabs>
        <w:numPr>
          <w:ilvl w:val="0"/>
          <w:numId w:val="40"/>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ind w:left="160" w:hanging="135"/>
        <w:spacing w:after="0"/>
        <w:tabs>
          <w:tab w:leader="none" w:pos="1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Audit Committee</w:t>
      </w:r>
    </w:p>
    <w:p>
      <w:pPr>
        <w:spacing w:after="0" w:line="53"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4"/>
          <w:szCs w:val="14"/>
          <w:color w:val="auto"/>
        </w:rPr>
        <w:t>4/4 meetings (100%)</w:t>
      </w:r>
    </w:p>
    <w:p>
      <w:pPr>
        <w:spacing w:after="0" w:line="67" w:lineRule="exact"/>
        <w:rPr>
          <w:rFonts w:ascii="Arial" w:cs="Arial" w:eastAsia="Arial" w:hAnsi="Arial"/>
          <w:sz w:val="14"/>
          <w:szCs w:val="14"/>
          <w:color w:val="auto"/>
        </w:rPr>
      </w:pPr>
    </w:p>
    <w:p>
      <w:pPr>
        <w:ind w:left="180" w:hanging="155"/>
        <w:spacing w:after="0" w:line="300" w:lineRule="auto"/>
        <w:tabs>
          <w:tab w:leader="none" w:pos="163" w:val="left"/>
        </w:tabs>
        <w:numPr>
          <w:ilvl w:val="0"/>
          <w:numId w:val="40"/>
        </w:numPr>
        <w:rPr>
          <w:rFonts w:ascii="Arial" w:cs="Arial" w:eastAsia="Arial" w:hAnsi="Arial"/>
          <w:sz w:val="14"/>
          <w:szCs w:val="14"/>
          <w:color w:val="auto"/>
        </w:rPr>
      </w:pPr>
      <w:r>
        <w:rPr>
          <w:rFonts w:ascii="Arial" w:cs="Arial" w:eastAsia="Arial" w:hAnsi="Arial"/>
          <w:sz w:val="14"/>
          <w:szCs w:val="14"/>
          <w:color w:val="auto"/>
        </w:rPr>
        <w:t>Health, Safety, Sustainability and Environment Committee</w:t>
      </w:r>
    </w:p>
    <w:p>
      <w:pPr>
        <w:ind w:left="180"/>
        <w:spacing w:after="0"/>
        <w:rPr>
          <w:rFonts w:ascii="Arial" w:cs="Arial" w:eastAsia="Arial" w:hAnsi="Arial"/>
          <w:sz w:val="14"/>
          <w:szCs w:val="14"/>
          <w:color w:val="auto"/>
        </w:rPr>
      </w:pPr>
      <w:r>
        <w:rPr>
          <w:rFonts w:ascii="Arial" w:cs="Arial" w:eastAsia="Arial" w:hAnsi="Arial"/>
          <w:sz w:val="14"/>
          <w:szCs w:val="14"/>
          <w:color w:val="auto"/>
        </w:rPr>
        <w:t>4/4 meetings (100%)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Dawn Madahbee Leach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-190500</wp:posOffset>
            </wp:positionV>
            <wp:extent cx="8255" cy="7849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784987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69, LITTLE CURRENT, ON, CANADA | DIRECTOR SINCE 2024</w:t>
      </w:r>
    </w:p>
    <w:p>
      <w:pPr>
        <w:spacing w:after="0" w:line="364" w:lineRule="exact"/>
        <w:rPr>
          <w:sz w:val="20"/>
          <w:szCs w:val="20"/>
          <w:color w:val="auto"/>
        </w:rPr>
      </w:pPr>
    </w:p>
    <w:p>
      <w:pPr>
        <w:ind w:left="20" w:right="180"/>
        <w:spacing w:after="0" w:line="316" w:lineRule="auto"/>
        <w:rPr>
          <w:sz w:val="20"/>
          <w:szCs w:val="20"/>
          <w:color w:val="auto"/>
        </w:rPr>
      </w:pPr>
      <w:r>
        <w:rPr>
          <w:rFonts w:ascii="Arial" w:cs="Arial" w:eastAsia="Arial" w:hAnsi="Arial"/>
          <w:sz w:val="16"/>
          <w:szCs w:val="16"/>
          <w:color w:val="auto"/>
        </w:rPr>
        <w:t>Ms. Madahbee Leach, an Anishinabe-Kwe and member of the Aundeck Omni Kaning First Nation, is currently the General Manager of the Waubetek Business Corporation, a leading Indigenous financial institution, providing financial services to Indigenous entrepreneurs across Northeast Ontario in Canada. She is also the founder, President and Chief Executive Officer of Indigenous Business International, which assists Indigenous people and companies internationally with various economic sector strategies and project reviews.</w:t>
      </w:r>
    </w:p>
    <w:p>
      <w:pPr>
        <w:spacing w:after="0" w:line="52" w:lineRule="exact"/>
        <w:rPr>
          <w:sz w:val="20"/>
          <w:szCs w:val="20"/>
          <w:color w:val="auto"/>
        </w:rPr>
      </w:pPr>
    </w:p>
    <w:p>
      <w:pPr>
        <w:ind w:left="20" w:right="180"/>
        <w:spacing w:after="0" w:line="316" w:lineRule="auto"/>
        <w:rPr>
          <w:sz w:val="20"/>
          <w:szCs w:val="20"/>
          <w:color w:val="auto"/>
        </w:rPr>
      </w:pPr>
      <w:r>
        <w:rPr>
          <w:rFonts w:ascii="Arial" w:cs="Arial" w:eastAsia="Arial" w:hAnsi="Arial"/>
          <w:sz w:val="16"/>
          <w:szCs w:val="16"/>
          <w:color w:val="auto"/>
        </w:rPr>
        <w:t>Ms. Madahbee Leach is the Chair of the National Indigenous Economic Development Board and has been part of this federally appointed board since 2000, providing advice and guidance to the federal government on issues related to Indigenous economic policies and programming. In collaboration with more than 20 national Indigenous organizations, she chaired the development of the first ever National Indigenous Economic Strategy for Canada, published in June 2022.</w:t>
      </w:r>
    </w:p>
    <w:p>
      <w:pPr>
        <w:spacing w:after="0" w:line="52" w:lineRule="exact"/>
        <w:rPr>
          <w:sz w:val="20"/>
          <w:szCs w:val="20"/>
          <w:color w:val="auto"/>
        </w:rPr>
      </w:pPr>
    </w:p>
    <w:p>
      <w:pPr>
        <w:ind w:left="20" w:right="120"/>
        <w:spacing w:after="0" w:line="311" w:lineRule="auto"/>
        <w:rPr>
          <w:sz w:val="20"/>
          <w:szCs w:val="20"/>
          <w:color w:val="auto"/>
        </w:rPr>
      </w:pPr>
      <w:r>
        <w:rPr>
          <w:rFonts w:ascii="Arial" w:cs="Arial" w:eastAsia="Arial" w:hAnsi="Arial"/>
          <w:sz w:val="16"/>
          <w:szCs w:val="16"/>
          <w:color w:val="auto"/>
        </w:rPr>
        <w:t>Ms. Madahbee Leach also currently serves on the boards of Peace Hills Trust (financial services) since 2012 and English River First Nation’s Des Nedhe Group, to which she was appointed in November 2024. She has also served on her First Nation’s elected Council and as Chair of the Northern Ontario Policy Institute. She previously served on the boards of Niobay Metals Inc. (mining) from 2018 to 2025, the Local Health Integration Network for Northeast Ontario from 2012-2017, the Northern Ontario Development Corporation from 1992 to 1996, the Ontario Development Corporation from 1994 to 1996, and Innovations Ontario from 1994 to 1997. She also serves on Indigenous Advisory Committees for companies in the manufacturing, mining and energy sectors. Ms. Madahbee Leach has an extensive network across Canada and has spoken and promoted Indigenous businesses internationally in Australia, Chile, New Zealand, Sweden, Germany, the United States and the United Kingdom.</w:t>
      </w:r>
    </w:p>
    <w:p>
      <w:pPr>
        <w:spacing w:after="0" w:line="58" w:lineRule="exact"/>
        <w:rPr>
          <w:sz w:val="20"/>
          <w:szCs w:val="20"/>
          <w:color w:val="auto"/>
        </w:rPr>
      </w:pPr>
    </w:p>
    <w:p>
      <w:pPr>
        <w:ind w:left="20" w:right="80"/>
        <w:spacing w:after="0" w:line="312" w:lineRule="auto"/>
        <w:rPr>
          <w:sz w:val="20"/>
          <w:szCs w:val="20"/>
          <w:color w:val="auto"/>
        </w:rPr>
      </w:pPr>
      <w:r>
        <w:rPr>
          <w:rFonts w:ascii="Arial" w:cs="Arial" w:eastAsia="Arial" w:hAnsi="Arial"/>
          <w:sz w:val="16"/>
          <w:szCs w:val="16"/>
          <w:color w:val="auto"/>
        </w:rPr>
        <w:t>Ms. Madahbee Leach is the recipient of a 2023 Business Lifetime Achievement Award from the Canadian Council of Indigenous Business as well as the 2020 Indspire Award for Business and Commerce, one of the highest honours amongst Indigenous Peoples in Canada. She was also recognized as one of Canada’s Most Powerful Women in 2018. Ms. Madahbee Leach graduated from the University of Waterloo’s Economic Developers Program and has a Bachelor of Arts Degree in Political Science and Law from Laurentian University, with a part of her studies for this degree at York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3060" w:type="dxa"/>
            <w:vAlign w:val="bottom"/>
            <w:tcBorders>
              <w:top w:val="single" w:sz="8" w:color="0D64EF"/>
              <w:bottom w:val="single" w:sz="8" w:color="0D64EF"/>
            </w:tcBorders>
            <w:shd w:val="clear" w:color="auto" w:fill="D1D0CF"/>
          </w:tcPr>
          <w:p>
            <w:pPr>
              <w:jc w:val="right"/>
              <w:ind w:right="1248"/>
              <w:spacing w:after="0"/>
              <w:rPr>
                <w:sz w:val="20"/>
                <w:szCs w:val="20"/>
                <w:color w:val="auto"/>
              </w:rPr>
            </w:pPr>
            <w:r>
              <w:rPr>
                <w:rFonts w:ascii="Arial" w:cs="Arial" w:eastAsia="Arial" w:hAnsi="Arial"/>
                <w:sz w:val="14"/>
                <w:szCs w:val="14"/>
                <w:b w:val="1"/>
                <w:bCs w:val="1"/>
                <w:color w:val="auto"/>
              </w:rPr>
              <w:t>Votes in favour</w:t>
            </w:r>
          </w:p>
        </w:tc>
        <w:tc>
          <w:tcPr>
            <w:tcW w:w="2440" w:type="dxa"/>
            <w:vAlign w:val="bottom"/>
            <w:tcBorders>
              <w:top w:val="single" w:sz="8" w:color="0D64EF"/>
              <w:bottom w:val="single" w:sz="8" w:color="0D64EF"/>
            </w:tcBorders>
            <w:shd w:val="clear" w:color="auto" w:fill="D1D0CF"/>
          </w:tcPr>
          <w:p>
            <w:pPr>
              <w:jc w:val="right"/>
              <w:ind w:right="1308"/>
              <w:spacing w:after="0"/>
              <w:rPr>
                <w:sz w:val="20"/>
                <w:szCs w:val="20"/>
                <w:color w:val="auto"/>
              </w:rPr>
            </w:pPr>
            <w:r>
              <w:rPr>
                <w:rFonts w:ascii="Arial" w:cs="Arial" w:eastAsia="Arial" w:hAnsi="Arial"/>
                <w:sz w:val="14"/>
                <w:szCs w:val="14"/>
                <w:b w:val="1"/>
                <w:bCs w:val="1"/>
                <w:color w:val="auto"/>
              </w:rPr>
              <w:t>Votes against</w:t>
            </w:r>
          </w:p>
        </w:tc>
      </w:tr>
      <w:tr>
        <w:trPr>
          <w:trHeight w:val="234"/>
        </w:trPr>
        <w:tc>
          <w:tcPr>
            <w:tcW w:w="2780" w:type="dxa"/>
            <w:vAlign w:val="bottom"/>
          </w:tcPr>
          <w:p>
            <w:pPr>
              <w:ind w:left="20"/>
              <w:spacing w:after="0"/>
              <w:rPr>
                <w:sz w:val="20"/>
                <w:szCs w:val="20"/>
                <w:color w:val="auto"/>
              </w:rPr>
            </w:pPr>
            <w:r>
              <w:rPr>
                <w:rFonts w:ascii="Arial" w:cs="Arial" w:eastAsia="Arial" w:hAnsi="Arial"/>
                <w:sz w:val="14"/>
                <w:szCs w:val="14"/>
                <w:color w:val="auto"/>
              </w:rPr>
              <w:t>2025</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677,045,840 (99.85%)</w:t>
            </w:r>
          </w:p>
        </w:tc>
        <w:tc>
          <w:tcPr>
            <w:tcW w:w="2440" w:type="dxa"/>
            <w:vAlign w:val="bottom"/>
          </w:tcPr>
          <w:p>
            <w:pPr>
              <w:jc w:val="right"/>
              <w:spacing w:after="0"/>
              <w:rPr>
                <w:sz w:val="20"/>
                <w:szCs w:val="20"/>
                <w:color w:val="auto"/>
              </w:rPr>
            </w:pPr>
            <w:r>
              <w:rPr>
                <w:rFonts w:ascii="Arial" w:cs="Arial" w:eastAsia="Arial" w:hAnsi="Arial"/>
                <w:sz w:val="14"/>
                <w:szCs w:val="14"/>
                <w:color w:val="auto"/>
              </w:rPr>
              <w:t>1,033,300 (0.15%)</w:t>
            </w:r>
          </w:p>
        </w:tc>
      </w:tr>
      <w:tr>
        <w:trPr>
          <w:trHeight w:val="255"/>
        </w:trPr>
        <w:tc>
          <w:tcPr>
            <w:tcW w:w="2780" w:type="dxa"/>
            <w:vAlign w:val="bottom"/>
          </w:tcPr>
          <w:p>
            <w:pPr>
              <w:ind w:left="20"/>
              <w:spacing w:after="0"/>
              <w:rPr>
                <w:sz w:val="20"/>
                <w:szCs w:val="20"/>
                <w:color w:val="auto"/>
              </w:rPr>
            </w:pPr>
            <w:r>
              <w:rPr>
                <w:rFonts w:ascii="Arial" w:cs="Arial" w:eastAsia="Arial" w:hAnsi="Arial"/>
                <w:sz w:val="14"/>
                <w:szCs w:val="14"/>
                <w:color w:val="auto"/>
              </w:rPr>
              <w:t>2024</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8"/>
        </w:trPr>
        <w:tc>
          <w:tcPr>
            <w:tcW w:w="2780" w:type="dxa"/>
            <w:vAlign w:val="bottom"/>
          </w:tcPr>
          <w:p>
            <w:pPr>
              <w:ind w:left="20"/>
              <w:spacing w:after="0"/>
              <w:rPr>
                <w:sz w:val="20"/>
                <w:szCs w:val="20"/>
                <w:color w:val="auto"/>
              </w:rPr>
            </w:pPr>
            <w:r>
              <w:rPr>
                <w:rFonts w:ascii="Arial" w:cs="Arial" w:eastAsia="Arial" w:hAnsi="Arial"/>
                <w:sz w:val="14"/>
                <w:szCs w:val="14"/>
                <w:color w:val="auto"/>
              </w:rPr>
              <w:t>2023</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1900" w:type="dxa"/>
            <w:vAlign w:val="bottom"/>
            <w:tcBorders>
              <w:top w:val="single" w:sz="8" w:color="0D64EF"/>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Stock exchange</w:t>
            </w:r>
          </w:p>
        </w:tc>
        <w:tc>
          <w:tcPr>
            <w:tcW w:w="86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c>
          <w:tcPr>
            <w:tcW w:w="0" w:type="dxa"/>
            <w:vAlign w:val="bottom"/>
          </w:tcPr>
          <w:p>
            <w:pPr>
              <w:spacing w:after="0"/>
              <w:rPr>
                <w:sz w:val="1"/>
                <w:szCs w:val="1"/>
                <w:color w:val="auto"/>
              </w:rPr>
            </w:pPr>
          </w:p>
        </w:tc>
      </w:tr>
      <w:tr>
        <w:trPr>
          <w:trHeight w:val="194"/>
        </w:trPr>
        <w:tc>
          <w:tcPr>
            <w:tcW w:w="3080" w:type="dxa"/>
            <w:vAlign w:val="bottom"/>
          </w:tcPr>
          <w:p>
            <w:pPr>
              <w:ind w:left="20"/>
              <w:spacing w:after="0"/>
              <w:rPr>
                <w:sz w:val="20"/>
                <w:szCs w:val="20"/>
                <w:color w:val="auto"/>
              </w:rPr>
            </w:pPr>
            <w:r>
              <w:rPr>
                <w:rFonts w:ascii="Arial" w:cs="Arial" w:eastAsia="Arial" w:hAnsi="Arial"/>
                <w:sz w:val="14"/>
                <w:szCs w:val="14"/>
                <w:color w:val="auto"/>
              </w:rPr>
              <w:t>—</w:t>
            </w:r>
          </w:p>
        </w:tc>
        <w:tc>
          <w:tcPr>
            <w:tcW w:w="1900" w:type="dxa"/>
            <w:vAlign w:val="bottom"/>
          </w:tcPr>
          <w:p>
            <w:pPr>
              <w:ind w:left="4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080" w:type="dxa"/>
            <w:vAlign w:val="bottom"/>
            <w:tcBorders>
              <w:bottom w:val="single" w:sz="8" w:color="0D64EF"/>
            </w:tcBorders>
          </w:tcPr>
          <w:p>
            <w:pPr>
              <w:spacing w:after="0" w:line="20" w:lineRule="exact"/>
              <w:rPr>
                <w:sz w:val="1"/>
                <w:szCs w:val="1"/>
                <w:color w:val="auto"/>
              </w:rPr>
            </w:pPr>
          </w:p>
        </w:tc>
        <w:tc>
          <w:tcPr>
            <w:tcW w:w="1900" w:type="dxa"/>
            <w:vAlign w:val="bottom"/>
            <w:tcBorders>
              <w:bottom w:val="single" w:sz="8" w:color="0D64EF"/>
            </w:tcBorders>
          </w:tcPr>
          <w:p>
            <w:pPr>
              <w:spacing w:after="0" w:line="20" w:lineRule="exact"/>
              <w:rPr>
                <w:sz w:val="1"/>
                <w:szCs w:val="1"/>
                <w:color w:val="auto"/>
              </w:rPr>
            </w:pPr>
          </w:p>
        </w:tc>
        <w:tc>
          <w:tcPr>
            <w:tcW w:w="860" w:type="dxa"/>
            <w:vAlign w:val="bottom"/>
            <w:tcBorders>
              <w:bottom w:val="single" w:sz="8" w:color="0D64EF"/>
            </w:tcBorders>
          </w:tcPr>
          <w:p>
            <w:pPr>
              <w:spacing w:after="0" w:line="20" w:lineRule="exact"/>
              <w:rPr>
                <w:sz w:val="1"/>
                <w:szCs w:val="1"/>
                <w:color w:val="auto"/>
              </w:rPr>
            </w:pPr>
          </w:p>
        </w:tc>
        <w:tc>
          <w:tcPr>
            <w:tcW w:w="2440" w:type="dxa"/>
            <w:vAlign w:val="bottom"/>
            <w:tcBorders>
              <w:bottom w:val="single" w:sz="8" w:color="0D64E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3080" w:type="dxa"/>
            <w:vAlign w:val="bottom"/>
            <w:shd w:val="clear" w:color="auto" w:fill="D1D0CF"/>
          </w:tcPr>
          <w:p>
            <w:pPr>
              <w:spacing w:after="0"/>
              <w:rPr>
                <w:sz w:val="12"/>
                <w:szCs w:val="12"/>
                <w:color w:val="auto"/>
              </w:rPr>
            </w:pPr>
          </w:p>
        </w:tc>
        <w:tc>
          <w:tcPr>
            <w:tcW w:w="1900" w:type="dxa"/>
            <w:vAlign w:val="bottom"/>
            <w:shd w:val="clear" w:color="auto" w:fill="D1D0CF"/>
          </w:tcPr>
          <w:p>
            <w:pPr>
              <w:spacing w:after="0"/>
              <w:rPr>
                <w:sz w:val="12"/>
                <w:szCs w:val="12"/>
                <w:color w:val="auto"/>
              </w:rPr>
            </w:pPr>
          </w:p>
        </w:tc>
        <w:tc>
          <w:tcPr>
            <w:tcW w:w="86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5" w:lineRule="exact"/>
              <w:rPr>
                <w:sz w:val="20"/>
                <w:szCs w:val="20"/>
                <w:color w:val="auto"/>
              </w:rPr>
            </w:pPr>
            <w:r>
              <w:rPr>
                <w:rFonts w:ascii="Arial" w:cs="Arial" w:eastAsia="Arial" w:hAnsi="Arial"/>
                <w:sz w:val="14"/>
                <w:szCs w:val="14"/>
                <w:b w:val="1"/>
                <w:bCs w:val="1"/>
                <w:color w:val="auto"/>
              </w:rPr>
              <w:t>Meets share ownership</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900" w:type="dxa"/>
            <w:vAlign w:val="bottom"/>
            <w:tcBorders>
              <w:bottom w:val="single" w:sz="8" w:color="0D64EF"/>
            </w:tcBorders>
            <w:shd w:val="clear" w:color="auto" w:fill="D1D0CF"/>
          </w:tcPr>
          <w:p>
            <w:pPr>
              <w:jc w:val="right"/>
              <w:ind w:right="468"/>
              <w:spacing w:after="0"/>
              <w:rPr>
                <w:sz w:val="20"/>
                <w:szCs w:val="20"/>
                <w:color w:val="auto"/>
              </w:rPr>
            </w:pPr>
            <w:r>
              <w:rPr>
                <w:rFonts w:ascii="Arial" w:cs="Arial" w:eastAsia="Arial" w:hAnsi="Arial"/>
                <w:sz w:val="14"/>
                <w:szCs w:val="14"/>
                <w:b w:val="1"/>
                <w:bCs w:val="1"/>
                <w:color w:val="auto"/>
              </w:rPr>
              <w:t>2026</w:t>
            </w:r>
          </w:p>
        </w:tc>
        <w:tc>
          <w:tcPr>
            <w:tcW w:w="86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c>
          <w:tcPr>
            <w:tcW w:w="0" w:type="dxa"/>
            <w:vAlign w:val="bottom"/>
          </w:tcPr>
          <w:p>
            <w:pPr>
              <w:spacing w:after="0"/>
              <w:rPr>
                <w:sz w:val="1"/>
                <w:szCs w:val="1"/>
                <w:color w:val="auto"/>
              </w:rPr>
            </w:pPr>
          </w:p>
        </w:tc>
      </w:tr>
      <w:tr>
        <w:trPr>
          <w:trHeight w:val="174"/>
        </w:trPr>
        <w:tc>
          <w:tcPr>
            <w:tcW w:w="3080" w:type="dxa"/>
            <w:vAlign w:val="bottom"/>
          </w:tcPr>
          <w:p>
            <w:pPr>
              <w:ind w:left="20"/>
              <w:spacing w:after="0"/>
              <w:rPr>
                <w:sz w:val="20"/>
                <w:szCs w:val="20"/>
                <w:color w:val="auto"/>
              </w:rPr>
            </w:pPr>
            <w:r>
              <w:rPr>
                <w:rFonts w:ascii="Arial" w:cs="Arial" w:eastAsia="Arial" w:hAnsi="Arial"/>
                <w:sz w:val="14"/>
                <w:szCs w:val="14"/>
                <w:color w:val="auto"/>
              </w:rPr>
              <w:t>Shares</w:t>
            </w:r>
          </w:p>
        </w:tc>
        <w:tc>
          <w:tcPr>
            <w:tcW w:w="19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Ms. Madahbee Leach has until</w:t>
            </w:r>
          </w:p>
        </w:tc>
        <w:tc>
          <w:tcPr>
            <w:tcW w:w="0" w:type="dxa"/>
            <w:vAlign w:val="bottom"/>
          </w:tcPr>
          <w:p>
            <w:pPr>
              <w:spacing w:after="0"/>
              <w:rPr>
                <w:sz w:val="1"/>
                <w:szCs w:val="1"/>
                <w:color w:val="auto"/>
              </w:rPr>
            </w:pPr>
          </w:p>
        </w:tc>
      </w:tr>
      <w:tr>
        <w:trPr>
          <w:trHeight w:val="147"/>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DSUs</w:t>
            </w:r>
          </w:p>
        </w:tc>
        <w:tc>
          <w:tcPr>
            <w:tcW w:w="1900" w:type="dxa"/>
            <w:vAlign w:val="bottom"/>
            <w:vMerge w:val="restart"/>
          </w:tcPr>
          <w:p>
            <w:pPr>
              <w:jc w:val="right"/>
              <w:ind w:right="468"/>
              <w:spacing w:after="0"/>
              <w:rPr>
                <w:sz w:val="20"/>
                <w:szCs w:val="20"/>
                <w:color w:val="auto"/>
              </w:rPr>
            </w:pPr>
            <w:r>
              <w:rPr>
                <w:rFonts w:ascii="Arial" w:cs="Arial" w:eastAsia="Arial" w:hAnsi="Arial"/>
                <w:sz w:val="14"/>
                <w:szCs w:val="14"/>
                <w:color w:val="auto"/>
              </w:rPr>
              <w:t>5,538</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800</w:t>
            </w:r>
          </w:p>
        </w:tc>
        <w:tc>
          <w:tcPr>
            <w:tcW w:w="2440" w:type="dxa"/>
            <w:vAlign w:val="bottom"/>
          </w:tcPr>
          <w:p>
            <w:pPr>
              <w:ind w:left="140"/>
              <w:spacing w:after="0" w:line="147" w:lineRule="exact"/>
              <w:rPr>
                <w:sz w:val="20"/>
                <w:szCs w:val="20"/>
                <w:color w:val="auto"/>
              </w:rPr>
            </w:pPr>
            <w:r>
              <w:rPr>
                <w:rFonts w:ascii="Arial" w:cs="Arial" w:eastAsia="Arial" w:hAnsi="Arial"/>
                <w:sz w:val="14"/>
                <w:szCs w:val="14"/>
                <w:color w:val="auto"/>
              </w:rPr>
              <w:t>November 4, 2029 to meet the</w:t>
            </w:r>
          </w:p>
        </w:tc>
        <w:tc>
          <w:tcPr>
            <w:tcW w:w="0" w:type="dxa"/>
            <w:vAlign w:val="bottom"/>
          </w:tcPr>
          <w:p>
            <w:pPr>
              <w:spacing w:after="0"/>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requirements.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260" w:space="700"/>
            <w:col w:w="8280"/>
          </w:cols>
          <w:pgMar w:left="320" w:top="10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34" w:right="33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Not Independent</w:t>
      </w:r>
    </w:p>
    <w:p>
      <w:pPr>
        <w:spacing w:after="0" w:line="3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(President and Chief Executive Officer of TC Energy)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40" w:hanging="135"/>
        <w:spacing w:after="0"/>
        <w:tabs>
          <w:tab w:leader="none" w:pos="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Accounting/Audit</w:t>
      </w:r>
    </w:p>
    <w:p>
      <w:pPr>
        <w:spacing w:after="0" w:line="67" w:lineRule="exact"/>
        <w:rPr>
          <w:rFonts w:ascii="Arial" w:cs="Arial" w:eastAsia="Arial" w:hAnsi="Arial"/>
          <w:sz w:val="14"/>
          <w:szCs w:val="14"/>
          <w:color w:val="auto"/>
        </w:rPr>
      </w:pPr>
    </w:p>
    <w:p>
      <w:pPr>
        <w:ind w:left="160" w:right="740" w:hanging="155"/>
        <w:spacing w:after="0" w:line="300" w:lineRule="auto"/>
        <w:tabs>
          <w:tab w:leader="none" w:pos="143" w:val="left"/>
        </w:tabs>
        <w:numPr>
          <w:ilvl w:val="0"/>
          <w:numId w:val="41"/>
        </w:numPr>
        <w:rPr>
          <w:rFonts w:ascii="Arial" w:cs="Arial" w:eastAsia="Arial" w:hAnsi="Arial"/>
          <w:sz w:val="14"/>
          <w:szCs w:val="14"/>
          <w:color w:val="auto"/>
        </w:rPr>
      </w:pPr>
      <w:r>
        <w:rPr>
          <w:rFonts w:ascii="Arial" w:cs="Arial" w:eastAsia="Arial" w:hAnsi="Arial"/>
          <w:sz w:val="14"/>
          <w:szCs w:val="14"/>
          <w:color w:val="auto"/>
        </w:rPr>
        <w:t>Capital Markets/Mergers &amp; Acquisitions</w:t>
      </w:r>
    </w:p>
    <w:p>
      <w:pPr>
        <w:ind w:left="140" w:hanging="135"/>
        <w:spacing w:after="0"/>
        <w:tabs>
          <w:tab w:leader="none" w:pos="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CEO</w:t>
      </w:r>
    </w:p>
    <w:p>
      <w:pPr>
        <w:spacing w:after="0" w:line="67" w:lineRule="exact"/>
        <w:rPr>
          <w:rFonts w:ascii="Arial" w:cs="Arial" w:eastAsia="Arial" w:hAnsi="Arial"/>
          <w:sz w:val="14"/>
          <w:szCs w:val="14"/>
          <w:color w:val="auto"/>
        </w:rPr>
      </w:pPr>
    </w:p>
    <w:p>
      <w:pPr>
        <w:ind w:left="160" w:right="100" w:hanging="155"/>
        <w:spacing w:after="0" w:line="300" w:lineRule="auto"/>
        <w:tabs>
          <w:tab w:leader="none" w:pos="143" w:val="left"/>
        </w:tabs>
        <w:numPr>
          <w:ilvl w:val="0"/>
          <w:numId w:val="41"/>
        </w:numPr>
        <w:rPr>
          <w:rFonts w:ascii="Arial" w:cs="Arial" w:eastAsia="Arial" w:hAnsi="Arial"/>
          <w:sz w:val="14"/>
          <w:szCs w:val="14"/>
          <w:color w:val="auto"/>
        </w:rPr>
      </w:pPr>
      <w:r>
        <w:rPr>
          <w:rFonts w:ascii="Arial" w:cs="Arial" w:eastAsia="Arial" w:hAnsi="Arial"/>
          <w:sz w:val="14"/>
          <w:szCs w:val="14"/>
          <w:color w:val="auto"/>
        </w:rPr>
        <w:t>Electric Power &amp; Electrification Value Chain</w:t>
      </w:r>
    </w:p>
    <w:p>
      <w:pPr>
        <w:ind w:left="140" w:hanging="135"/>
        <w:spacing w:after="0"/>
        <w:tabs>
          <w:tab w:leader="none" w:pos="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Energy, Pipelines &amp; Midstream</w:t>
      </w:r>
    </w:p>
    <w:p>
      <w:pPr>
        <w:spacing w:after="0" w:line="53" w:lineRule="exact"/>
        <w:rPr>
          <w:rFonts w:ascii="Arial" w:cs="Arial" w:eastAsia="Arial" w:hAnsi="Arial"/>
          <w:sz w:val="14"/>
          <w:szCs w:val="14"/>
          <w:color w:val="auto"/>
        </w:rPr>
      </w:pPr>
    </w:p>
    <w:p>
      <w:pPr>
        <w:ind w:left="140" w:hanging="135"/>
        <w:spacing w:after="0"/>
        <w:tabs>
          <w:tab w:leader="none" w:pos="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Enterprise Risk Management</w:t>
      </w:r>
    </w:p>
    <w:p>
      <w:pPr>
        <w:spacing w:after="0" w:line="67" w:lineRule="exact"/>
        <w:rPr>
          <w:rFonts w:ascii="Arial" w:cs="Arial" w:eastAsia="Arial" w:hAnsi="Arial"/>
          <w:sz w:val="14"/>
          <w:szCs w:val="14"/>
          <w:color w:val="auto"/>
        </w:rPr>
      </w:pPr>
    </w:p>
    <w:p>
      <w:pPr>
        <w:ind w:left="140" w:hanging="135"/>
        <w:spacing w:after="0"/>
        <w:tabs>
          <w:tab w:leader="none" w:pos="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Governance</w:t>
      </w:r>
    </w:p>
    <w:p>
      <w:pPr>
        <w:spacing w:after="0" w:line="53" w:lineRule="exact"/>
        <w:rPr>
          <w:rFonts w:ascii="Arial" w:cs="Arial" w:eastAsia="Arial" w:hAnsi="Arial"/>
          <w:sz w:val="14"/>
          <w:szCs w:val="14"/>
          <w:color w:val="auto"/>
        </w:rPr>
      </w:pPr>
    </w:p>
    <w:p>
      <w:pPr>
        <w:ind w:left="140" w:hanging="135"/>
        <w:spacing w:after="0"/>
        <w:tabs>
          <w:tab w:leader="none" w:pos="1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$10,397,176</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TC Energy</w:t>
      </w:r>
    </w:p>
    <w:p>
      <w:pPr>
        <w:spacing w:after="0" w:line="236" w:lineRule="auto"/>
        <w:rPr>
          <w:sz w:val="20"/>
          <w:szCs w:val="20"/>
          <w:color w:val="auto"/>
        </w:rPr>
      </w:pPr>
      <w:r>
        <w:rPr>
          <w:rFonts w:ascii="Arial" w:cs="Arial" w:eastAsia="Arial" w:hAnsi="Arial"/>
          <w:sz w:val="16"/>
          <w:szCs w:val="16"/>
          <w:b w:val="1"/>
          <w:bCs w:val="1"/>
          <w:color w:val="0D64EF"/>
        </w:rPr>
        <w:t>Board/Committees</w:t>
      </w:r>
    </w:p>
    <w:p>
      <w:pPr>
        <w:spacing w:after="0"/>
        <w:rPr>
          <w:sz w:val="20"/>
          <w:szCs w:val="20"/>
          <w:color w:val="auto"/>
        </w:rPr>
      </w:pPr>
      <w:r>
        <w:rPr>
          <w:rFonts w:ascii="Arial" w:cs="Arial" w:eastAsia="Arial" w:hAnsi="Arial"/>
          <w:sz w:val="16"/>
          <w:szCs w:val="16"/>
          <w:b w:val="1"/>
          <w:bCs w:val="1"/>
          <w:color w:val="0D64EF"/>
        </w:rPr>
        <w:t>2025 meeting attendance</w:t>
      </w:r>
    </w:p>
    <w:p>
      <w:pPr>
        <w:spacing w:after="0" w:line="60" w:lineRule="exact"/>
        <w:rPr>
          <w:sz w:val="20"/>
          <w:szCs w:val="20"/>
          <w:color w:val="auto"/>
        </w:rPr>
      </w:pPr>
    </w:p>
    <w:p>
      <w:pPr>
        <w:ind w:left="160" w:right="1100" w:hanging="155"/>
        <w:spacing w:after="0" w:line="363" w:lineRule="auto"/>
        <w:tabs>
          <w:tab w:leader="none" w:pos="143" w:val="left"/>
        </w:tabs>
        <w:numPr>
          <w:ilvl w:val="0"/>
          <w:numId w:val="42"/>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François L. Poirier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-207645</wp:posOffset>
            </wp:positionV>
            <wp:extent cx="8255" cy="7832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783272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59, CALGARY, AB, CANADA | CHIEF EXECUTIVE OFFICER | DIRECTOR SINCE 2021</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Poirier has been President and Chief Executive Officer (CEO) of TC Energy since January 2021.</w:t>
      </w:r>
    </w:p>
    <w:p>
      <w:pPr>
        <w:spacing w:after="0" w:line="152" w:lineRule="exact"/>
        <w:rPr>
          <w:sz w:val="20"/>
          <w:szCs w:val="20"/>
          <w:color w:val="auto"/>
        </w:rPr>
      </w:pPr>
    </w:p>
    <w:p>
      <w:pPr>
        <w:ind w:left="20" w:right="160"/>
        <w:spacing w:after="0" w:line="326" w:lineRule="auto"/>
        <w:rPr>
          <w:sz w:val="20"/>
          <w:szCs w:val="20"/>
          <w:color w:val="auto"/>
        </w:rPr>
      </w:pPr>
      <w:r>
        <w:rPr>
          <w:rFonts w:ascii="Arial" w:cs="Arial" w:eastAsia="Arial" w:hAnsi="Arial"/>
          <w:sz w:val="16"/>
          <w:szCs w:val="16"/>
          <w:color w:val="auto"/>
        </w:rPr>
        <w:t>He joined the company in 2014 as President, Energy East Pipeline and has held several roles within the company since, including the role of Chief Operating Officer and President, Power &amp; Storage, prior to being appointed as CEO.</w:t>
      </w:r>
    </w:p>
    <w:p>
      <w:pPr>
        <w:spacing w:after="0" w:line="43" w:lineRule="exact"/>
        <w:rPr>
          <w:sz w:val="20"/>
          <w:szCs w:val="20"/>
          <w:color w:val="auto"/>
        </w:rPr>
      </w:pPr>
    </w:p>
    <w:p>
      <w:pPr>
        <w:ind w:left="20" w:right="40"/>
        <w:spacing w:after="0" w:line="326" w:lineRule="auto"/>
        <w:rPr>
          <w:sz w:val="20"/>
          <w:szCs w:val="20"/>
          <w:color w:val="auto"/>
        </w:rPr>
      </w:pPr>
      <w:r>
        <w:rPr>
          <w:rFonts w:ascii="Arial" w:cs="Arial" w:eastAsia="Arial" w:hAnsi="Arial"/>
          <w:sz w:val="16"/>
          <w:szCs w:val="16"/>
          <w:color w:val="auto"/>
        </w:rPr>
        <w:t>In his role as CEO, Mr. Poirier oversaw the spinoff of TC Energy's Liquids Pipelines business, advanced major energy projects such as Southeast Gateway and Coastal GasLink and has championed initiatives such as the Build Canada Now letter, which sought regulatory change to unlock Canada's energy potential and economic sovereignty.</w:t>
      </w:r>
    </w:p>
    <w:p>
      <w:pPr>
        <w:spacing w:after="0" w:line="285" w:lineRule="exact"/>
        <w:rPr>
          <w:sz w:val="20"/>
          <w:szCs w:val="20"/>
          <w:color w:val="auto"/>
        </w:rPr>
      </w:pPr>
    </w:p>
    <w:p>
      <w:pPr>
        <w:jc w:val="both"/>
        <w:ind w:left="20" w:right="100"/>
        <w:spacing w:after="0" w:line="316" w:lineRule="auto"/>
        <w:rPr>
          <w:sz w:val="20"/>
          <w:szCs w:val="20"/>
          <w:color w:val="auto"/>
        </w:rPr>
      </w:pPr>
      <w:r>
        <w:rPr>
          <w:rFonts w:ascii="Arial" w:cs="Arial" w:eastAsia="Arial" w:hAnsi="Arial"/>
          <w:sz w:val="16"/>
          <w:szCs w:val="16"/>
          <w:color w:val="auto"/>
        </w:rPr>
        <w:t>Before joining TC Energy, Mr. Poirier spent 25 years in investment banking, consulting and as a corporate director. Since 2024, Mr. Poirier has served as a corporate director of the Canadian Imperial Bank of Commerce (chartered bank). He is also a director of both the Business Council of Canada and the American Petroleum Institute, roles he has held since January 2021.</w:t>
      </w:r>
    </w:p>
    <w:p>
      <w:pPr>
        <w:spacing w:after="0" w:line="66" w:lineRule="exact"/>
        <w:rPr>
          <w:sz w:val="20"/>
          <w:szCs w:val="20"/>
          <w:color w:val="auto"/>
        </w:rPr>
      </w:pPr>
    </w:p>
    <w:p>
      <w:pPr>
        <w:ind w:left="20" w:right="380"/>
        <w:spacing w:after="0" w:line="337" w:lineRule="auto"/>
        <w:rPr>
          <w:sz w:val="20"/>
          <w:szCs w:val="20"/>
          <w:color w:val="auto"/>
        </w:rPr>
      </w:pPr>
      <w:r>
        <w:rPr>
          <w:rFonts w:ascii="Arial" w:cs="Arial" w:eastAsia="Arial" w:hAnsi="Arial"/>
          <w:sz w:val="16"/>
          <w:szCs w:val="16"/>
          <w:color w:val="auto"/>
        </w:rPr>
        <w:t>Mr. Poirier was named Business Leader of the Year for 2026 by the Canadian Chamber of Commerce. He also served as co-chair of the Special Olympics Canada Winter Games 2024.</w:t>
      </w:r>
    </w:p>
    <w:p>
      <w:pPr>
        <w:spacing w:after="0" w:line="48" w:lineRule="exact"/>
        <w:rPr>
          <w:sz w:val="20"/>
          <w:szCs w:val="20"/>
          <w:color w:val="auto"/>
        </w:rPr>
      </w:pPr>
    </w:p>
    <w:p>
      <w:pPr>
        <w:ind w:left="20" w:right="160"/>
        <w:spacing w:after="0" w:line="337" w:lineRule="auto"/>
        <w:rPr>
          <w:sz w:val="20"/>
          <w:szCs w:val="20"/>
          <w:color w:val="auto"/>
        </w:rPr>
      </w:pPr>
      <w:r>
        <w:rPr>
          <w:rFonts w:ascii="Arial" w:cs="Arial" w:eastAsia="Arial" w:hAnsi="Arial"/>
          <w:sz w:val="16"/>
          <w:szCs w:val="16"/>
          <w:color w:val="auto"/>
        </w:rPr>
        <w:t>Mr. Poirier holds a Master of Business Administration from the Schulich School of Business at York University and graduated Magna Cum Laude with a Bachelor of Operations Research from the University of Ottawa.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3060" w:type="dxa"/>
            <w:vAlign w:val="bottom"/>
            <w:tcBorders>
              <w:top w:val="single" w:sz="8" w:color="0D64EF"/>
              <w:bottom w:val="single" w:sz="8" w:color="0D64EF"/>
            </w:tcBorders>
            <w:shd w:val="clear" w:color="auto" w:fill="D1D0CF"/>
          </w:tcPr>
          <w:p>
            <w:pPr>
              <w:jc w:val="right"/>
              <w:ind w:right="1268"/>
              <w:spacing w:after="0"/>
              <w:rPr>
                <w:sz w:val="20"/>
                <w:szCs w:val="20"/>
                <w:color w:val="auto"/>
              </w:rPr>
            </w:pPr>
            <w:r>
              <w:rPr>
                <w:rFonts w:ascii="Arial" w:cs="Arial" w:eastAsia="Arial" w:hAnsi="Arial"/>
                <w:sz w:val="14"/>
                <w:szCs w:val="14"/>
                <w:b w:val="1"/>
                <w:bCs w:val="1"/>
                <w:color w:val="auto"/>
              </w:rPr>
              <w:t>Votes in favour</w:t>
            </w:r>
          </w:p>
        </w:tc>
        <w:tc>
          <w:tcPr>
            <w:tcW w:w="2440" w:type="dxa"/>
            <w:vAlign w:val="bottom"/>
            <w:tcBorders>
              <w:top w:val="single" w:sz="8" w:color="0D64EF"/>
              <w:bottom w:val="single" w:sz="8" w:color="0D64EF"/>
            </w:tcBorders>
            <w:shd w:val="clear" w:color="auto" w:fill="D1D0CF"/>
          </w:tcPr>
          <w:p>
            <w:pPr>
              <w:jc w:val="right"/>
              <w:ind w:right="1308"/>
              <w:spacing w:after="0"/>
              <w:rPr>
                <w:sz w:val="20"/>
                <w:szCs w:val="20"/>
                <w:color w:val="auto"/>
              </w:rPr>
            </w:pPr>
            <w:r>
              <w:rPr>
                <w:rFonts w:ascii="Arial" w:cs="Arial" w:eastAsia="Arial" w:hAnsi="Arial"/>
                <w:sz w:val="14"/>
                <w:szCs w:val="14"/>
                <w:b w:val="1"/>
                <w:bCs w:val="1"/>
                <w:color w:val="auto"/>
              </w:rPr>
              <w:t>Votes against</w:t>
            </w:r>
          </w:p>
        </w:tc>
      </w:tr>
      <w:tr>
        <w:trPr>
          <w:trHeight w:val="207"/>
        </w:trPr>
        <w:tc>
          <w:tcPr>
            <w:tcW w:w="2780" w:type="dxa"/>
            <w:vAlign w:val="bottom"/>
          </w:tcPr>
          <w:p>
            <w:pPr>
              <w:ind w:left="20"/>
              <w:spacing w:after="0"/>
              <w:rPr>
                <w:sz w:val="20"/>
                <w:szCs w:val="20"/>
                <w:color w:val="auto"/>
              </w:rPr>
            </w:pPr>
            <w:r>
              <w:rPr>
                <w:rFonts w:ascii="Arial" w:cs="Arial" w:eastAsia="Arial" w:hAnsi="Arial"/>
                <w:sz w:val="14"/>
                <w:szCs w:val="14"/>
                <w:color w:val="auto"/>
              </w:rPr>
              <w:t>2025</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673,662,897 (99.35%)</w:t>
            </w:r>
          </w:p>
        </w:tc>
        <w:tc>
          <w:tcPr>
            <w:tcW w:w="2440" w:type="dxa"/>
            <w:vAlign w:val="bottom"/>
          </w:tcPr>
          <w:p>
            <w:pPr>
              <w:jc w:val="right"/>
              <w:spacing w:after="0"/>
              <w:rPr>
                <w:sz w:val="20"/>
                <w:szCs w:val="20"/>
                <w:color w:val="auto"/>
              </w:rPr>
            </w:pPr>
            <w:r>
              <w:rPr>
                <w:rFonts w:ascii="Arial" w:cs="Arial" w:eastAsia="Arial" w:hAnsi="Arial"/>
                <w:sz w:val="14"/>
                <w:szCs w:val="14"/>
                <w:color w:val="auto"/>
              </w:rPr>
              <w:t>4,415,592 (0.65%)</w:t>
            </w:r>
          </w:p>
        </w:tc>
      </w:tr>
      <w:tr>
        <w:trPr>
          <w:trHeight w:val="255"/>
        </w:trPr>
        <w:tc>
          <w:tcPr>
            <w:tcW w:w="2780" w:type="dxa"/>
            <w:vAlign w:val="bottom"/>
          </w:tcPr>
          <w:p>
            <w:pPr>
              <w:ind w:left="20"/>
              <w:spacing w:after="0"/>
              <w:rPr>
                <w:sz w:val="20"/>
                <w:szCs w:val="20"/>
                <w:color w:val="auto"/>
              </w:rPr>
            </w:pPr>
            <w:r>
              <w:rPr>
                <w:rFonts w:ascii="Arial" w:cs="Arial" w:eastAsia="Arial" w:hAnsi="Arial"/>
                <w:sz w:val="14"/>
                <w:szCs w:val="14"/>
                <w:color w:val="auto"/>
              </w:rPr>
              <w:t>2024</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659,677,771 (99.20%)</w:t>
            </w:r>
          </w:p>
        </w:tc>
        <w:tc>
          <w:tcPr>
            <w:tcW w:w="2440" w:type="dxa"/>
            <w:vAlign w:val="bottom"/>
          </w:tcPr>
          <w:p>
            <w:pPr>
              <w:jc w:val="right"/>
              <w:spacing w:after="0"/>
              <w:rPr>
                <w:sz w:val="20"/>
                <w:szCs w:val="20"/>
                <w:color w:val="auto"/>
              </w:rPr>
            </w:pPr>
            <w:r>
              <w:rPr>
                <w:rFonts w:ascii="Arial" w:cs="Arial" w:eastAsia="Arial" w:hAnsi="Arial"/>
                <w:sz w:val="14"/>
                <w:szCs w:val="14"/>
                <w:color w:val="auto"/>
              </w:rPr>
              <w:t>5,347,675 (0.80%)</w:t>
            </w:r>
          </w:p>
        </w:tc>
      </w:tr>
      <w:tr>
        <w:trPr>
          <w:trHeight w:val="255"/>
        </w:trPr>
        <w:tc>
          <w:tcPr>
            <w:tcW w:w="2780" w:type="dxa"/>
            <w:vAlign w:val="bottom"/>
          </w:tcPr>
          <w:p>
            <w:pPr>
              <w:ind w:left="20"/>
              <w:spacing w:after="0"/>
              <w:rPr>
                <w:sz w:val="20"/>
                <w:szCs w:val="20"/>
                <w:color w:val="auto"/>
              </w:rPr>
            </w:pPr>
            <w:r>
              <w:rPr>
                <w:rFonts w:ascii="Arial" w:cs="Arial" w:eastAsia="Arial" w:hAnsi="Arial"/>
                <w:sz w:val="14"/>
                <w:szCs w:val="14"/>
                <w:color w:val="auto"/>
              </w:rPr>
              <w:t>2023</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671,309,028 (99.62%)</w:t>
            </w:r>
          </w:p>
        </w:tc>
        <w:tc>
          <w:tcPr>
            <w:tcW w:w="2440" w:type="dxa"/>
            <w:vAlign w:val="bottom"/>
          </w:tcPr>
          <w:p>
            <w:pPr>
              <w:jc w:val="right"/>
              <w:spacing w:after="0"/>
              <w:rPr>
                <w:sz w:val="20"/>
                <w:szCs w:val="20"/>
                <w:color w:val="auto"/>
              </w:rPr>
            </w:pPr>
            <w:r>
              <w:rPr>
                <w:rFonts w:ascii="Arial" w:cs="Arial" w:eastAsia="Arial" w:hAnsi="Arial"/>
                <w:sz w:val="14"/>
                <w:szCs w:val="14"/>
                <w:color w:val="auto"/>
              </w:rPr>
              <w:t>2,539,979 (0.38%)</w:t>
            </w:r>
          </w:p>
        </w:tc>
      </w:tr>
    </w:tbl>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30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1580" w:type="dxa"/>
            <w:vAlign w:val="bottom"/>
            <w:tcBorders>
              <w:top w:val="single" w:sz="8" w:color="0D64EF"/>
              <w:bottom w:val="single" w:sz="8" w:color="0D64EF"/>
            </w:tcBorders>
            <w:shd w:val="clear" w:color="auto" w:fill="D1D0CF"/>
          </w:tcPr>
          <w:p>
            <w:pPr>
              <w:ind w:left="180"/>
              <w:spacing w:after="0"/>
              <w:rPr>
                <w:sz w:val="20"/>
                <w:szCs w:val="20"/>
                <w:color w:val="auto"/>
              </w:rPr>
            </w:pPr>
            <w:r>
              <w:rPr>
                <w:rFonts w:ascii="Arial" w:cs="Arial" w:eastAsia="Arial" w:hAnsi="Arial"/>
                <w:sz w:val="14"/>
                <w:szCs w:val="14"/>
                <w:b w:val="1"/>
                <w:bCs w:val="1"/>
                <w:color w:val="auto"/>
              </w:rPr>
              <w:t>Stock exchange</w:t>
            </w:r>
          </w:p>
        </w:tc>
        <w:tc>
          <w:tcPr>
            <w:tcW w:w="96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r>
      <w:tr>
        <w:trPr>
          <w:trHeight w:val="152"/>
        </w:trPr>
        <w:tc>
          <w:tcPr>
            <w:tcW w:w="3300" w:type="dxa"/>
            <w:vAlign w:val="bottom"/>
          </w:tcPr>
          <w:p>
            <w:pPr>
              <w:ind w:left="20"/>
              <w:spacing w:after="0" w:line="152" w:lineRule="exact"/>
              <w:rPr>
                <w:sz w:val="20"/>
                <w:szCs w:val="20"/>
                <w:color w:val="auto"/>
              </w:rPr>
            </w:pPr>
            <w:r>
              <w:rPr>
                <w:rFonts w:ascii="Arial" w:cs="Arial" w:eastAsia="Arial" w:hAnsi="Arial"/>
                <w:sz w:val="14"/>
                <w:szCs w:val="14"/>
                <w:color w:val="auto"/>
              </w:rPr>
              <w:t>Canadian Imperial Bank of Commerce (chartered</w:t>
            </w:r>
          </w:p>
        </w:tc>
        <w:tc>
          <w:tcPr>
            <w:tcW w:w="1580" w:type="dxa"/>
            <w:vAlign w:val="bottom"/>
          </w:tcPr>
          <w:p>
            <w:pPr>
              <w:ind w:left="180"/>
              <w:spacing w:after="0" w:line="152" w:lineRule="exact"/>
              <w:rPr>
                <w:sz w:val="20"/>
                <w:szCs w:val="20"/>
                <w:color w:val="auto"/>
              </w:rPr>
            </w:pPr>
            <w:r>
              <w:rPr>
                <w:rFonts w:ascii="Arial" w:cs="Arial" w:eastAsia="Arial" w:hAnsi="Arial"/>
                <w:sz w:val="14"/>
                <w:szCs w:val="14"/>
                <w:color w:val="auto"/>
              </w:rPr>
              <w:t>TSX, NYSE</w:t>
            </w:r>
          </w:p>
        </w:tc>
        <w:tc>
          <w:tcPr>
            <w:tcW w:w="960" w:type="dxa"/>
            <w:vAlign w:val="bottom"/>
          </w:tcPr>
          <w:p>
            <w:pPr>
              <w:spacing w:after="0"/>
              <w:rPr>
                <w:sz w:val="13"/>
                <w:szCs w:val="13"/>
                <w:color w:val="auto"/>
              </w:rPr>
            </w:pPr>
          </w:p>
        </w:tc>
        <w:tc>
          <w:tcPr>
            <w:tcW w:w="2440" w:type="dxa"/>
            <w:vAlign w:val="bottom"/>
          </w:tcPr>
          <w:p>
            <w:pPr>
              <w:ind w:left="140"/>
              <w:spacing w:after="0" w:line="152" w:lineRule="exact"/>
              <w:rPr>
                <w:sz w:val="20"/>
                <w:szCs w:val="20"/>
                <w:color w:val="auto"/>
              </w:rPr>
            </w:pPr>
            <w:r>
              <w:rPr>
                <w:rFonts w:ascii="Arial" w:cs="Arial" w:eastAsia="Arial" w:hAnsi="Arial"/>
                <w:sz w:val="14"/>
                <w:szCs w:val="14"/>
                <w:color w:val="auto"/>
              </w:rPr>
              <w:t>Risk Management</w:t>
            </w:r>
          </w:p>
        </w:tc>
      </w:tr>
      <w:tr>
        <w:trPr>
          <w:trHeight w:val="190"/>
        </w:trPr>
        <w:tc>
          <w:tcPr>
            <w:tcW w:w="3300" w:type="dxa"/>
            <w:vAlign w:val="bottom"/>
          </w:tcPr>
          <w:p>
            <w:pPr>
              <w:ind w:left="20"/>
              <w:spacing w:after="0"/>
              <w:rPr>
                <w:sz w:val="20"/>
                <w:szCs w:val="20"/>
                <w:color w:val="auto"/>
              </w:rPr>
            </w:pPr>
            <w:r>
              <w:rPr>
                <w:rFonts w:ascii="Arial" w:cs="Arial" w:eastAsia="Arial" w:hAnsi="Arial"/>
                <w:sz w:val="14"/>
                <w:szCs w:val="14"/>
                <w:color w:val="auto"/>
              </w:rPr>
              <w:t>bank) (since September 2024)</w:t>
            </w:r>
          </w:p>
        </w:tc>
        <w:tc>
          <w:tcPr>
            <w:tcW w:w="1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61"/>
        </w:trPr>
        <w:tc>
          <w:tcPr>
            <w:tcW w:w="3300" w:type="dxa"/>
            <w:vAlign w:val="bottom"/>
            <w:tcBorders>
              <w:bottom w:val="single" w:sz="8" w:color="0D64EF"/>
            </w:tcBorders>
          </w:tcPr>
          <w:p>
            <w:pPr>
              <w:spacing w:after="0"/>
              <w:rPr>
                <w:sz w:val="5"/>
                <w:szCs w:val="5"/>
                <w:color w:val="auto"/>
              </w:rPr>
            </w:pPr>
          </w:p>
        </w:tc>
        <w:tc>
          <w:tcPr>
            <w:tcW w:w="1580" w:type="dxa"/>
            <w:vAlign w:val="bottom"/>
            <w:tcBorders>
              <w:bottom w:val="single" w:sz="8" w:color="0D64EF"/>
            </w:tcBorders>
          </w:tcPr>
          <w:p>
            <w:pPr>
              <w:spacing w:after="0"/>
              <w:rPr>
                <w:sz w:val="5"/>
                <w:szCs w:val="5"/>
                <w:color w:val="auto"/>
              </w:rPr>
            </w:pPr>
          </w:p>
        </w:tc>
        <w:tc>
          <w:tcPr>
            <w:tcW w:w="960" w:type="dxa"/>
            <w:vAlign w:val="bottom"/>
            <w:tcBorders>
              <w:bottom w:val="single" w:sz="8" w:color="0D64EF"/>
            </w:tcBorders>
          </w:tcPr>
          <w:p>
            <w:pPr>
              <w:spacing w:after="0"/>
              <w:rPr>
                <w:sz w:val="5"/>
                <w:szCs w:val="5"/>
                <w:color w:val="auto"/>
              </w:rPr>
            </w:pPr>
          </w:p>
        </w:tc>
        <w:tc>
          <w:tcPr>
            <w:tcW w:w="2440" w:type="dxa"/>
            <w:vAlign w:val="bottom"/>
            <w:tcBorders>
              <w:bottom w:val="single" w:sz="8" w:color="0D64EF"/>
            </w:tcBorders>
          </w:tcPr>
          <w:p>
            <w:pPr>
              <w:spacing w:after="0"/>
              <w:rPr>
                <w:sz w:val="5"/>
                <w:szCs w:val="5"/>
                <w:color w:val="auto"/>
              </w:rPr>
            </w:pPr>
          </w:p>
        </w:tc>
      </w:tr>
      <w:tr>
        <w:trPr>
          <w:trHeight w:val="145"/>
        </w:trPr>
        <w:tc>
          <w:tcPr>
            <w:tcW w:w="3300" w:type="dxa"/>
            <w:vAlign w:val="bottom"/>
            <w:shd w:val="clear" w:color="auto" w:fill="D1D0CF"/>
          </w:tcPr>
          <w:p>
            <w:pPr>
              <w:spacing w:after="0"/>
              <w:rPr>
                <w:sz w:val="12"/>
                <w:szCs w:val="12"/>
                <w:color w:val="auto"/>
              </w:rPr>
            </w:pPr>
          </w:p>
        </w:tc>
        <w:tc>
          <w:tcPr>
            <w:tcW w:w="1580" w:type="dxa"/>
            <w:vAlign w:val="bottom"/>
            <w:shd w:val="clear" w:color="auto" w:fill="D1D0CF"/>
          </w:tcPr>
          <w:p>
            <w:pPr>
              <w:spacing w:after="0"/>
              <w:rPr>
                <w:sz w:val="12"/>
                <w:szCs w:val="12"/>
                <w:color w:val="auto"/>
              </w:rPr>
            </w:pPr>
          </w:p>
        </w:tc>
        <w:tc>
          <w:tcPr>
            <w:tcW w:w="96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5" w:lineRule="exact"/>
              <w:rPr>
                <w:sz w:val="20"/>
                <w:szCs w:val="20"/>
                <w:color w:val="auto"/>
              </w:rPr>
            </w:pPr>
            <w:r>
              <w:rPr>
                <w:rFonts w:ascii="Arial" w:cs="Arial" w:eastAsia="Arial" w:hAnsi="Arial"/>
                <w:sz w:val="14"/>
                <w:szCs w:val="14"/>
                <w:b w:val="1"/>
                <w:bCs w:val="1"/>
                <w:color w:val="auto"/>
              </w:rPr>
              <w:t>Meets share ownership</w:t>
            </w:r>
          </w:p>
        </w:tc>
      </w:tr>
      <w:tr>
        <w:trPr>
          <w:trHeight w:val="210"/>
        </w:trPr>
        <w:tc>
          <w:tcPr>
            <w:tcW w:w="330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580" w:type="dxa"/>
            <w:vAlign w:val="bottom"/>
            <w:tcBorders>
              <w:bottom w:val="single" w:sz="8" w:color="0D64EF"/>
            </w:tcBorders>
            <w:shd w:val="clear" w:color="auto" w:fill="D1D0CF"/>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96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r>
      <w:tr>
        <w:trPr>
          <w:trHeight w:val="228"/>
        </w:trPr>
        <w:tc>
          <w:tcPr>
            <w:tcW w:w="3300" w:type="dxa"/>
            <w:vAlign w:val="bottom"/>
          </w:tcPr>
          <w:p>
            <w:pPr>
              <w:ind w:left="20"/>
              <w:spacing w:after="0"/>
              <w:rPr>
                <w:sz w:val="20"/>
                <w:szCs w:val="20"/>
                <w:color w:val="auto"/>
              </w:rPr>
            </w:pPr>
            <w:r>
              <w:rPr>
                <w:rFonts w:ascii="Arial" w:cs="Arial" w:eastAsia="Arial" w:hAnsi="Arial"/>
                <w:sz w:val="14"/>
                <w:szCs w:val="14"/>
                <w:color w:val="auto"/>
              </w:rPr>
              <w:t>Shares</w:t>
            </w:r>
          </w:p>
        </w:tc>
        <w:tc>
          <w:tcPr>
            <w:tcW w:w="1580" w:type="dxa"/>
            <w:vAlign w:val="bottom"/>
          </w:tcPr>
          <w:p>
            <w:pPr>
              <w:jc w:val="right"/>
              <w:ind w:right="368"/>
              <w:spacing w:after="0"/>
              <w:rPr>
                <w:sz w:val="20"/>
                <w:szCs w:val="20"/>
                <w:color w:val="auto"/>
              </w:rPr>
            </w:pPr>
            <w:r>
              <w:rPr>
                <w:rFonts w:ascii="Arial" w:cs="Arial" w:eastAsia="Arial" w:hAnsi="Arial"/>
                <w:sz w:val="14"/>
                <w:szCs w:val="14"/>
                <w:color w:val="auto"/>
              </w:rPr>
              <w:t>119,179</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118,529</w:t>
            </w:r>
          </w:p>
        </w:tc>
        <w:tc>
          <w:tcPr>
            <w:tcW w:w="2440" w:type="dxa"/>
            <w:vAlign w:val="bottom"/>
          </w:tcPr>
          <w:p>
            <w:pPr>
              <w:ind w:left="140"/>
              <w:spacing w:after="0"/>
              <w:rPr>
                <w:sz w:val="20"/>
                <w:szCs w:val="20"/>
                <w:color w:val="auto"/>
              </w:rPr>
            </w:pPr>
            <w:r>
              <w:rPr>
                <w:rFonts w:ascii="Arial" w:cs="Arial" w:eastAsia="Arial" w:hAnsi="Arial"/>
                <w:sz w:val="14"/>
                <w:szCs w:val="14"/>
                <w:color w:val="auto"/>
              </w:rPr>
              <w:t>Yes</w:t>
            </w:r>
          </w:p>
        </w:tc>
      </w:tr>
      <w:tr>
        <w:trPr>
          <w:trHeight w:val="255"/>
        </w:trPr>
        <w:tc>
          <w:tcPr>
            <w:tcW w:w="3300" w:type="dxa"/>
            <w:vAlign w:val="bottom"/>
          </w:tcPr>
          <w:p>
            <w:pPr>
              <w:ind w:left="20"/>
              <w:spacing w:after="0"/>
              <w:rPr>
                <w:sz w:val="20"/>
                <w:szCs w:val="20"/>
                <w:color w:val="auto"/>
              </w:rPr>
            </w:pPr>
            <w:r>
              <w:rPr>
                <w:rFonts w:ascii="Arial" w:cs="Arial" w:eastAsia="Arial" w:hAnsi="Arial"/>
                <w:sz w:val="14"/>
                <w:szCs w:val="14"/>
                <w:color w:val="auto"/>
              </w:rPr>
              <w:t>DSUs</w:t>
            </w:r>
          </w:p>
        </w:tc>
        <w:tc>
          <w:tcPr>
            <w:tcW w:w="1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4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2">
            <w:col w:w="2580" w:space="360"/>
            <w:col w:w="8280"/>
          </w:cols>
          <w:pgMar w:left="340" w:top="10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27</w:t>
      </w:r>
    </w:p>
    <w:p>
      <w:pPr>
        <w:sectPr>
          <w:pgSz w:w="11900" w:h="16838" w:orient="portrait"/>
          <w:cols w:equalWidth="0" w:num="1">
            <w:col w:w="11220"/>
          </w:cols>
          <w:pgMar w:left="340" w:top="1061" w:right="33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60" w:hanging="135"/>
        <w:spacing w:after="0"/>
        <w:tabs>
          <w:tab w:leader="none" w:pos="1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Accounting/Audit</w:t>
      </w:r>
    </w:p>
    <w:p>
      <w:pPr>
        <w:spacing w:after="0" w:line="53" w:lineRule="exact"/>
        <w:rPr>
          <w:rFonts w:ascii="Arial" w:cs="Arial" w:eastAsia="Arial" w:hAnsi="Arial"/>
          <w:sz w:val="14"/>
          <w:szCs w:val="14"/>
          <w:color w:val="auto"/>
        </w:rPr>
      </w:pPr>
    </w:p>
    <w:p>
      <w:pPr>
        <w:ind w:left="180" w:right="600" w:hanging="155"/>
        <w:spacing w:after="0" w:line="310" w:lineRule="auto"/>
        <w:tabs>
          <w:tab w:leader="none" w:pos="163" w:val="left"/>
        </w:tabs>
        <w:numPr>
          <w:ilvl w:val="0"/>
          <w:numId w:val="43"/>
        </w:numPr>
        <w:rPr>
          <w:rFonts w:ascii="Arial" w:cs="Arial" w:eastAsia="Arial" w:hAnsi="Arial"/>
          <w:sz w:val="14"/>
          <w:szCs w:val="14"/>
          <w:color w:val="auto"/>
        </w:rPr>
      </w:pPr>
      <w:r>
        <w:rPr>
          <w:rFonts w:ascii="Arial" w:cs="Arial" w:eastAsia="Arial" w:hAnsi="Arial"/>
          <w:sz w:val="14"/>
          <w:szCs w:val="14"/>
          <w:color w:val="auto"/>
        </w:rPr>
        <w:t>Capital Markets/Mergers &amp; Acquisitions</w:t>
      </w:r>
    </w:p>
    <w:p>
      <w:pPr>
        <w:ind w:left="160" w:hanging="135"/>
        <w:spacing w:after="0"/>
        <w:tabs>
          <w:tab w:leader="none" w:pos="1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Energy, Pipelines &amp; Midstream</w:t>
      </w:r>
    </w:p>
    <w:p>
      <w:pPr>
        <w:spacing w:after="0" w:line="53" w:lineRule="exact"/>
        <w:rPr>
          <w:rFonts w:ascii="Arial" w:cs="Arial" w:eastAsia="Arial" w:hAnsi="Arial"/>
          <w:sz w:val="14"/>
          <w:szCs w:val="14"/>
          <w:color w:val="auto"/>
        </w:rPr>
      </w:pPr>
    </w:p>
    <w:p>
      <w:pPr>
        <w:ind w:left="160" w:hanging="135"/>
        <w:spacing w:after="0"/>
        <w:tabs>
          <w:tab w:leader="none" w:pos="1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Enterprise Risk Management</w:t>
      </w:r>
    </w:p>
    <w:p>
      <w:pPr>
        <w:spacing w:after="0" w:line="67" w:lineRule="exact"/>
        <w:rPr>
          <w:rFonts w:ascii="Arial" w:cs="Arial" w:eastAsia="Arial" w:hAnsi="Arial"/>
          <w:sz w:val="14"/>
          <w:szCs w:val="14"/>
          <w:color w:val="auto"/>
        </w:rPr>
      </w:pPr>
    </w:p>
    <w:p>
      <w:pPr>
        <w:ind w:left="160" w:hanging="135"/>
        <w:spacing w:after="0"/>
        <w:tabs>
          <w:tab w:leader="none" w:pos="1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Governance</w:t>
      </w:r>
    </w:p>
    <w:p>
      <w:pPr>
        <w:spacing w:after="0" w:line="53" w:lineRule="exact"/>
        <w:rPr>
          <w:rFonts w:ascii="Arial" w:cs="Arial" w:eastAsia="Arial" w:hAnsi="Arial"/>
          <w:sz w:val="14"/>
          <w:szCs w:val="14"/>
          <w:color w:val="auto"/>
        </w:rPr>
      </w:pPr>
    </w:p>
    <w:p>
      <w:pPr>
        <w:ind w:left="160" w:hanging="135"/>
        <w:spacing w:after="0"/>
        <w:tabs>
          <w:tab w:leader="none" w:pos="1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Human Resources &amp; Compensation</w:t>
      </w:r>
    </w:p>
    <w:p>
      <w:pPr>
        <w:spacing w:after="0" w:line="67" w:lineRule="exact"/>
        <w:rPr>
          <w:rFonts w:ascii="Arial" w:cs="Arial" w:eastAsia="Arial" w:hAnsi="Arial"/>
          <w:sz w:val="14"/>
          <w:szCs w:val="14"/>
          <w:color w:val="auto"/>
        </w:rPr>
      </w:pPr>
    </w:p>
    <w:p>
      <w:pPr>
        <w:ind w:left="180" w:right="460" w:hanging="155"/>
        <w:spacing w:after="0" w:line="300" w:lineRule="auto"/>
        <w:tabs>
          <w:tab w:leader="none" w:pos="163" w:val="left"/>
        </w:tabs>
        <w:numPr>
          <w:ilvl w:val="0"/>
          <w:numId w:val="43"/>
        </w:numPr>
        <w:rPr>
          <w:rFonts w:ascii="Arial" w:cs="Arial" w:eastAsia="Arial" w:hAnsi="Arial"/>
          <w:sz w:val="14"/>
          <w:szCs w:val="14"/>
          <w:color w:val="auto"/>
        </w:rPr>
      </w:pPr>
      <w:r>
        <w:rPr>
          <w:rFonts w:ascii="Arial" w:cs="Arial" w:eastAsia="Arial" w:hAnsi="Arial"/>
          <w:sz w:val="14"/>
          <w:szCs w:val="14"/>
          <w:color w:val="auto"/>
        </w:rPr>
        <w:t>Operations/Health, Safety, Sustainability &amp; Environment</w:t>
      </w:r>
    </w:p>
    <w:p>
      <w:pPr>
        <w:ind w:left="160" w:hanging="135"/>
        <w:spacing w:after="0"/>
        <w:tabs>
          <w:tab w:leader="none" w:pos="1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$5,183,714</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TC Energy</w:t>
      </w:r>
    </w:p>
    <w:p>
      <w:pPr>
        <w:ind w:left="20"/>
        <w:spacing w:after="0" w:line="236" w:lineRule="auto"/>
        <w:rPr>
          <w:sz w:val="20"/>
          <w:szCs w:val="20"/>
          <w:color w:val="auto"/>
        </w:rPr>
      </w:pPr>
      <w:r>
        <w:rPr>
          <w:rFonts w:ascii="Arial" w:cs="Arial" w:eastAsia="Arial" w:hAnsi="Arial"/>
          <w:sz w:val="16"/>
          <w:szCs w:val="16"/>
          <w:b w:val="1"/>
          <w:bCs w:val="1"/>
          <w:color w:val="0D64EF"/>
        </w:rPr>
        <w:t>Board/Committees</w:t>
      </w:r>
    </w:p>
    <w:p>
      <w:pPr>
        <w:ind w:left="20"/>
        <w:spacing w:after="0"/>
        <w:rPr>
          <w:sz w:val="20"/>
          <w:szCs w:val="20"/>
          <w:color w:val="auto"/>
        </w:rPr>
      </w:pPr>
      <w:r>
        <w:rPr>
          <w:rFonts w:ascii="Arial" w:cs="Arial" w:eastAsia="Arial" w:hAnsi="Arial"/>
          <w:sz w:val="16"/>
          <w:szCs w:val="16"/>
          <w:b w:val="1"/>
          <w:bCs w:val="1"/>
          <w:color w:val="0D64EF"/>
        </w:rPr>
        <w:t>2025 meeting attendance</w:t>
      </w:r>
    </w:p>
    <w:p>
      <w:pPr>
        <w:spacing w:after="0" w:line="47" w:lineRule="exact"/>
        <w:rPr>
          <w:sz w:val="20"/>
          <w:szCs w:val="20"/>
          <w:color w:val="auto"/>
        </w:rPr>
      </w:pPr>
    </w:p>
    <w:p>
      <w:pPr>
        <w:ind w:left="180" w:right="960" w:hanging="155"/>
        <w:spacing w:after="0" w:line="330" w:lineRule="auto"/>
        <w:tabs>
          <w:tab w:leader="none" w:pos="163" w:val="left"/>
        </w:tabs>
        <w:numPr>
          <w:ilvl w:val="0"/>
          <w:numId w:val="44"/>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ind w:left="180" w:right="760" w:hanging="155"/>
        <w:spacing w:after="0" w:line="330" w:lineRule="auto"/>
        <w:tabs>
          <w:tab w:leader="none" w:pos="163" w:val="left"/>
        </w:tabs>
        <w:numPr>
          <w:ilvl w:val="0"/>
          <w:numId w:val="44"/>
        </w:numPr>
        <w:rPr>
          <w:rFonts w:ascii="Arial" w:cs="Arial" w:eastAsia="Arial" w:hAnsi="Arial"/>
          <w:sz w:val="14"/>
          <w:szCs w:val="14"/>
          <w:color w:val="auto"/>
        </w:rPr>
      </w:pPr>
      <w:r>
        <w:rPr>
          <w:rFonts w:ascii="Arial" w:cs="Arial" w:eastAsia="Arial" w:hAnsi="Arial"/>
          <w:sz w:val="14"/>
          <w:szCs w:val="14"/>
          <w:color w:val="auto"/>
        </w:rPr>
        <w:t>Audit Committee (Chair) 4/4 meetings (100%)</w:t>
      </w:r>
    </w:p>
    <w:p>
      <w:pPr>
        <w:ind w:left="180" w:right="200" w:hanging="155"/>
        <w:spacing w:after="0" w:line="310" w:lineRule="auto"/>
        <w:tabs>
          <w:tab w:leader="none" w:pos="163" w:val="left"/>
        </w:tabs>
        <w:numPr>
          <w:ilvl w:val="0"/>
          <w:numId w:val="44"/>
        </w:numPr>
        <w:rPr>
          <w:rFonts w:ascii="Arial" w:cs="Arial" w:eastAsia="Arial" w:hAnsi="Arial"/>
          <w:sz w:val="14"/>
          <w:szCs w:val="14"/>
          <w:color w:val="auto"/>
        </w:rPr>
      </w:pPr>
      <w:r>
        <w:rPr>
          <w:rFonts w:ascii="Arial" w:cs="Arial" w:eastAsia="Arial" w:hAnsi="Arial"/>
          <w:sz w:val="14"/>
          <w:szCs w:val="14"/>
          <w:color w:val="auto"/>
        </w:rPr>
        <w:t>Health, Safety, Sustainability and Environment Committee</w:t>
      </w:r>
    </w:p>
    <w:p>
      <w:pPr>
        <w:ind w:left="180"/>
        <w:spacing w:after="0"/>
        <w:rPr>
          <w:rFonts w:ascii="Arial" w:cs="Arial" w:eastAsia="Arial" w:hAnsi="Arial"/>
          <w:sz w:val="14"/>
          <w:szCs w:val="14"/>
          <w:color w:val="auto"/>
        </w:rPr>
      </w:pPr>
      <w:r>
        <w:rPr>
          <w:rFonts w:ascii="Arial" w:cs="Arial" w:eastAsia="Arial" w:hAnsi="Arial"/>
          <w:sz w:val="14"/>
          <w:szCs w:val="14"/>
          <w:color w:val="auto"/>
        </w:rPr>
        <w:t>4/4 meetings (100%)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Una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-190500</wp:posOffset>
            </wp:positionV>
            <wp:extent cx="8255" cy="7807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780732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61, VANCOUVER, BC, CANADA | DIRECTOR SINCE 2019</w:t>
      </w:r>
    </w:p>
    <w:p>
      <w:pPr>
        <w:spacing w:after="0" w:line="364" w:lineRule="exact"/>
        <w:rPr>
          <w:sz w:val="20"/>
          <w:szCs w:val="20"/>
          <w:color w:val="auto"/>
        </w:rPr>
      </w:pPr>
    </w:p>
    <w:p>
      <w:pPr>
        <w:ind w:left="20" w:right="80"/>
        <w:spacing w:after="0" w:line="316" w:lineRule="auto"/>
        <w:rPr>
          <w:sz w:val="20"/>
          <w:szCs w:val="20"/>
          <w:color w:val="auto"/>
        </w:rPr>
      </w:pPr>
      <w:r>
        <w:rPr>
          <w:rFonts w:ascii="Arial" w:cs="Arial" w:eastAsia="Arial" w:hAnsi="Arial"/>
          <w:sz w:val="16"/>
          <w:szCs w:val="16"/>
          <w:color w:val="auto"/>
        </w:rPr>
        <w:t>Ms. Power is a corporate director. She has served on the boards of directors of The Bank of Nova Scotia (Scotiabank) (chartered bank) since April 2016 and Teck Resources Limited (diversified mining company) since April 2017. She previously served as a director of Kinross Gold Corporation (gold producer) from April 2013 to May 2019.</w:t>
      </w:r>
    </w:p>
    <w:p>
      <w:pPr>
        <w:spacing w:after="0" w:line="66" w:lineRule="exact"/>
        <w:rPr>
          <w:sz w:val="20"/>
          <w:szCs w:val="20"/>
          <w:color w:val="auto"/>
        </w:rPr>
      </w:pPr>
    </w:p>
    <w:p>
      <w:pPr>
        <w:ind w:left="20" w:right="220"/>
        <w:spacing w:after="0" w:line="316" w:lineRule="auto"/>
        <w:rPr>
          <w:sz w:val="20"/>
          <w:szCs w:val="20"/>
          <w:color w:val="auto"/>
        </w:rPr>
      </w:pPr>
      <w:r>
        <w:rPr>
          <w:rFonts w:ascii="Arial" w:cs="Arial" w:eastAsia="Arial" w:hAnsi="Arial"/>
          <w:sz w:val="16"/>
          <w:szCs w:val="16"/>
          <w:color w:val="auto"/>
        </w:rPr>
        <w:t>Ms. Power was the Chief Financial Officer of Nexen Energy ULC (Nexen) (oil and gas exploration) from February 2013 to March 2016, a former publicly-traded energy company that is now a wholly-owned subsidiary of CNOOC Limited. During her 24-year career with Nexen, Ms. Power held various executive positions with responsibility for financial and risk management, strategic planning and budgeting, business development, energy marketing and trading, information technology and capital investment.</w:t>
      </w:r>
    </w:p>
    <w:p>
      <w:pPr>
        <w:spacing w:after="0" w:line="52" w:lineRule="exact"/>
        <w:rPr>
          <w:sz w:val="20"/>
          <w:szCs w:val="20"/>
          <w:color w:val="auto"/>
        </w:rPr>
      </w:pPr>
    </w:p>
    <w:p>
      <w:pPr>
        <w:ind w:left="20" w:right="100"/>
        <w:spacing w:after="0" w:line="326" w:lineRule="auto"/>
        <w:rPr>
          <w:sz w:val="20"/>
          <w:szCs w:val="20"/>
          <w:color w:val="auto"/>
        </w:rPr>
      </w:pPr>
      <w:r>
        <w:rPr>
          <w:rFonts w:ascii="Arial" w:cs="Arial" w:eastAsia="Arial" w:hAnsi="Arial"/>
          <w:sz w:val="16"/>
          <w:szCs w:val="16"/>
          <w:color w:val="auto"/>
        </w:rPr>
        <w:t>Ms. Power holds a Bachelor of Commerce (Honours) degree from Memorial University and holds Chartered Professional Accountant, Chartered Accountant and Chartered Financial Analyst designations. She has completed executive development programs at Wharton Business School and INSEAD.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1840" w:type="dxa"/>
            <w:vAlign w:val="bottom"/>
            <w:tcBorders>
              <w:top w:val="single" w:sz="8" w:color="0D64EF"/>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Votes in favour</w:t>
            </w:r>
          </w:p>
        </w:tc>
        <w:tc>
          <w:tcPr>
            <w:tcW w:w="92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Votes against</w:t>
            </w:r>
          </w:p>
        </w:tc>
      </w:tr>
      <w:tr>
        <w:trPr>
          <w:trHeight w:val="234"/>
        </w:trPr>
        <w:tc>
          <w:tcPr>
            <w:tcW w:w="3080" w:type="dxa"/>
            <w:vAlign w:val="bottom"/>
          </w:tcPr>
          <w:p>
            <w:pPr>
              <w:ind w:left="20"/>
              <w:spacing w:after="0"/>
              <w:rPr>
                <w:sz w:val="20"/>
                <w:szCs w:val="20"/>
                <w:color w:val="auto"/>
              </w:rPr>
            </w:pPr>
            <w:r>
              <w:rPr>
                <w:rFonts w:ascii="Arial" w:cs="Arial" w:eastAsia="Arial" w:hAnsi="Arial"/>
                <w:sz w:val="14"/>
                <w:szCs w:val="14"/>
                <w:color w:val="auto"/>
              </w:rPr>
              <w:t>2025</w:t>
            </w:r>
          </w:p>
        </w:tc>
        <w:tc>
          <w:tcPr>
            <w:tcW w:w="2760" w:type="dxa"/>
            <w:vAlign w:val="bottom"/>
            <w:gridSpan w:val="2"/>
          </w:tcPr>
          <w:p>
            <w:pPr>
              <w:jc w:val="right"/>
              <w:ind w:right="68"/>
              <w:spacing w:after="0"/>
              <w:rPr>
                <w:sz w:val="20"/>
                <w:szCs w:val="20"/>
                <w:color w:val="auto"/>
              </w:rPr>
            </w:pPr>
            <w:r>
              <w:rPr>
                <w:rFonts w:ascii="Arial" w:cs="Arial" w:eastAsia="Arial" w:hAnsi="Arial"/>
                <w:sz w:val="14"/>
                <w:szCs w:val="14"/>
                <w:color w:val="auto"/>
              </w:rPr>
              <w:t>666,886,403 (98.35%)</w:t>
            </w:r>
          </w:p>
        </w:tc>
        <w:tc>
          <w:tcPr>
            <w:tcW w:w="2440" w:type="dxa"/>
            <w:vAlign w:val="bottom"/>
          </w:tcPr>
          <w:p>
            <w:pPr>
              <w:jc w:val="right"/>
              <w:spacing w:after="0"/>
              <w:rPr>
                <w:sz w:val="20"/>
                <w:szCs w:val="20"/>
                <w:color w:val="auto"/>
              </w:rPr>
            </w:pPr>
            <w:r>
              <w:rPr>
                <w:rFonts w:ascii="Arial" w:cs="Arial" w:eastAsia="Arial" w:hAnsi="Arial"/>
                <w:sz w:val="14"/>
                <w:szCs w:val="14"/>
                <w:color w:val="auto"/>
              </w:rPr>
              <w:t>11,192,739 (1.65%)</w:t>
            </w:r>
          </w:p>
        </w:tc>
      </w:tr>
      <w:tr>
        <w:trPr>
          <w:trHeight w:val="255"/>
        </w:trPr>
        <w:tc>
          <w:tcPr>
            <w:tcW w:w="3080" w:type="dxa"/>
            <w:vAlign w:val="bottom"/>
          </w:tcPr>
          <w:p>
            <w:pPr>
              <w:ind w:left="20"/>
              <w:spacing w:after="0"/>
              <w:rPr>
                <w:sz w:val="20"/>
                <w:szCs w:val="20"/>
                <w:color w:val="auto"/>
              </w:rPr>
            </w:pPr>
            <w:r>
              <w:rPr>
                <w:rFonts w:ascii="Arial" w:cs="Arial" w:eastAsia="Arial" w:hAnsi="Arial"/>
                <w:sz w:val="14"/>
                <w:szCs w:val="14"/>
                <w:color w:val="auto"/>
              </w:rPr>
              <w:t>2024</w:t>
            </w:r>
          </w:p>
        </w:tc>
        <w:tc>
          <w:tcPr>
            <w:tcW w:w="2760" w:type="dxa"/>
            <w:vAlign w:val="bottom"/>
            <w:gridSpan w:val="2"/>
          </w:tcPr>
          <w:p>
            <w:pPr>
              <w:jc w:val="right"/>
              <w:ind w:right="68"/>
              <w:spacing w:after="0"/>
              <w:rPr>
                <w:sz w:val="20"/>
                <w:szCs w:val="20"/>
                <w:color w:val="auto"/>
              </w:rPr>
            </w:pPr>
            <w:r>
              <w:rPr>
                <w:rFonts w:ascii="Arial" w:cs="Arial" w:eastAsia="Arial" w:hAnsi="Arial"/>
                <w:sz w:val="14"/>
                <w:szCs w:val="14"/>
                <w:color w:val="auto"/>
              </w:rPr>
              <w:t>655,905,364 (98.63%)</w:t>
            </w:r>
          </w:p>
        </w:tc>
        <w:tc>
          <w:tcPr>
            <w:tcW w:w="2440" w:type="dxa"/>
            <w:vAlign w:val="bottom"/>
          </w:tcPr>
          <w:p>
            <w:pPr>
              <w:jc w:val="right"/>
              <w:spacing w:after="0"/>
              <w:rPr>
                <w:sz w:val="20"/>
                <w:szCs w:val="20"/>
                <w:color w:val="auto"/>
              </w:rPr>
            </w:pPr>
            <w:r>
              <w:rPr>
                <w:rFonts w:ascii="Arial" w:cs="Arial" w:eastAsia="Arial" w:hAnsi="Arial"/>
                <w:sz w:val="14"/>
                <w:szCs w:val="14"/>
                <w:color w:val="auto"/>
              </w:rPr>
              <w:t>9,120,083 (1.37%)</w:t>
            </w:r>
          </w:p>
        </w:tc>
      </w:tr>
      <w:tr>
        <w:trPr>
          <w:trHeight w:val="259"/>
        </w:trPr>
        <w:tc>
          <w:tcPr>
            <w:tcW w:w="308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2023</w:t>
            </w:r>
          </w:p>
        </w:tc>
        <w:tc>
          <w:tcPr>
            <w:tcW w:w="2760" w:type="dxa"/>
            <w:vAlign w:val="bottom"/>
            <w:tcBorders>
              <w:bottom w:val="single" w:sz="8" w:color="0D64EF"/>
            </w:tcBorders>
            <w:gridSpan w:val="2"/>
          </w:tcPr>
          <w:p>
            <w:pPr>
              <w:jc w:val="right"/>
              <w:ind w:right="68"/>
              <w:spacing w:after="0"/>
              <w:rPr>
                <w:sz w:val="20"/>
                <w:szCs w:val="20"/>
                <w:color w:val="auto"/>
              </w:rPr>
            </w:pPr>
            <w:r>
              <w:rPr>
                <w:rFonts w:ascii="Arial" w:cs="Arial" w:eastAsia="Arial" w:hAnsi="Arial"/>
                <w:sz w:val="14"/>
                <w:szCs w:val="14"/>
                <w:color w:val="auto"/>
              </w:rPr>
              <w:t>667,185,991 (99.01%)</w:t>
            </w:r>
          </w:p>
        </w:tc>
        <w:tc>
          <w:tcPr>
            <w:tcW w:w="244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6,668,317 (0.99%)</w:t>
            </w:r>
          </w:p>
        </w:tc>
      </w:tr>
      <w:tr>
        <w:trPr>
          <w:trHeight w:val="233"/>
        </w:trPr>
        <w:tc>
          <w:tcPr>
            <w:tcW w:w="30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1840" w:type="dxa"/>
            <w:vAlign w:val="bottom"/>
            <w:tcBorders>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Stock exchange</w:t>
            </w:r>
          </w:p>
        </w:tc>
        <w:tc>
          <w:tcPr>
            <w:tcW w:w="920" w:type="dxa"/>
            <w:vAlign w:val="bottom"/>
            <w:tcBorders>
              <w:bottom w:val="single" w:sz="8" w:color="0D64EF"/>
            </w:tcBorders>
            <w:shd w:val="clear" w:color="auto" w:fill="D1D0CF"/>
          </w:tcPr>
          <w:p>
            <w:pPr>
              <w:spacing w:after="0"/>
              <w:rPr>
                <w:sz w:val="20"/>
                <w:szCs w:val="20"/>
                <w:color w:val="auto"/>
              </w:rPr>
            </w:pP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r>
      <w:tr>
        <w:trPr>
          <w:trHeight w:val="179"/>
        </w:trPr>
        <w:tc>
          <w:tcPr>
            <w:tcW w:w="3080" w:type="dxa"/>
            <w:vAlign w:val="bottom"/>
          </w:tcPr>
          <w:p>
            <w:pPr>
              <w:ind w:left="20"/>
              <w:spacing w:after="0"/>
              <w:rPr>
                <w:sz w:val="20"/>
                <w:szCs w:val="20"/>
                <w:color w:val="auto"/>
              </w:rPr>
            </w:pPr>
            <w:r>
              <w:rPr>
                <w:rFonts w:ascii="Arial" w:cs="Arial" w:eastAsia="Arial" w:hAnsi="Arial"/>
                <w:sz w:val="14"/>
                <w:szCs w:val="14"/>
                <w:color w:val="auto"/>
              </w:rPr>
              <w:t>The Bank of Nova Scotia (chartered bank)</w:t>
            </w:r>
          </w:p>
        </w:tc>
        <w:tc>
          <w:tcPr>
            <w:tcW w:w="1840" w:type="dxa"/>
            <w:vAlign w:val="bottom"/>
          </w:tcPr>
          <w:p>
            <w:pPr>
              <w:ind w:left="400"/>
              <w:spacing w:after="0"/>
              <w:rPr>
                <w:sz w:val="20"/>
                <w:szCs w:val="20"/>
                <w:color w:val="auto"/>
              </w:rPr>
            </w:pPr>
            <w:r>
              <w:rPr>
                <w:rFonts w:ascii="Arial" w:cs="Arial" w:eastAsia="Arial" w:hAnsi="Arial"/>
                <w:sz w:val="14"/>
                <w:szCs w:val="14"/>
                <w:color w:val="auto"/>
              </w:rPr>
              <w:t>TSX, NYSE</w:t>
            </w:r>
          </w:p>
        </w:tc>
        <w:tc>
          <w:tcPr>
            <w:tcW w:w="920" w:type="dxa"/>
            <w:vAlign w:val="bottom"/>
          </w:tcPr>
          <w:p>
            <w:pPr>
              <w:spacing w:after="0"/>
              <w:rPr>
                <w:sz w:val="15"/>
                <w:szCs w:val="15"/>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Human Capital and Compensation</w:t>
            </w: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(since April 2016)</w:t>
            </w:r>
          </w:p>
        </w:tc>
        <w:tc>
          <w:tcPr>
            <w:tcW w:w="1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Risk</w:t>
            </w:r>
          </w:p>
        </w:tc>
      </w:tr>
      <w:tr>
        <w:trPr>
          <w:trHeight w:val="321"/>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Teck Resources Limited (diversified mining company) TSX, NYSE</w:t>
            </w:r>
          </w:p>
        </w:tc>
        <w:tc>
          <w:tcPr>
            <w:tcW w:w="9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Audit (Chair)</w:t>
            </w:r>
          </w:p>
        </w:tc>
      </w:tr>
      <w:tr>
        <w:trPr>
          <w:trHeight w:val="203"/>
        </w:trPr>
        <w:tc>
          <w:tcPr>
            <w:tcW w:w="3080" w:type="dxa"/>
            <w:vAlign w:val="bottom"/>
          </w:tcPr>
          <w:p>
            <w:pPr>
              <w:ind w:left="20"/>
              <w:spacing w:after="0"/>
              <w:rPr>
                <w:sz w:val="20"/>
                <w:szCs w:val="20"/>
                <w:color w:val="auto"/>
              </w:rPr>
            </w:pPr>
            <w:r>
              <w:rPr>
                <w:rFonts w:ascii="Arial" w:cs="Arial" w:eastAsia="Arial" w:hAnsi="Arial"/>
                <w:sz w:val="14"/>
                <w:szCs w:val="14"/>
                <w:color w:val="auto"/>
              </w:rPr>
              <w:t>(since April 2017)</w:t>
            </w:r>
          </w:p>
        </w:tc>
        <w:tc>
          <w:tcPr>
            <w:tcW w:w="1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Compensation &amp; Talent</w:t>
            </w:r>
          </w:p>
        </w:tc>
      </w:tr>
      <w:tr>
        <w:trPr>
          <w:trHeight w:val="48"/>
        </w:trPr>
        <w:tc>
          <w:tcPr>
            <w:tcW w:w="3080" w:type="dxa"/>
            <w:vAlign w:val="bottom"/>
            <w:tcBorders>
              <w:bottom w:val="single" w:sz="8" w:color="0D64EF"/>
            </w:tcBorders>
          </w:tcPr>
          <w:p>
            <w:pPr>
              <w:spacing w:after="0"/>
              <w:rPr>
                <w:sz w:val="4"/>
                <w:szCs w:val="4"/>
                <w:color w:val="auto"/>
              </w:rPr>
            </w:pPr>
          </w:p>
        </w:tc>
        <w:tc>
          <w:tcPr>
            <w:tcW w:w="1840" w:type="dxa"/>
            <w:vAlign w:val="bottom"/>
            <w:tcBorders>
              <w:bottom w:val="single" w:sz="8" w:color="0D64EF"/>
            </w:tcBorders>
          </w:tcPr>
          <w:p>
            <w:pPr>
              <w:spacing w:after="0"/>
              <w:rPr>
                <w:sz w:val="4"/>
                <w:szCs w:val="4"/>
                <w:color w:val="auto"/>
              </w:rPr>
            </w:pPr>
          </w:p>
        </w:tc>
        <w:tc>
          <w:tcPr>
            <w:tcW w:w="920" w:type="dxa"/>
            <w:vAlign w:val="bottom"/>
            <w:tcBorders>
              <w:bottom w:val="single" w:sz="8" w:color="0D64EF"/>
            </w:tcBorders>
          </w:tcPr>
          <w:p>
            <w:pPr>
              <w:spacing w:after="0"/>
              <w:rPr>
                <w:sz w:val="4"/>
                <w:szCs w:val="4"/>
                <w:color w:val="auto"/>
              </w:rPr>
            </w:pPr>
          </w:p>
        </w:tc>
        <w:tc>
          <w:tcPr>
            <w:tcW w:w="2440" w:type="dxa"/>
            <w:vAlign w:val="bottom"/>
            <w:tcBorders>
              <w:bottom w:val="single" w:sz="8" w:color="0D64EF"/>
            </w:tcBorders>
          </w:tcPr>
          <w:p>
            <w:pPr>
              <w:spacing w:after="0"/>
              <w:rPr>
                <w:sz w:val="4"/>
                <w:szCs w:val="4"/>
                <w:color w:val="auto"/>
              </w:rPr>
            </w:pPr>
          </w:p>
        </w:tc>
      </w:tr>
      <w:tr>
        <w:trPr>
          <w:trHeight w:val="145"/>
        </w:trPr>
        <w:tc>
          <w:tcPr>
            <w:tcW w:w="3080" w:type="dxa"/>
            <w:vAlign w:val="bottom"/>
            <w:shd w:val="clear" w:color="auto" w:fill="D1D0CF"/>
          </w:tcPr>
          <w:p>
            <w:pPr>
              <w:spacing w:after="0"/>
              <w:rPr>
                <w:sz w:val="12"/>
                <w:szCs w:val="12"/>
                <w:color w:val="auto"/>
              </w:rPr>
            </w:pPr>
          </w:p>
        </w:tc>
        <w:tc>
          <w:tcPr>
            <w:tcW w:w="1840" w:type="dxa"/>
            <w:vAlign w:val="bottom"/>
            <w:shd w:val="clear" w:color="auto" w:fill="D1D0CF"/>
          </w:tcPr>
          <w:p>
            <w:pPr>
              <w:spacing w:after="0"/>
              <w:rPr>
                <w:sz w:val="12"/>
                <w:szCs w:val="12"/>
                <w:color w:val="auto"/>
              </w:rPr>
            </w:pPr>
          </w:p>
        </w:tc>
        <w:tc>
          <w:tcPr>
            <w:tcW w:w="92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5" w:lineRule="exact"/>
              <w:rPr>
                <w:sz w:val="20"/>
                <w:szCs w:val="20"/>
                <w:color w:val="auto"/>
              </w:rPr>
            </w:pPr>
            <w:r>
              <w:rPr>
                <w:rFonts w:ascii="Arial" w:cs="Arial" w:eastAsia="Arial" w:hAnsi="Arial"/>
                <w:sz w:val="14"/>
                <w:szCs w:val="14"/>
                <w:b w:val="1"/>
                <w:bCs w:val="1"/>
                <w:color w:val="auto"/>
              </w:rPr>
              <w:t>Meets share ownership</w:t>
            </w:r>
          </w:p>
        </w:tc>
      </w:tr>
      <w:tr>
        <w:trPr>
          <w:trHeight w:val="210"/>
        </w:trPr>
        <w:tc>
          <w:tcPr>
            <w:tcW w:w="30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840" w:type="dxa"/>
            <w:vAlign w:val="bottom"/>
            <w:tcBorders>
              <w:bottom w:val="single" w:sz="8" w:color="0D64EF"/>
            </w:tcBorders>
            <w:shd w:val="clear" w:color="auto" w:fill="D1D0CF"/>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r>
      <w:tr>
        <w:trPr>
          <w:trHeight w:val="228"/>
        </w:trPr>
        <w:tc>
          <w:tcPr>
            <w:tcW w:w="3080" w:type="dxa"/>
            <w:vAlign w:val="bottom"/>
          </w:tcPr>
          <w:p>
            <w:pPr>
              <w:ind w:left="20"/>
              <w:spacing w:after="0"/>
              <w:rPr>
                <w:sz w:val="20"/>
                <w:szCs w:val="20"/>
                <w:color w:val="auto"/>
              </w:rPr>
            </w:pPr>
            <w:r>
              <w:rPr>
                <w:rFonts w:ascii="Arial" w:cs="Arial" w:eastAsia="Arial" w:hAnsi="Arial"/>
                <w:sz w:val="14"/>
                <w:szCs w:val="14"/>
                <w:color w:val="auto"/>
              </w:rPr>
              <w:t>Shares</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6,360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6,360</w:t>
            </w:r>
          </w:p>
        </w:tc>
        <w:tc>
          <w:tcPr>
            <w:tcW w:w="2440" w:type="dxa"/>
            <w:vAlign w:val="bottom"/>
          </w:tcPr>
          <w:p>
            <w:pPr>
              <w:ind w:left="140"/>
              <w:spacing w:after="0"/>
              <w:rPr>
                <w:sz w:val="20"/>
                <w:szCs w:val="20"/>
                <w:color w:val="auto"/>
              </w:rPr>
            </w:pPr>
            <w:r>
              <w:rPr>
                <w:rFonts w:ascii="Arial" w:cs="Arial" w:eastAsia="Arial" w:hAnsi="Arial"/>
                <w:sz w:val="14"/>
                <w:szCs w:val="14"/>
                <w:color w:val="auto"/>
              </w:rPr>
              <w:t>Yes</w:t>
            </w:r>
          </w:p>
        </w:tc>
      </w:tr>
      <w:tr>
        <w:trPr>
          <w:trHeight w:val="228"/>
        </w:trPr>
        <w:tc>
          <w:tcPr>
            <w:tcW w:w="3080" w:type="dxa"/>
            <w:vAlign w:val="bottom"/>
          </w:tcPr>
          <w:p>
            <w:pPr>
              <w:ind w:left="20"/>
              <w:spacing w:after="0"/>
              <w:rPr>
                <w:sz w:val="20"/>
                <w:szCs w:val="20"/>
                <w:color w:val="auto"/>
              </w:rPr>
            </w:pPr>
            <w:r>
              <w:rPr>
                <w:rFonts w:ascii="Arial" w:cs="Arial" w:eastAsia="Arial" w:hAnsi="Arial"/>
                <w:sz w:val="14"/>
                <w:szCs w:val="14"/>
                <w:color w:val="auto"/>
              </w:rPr>
              <w:t>DSUs</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53,059</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44,555</w:t>
            </w:r>
          </w:p>
        </w:tc>
        <w:tc>
          <w:tcPr>
            <w:tcW w:w="2440" w:type="dxa"/>
            <w:vAlign w:val="bottom"/>
          </w:tcPr>
          <w:p>
            <w:pPr>
              <w:spacing w:after="0"/>
              <w:rPr>
                <w:sz w:val="19"/>
                <w:szCs w:val="19"/>
                <w:color w:val="auto"/>
              </w:rPr>
            </w:pPr>
          </w:p>
        </w:tc>
      </w:tr>
    </w:tbl>
    <w:p>
      <w:pPr>
        <w:spacing w:after="0" w:line="372" w:lineRule="exact"/>
        <w:rPr>
          <w:sz w:val="20"/>
          <w:szCs w:val="20"/>
          <w:color w:val="auto"/>
        </w:rPr>
      </w:pPr>
    </w:p>
    <w:p>
      <w:pPr>
        <w:sectPr>
          <w:pgSz w:w="11900" w:h="16838" w:orient="portrait"/>
          <w:cols w:equalWidth="0" w:num="2">
            <w:col w:w="2460" w:space="500"/>
            <w:col w:w="8280"/>
          </w:cols>
          <w:pgMar w:left="320" w:top="10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34" w:right="339"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60" w:hanging="155"/>
        <w:spacing w:after="0" w:line="300" w:lineRule="auto"/>
        <w:tabs>
          <w:tab w:leader="none" w:pos="143" w:val="left"/>
        </w:tabs>
        <w:numPr>
          <w:ilvl w:val="0"/>
          <w:numId w:val="45"/>
        </w:numPr>
        <w:rPr>
          <w:rFonts w:ascii="Arial" w:cs="Arial" w:eastAsia="Arial" w:hAnsi="Arial"/>
          <w:sz w:val="14"/>
          <w:szCs w:val="14"/>
          <w:color w:val="auto"/>
        </w:rPr>
      </w:pPr>
      <w:r>
        <w:rPr>
          <w:rFonts w:ascii="Arial" w:cs="Arial" w:eastAsia="Arial" w:hAnsi="Arial"/>
          <w:sz w:val="14"/>
          <w:szCs w:val="14"/>
          <w:color w:val="auto"/>
        </w:rPr>
        <w:t>Electric Power &amp; Electrification Value Chain</w:t>
      </w:r>
    </w:p>
    <w:p>
      <w:pPr>
        <w:ind w:left="140" w:hanging="135"/>
        <w:spacing w:after="0"/>
        <w:tabs>
          <w:tab w:leader="none" w:pos="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Enterprise Risk Management</w:t>
      </w:r>
    </w:p>
    <w:p>
      <w:pPr>
        <w:spacing w:after="0" w:line="67" w:lineRule="exact"/>
        <w:rPr>
          <w:rFonts w:ascii="Arial" w:cs="Arial" w:eastAsia="Arial" w:hAnsi="Arial"/>
          <w:sz w:val="14"/>
          <w:szCs w:val="14"/>
          <w:color w:val="auto"/>
        </w:rPr>
      </w:pPr>
    </w:p>
    <w:p>
      <w:pPr>
        <w:ind w:left="140" w:hanging="135"/>
        <w:spacing w:after="0"/>
        <w:tabs>
          <w:tab w:leader="none" w:pos="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Governance</w:t>
      </w:r>
    </w:p>
    <w:p>
      <w:pPr>
        <w:spacing w:after="0" w:line="53" w:lineRule="exact"/>
        <w:rPr>
          <w:rFonts w:ascii="Arial" w:cs="Arial" w:eastAsia="Arial" w:hAnsi="Arial"/>
          <w:sz w:val="14"/>
          <w:szCs w:val="14"/>
          <w:color w:val="auto"/>
        </w:rPr>
      </w:pPr>
    </w:p>
    <w:p>
      <w:pPr>
        <w:ind w:left="140" w:hanging="135"/>
        <w:spacing w:after="0"/>
        <w:tabs>
          <w:tab w:leader="none" w:pos="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Human Resources &amp; Compensation</w:t>
      </w:r>
    </w:p>
    <w:p>
      <w:pPr>
        <w:spacing w:after="0" w:line="67" w:lineRule="exact"/>
        <w:rPr>
          <w:rFonts w:ascii="Arial" w:cs="Arial" w:eastAsia="Arial" w:hAnsi="Arial"/>
          <w:sz w:val="14"/>
          <w:szCs w:val="14"/>
          <w:color w:val="auto"/>
        </w:rPr>
      </w:pPr>
    </w:p>
    <w:p>
      <w:pPr>
        <w:ind w:left="140" w:hanging="135"/>
        <w:spacing w:after="0"/>
        <w:tabs>
          <w:tab w:leader="none" w:pos="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Major Projects</w:t>
      </w:r>
    </w:p>
    <w:p>
      <w:pPr>
        <w:spacing w:after="0" w:line="53" w:lineRule="exact"/>
        <w:rPr>
          <w:rFonts w:ascii="Arial" w:cs="Arial" w:eastAsia="Arial" w:hAnsi="Arial"/>
          <w:sz w:val="14"/>
          <w:szCs w:val="14"/>
          <w:color w:val="auto"/>
        </w:rPr>
      </w:pPr>
    </w:p>
    <w:p>
      <w:pPr>
        <w:ind w:left="160" w:right="500" w:hanging="155"/>
        <w:spacing w:after="0" w:line="310" w:lineRule="auto"/>
        <w:tabs>
          <w:tab w:leader="none" w:pos="143"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Operations/Health, Safety, Sustainability &amp; Environment</w:t>
      </w:r>
    </w:p>
    <w:p>
      <w:pPr>
        <w:ind w:left="140" w:hanging="135"/>
        <w:spacing w:after="0"/>
        <w:tabs>
          <w:tab w:leader="none" w:pos="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$5,554,571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TC Energy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Board/Committees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2025 meeting attendance</w:t>
      </w:r>
    </w:p>
    <w:p>
      <w:pPr>
        <w:spacing w:after="0" w:line="47" w:lineRule="exact"/>
        <w:rPr>
          <w:sz w:val="20"/>
          <w:szCs w:val="20"/>
          <w:color w:val="auto"/>
        </w:rPr>
      </w:pPr>
    </w:p>
    <w:p>
      <w:pPr>
        <w:ind w:left="160" w:right="1000" w:hanging="155"/>
        <w:spacing w:after="0" w:line="330" w:lineRule="auto"/>
        <w:tabs>
          <w:tab w:leader="none" w:pos="143" w:val="left"/>
        </w:tabs>
        <w:numPr>
          <w:ilvl w:val="0"/>
          <w:numId w:val="46"/>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ind w:left="160" w:right="820" w:hanging="155"/>
        <w:spacing w:after="0" w:line="330" w:lineRule="auto"/>
        <w:tabs>
          <w:tab w:leader="none" w:pos="143" w:val="left"/>
        </w:tabs>
        <w:numPr>
          <w:ilvl w:val="0"/>
          <w:numId w:val="46"/>
        </w:numPr>
        <w:rPr>
          <w:rFonts w:ascii="Arial" w:cs="Arial" w:eastAsia="Arial" w:hAnsi="Arial"/>
          <w:sz w:val="14"/>
          <w:szCs w:val="14"/>
          <w:color w:val="auto"/>
        </w:rPr>
      </w:pPr>
      <w:r>
        <w:rPr>
          <w:rFonts w:ascii="Arial" w:cs="Arial" w:eastAsia="Arial" w:hAnsi="Arial"/>
          <w:sz w:val="14"/>
          <w:szCs w:val="14"/>
          <w:color w:val="auto"/>
        </w:rPr>
        <w:t>Governance Committee 4/4 meetings (100%)</w:t>
      </w:r>
    </w:p>
    <w:p>
      <w:pPr>
        <w:ind w:left="160" w:right="240" w:hanging="155"/>
        <w:spacing w:after="0" w:line="321" w:lineRule="auto"/>
        <w:tabs>
          <w:tab w:leader="none" w:pos="143" w:val="left"/>
        </w:tabs>
        <w:numPr>
          <w:ilvl w:val="0"/>
          <w:numId w:val="46"/>
        </w:numPr>
        <w:rPr>
          <w:rFonts w:ascii="Arial" w:cs="Arial" w:eastAsia="Arial" w:hAnsi="Arial"/>
          <w:sz w:val="14"/>
          <w:szCs w:val="14"/>
          <w:color w:val="auto"/>
        </w:rPr>
      </w:pPr>
      <w:r>
        <w:rPr>
          <w:rFonts w:ascii="Arial" w:cs="Arial" w:eastAsia="Arial" w:hAnsi="Arial"/>
          <w:sz w:val="14"/>
          <w:szCs w:val="14"/>
          <w:color w:val="auto"/>
        </w:rPr>
        <w:t>Health, Safety, Sustainability and Environment Committee (Chair) 4/4 meetings (100%)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color w:val="0D64EF"/>
        </w:rPr>
        <w:t>Mary Pat Salomone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-190500</wp:posOffset>
            </wp:positionV>
            <wp:extent cx="8255" cy="78073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780732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AGE 65, NAPLES, FL, U.S.A. | DIRECTOR SINCE 2013</w:t>
      </w:r>
    </w:p>
    <w:p>
      <w:pPr>
        <w:spacing w:after="0" w:line="364"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Ms. Salomone is a corporate director. She is currently a director of South Bow Corporation (energy infrastructure) since October 2024. She previously served as a director of Intertape Polymer Group (manufacturing) from November 2015 to June 2022 as well as Herc Rentals (rental equipment) from July 2016 to December 2021. Ms. Salomone was the Senior Vice-President and Chief Operating Officer of The Babcock &amp; Wilcox Company (energy infrastructure) from January 2010 to June 30, 2013. Prior to that, she served as Manager of Business Development from 2009 to 2010 and Manager of Strategic Acquisitions from 2008 to 2009 for Babcock &amp; Wilcox Nuclear Operations Group, Inc. From 1998 through December 2007, Ms. Salomone served as an officer of Marine Mechanical Corporation, which B&amp;W acquired in 2007, including her term as President and Chief Executive Officer from 2001 through 2007. Ms. Salomone served as a trustee of the Youngstown State University Foundation from 2013 through 2019.</w:t>
      </w:r>
    </w:p>
    <w:p>
      <w:pPr>
        <w:spacing w:after="0" w:line="56"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auto"/>
        </w:rPr>
        <w:t>Ms. Salomone previously served on the board of directors of United States Enrichment Corporation (basic materials, nuclear) from December 2011 to October 2012 and on the Naval Submarine League from 2007 to 2013. She was formerly a member of the Governor's Workforce Policy Advisory Board in Ohio and the Ohio Employee Ownership Center, and served on the board of directors of Cleveland's Manufacturing Advocacy &amp; Growth Network.</w:t>
      </w:r>
    </w:p>
    <w:p>
      <w:pPr>
        <w:spacing w:after="0" w:line="66" w:lineRule="exact"/>
        <w:rPr>
          <w:sz w:val="20"/>
          <w:szCs w:val="20"/>
          <w:color w:val="auto"/>
        </w:rPr>
      </w:pPr>
    </w:p>
    <w:p>
      <w:pPr>
        <w:jc w:val="both"/>
        <w:ind w:right="160"/>
        <w:spacing w:after="0" w:line="326" w:lineRule="auto"/>
        <w:rPr>
          <w:sz w:val="20"/>
          <w:szCs w:val="20"/>
          <w:color w:val="auto"/>
        </w:rPr>
      </w:pPr>
      <w:r>
        <w:rPr>
          <w:rFonts w:ascii="Arial" w:cs="Arial" w:eastAsia="Arial" w:hAnsi="Arial"/>
          <w:sz w:val="16"/>
          <w:szCs w:val="16"/>
          <w:color w:val="auto"/>
        </w:rPr>
        <w:t>Ms. Salomone has a Bachelor of Engineering in Civil Engineering from Youngstown State University and a Master of Business Administration from Baldwin Wallace College. She completed the Advanced Management Program at Duke University's Fuqua School of Business in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42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4"/>
                <w:szCs w:val="14"/>
                <w:b w:val="1"/>
                <w:bCs w:val="1"/>
                <w:color w:val="auto"/>
              </w:rPr>
              <w:t>Annual meeting voting results</w:t>
            </w:r>
          </w:p>
        </w:tc>
        <w:tc>
          <w:tcPr>
            <w:tcW w:w="1500" w:type="dxa"/>
            <w:vAlign w:val="bottom"/>
            <w:tcBorders>
              <w:top w:val="single" w:sz="8" w:color="0D64EF"/>
              <w:bottom w:val="single" w:sz="8" w:color="0D64EF"/>
            </w:tcBorders>
            <w:shd w:val="clear" w:color="auto" w:fill="D1D0CF"/>
          </w:tcPr>
          <w:p>
            <w:pPr>
              <w:ind w:left="60"/>
              <w:spacing w:after="0"/>
              <w:rPr>
                <w:sz w:val="20"/>
                <w:szCs w:val="20"/>
                <w:color w:val="auto"/>
              </w:rPr>
            </w:pPr>
            <w:r>
              <w:rPr>
                <w:rFonts w:ascii="Arial" w:cs="Arial" w:eastAsia="Arial" w:hAnsi="Arial"/>
                <w:sz w:val="14"/>
                <w:szCs w:val="14"/>
                <w:b w:val="1"/>
                <w:bCs w:val="1"/>
                <w:color w:val="auto"/>
              </w:rPr>
              <w:t>Votes in favour</w:t>
            </w:r>
          </w:p>
        </w:tc>
        <w:tc>
          <w:tcPr>
            <w:tcW w:w="92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Votes against</w:t>
            </w:r>
          </w:p>
        </w:tc>
      </w:tr>
      <w:tr>
        <w:trPr>
          <w:trHeight w:val="234"/>
        </w:trPr>
        <w:tc>
          <w:tcPr>
            <w:tcW w:w="3420" w:type="dxa"/>
            <w:vAlign w:val="bottom"/>
          </w:tcPr>
          <w:p>
            <w:pPr>
              <w:spacing w:after="0"/>
              <w:rPr>
                <w:sz w:val="20"/>
                <w:szCs w:val="20"/>
                <w:color w:val="auto"/>
              </w:rPr>
            </w:pPr>
            <w:r>
              <w:rPr>
                <w:rFonts w:ascii="Arial" w:cs="Arial" w:eastAsia="Arial" w:hAnsi="Arial"/>
                <w:sz w:val="14"/>
                <w:szCs w:val="14"/>
                <w:color w:val="auto"/>
              </w:rPr>
              <w:t>2025</w:t>
            </w:r>
          </w:p>
        </w:tc>
        <w:tc>
          <w:tcPr>
            <w:tcW w:w="2420" w:type="dxa"/>
            <w:vAlign w:val="bottom"/>
            <w:gridSpan w:val="2"/>
          </w:tcPr>
          <w:p>
            <w:pPr>
              <w:jc w:val="right"/>
              <w:ind w:right="68"/>
              <w:spacing w:after="0"/>
              <w:rPr>
                <w:sz w:val="20"/>
                <w:szCs w:val="20"/>
                <w:color w:val="auto"/>
              </w:rPr>
            </w:pPr>
            <w:r>
              <w:rPr>
                <w:rFonts w:ascii="Arial" w:cs="Arial" w:eastAsia="Arial" w:hAnsi="Arial"/>
                <w:sz w:val="14"/>
                <w:szCs w:val="14"/>
                <w:color w:val="auto"/>
              </w:rPr>
              <w:t>669,245,147 (98.70%)</w:t>
            </w:r>
          </w:p>
        </w:tc>
        <w:tc>
          <w:tcPr>
            <w:tcW w:w="2440" w:type="dxa"/>
            <w:vAlign w:val="bottom"/>
          </w:tcPr>
          <w:p>
            <w:pPr>
              <w:jc w:val="right"/>
              <w:spacing w:after="0"/>
              <w:rPr>
                <w:sz w:val="20"/>
                <w:szCs w:val="20"/>
                <w:color w:val="auto"/>
              </w:rPr>
            </w:pPr>
            <w:r>
              <w:rPr>
                <w:rFonts w:ascii="Arial" w:cs="Arial" w:eastAsia="Arial" w:hAnsi="Arial"/>
                <w:sz w:val="14"/>
                <w:szCs w:val="14"/>
                <w:color w:val="auto"/>
              </w:rPr>
              <w:t>8,833,994 (1.30%)</w:t>
            </w:r>
          </w:p>
        </w:tc>
      </w:tr>
      <w:tr>
        <w:trPr>
          <w:trHeight w:val="255"/>
        </w:trPr>
        <w:tc>
          <w:tcPr>
            <w:tcW w:w="3420" w:type="dxa"/>
            <w:vAlign w:val="bottom"/>
          </w:tcPr>
          <w:p>
            <w:pPr>
              <w:spacing w:after="0"/>
              <w:rPr>
                <w:sz w:val="20"/>
                <w:szCs w:val="20"/>
                <w:color w:val="auto"/>
              </w:rPr>
            </w:pPr>
            <w:r>
              <w:rPr>
                <w:rFonts w:ascii="Arial" w:cs="Arial" w:eastAsia="Arial" w:hAnsi="Arial"/>
                <w:sz w:val="14"/>
                <w:szCs w:val="14"/>
                <w:color w:val="auto"/>
              </w:rPr>
              <w:t>2024</w:t>
            </w:r>
          </w:p>
        </w:tc>
        <w:tc>
          <w:tcPr>
            <w:tcW w:w="2420" w:type="dxa"/>
            <w:vAlign w:val="bottom"/>
            <w:gridSpan w:val="2"/>
          </w:tcPr>
          <w:p>
            <w:pPr>
              <w:jc w:val="right"/>
              <w:ind w:right="68"/>
              <w:spacing w:after="0"/>
              <w:rPr>
                <w:sz w:val="20"/>
                <w:szCs w:val="20"/>
                <w:color w:val="auto"/>
              </w:rPr>
            </w:pPr>
            <w:r>
              <w:rPr>
                <w:rFonts w:ascii="Arial" w:cs="Arial" w:eastAsia="Arial" w:hAnsi="Arial"/>
                <w:sz w:val="14"/>
                <w:szCs w:val="14"/>
                <w:color w:val="auto"/>
              </w:rPr>
              <w:t>652,193,177 (98.07%)</w:t>
            </w:r>
          </w:p>
        </w:tc>
        <w:tc>
          <w:tcPr>
            <w:tcW w:w="2440" w:type="dxa"/>
            <w:vAlign w:val="bottom"/>
          </w:tcPr>
          <w:p>
            <w:pPr>
              <w:jc w:val="right"/>
              <w:spacing w:after="0"/>
              <w:rPr>
                <w:sz w:val="20"/>
                <w:szCs w:val="20"/>
                <w:color w:val="auto"/>
              </w:rPr>
            </w:pPr>
            <w:r>
              <w:rPr>
                <w:rFonts w:ascii="Arial" w:cs="Arial" w:eastAsia="Arial" w:hAnsi="Arial"/>
                <w:sz w:val="14"/>
                <w:szCs w:val="14"/>
                <w:color w:val="auto"/>
              </w:rPr>
              <w:t>12,832,269 (1.93%)</w:t>
            </w:r>
          </w:p>
        </w:tc>
      </w:tr>
      <w:tr>
        <w:trPr>
          <w:trHeight w:val="228"/>
        </w:trPr>
        <w:tc>
          <w:tcPr>
            <w:tcW w:w="3420" w:type="dxa"/>
            <w:vAlign w:val="bottom"/>
          </w:tcPr>
          <w:p>
            <w:pPr>
              <w:spacing w:after="0"/>
              <w:rPr>
                <w:sz w:val="20"/>
                <w:szCs w:val="20"/>
                <w:color w:val="auto"/>
              </w:rPr>
            </w:pPr>
            <w:r>
              <w:rPr>
                <w:rFonts w:ascii="Arial" w:cs="Arial" w:eastAsia="Arial" w:hAnsi="Arial"/>
                <w:sz w:val="14"/>
                <w:szCs w:val="14"/>
                <w:color w:val="auto"/>
              </w:rPr>
              <w:t>2023</w:t>
            </w:r>
          </w:p>
        </w:tc>
        <w:tc>
          <w:tcPr>
            <w:tcW w:w="2420" w:type="dxa"/>
            <w:vAlign w:val="bottom"/>
            <w:gridSpan w:val="2"/>
          </w:tcPr>
          <w:p>
            <w:pPr>
              <w:jc w:val="right"/>
              <w:ind w:right="68"/>
              <w:spacing w:after="0"/>
              <w:rPr>
                <w:sz w:val="20"/>
                <w:szCs w:val="20"/>
                <w:color w:val="auto"/>
              </w:rPr>
            </w:pPr>
            <w:r>
              <w:rPr>
                <w:rFonts w:ascii="Arial" w:cs="Arial" w:eastAsia="Arial" w:hAnsi="Arial"/>
                <w:sz w:val="14"/>
                <w:szCs w:val="14"/>
                <w:color w:val="auto"/>
              </w:rPr>
              <w:t>632,553,811 (93.87%)</w:t>
            </w:r>
          </w:p>
        </w:tc>
        <w:tc>
          <w:tcPr>
            <w:tcW w:w="2440" w:type="dxa"/>
            <w:vAlign w:val="bottom"/>
          </w:tcPr>
          <w:p>
            <w:pPr>
              <w:jc w:val="right"/>
              <w:spacing w:after="0"/>
              <w:rPr>
                <w:sz w:val="20"/>
                <w:szCs w:val="20"/>
                <w:color w:val="auto"/>
              </w:rPr>
            </w:pPr>
            <w:r>
              <w:rPr>
                <w:rFonts w:ascii="Arial" w:cs="Arial" w:eastAsia="Arial" w:hAnsi="Arial"/>
                <w:sz w:val="14"/>
                <w:szCs w:val="14"/>
                <w:color w:val="auto"/>
              </w:rPr>
              <w:t>41,300,496 (6.13%)</w:t>
            </w:r>
          </w:p>
        </w:tc>
      </w:tr>
      <w:tr>
        <w:trPr>
          <w:trHeight w:val="35"/>
        </w:trPr>
        <w:tc>
          <w:tcPr>
            <w:tcW w:w="3420" w:type="dxa"/>
            <w:vAlign w:val="bottom"/>
            <w:tcBorders>
              <w:bottom w:val="single" w:sz="8" w:color="0D64EF"/>
            </w:tcBorders>
          </w:tcPr>
          <w:p>
            <w:pPr>
              <w:spacing w:after="0"/>
              <w:rPr>
                <w:sz w:val="3"/>
                <w:szCs w:val="3"/>
                <w:color w:val="auto"/>
              </w:rPr>
            </w:pPr>
          </w:p>
        </w:tc>
        <w:tc>
          <w:tcPr>
            <w:tcW w:w="1500" w:type="dxa"/>
            <w:vAlign w:val="bottom"/>
            <w:tcBorders>
              <w:bottom w:val="single" w:sz="8" w:color="0D64EF"/>
            </w:tcBorders>
          </w:tcPr>
          <w:p>
            <w:pPr>
              <w:spacing w:after="0"/>
              <w:rPr>
                <w:sz w:val="3"/>
                <w:szCs w:val="3"/>
                <w:color w:val="auto"/>
              </w:rPr>
            </w:pPr>
          </w:p>
        </w:tc>
        <w:tc>
          <w:tcPr>
            <w:tcW w:w="920" w:type="dxa"/>
            <w:vAlign w:val="bottom"/>
            <w:tcBorders>
              <w:bottom w:val="single" w:sz="8" w:color="0D64EF"/>
            </w:tcBorders>
          </w:tcPr>
          <w:p>
            <w:pPr>
              <w:spacing w:after="0"/>
              <w:rPr>
                <w:sz w:val="3"/>
                <w:szCs w:val="3"/>
                <w:color w:val="auto"/>
              </w:rPr>
            </w:pPr>
          </w:p>
        </w:tc>
        <w:tc>
          <w:tcPr>
            <w:tcW w:w="2440" w:type="dxa"/>
            <w:vAlign w:val="bottom"/>
            <w:tcBorders>
              <w:bottom w:val="single" w:sz="8" w:color="0D64EF"/>
            </w:tcBorders>
          </w:tcPr>
          <w:p>
            <w:pPr>
              <w:spacing w:after="0"/>
              <w:rPr>
                <w:sz w:val="3"/>
                <w:szCs w:val="3"/>
                <w:color w:val="auto"/>
              </w:rPr>
            </w:pPr>
          </w:p>
        </w:tc>
      </w:tr>
      <w:tr>
        <w:trPr>
          <w:trHeight w:val="229"/>
        </w:trPr>
        <w:tc>
          <w:tcPr>
            <w:tcW w:w="342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4"/>
                <w:szCs w:val="14"/>
                <w:b w:val="1"/>
                <w:bCs w:val="1"/>
                <w:color w:val="auto"/>
              </w:rPr>
              <w:t>Other public company boards and date</w:t>
            </w:r>
          </w:p>
        </w:tc>
        <w:tc>
          <w:tcPr>
            <w:tcW w:w="1500" w:type="dxa"/>
            <w:vAlign w:val="bottom"/>
            <w:tcBorders>
              <w:bottom w:val="single" w:sz="8" w:color="0D64EF"/>
            </w:tcBorders>
            <w:shd w:val="clear" w:color="auto" w:fill="D1D0CF"/>
          </w:tcPr>
          <w:p>
            <w:pPr>
              <w:ind w:left="60"/>
              <w:spacing w:after="0"/>
              <w:rPr>
                <w:sz w:val="20"/>
                <w:szCs w:val="20"/>
                <w:color w:val="auto"/>
              </w:rPr>
            </w:pPr>
            <w:r>
              <w:rPr>
                <w:rFonts w:ascii="Arial" w:cs="Arial" w:eastAsia="Arial" w:hAnsi="Arial"/>
                <w:sz w:val="14"/>
                <w:szCs w:val="14"/>
                <w:b w:val="1"/>
                <w:bCs w:val="1"/>
                <w:color w:val="auto"/>
              </w:rPr>
              <w:t>Stock exchange</w:t>
            </w:r>
          </w:p>
        </w:tc>
        <w:tc>
          <w:tcPr>
            <w:tcW w:w="920" w:type="dxa"/>
            <w:vAlign w:val="bottom"/>
            <w:tcBorders>
              <w:bottom w:val="single" w:sz="8" w:color="0D64EF"/>
            </w:tcBorders>
            <w:shd w:val="clear" w:color="auto" w:fill="D1D0CF"/>
          </w:tcPr>
          <w:p>
            <w:pPr>
              <w:spacing w:after="0"/>
              <w:rPr>
                <w:sz w:val="19"/>
                <w:szCs w:val="19"/>
                <w:color w:val="auto"/>
              </w:rPr>
            </w:pP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r>
      <w:tr>
        <w:trPr>
          <w:trHeight w:val="152"/>
        </w:trPr>
        <w:tc>
          <w:tcPr>
            <w:tcW w:w="3420" w:type="dxa"/>
            <w:vAlign w:val="bottom"/>
          </w:tcPr>
          <w:p>
            <w:pPr>
              <w:spacing w:after="0" w:line="152" w:lineRule="exact"/>
              <w:rPr>
                <w:sz w:val="20"/>
                <w:szCs w:val="20"/>
                <w:color w:val="auto"/>
              </w:rPr>
            </w:pPr>
            <w:r>
              <w:rPr>
                <w:rFonts w:ascii="Arial" w:cs="Arial" w:eastAsia="Arial" w:hAnsi="Arial"/>
                <w:sz w:val="14"/>
                <w:szCs w:val="14"/>
                <w:color w:val="auto"/>
              </w:rPr>
              <w:t>South Bow Corporation (energy infrastructure) (since</w:t>
            </w:r>
          </w:p>
        </w:tc>
        <w:tc>
          <w:tcPr>
            <w:tcW w:w="1500" w:type="dxa"/>
            <w:vAlign w:val="bottom"/>
          </w:tcPr>
          <w:p>
            <w:pPr>
              <w:ind w:left="60"/>
              <w:spacing w:after="0" w:line="152" w:lineRule="exact"/>
              <w:rPr>
                <w:sz w:val="20"/>
                <w:szCs w:val="20"/>
                <w:color w:val="auto"/>
              </w:rPr>
            </w:pPr>
            <w:r>
              <w:rPr>
                <w:rFonts w:ascii="Arial" w:cs="Arial" w:eastAsia="Arial" w:hAnsi="Arial"/>
                <w:sz w:val="14"/>
                <w:szCs w:val="14"/>
                <w:color w:val="auto"/>
              </w:rPr>
              <w:t>TSX; NYSE</w:t>
            </w:r>
          </w:p>
        </w:tc>
        <w:tc>
          <w:tcPr>
            <w:tcW w:w="920" w:type="dxa"/>
            <w:vAlign w:val="bottom"/>
          </w:tcPr>
          <w:p>
            <w:pPr>
              <w:spacing w:after="0"/>
              <w:rPr>
                <w:sz w:val="13"/>
                <w:szCs w:val="13"/>
                <w:color w:val="auto"/>
              </w:rPr>
            </w:pPr>
          </w:p>
        </w:tc>
        <w:tc>
          <w:tcPr>
            <w:tcW w:w="2440" w:type="dxa"/>
            <w:vAlign w:val="bottom"/>
          </w:tcPr>
          <w:p>
            <w:pPr>
              <w:ind w:left="140"/>
              <w:spacing w:after="0" w:line="152" w:lineRule="exact"/>
              <w:rPr>
                <w:sz w:val="20"/>
                <w:szCs w:val="20"/>
                <w:color w:val="auto"/>
              </w:rPr>
            </w:pPr>
            <w:r>
              <w:rPr>
                <w:rFonts w:ascii="Arial" w:cs="Arial" w:eastAsia="Arial" w:hAnsi="Arial"/>
                <w:sz w:val="14"/>
                <w:szCs w:val="14"/>
                <w:color w:val="auto"/>
              </w:rPr>
              <w:t>Human Resources</w:t>
            </w:r>
          </w:p>
        </w:tc>
      </w:tr>
      <w:tr>
        <w:trPr>
          <w:trHeight w:val="148"/>
        </w:trPr>
        <w:tc>
          <w:tcPr>
            <w:tcW w:w="3420" w:type="dxa"/>
            <w:vAlign w:val="bottom"/>
          </w:tcPr>
          <w:p>
            <w:pPr>
              <w:spacing w:after="0" w:line="148" w:lineRule="exact"/>
              <w:rPr>
                <w:sz w:val="20"/>
                <w:szCs w:val="20"/>
                <w:color w:val="auto"/>
              </w:rPr>
            </w:pPr>
            <w:r>
              <w:rPr>
                <w:rFonts w:ascii="Arial" w:cs="Arial" w:eastAsia="Arial" w:hAnsi="Arial"/>
                <w:sz w:val="14"/>
                <w:szCs w:val="14"/>
                <w:color w:val="auto"/>
              </w:rPr>
              <w:t>October 2024)</w:t>
            </w:r>
          </w:p>
        </w:tc>
        <w:tc>
          <w:tcPr>
            <w:tcW w:w="1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40" w:type="dxa"/>
            <w:vAlign w:val="bottom"/>
          </w:tcPr>
          <w:p>
            <w:pPr>
              <w:ind w:left="140"/>
              <w:spacing w:after="0" w:line="148" w:lineRule="exact"/>
              <w:rPr>
                <w:sz w:val="20"/>
                <w:szCs w:val="20"/>
                <w:color w:val="auto"/>
              </w:rPr>
            </w:pPr>
            <w:r>
              <w:rPr>
                <w:rFonts w:ascii="Arial" w:cs="Arial" w:eastAsia="Arial" w:hAnsi="Arial"/>
                <w:sz w:val="14"/>
                <w:szCs w:val="14"/>
                <w:color w:val="auto"/>
              </w:rPr>
              <w:t>Safety, Environment and</w:t>
            </w:r>
          </w:p>
        </w:tc>
      </w:tr>
      <w:tr>
        <w:trPr>
          <w:trHeight w:val="190"/>
        </w:trPr>
        <w:tc>
          <w:tcPr>
            <w:tcW w:w="3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Operations</w:t>
            </w:r>
          </w:p>
        </w:tc>
      </w:tr>
      <w:tr>
        <w:trPr>
          <w:trHeight w:val="21"/>
        </w:trPr>
        <w:tc>
          <w:tcPr>
            <w:tcW w:w="3420" w:type="dxa"/>
            <w:vAlign w:val="bottom"/>
            <w:tcBorders>
              <w:bottom w:val="single" w:sz="8" w:color="0D64EF"/>
            </w:tcBorders>
          </w:tcPr>
          <w:p>
            <w:pPr>
              <w:spacing w:after="0" w:line="20" w:lineRule="exact"/>
              <w:rPr>
                <w:sz w:val="1"/>
                <w:szCs w:val="1"/>
                <w:color w:val="auto"/>
              </w:rPr>
            </w:pPr>
          </w:p>
        </w:tc>
        <w:tc>
          <w:tcPr>
            <w:tcW w:w="1500" w:type="dxa"/>
            <w:vAlign w:val="bottom"/>
            <w:tcBorders>
              <w:bottom w:val="single" w:sz="8" w:color="0D64EF"/>
            </w:tcBorders>
          </w:tcPr>
          <w:p>
            <w:pPr>
              <w:spacing w:after="0" w:line="20" w:lineRule="exact"/>
              <w:rPr>
                <w:sz w:val="1"/>
                <w:szCs w:val="1"/>
                <w:color w:val="auto"/>
              </w:rPr>
            </w:pPr>
          </w:p>
        </w:tc>
        <w:tc>
          <w:tcPr>
            <w:tcW w:w="920" w:type="dxa"/>
            <w:vAlign w:val="bottom"/>
            <w:tcBorders>
              <w:bottom w:val="single" w:sz="8" w:color="0D64EF"/>
            </w:tcBorders>
          </w:tcPr>
          <w:p>
            <w:pPr>
              <w:spacing w:after="0" w:line="20" w:lineRule="exact"/>
              <w:rPr>
                <w:sz w:val="1"/>
                <w:szCs w:val="1"/>
                <w:color w:val="auto"/>
              </w:rPr>
            </w:pPr>
          </w:p>
        </w:tc>
        <w:tc>
          <w:tcPr>
            <w:tcW w:w="2440" w:type="dxa"/>
            <w:vAlign w:val="bottom"/>
            <w:tcBorders>
              <w:bottom w:val="single" w:sz="8" w:color="0D64EF"/>
            </w:tcBorders>
          </w:tcPr>
          <w:p>
            <w:pPr>
              <w:spacing w:after="0" w:line="20" w:lineRule="exact"/>
              <w:rPr>
                <w:sz w:val="1"/>
                <w:szCs w:val="1"/>
                <w:color w:val="auto"/>
              </w:rPr>
            </w:pPr>
          </w:p>
        </w:tc>
      </w:tr>
      <w:tr>
        <w:trPr>
          <w:trHeight w:val="145"/>
        </w:trPr>
        <w:tc>
          <w:tcPr>
            <w:tcW w:w="3420" w:type="dxa"/>
            <w:vAlign w:val="bottom"/>
            <w:shd w:val="clear" w:color="auto" w:fill="D1D0CF"/>
          </w:tcPr>
          <w:p>
            <w:pPr>
              <w:spacing w:after="0"/>
              <w:rPr>
                <w:sz w:val="12"/>
                <w:szCs w:val="12"/>
                <w:color w:val="auto"/>
              </w:rPr>
            </w:pPr>
          </w:p>
        </w:tc>
        <w:tc>
          <w:tcPr>
            <w:tcW w:w="1500" w:type="dxa"/>
            <w:vAlign w:val="bottom"/>
            <w:shd w:val="clear" w:color="auto" w:fill="D1D0CF"/>
          </w:tcPr>
          <w:p>
            <w:pPr>
              <w:spacing w:after="0"/>
              <w:rPr>
                <w:sz w:val="12"/>
                <w:szCs w:val="12"/>
                <w:color w:val="auto"/>
              </w:rPr>
            </w:pPr>
          </w:p>
        </w:tc>
        <w:tc>
          <w:tcPr>
            <w:tcW w:w="92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5" w:lineRule="exact"/>
              <w:rPr>
                <w:sz w:val="20"/>
                <w:szCs w:val="20"/>
                <w:color w:val="auto"/>
              </w:rPr>
            </w:pPr>
            <w:r>
              <w:rPr>
                <w:rFonts w:ascii="Arial" w:cs="Arial" w:eastAsia="Arial" w:hAnsi="Arial"/>
                <w:sz w:val="14"/>
                <w:szCs w:val="14"/>
                <w:b w:val="1"/>
                <w:bCs w:val="1"/>
                <w:color w:val="auto"/>
              </w:rPr>
              <w:t>Meets share ownership</w:t>
            </w:r>
          </w:p>
        </w:tc>
      </w:tr>
      <w:tr>
        <w:trPr>
          <w:trHeight w:val="210"/>
        </w:trPr>
        <w:tc>
          <w:tcPr>
            <w:tcW w:w="342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4"/>
                <w:szCs w:val="14"/>
                <w:b w:val="1"/>
                <w:bCs w:val="1"/>
                <w:color w:val="auto"/>
              </w:rPr>
              <w:t>TC Energy securities held</w:t>
            </w:r>
          </w:p>
        </w:tc>
        <w:tc>
          <w:tcPr>
            <w:tcW w:w="1500" w:type="dxa"/>
            <w:vAlign w:val="bottom"/>
            <w:tcBorders>
              <w:bottom w:val="single" w:sz="8" w:color="0D64EF"/>
            </w:tcBorders>
            <w:shd w:val="clear" w:color="auto" w:fill="D1D0CF"/>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r>
      <w:tr>
        <w:trPr>
          <w:trHeight w:val="228"/>
        </w:trPr>
        <w:tc>
          <w:tcPr>
            <w:tcW w:w="3420" w:type="dxa"/>
            <w:vAlign w:val="bottom"/>
          </w:tcPr>
          <w:p>
            <w:pPr>
              <w:spacing w:after="0"/>
              <w:rPr>
                <w:sz w:val="20"/>
                <w:szCs w:val="20"/>
                <w:color w:val="auto"/>
              </w:rPr>
            </w:pPr>
            <w:r>
              <w:rPr>
                <w:rFonts w:ascii="Arial" w:cs="Arial" w:eastAsia="Arial" w:hAnsi="Arial"/>
                <w:sz w:val="14"/>
                <w:szCs w:val="14"/>
                <w:color w:val="auto"/>
              </w:rPr>
              <w:t>Shares</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4,500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4,500</w:t>
            </w:r>
          </w:p>
        </w:tc>
        <w:tc>
          <w:tcPr>
            <w:tcW w:w="2440" w:type="dxa"/>
            <w:vAlign w:val="bottom"/>
          </w:tcPr>
          <w:p>
            <w:pPr>
              <w:ind w:left="140"/>
              <w:spacing w:after="0"/>
              <w:rPr>
                <w:sz w:val="20"/>
                <w:szCs w:val="20"/>
                <w:color w:val="auto"/>
              </w:rPr>
            </w:pPr>
            <w:r>
              <w:rPr>
                <w:rFonts w:ascii="Arial" w:cs="Arial" w:eastAsia="Arial" w:hAnsi="Arial"/>
                <w:sz w:val="14"/>
                <w:szCs w:val="14"/>
                <w:color w:val="auto"/>
              </w:rPr>
              <w:t>Yes</w:t>
            </w:r>
          </w:p>
        </w:tc>
      </w:tr>
      <w:tr>
        <w:trPr>
          <w:trHeight w:val="228"/>
        </w:trPr>
        <w:tc>
          <w:tcPr>
            <w:tcW w:w="3420" w:type="dxa"/>
            <w:vAlign w:val="bottom"/>
          </w:tcPr>
          <w:p>
            <w:pPr>
              <w:spacing w:after="0"/>
              <w:rPr>
                <w:sz w:val="20"/>
                <w:szCs w:val="20"/>
                <w:color w:val="auto"/>
              </w:rPr>
            </w:pPr>
            <w:r>
              <w:rPr>
                <w:rFonts w:ascii="Arial" w:cs="Arial" w:eastAsia="Arial" w:hAnsi="Arial"/>
                <w:sz w:val="14"/>
                <w:szCs w:val="14"/>
                <w:color w:val="auto"/>
              </w:rPr>
              <w:t>DSUs</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59,170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53,162</w:t>
            </w:r>
          </w:p>
        </w:tc>
        <w:tc>
          <w:tcPr>
            <w:tcW w:w="2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2480" w:space="460"/>
            <w:col w:w="8280"/>
          </w:cols>
          <w:pgMar w:left="340" w:top="10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29</w:t>
      </w:r>
    </w:p>
    <w:p>
      <w:pPr>
        <w:sectPr>
          <w:pgSz w:w="11900" w:h="16838" w:orient="portrait"/>
          <w:cols w:equalWidth="0" w:num="1">
            <w:col w:w="11220"/>
          </w:cols>
          <w:pgMar w:left="340" w:top="1034" w:right="33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60" w:hanging="135"/>
        <w:spacing w:after="0"/>
        <w:tabs>
          <w:tab w:leader="none" w:pos="1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Accounting/Audit</w:t>
      </w:r>
    </w:p>
    <w:p>
      <w:pPr>
        <w:spacing w:after="0" w:line="53" w:lineRule="exact"/>
        <w:rPr>
          <w:rFonts w:ascii="Arial" w:cs="Arial" w:eastAsia="Arial" w:hAnsi="Arial"/>
          <w:sz w:val="14"/>
          <w:szCs w:val="14"/>
          <w:color w:val="auto"/>
        </w:rPr>
      </w:pPr>
    </w:p>
    <w:p>
      <w:pPr>
        <w:ind w:left="180" w:right="600" w:hanging="155"/>
        <w:spacing w:after="0" w:line="310" w:lineRule="auto"/>
        <w:tabs>
          <w:tab w:leader="none" w:pos="163" w:val="left"/>
        </w:tabs>
        <w:numPr>
          <w:ilvl w:val="0"/>
          <w:numId w:val="47"/>
        </w:numPr>
        <w:rPr>
          <w:rFonts w:ascii="Arial" w:cs="Arial" w:eastAsia="Arial" w:hAnsi="Arial"/>
          <w:sz w:val="14"/>
          <w:szCs w:val="14"/>
          <w:color w:val="auto"/>
        </w:rPr>
      </w:pPr>
      <w:r>
        <w:rPr>
          <w:rFonts w:ascii="Arial" w:cs="Arial" w:eastAsia="Arial" w:hAnsi="Arial"/>
          <w:sz w:val="14"/>
          <w:szCs w:val="14"/>
          <w:color w:val="auto"/>
        </w:rPr>
        <w:t>Capital Markets/Mergers &amp; Acquisitions</w:t>
      </w:r>
    </w:p>
    <w:p>
      <w:pPr>
        <w:ind w:left="160" w:hanging="135"/>
        <w:spacing w:after="0"/>
        <w:tabs>
          <w:tab w:leader="none" w:pos="1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Enterprise Risk Management</w:t>
      </w:r>
    </w:p>
    <w:p>
      <w:pPr>
        <w:spacing w:after="0" w:line="53" w:lineRule="exact"/>
        <w:rPr>
          <w:rFonts w:ascii="Arial" w:cs="Arial" w:eastAsia="Arial" w:hAnsi="Arial"/>
          <w:sz w:val="14"/>
          <w:szCs w:val="14"/>
          <w:color w:val="auto"/>
        </w:rPr>
      </w:pPr>
    </w:p>
    <w:p>
      <w:pPr>
        <w:ind w:left="160" w:hanging="135"/>
        <w:spacing w:after="0"/>
        <w:tabs>
          <w:tab w:leader="none" w:pos="1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Governance</w:t>
      </w:r>
    </w:p>
    <w:p>
      <w:pPr>
        <w:spacing w:after="0" w:line="67" w:lineRule="exact"/>
        <w:rPr>
          <w:rFonts w:ascii="Arial" w:cs="Arial" w:eastAsia="Arial" w:hAnsi="Arial"/>
          <w:sz w:val="14"/>
          <w:szCs w:val="14"/>
          <w:color w:val="auto"/>
        </w:rPr>
      </w:pPr>
    </w:p>
    <w:p>
      <w:pPr>
        <w:ind w:left="180" w:right="600" w:hanging="155"/>
        <w:spacing w:after="0" w:line="300" w:lineRule="auto"/>
        <w:tabs>
          <w:tab w:leader="none" w:pos="163" w:val="left"/>
        </w:tabs>
        <w:numPr>
          <w:ilvl w:val="0"/>
          <w:numId w:val="47"/>
        </w:numPr>
        <w:rPr>
          <w:rFonts w:ascii="Arial" w:cs="Arial" w:eastAsia="Arial" w:hAnsi="Arial"/>
          <w:sz w:val="14"/>
          <w:szCs w:val="14"/>
          <w:color w:val="auto"/>
        </w:rPr>
      </w:pPr>
      <w:r>
        <w:rPr>
          <w:rFonts w:ascii="Arial" w:cs="Arial" w:eastAsia="Arial" w:hAnsi="Arial"/>
          <w:sz w:val="14"/>
          <w:szCs w:val="14"/>
          <w:color w:val="auto"/>
        </w:rPr>
        <w:t>Government, Regulatory &amp; Stakeholder Relations</w:t>
      </w:r>
    </w:p>
    <w:p>
      <w:pPr>
        <w:ind w:left="160" w:hanging="135"/>
        <w:spacing w:after="0"/>
        <w:tabs>
          <w:tab w:leader="none" w:pos="1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Human Resources &amp; Compensation</w:t>
      </w:r>
    </w:p>
    <w:p>
      <w:pPr>
        <w:spacing w:after="0" w:line="67" w:lineRule="exact"/>
        <w:rPr>
          <w:rFonts w:ascii="Arial" w:cs="Arial" w:eastAsia="Arial" w:hAnsi="Arial"/>
          <w:sz w:val="14"/>
          <w:szCs w:val="14"/>
          <w:color w:val="auto"/>
        </w:rPr>
      </w:pPr>
    </w:p>
    <w:p>
      <w:pPr>
        <w:ind w:left="160" w:hanging="135"/>
        <w:spacing w:after="0"/>
        <w:tabs>
          <w:tab w:leader="none" w:pos="1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Major Projects</w:t>
      </w:r>
    </w:p>
    <w:p>
      <w:pPr>
        <w:spacing w:after="0" w:line="53" w:lineRule="exact"/>
        <w:rPr>
          <w:rFonts w:ascii="Arial" w:cs="Arial" w:eastAsia="Arial" w:hAnsi="Arial"/>
          <w:sz w:val="14"/>
          <w:szCs w:val="14"/>
          <w:color w:val="auto"/>
        </w:rPr>
      </w:pPr>
    </w:p>
    <w:p>
      <w:pPr>
        <w:ind w:left="160" w:hanging="135"/>
        <w:spacing w:after="0"/>
        <w:tabs>
          <w:tab w:leader="none" w:pos="1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$12,791,739</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TC Energy</w:t>
      </w:r>
    </w:p>
    <w:p>
      <w:pPr>
        <w:ind w:left="20"/>
        <w:spacing w:after="0" w:line="236" w:lineRule="auto"/>
        <w:rPr>
          <w:sz w:val="20"/>
          <w:szCs w:val="20"/>
          <w:color w:val="auto"/>
        </w:rPr>
      </w:pPr>
      <w:r>
        <w:rPr>
          <w:rFonts w:ascii="Arial" w:cs="Arial" w:eastAsia="Arial" w:hAnsi="Arial"/>
          <w:sz w:val="16"/>
          <w:szCs w:val="16"/>
          <w:b w:val="1"/>
          <w:bCs w:val="1"/>
          <w:color w:val="0D64EF"/>
        </w:rPr>
        <w:t>Board/Committees</w:t>
      </w:r>
    </w:p>
    <w:p>
      <w:pPr>
        <w:ind w:left="20"/>
        <w:spacing w:after="0"/>
        <w:rPr>
          <w:sz w:val="20"/>
          <w:szCs w:val="20"/>
          <w:color w:val="auto"/>
        </w:rPr>
      </w:pPr>
      <w:r>
        <w:rPr>
          <w:rFonts w:ascii="Arial" w:cs="Arial" w:eastAsia="Arial" w:hAnsi="Arial"/>
          <w:sz w:val="16"/>
          <w:szCs w:val="16"/>
          <w:b w:val="1"/>
          <w:bCs w:val="1"/>
          <w:color w:val="0D64EF"/>
        </w:rPr>
        <w:t>2025 meeting attendance</w:t>
      </w:r>
    </w:p>
    <w:p>
      <w:pPr>
        <w:spacing w:after="0" w:line="47" w:lineRule="exact"/>
        <w:rPr>
          <w:sz w:val="20"/>
          <w:szCs w:val="20"/>
          <w:color w:val="auto"/>
        </w:rPr>
      </w:pPr>
    </w:p>
    <w:p>
      <w:pPr>
        <w:ind w:left="180" w:right="960" w:hanging="155"/>
        <w:spacing w:after="0" w:line="330" w:lineRule="auto"/>
        <w:tabs>
          <w:tab w:leader="none" w:pos="163" w:val="left"/>
        </w:tabs>
        <w:numPr>
          <w:ilvl w:val="0"/>
          <w:numId w:val="48"/>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ind w:left="180" w:right="780" w:hanging="155"/>
        <w:spacing w:after="0" w:line="330" w:lineRule="auto"/>
        <w:tabs>
          <w:tab w:leader="none" w:pos="163" w:val="left"/>
        </w:tabs>
        <w:numPr>
          <w:ilvl w:val="0"/>
          <w:numId w:val="48"/>
        </w:numPr>
        <w:rPr>
          <w:rFonts w:ascii="Arial" w:cs="Arial" w:eastAsia="Arial" w:hAnsi="Arial"/>
          <w:sz w:val="14"/>
          <w:szCs w:val="14"/>
          <w:color w:val="auto"/>
        </w:rPr>
      </w:pPr>
      <w:r>
        <w:rPr>
          <w:rFonts w:ascii="Arial" w:cs="Arial" w:eastAsia="Arial" w:hAnsi="Arial"/>
          <w:sz w:val="14"/>
          <w:szCs w:val="14"/>
          <w:color w:val="auto"/>
        </w:rPr>
        <w:t>Governance Committee 4/4 meetings (100%)</w:t>
      </w:r>
    </w:p>
    <w:p>
      <w:pPr>
        <w:ind w:left="180" w:right="380" w:hanging="155"/>
        <w:spacing w:after="0" w:line="383" w:lineRule="auto"/>
        <w:tabs>
          <w:tab w:leader="none" w:pos="163" w:val="left"/>
        </w:tabs>
        <w:numPr>
          <w:ilvl w:val="0"/>
          <w:numId w:val="48"/>
        </w:numPr>
        <w:rPr>
          <w:rFonts w:ascii="Arial" w:cs="Arial" w:eastAsia="Arial" w:hAnsi="Arial"/>
          <w:sz w:val="14"/>
          <w:szCs w:val="14"/>
          <w:color w:val="auto"/>
        </w:rPr>
      </w:pPr>
      <w:r>
        <w:rPr>
          <w:rFonts w:ascii="Arial" w:cs="Arial" w:eastAsia="Arial" w:hAnsi="Arial"/>
          <w:sz w:val="14"/>
          <w:szCs w:val="14"/>
          <w:color w:val="auto"/>
        </w:rPr>
        <w:t>Human Resources Committee 4/4 meetings (100%)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Siim A. Vanaselja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-190500</wp:posOffset>
            </wp:positionV>
            <wp:extent cx="8255" cy="7840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784098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69, TORONTO, ON, CANADA | DIRECTOR SINCE 2014</w:t>
      </w:r>
    </w:p>
    <w:p>
      <w:pPr>
        <w:spacing w:after="0" w:line="364" w:lineRule="exact"/>
        <w:rPr>
          <w:sz w:val="20"/>
          <w:szCs w:val="20"/>
          <w:color w:val="auto"/>
        </w:rPr>
      </w:pPr>
    </w:p>
    <w:p>
      <w:pPr>
        <w:jc w:val="both"/>
        <w:ind w:left="20" w:right="120"/>
        <w:spacing w:after="0" w:line="316" w:lineRule="auto"/>
        <w:rPr>
          <w:sz w:val="20"/>
          <w:szCs w:val="20"/>
          <w:color w:val="auto"/>
        </w:rPr>
      </w:pPr>
      <w:r>
        <w:rPr>
          <w:rFonts w:ascii="Arial" w:cs="Arial" w:eastAsia="Arial" w:hAnsi="Arial"/>
          <w:sz w:val="16"/>
          <w:szCs w:val="16"/>
          <w:color w:val="auto"/>
        </w:rPr>
        <w:t>Mr. Vanaselja is a corporate director. He served as the Chair of TC Energy's Board from May 2017 until December 2023. He currently serves on the board of directors of Great-West Lifeco Inc. (financial services) since May 2014, Power Corporation of Canada (financial services) since May 2020 and RioCan Real Estate Investment Trust (real estate) since May 2017.</w:t>
      </w:r>
    </w:p>
    <w:p>
      <w:pPr>
        <w:spacing w:after="0" w:line="66" w:lineRule="exact"/>
        <w:rPr>
          <w:sz w:val="20"/>
          <w:szCs w:val="20"/>
          <w:color w:val="auto"/>
        </w:rPr>
      </w:pPr>
    </w:p>
    <w:p>
      <w:pPr>
        <w:ind w:left="20" w:right="20"/>
        <w:spacing w:after="0" w:line="326" w:lineRule="auto"/>
        <w:rPr>
          <w:sz w:val="20"/>
          <w:szCs w:val="20"/>
          <w:color w:val="auto"/>
        </w:rPr>
      </w:pPr>
      <w:r>
        <w:rPr>
          <w:rFonts w:ascii="Arial" w:cs="Arial" w:eastAsia="Arial" w:hAnsi="Arial"/>
          <w:sz w:val="16"/>
          <w:szCs w:val="16"/>
          <w:color w:val="auto"/>
        </w:rPr>
        <w:t>Mr. Vanaselja was the Executive Vice-President and Chief Financial Officer of BCE Inc. and Bell Canada (telecommunications and media) from January 2001 to June 2015. Prior to joining BCE Inc., he was a partner at the accounting firm KPMG Canada in Toronto.</w:t>
      </w:r>
    </w:p>
    <w:p>
      <w:pPr>
        <w:spacing w:after="0" w:line="43" w:lineRule="exact"/>
        <w:rPr>
          <w:sz w:val="20"/>
          <w:szCs w:val="20"/>
          <w:color w:val="auto"/>
        </w:rPr>
      </w:pPr>
    </w:p>
    <w:p>
      <w:pPr>
        <w:ind w:left="20" w:right="220"/>
        <w:spacing w:after="0" w:line="316" w:lineRule="auto"/>
        <w:rPr>
          <w:sz w:val="20"/>
          <w:szCs w:val="20"/>
          <w:color w:val="auto"/>
        </w:rPr>
      </w:pPr>
      <w:r>
        <w:rPr>
          <w:rFonts w:ascii="Arial" w:cs="Arial" w:eastAsia="Arial" w:hAnsi="Arial"/>
          <w:sz w:val="16"/>
          <w:szCs w:val="16"/>
          <w:color w:val="auto"/>
        </w:rPr>
        <w:t>Mr. Vanaselja previously served as a member of the Conference Board of Canada's National Council of Financial Executives, the Corporate Executive Board's working council for Chief Financial Officers and Moody's Council of Chief Financial Officers. During the period of the 2008 global financial crisis, he was a member of the Minister of Finance's Special Advisory Committee to address the continued functioning of financial and credit markets in Canada.</w:t>
      </w:r>
    </w:p>
    <w:p>
      <w:pPr>
        <w:spacing w:after="0" w:line="52" w:lineRule="exact"/>
        <w:rPr>
          <w:sz w:val="20"/>
          <w:szCs w:val="20"/>
          <w:color w:val="auto"/>
        </w:rPr>
      </w:pPr>
    </w:p>
    <w:p>
      <w:pPr>
        <w:ind w:left="20" w:right="160"/>
        <w:spacing w:after="0" w:line="322" w:lineRule="auto"/>
        <w:rPr>
          <w:sz w:val="20"/>
          <w:szCs w:val="20"/>
          <w:color w:val="auto"/>
        </w:rPr>
      </w:pPr>
      <w:r>
        <w:rPr>
          <w:rFonts w:ascii="Arial" w:cs="Arial" w:eastAsia="Arial" w:hAnsi="Arial"/>
          <w:sz w:val="16"/>
          <w:szCs w:val="16"/>
          <w:color w:val="auto"/>
        </w:rPr>
        <w:t>He is a member of the Institute of Corporate Directors and a fellow of the Chartered Professional Accountants of Ontario. He holds an Honours Bachelor of Business degree from the Schulich School of Business. His community involvement has included work with Big Brothers Big Sisters of Toronto, St. Mary's Hospital, the Heart and Stroke Foundation of Québec and the annual Walk for Kids Help Phone.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2320" w:type="dxa"/>
            <w:vAlign w:val="bottom"/>
            <w:tcBorders>
              <w:top w:val="single" w:sz="8" w:color="0D64EF"/>
              <w:bottom w:val="single" w:sz="8" w:color="0D64EF"/>
            </w:tcBorders>
            <w:shd w:val="clear" w:color="auto" w:fill="D1D0CF"/>
          </w:tcPr>
          <w:p>
            <w:pPr>
              <w:jc w:val="right"/>
              <w:ind w:right="528"/>
              <w:spacing w:after="0"/>
              <w:rPr>
                <w:sz w:val="20"/>
                <w:szCs w:val="20"/>
                <w:color w:val="auto"/>
              </w:rPr>
            </w:pPr>
            <w:r>
              <w:rPr>
                <w:rFonts w:ascii="Arial" w:cs="Arial" w:eastAsia="Arial" w:hAnsi="Arial"/>
                <w:sz w:val="14"/>
                <w:szCs w:val="14"/>
                <w:b w:val="1"/>
                <w:bCs w:val="1"/>
                <w:color w:val="auto"/>
              </w:rPr>
              <w:t>Votes in favour</w:t>
            </w:r>
          </w:p>
        </w:tc>
        <w:tc>
          <w:tcPr>
            <w:tcW w:w="74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jc w:val="right"/>
              <w:ind w:right="1308"/>
              <w:spacing w:after="0"/>
              <w:rPr>
                <w:sz w:val="20"/>
                <w:szCs w:val="20"/>
                <w:color w:val="auto"/>
              </w:rPr>
            </w:pPr>
            <w:r>
              <w:rPr>
                <w:rFonts w:ascii="Arial" w:cs="Arial" w:eastAsia="Arial" w:hAnsi="Arial"/>
                <w:sz w:val="14"/>
                <w:szCs w:val="14"/>
                <w:b w:val="1"/>
                <w:bCs w:val="1"/>
                <w:color w:val="auto"/>
              </w:rPr>
              <w:t>Votes against</w:t>
            </w:r>
          </w:p>
        </w:tc>
      </w:tr>
      <w:tr>
        <w:trPr>
          <w:trHeight w:val="207"/>
        </w:trPr>
        <w:tc>
          <w:tcPr>
            <w:tcW w:w="2780" w:type="dxa"/>
            <w:vAlign w:val="bottom"/>
          </w:tcPr>
          <w:p>
            <w:pPr>
              <w:ind w:left="20"/>
              <w:spacing w:after="0"/>
              <w:rPr>
                <w:sz w:val="20"/>
                <w:szCs w:val="20"/>
                <w:color w:val="auto"/>
              </w:rPr>
            </w:pPr>
            <w:r>
              <w:rPr>
                <w:rFonts w:ascii="Arial" w:cs="Arial" w:eastAsia="Arial" w:hAnsi="Arial"/>
                <w:sz w:val="14"/>
                <w:szCs w:val="14"/>
                <w:color w:val="auto"/>
              </w:rPr>
              <w:t>2025</w:t>
            </w:r>
          </w:p>
        </w:tc>
        <w:tc>
          <w:tcPr>
            <w:tcW w:w="2320" w:type="dxa"/>
            <w:vAlign w:val="bottom"/>
          </w:tcPr>
          <w:p>
            <w:pPr>
              <w:jc w:val="right"/>
              <w:spacing w:after="0"/>
              <w:rPr>
                <w:sz w:val="20"/>
                <w:szCs w:val="20"/>
                <w:color w:val="auto"/>
              </w:rPr>
            </w:pPr>
            <w:r>
              <w:rPr>
                <w:rFonts w:ascii="Arial" w:cs="Arial" w:eastAsia="Arial" w:hAnsi="Arial"/>
                <w:sz w:val="14"/>
                <w:szCs w:val="14"/>
                <w:color w:val="auto"/>
              </w:rPr>
              <w:t>665,004,883</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(98.07%)</w:t>
            </w:r>
          </w:p>
        </w:tc>
        <w:tc>
          <w:tcPr>
            <w:tcW w:w="2440" w:type="dxa"/>
            <w:vAlign w:val="bottom"/>
          </w:tcPr>
          <w:p>
            <w:pPr>
              <w:jc w:val="right"/>
              <w:spacing w:after="0"/>
              <w:rPr>
                <w:sz w:val="20"/>
                <w:szCs w:val="20"/>
                <w:color w:val="auto"/>
              </w:rPr>
            </w:pPr>
            <w:r>
              <w:rPr>
                <w:rFonts w:ascii="Arial" w:cs="Arial" w:eastAsia="Arial" w:hAnsi="Arial"/>
                <w:sz w:val="14"/>
                <w:szCs w:val="14"/>
                <w:color w:val="auto"/>
              </w:rPr>
              <w:t>13,074,258 (1.93%)</w:t>
            </w:r>
          </w:p>
        </w:tc>
      </w:tr>
      <w:tr>
        <w:trPr>
          <w:trHeight w:val="255"/>
        </w:trPr>
        <w:tc>
          <w:tcPr>
            <w:tcW w:w="2780" w:type="dxa"/>
            <w:vAlign w:val="bottom"/>
          </w:tcPr>
          <w:p>
            <w:pPr>
              <w:ind w:left="20"/>
              <w:spacing w:after="0"/>
              <w:rPr>
                <w:sz w:val="20"/>
                <w:szCs w:val="20"/>
                <w:color w:val="auto"/>
              </w:rPr>
            </w:pPr>
            <w:r>
              <w:rPr>
                <w:rFonts w:ascii="Arial" w:cs="Arial" w:eastAsia="Arial" w:hAnsi="Arial"/>
                <w:sz w:val="14"/>
                <w:szCs w:val="14"/>
                <w:color w:val="auto"/>
              </w:rPr>
              <w:t>2024</w:t>
            </w:r>
          </w:p>
        </w:tc>
        <w:tc>
          <w:tcPr>
            <w:tcW w:w="2320" w:type="dxa"/>
            <w:vAlign w:val="bottom"/>
          </w:tcPr>
          <w:p>
            <w:pPr>
              <w:jc w:val="right"/>
              <w:spacing w:after="0"/>
              <w:rPr>
                <w:sz w:val="20"/>
                <w:szCs w:val="20"/>
                <w:color w:val="auto"/>
              </w:rPr>
            </w:pPr>
            <w:r>
              <w:rPr>
                <w:rFonts w:ascii="Arial" w:cs="Arial" w:eastAsia="Arial" w:hAnsi="Arial"/>
                <w:sz w:val="14"/>
                <w:szCs w:val="14"/>
                <w:color w:val="auto"/>
              </w:rPr>
              <w:t>655,011,540</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(98.49%)</w:t>
            </w:r>
          </w:p>
        </w:tc>
        <w:tc>
          <w:tcPr>
            <w:tcW w:w="2440" w:type="dxa"/>
            <w:vAlign w:val="bottom"/>
          </w:tcPr>
          <w:p>
            <w:pPr>
              <w:jc w:val="right"/>
              <w:spacing w:after="0"/>
              <w:rPr>
                <w:sz w:val="20"/>
                <w:szCs w:val="20"/>
                <w:color w:val="auto"/>
              </w:rPr>
            </w:pPr>
            <w:r>
              <w:rPr>
                <w:rFonts w:ascii="Arial" w:cs="Arial" w:eastAsia="Arial" w:hAnsi="Arial"/>
                <w:sz w:val="14"/>
                <w:szCs w:val="14"/>
                <w:color w:val="auto"/>
              </w:rPr>
              <w:t>10,013,404 (1.51%)</w:t>
            </w:r>
          </w:p>
        </w:tc>
      </w:tr>
      <w:tr>
        <w:trPr>
          <w:trHeight w:val="255"/>
        </w:trPr>
        <w:tc>
          <w:tcPr>
            <w:tcW w:w="2780" w:type="dxa"/>
            <w:vAlign w:val="bottom"/>
          </w:tcPr>
          <w:p>
            <w:pPr>
              <w:ind w:left="20"/>
              <w:spacing w:after="0"/>
              <w:rPr>
                <w:sz w:val="20"/>
                <w:szCs w:val="20"/>
                <w:color w:val="auto"/>
              </w:rPr>
            </w:pPr>
            <w:r>
              <w:rPr>
                <w:rFonts w:ascii="Arial" w:cs="Arial" w:eastAsia="Arial" w:hAnsi="Arial"/>
                <w:sz w:val="14"/>
                <w:szCs w:val="14"/>
                <w:color w:val="auto"/>
              </w:rPr>
              <w:t>2023</w:t>
            </w:r>
          </w:p>
        </w:tc>
        <w:tc>
          <w:tcPr>
            <w:tcW w:w="2320" w:type="dxa"/>
            <w:vAlign w:val="bottom"/>
          </w:tcPr>
          <w:p>
            <w:pPr>
              <w:jc w:val="right"/>
              <w:spacing w:after="0"/>
              <w:rPr>
                <w:sz w:val="20"/>
                <w:szCs w:val="20"/>
                <w:color w:val="auto"/>
              </w:rPr>
            </w:pPr>
            <w:r>
              <w:rPr>
                <w:rFonts w:ascii="Arial" w:cs="Arial" w:eastAsia="Arial" w:hAnsi="Arial"/>
                <w:sz w:val="14"/>
                <w:szCs w:val="14"/>
                <w:color w:val="auto"/>
              </w:rPr>
              <w:t>608,256,198</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(90.27%)</w:t>
            </w:r>
          </w:p>
        </w:tc>
        <w:tc>
          <w:tcPr>
            <w:tcW w:w="2440" w:type="dxa"/>
            <w:vAlign w:val="bottom"/>
          </w:tcPr>
          <w:p>
            <w:pPr>
              <w:jc w:val="right"/>
              <w:spacing w:after="0"/>
              <w:rPr>
                <w:sz w:val="20"/>
                <w:szCs w:val="20"/>
                <w:color w:val="auto"/>
              </w:rPr>
            </w:pPr>
            <w:r>
              <w:rPr>
                <w:rFonts w:ascii="Arial" w:cs="Arial" w:eastAsia="Arial" w:hAnsi="Arial"/>
                <w:sz w:val="14"/>
                <w:szCs w:val="14"/>
                <w:color w:val="auto"/>
              </w:rPr>
              <w:t>65,597,334 (9.73%)</w:t>
            </w:r>
          </w:p>
        </w:tc>
      </w:tr>
    </w:tbl>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2180" w:type="dxa"/>
            <w:vAlign w:val="bottom"/>
            <w:tcBorders>
              <w:top w:val="single" w:sz="8" w:color="0D64EF"/>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Stock exchange</w:t>
            </w:r>
          </w:p>
        </w:tc>
        <w:tc>
          <w:tcPr>
            <w:tcW w:w="3020" w:type="dxa"/>
            <w:vAlign w:val="bottom"/>
            <w:tcBorders>
              <w:top w:val="single" w:sz="8" w:color="0D64EF"/>
              <w:bottom w:val="single" w:sz="8" w:color="0D64EF"/>
            </w:tcBorders>
            <w:shd w:val="clear" w:color="auto" w:fill="D1D0CF"/>
          </w:tcPr>
          <w:p>
            <w:pPr>
              <w:ind w:left="720"/>
              <w:spacing w:after="0"/>
              <w:rPr>
                <w:sz w:val="20"/>
                <w:szCs w:val="20"/>
                <w:color w:val="auto"/>
              </w:rPr>
            </w:pPr>
            <w:r>
              <w:rPr>
                <w:rFonts w:ascii="Arial" w:cs="Arial" w:eastAsia="Arial" w:hAnsi="Arial"/>
                <w:sz w:val="14"/>
                <w:szCs w:val="14"/>
                <w:b w:val="1"/>
                <w:bCs w:val="1"/>
                <w:color w:val="auto"/>
              </w:rPr>
              <w:t>Board committees</w:t>
            </w:r>
          </w:p>
        </w:tc>
      </w:tr>
      <w:tr>
        <w:trPr>
          <w:trHeight w:val="165"/>
        </w:trPr>
        <w:tc>
          <w:tcPr>
            <w:tcW w:w="3080" w:type="dxa"/>
            <w:vAlign w:val="bottom"/>
          </w:tcPr>
          <w:p>
            <w:pPr>
              <w:ind w:left="20"/>
              <w:spacing w:after="0"/>
              <w:rPr>
                <w:sz w:val="20"/>
                <w:szCs w:val="20"/>
                <w:color w:val="auto"/>
              </w:rPr>
            </w:pPr>
            <w:r>
              <w:rPr>
                <w:rFonts w:ascii="Arial" w:cs="Arial" w:eastAsia="Arial" w:hAnsi="Arial"/>
                <w:sz w:val="14"/>
                <w:szCs w:val="14"/>
                <w:color w:val="auto"/>
              </w:rPr>
              <w:t>Great-West Lifeco Inc. (financial services)</w:t>
            </w:r>
          </w:p>
        </w:tc>
        <w:tc>
          <w:tcPr>
            <w:tcW w:w="2180" w:type="dxa"/>
            <w:vAlign w:val="bottom"/>
          </w:tcPr>
          <w:p>
            <w:pPr>
              <w:ind w:left="400"/>
              <w:spacing w:after="0"/>
              <w:rPr>
                <w:sz w:val="20"/>
                <w:szCs w:val="20"/>
                <w:color w:val="auto"/>
              </w:rPr>
            </w:pPr>
            <w:r>
              <w:rPr>
                <w:rFonts w:ascii="Arial" w:cs="Arial" w:eastAsia="Arial" w:hAnsi="Arial"/>
                <w:sz w:val="14"/>
                <w:szCs w:val="14"/>
                <w:color w:val="auto"/>
              </w:rPr>
              <w:t>TSX</w:t>
            </w:r>
          </w:p>
        </w:tc>
        <w:tc>
          <w:tcPr>
            <w:tcW w:w="3020" w:type="dxa"/>
            <w:vAlign w:val="bottom"/>
          </w:tcPr>
          <w:p>
            <w:pPr>
              <w:ind w:left="720"/>
              <w:spacing w:after="0"/>
              <w:rPr>
                <w:sz w:val="20"/>
                <w:szCs w:val="20"/>
                <w:color w:val="auto"/>
              </w:rPr>
            </w:pPr>
            <w:r>
              <w:rPr>
                <w:rFonts w:ascii="Arial" w:cs="Arial" w:eastAsia="Arial" w:hAnsi="Arial"/>
                <w:sz w:val="14"/>
                <w:szCs w:val="14"/>
                <w:color w:val="auto"/>
              </w:rPr>
              <w:t>Audit (Chair)</w:t>
            </w:r>
          </w:p>
        </w:tc>
      </w:tr>
      <w:tr>
        <w:trPr>
          <w:trHeight w:val="203"/>
        </w:trPr>
        <w:tc>
          <w:tcPr>
            <w:tcW w:w="3080" w:type="dxa"/>
            <w:vAlign w:val="bottom"/>
          </w:tcPr>
          <w:p>
            <w:pPr>
              <w:ind w:left="20"/>
              <w:spacing w:after="0"/>
              <w:rPr>
                <w:sz w:val="20"/>
                <w:szCs w:val="20"/>
                <w:color w:val="auto"/>
              </w:rPr>
            </w:pPr>
            <w:r>
              <w:rPr>
                <w:rFonts w:ascii="Arial" w:cs="Arial" w:eastAsia="Arial" w:hAnsi="Arial"/>
                <w:sz w:val="14"/>
                <w:szCs w:val="14"/>
                <w:color w:val="auto"/>
              </w:rPr>
              <w:t>(since May 2014)</w:t>
            </w:r>
          </w:p>
        </w:tc>
        <w:tc>
          <w:tcPr>
            <w:tcW w:w="2180" w:type="dxa"/>
            <w:vAlign w:val="bottom"/>
          </w:tcPr>
          <w:p>
            <w:pPr>
              <w:spacing w:after="0"/>
              <w:rPr>
                <w:sz w:val="17"/>
                <w:szCs w:val="17"/>
                <w:color w:val="auto"/>
              </w:rPr>
            </w:pPr>
          </w:p>
        </w:tc>
        <w:tc>
          <w:tcPr>
            <w:tcW w:w="3020" w:type="dxa"/>
            <w:vAlign w:val="bottom"/>
          </w:tcPr>
          <w:p>
            <w:pPr>
              <w:ind w:left="720"/>
              <w:spacing w:after="0"/>
              <w:rPr>
                <w:sz w:val="20"/>
                <w:szCs w:val="20"/>
                <w:color w:val="auto"/>
              </w:rPr>
            </w:pPr>
            <w:r>
              <w:rPr>
                <w:rFonts w:ascii="Arial" w:cs="Arial" w:eastAsia="Arial" w:hAnsi="Arial"/>
                <w:sz w:val="14"/>
                <w:szCs w:val="14"/>
                <w:color w:val="auto"/>
              </w:rPr>
              <w:t>Risk</w:t>
            </w:r>
          </w:p>
        </w:tc>
      </w:tr>
      <w:tr>
        <w:trPr>
          <w:trHeight w:val="213"/>
        </w:trPr>
        <w:tc>
          <w:tcPr>
            <w:tcW w:w="3080" w:type="dxa"/>
            <w:vAlign w:val="bottom"/>
          </w:tcPr>
          <w:p>
            <w:pPr>
              <w:ind w:left="20"/>
              <w:spacing w:after="0"/>
              <w:rPr>
                <w:sz w:val="20"/>
                <w:szCs w:val="20"/>
                <w:color w:val="auto"/>
              </w:rPr>
            </w:pPr>
            <w:r>
              <w:rPr>
                <w:rFonts w:ascii="Arial" w:cs="Arial" w:eastAsia="Arial" w:hAnsi="Arial"/>
                <w:sz w:val="14"/>
                <w:szCs w:val="14"/>
                <w:color w:val="auto"/>
              </w:rPr>
              <w:t>Power Corporation of Canada</w:t>
            </w:r>
          </w:p>
        </w:tc>
        <w:tc>
          <w:tcPr>
            <w:tcW w:w="2180" w:type="dxa"/>
            <w:vAlign w:val="bottom"/>
          </w:tcPr>
          <w:p>
            <w:pPr>
              <w:ind w:left="400"/>
              <w:spacing w:after="0"/>
              <w:rPr>
                <w:sz w:val="20"/>
                <w:szCs w:val="20"/>
                <w:color w:val="auto"/>
              </w:rPr>
            </w:pPr>
            <w:r>
              <w:rPr>
                <w:rFonts w:ascii="Arial" w:cs="Arial" w:eastAsia="Arial" w:hAnsi="Arial"/>
                <w:sz w:val="14"/>
                <w:szCs w:val="14"/>
                <w:color w:val="auto"/>
              </w:rPr>
              <w:t>TSX</w:t>
            </w:r>
          </w:p>
        </w:tc>
        <w:tc>
          <w:tcPr>
            <w:tcW w:w="3020" w:type="dxa"/>
            <w:vAlign w:val="bottom"/>
          </w:tcPr>
          <w:p>
            <w:pPr>
              <w:ind w:left="720"/>
              <w:spacing w:after="0"/>
              <w:rPr>
                <w:sz w:val="20"/>
                <w:szCs w:val="20"/>
                <w:color w:val="auto"/>
              </w:rPr>
            </w:pPr>
            <w:r>
              <w:rPr>
                <w:rFonts w:ascii="Arial" w:cs="Arial" w:eastAsia="Arial" w:hAnsi="Arial"/>
                <w:sz w:val="14"/>
                <w:szCs w:val="14"/>
                <w:color w:val="auto"/>
              </w:rPr>
              <w:t>Audit (Chair)</w:t>
            </w: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(financial services) (since May 2020)</w:t>
            </w:r>
          </w:p>
        </w:tc>
        <w:tc>
          <w:tcPr>
            <w:tcW w:w="218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200"/>
        </w:trPr>
        <w:tc>
          <w:tcPr>
            <w:tcW w:w="3080" w:type="dxa"/>
            <w:vAlign w:val="bottom"/>
          </w:tcPr>
          <w:p>
            <w:pPr>
              <w:ind w:left="20"/>
              <w:spacing w:after="0"/>
              <w:rPr>
                <w:sz w:val="20"/>
                <w:szCs w:val="20"/>
                <w:color w:val="auto"/>
              </w:rPr>
            </w:pPr>
            <w:r>
              <w:rPr>
                <w:rFonts w:ascii="Arial" w:cs="Arial" w:eastAsia="Arial" w:hAnsi="Arial"/>
                <w:sz w:val="14"/>
                <w:szCs w:val="14"/>
                <w:color w:val="auto"/>
              </w:rPr>
              <w:t>RioCan Real Estate Investment Trust</w:t>
            </w:r>
          </w:p>
        </w:tc>
        <w:tc>
          <w:tcPr>
            <w:tcW w:w="2180" w:type="dxa"/>
            <w:vAlign w:val="bottom"/>
          </w:tcPr>
          <w:p>
            <w:pPr>
              <w:ind w:left="400"/>
              <w:spacing w:after="0"/>
              <w:rPr>
                <w:sz w:val="20"/>
                <w:szCs w:val="20"/>
                <w:color w:val="auto"/>
              </w:rPr>
            </w:pPr>
            <w:r>
              <w:rPr>
                <w:rFonts w:ascii="Arial" w:cs="Arial" w:eastAsia="Arial" w:hAnsi="Arial"/>
                <w:sz w:val="14"/>
                <w:szCs w:val="14"/>
                <w:color w:val="auto"/>
              </w:rPr>
              <w:t>TSX</w:t>
            </w:r>
          </w:p>
        </w:tc>
        <w:tc>
          <w:tcPr>
            <w:tcW w:w="3020" w:type="dxa"/>
            <w:vAlign w:val="bottom"/>
          </w:tcPr>
          <w:p>
            <w:pPr>
              <w:ind w:left="720"/>
              <w:spacing w:after="0"/>
              <w:rPr>
                <w:sz w:val="20"/>
                <w:szCs w:val="20"/>
                <w:color w:val="auto"/>
              </w:rPr>
            </w:pPr>
            <w:r>
              <w:rPr>
                <w:rFonts w:ascii="Arial" w:cs="Arial" w:eastAsia="Arial" w:hAnsi="Arial"/>
                <w:sz w:val="14"/>
                <w:szCs w:val="14"/>
                <w:color w:val="auto"/>
              </w:rPr>
              <w:t>Nominating, Environmental, Social</w:t>
            </w:r>
          </w:p>
        </w:tc>
      </w:tr>
      <w:tr>
        <w:trPr>
          <w:trHeight w:val="175"/>
        </w:trPr>
        <w:tc>
          <w:tcPr>
            <w:tcW w:w="3080" w:type="dxa"/>
            <w:vAlign w:val="bottom"/>
          </w:tcPr>
          <w:p>
            <w:pPr>
              <w:ind w:left="20"/>
              <w:spacing w:after="0"/>
              <w:rPr>
                <w:sz w:val="20"/>
                <w:szCs w:val="20"/>
                <w:color w:val="auto"/>
              </w:rPr>
            </w:pPr>
            <w:r>
              <w:rPr>
                <w:rFonts w:ascii="Arial" w:cs="Arial" w:eastAsia="Arial" w:hAnsi="Arial"/>
                <w:sz w:val="14"/>
                <w:szCs w:val="14"/>
                <w:color w:val="auto"/>
              </w:rPr>
              <w:t>(real estate) (since May 2017)</w:t>
            </w:r>
          </w:p>
        </w:tc>
        <w:tc>
          <w:tcPr>
            <w:tcW w:w="2180" w:type="dxa"/>
            <w:vAlign w:val="bottom"/>
          </w:tcPr>
          <w:p>
            <w:pPr>
              <w:spacing w:after="0"/>
              <w:rPr>
                <w:sz w:val="15"/>
                <w:szCs w:val="15"/>
                <w:color w:val="auto"/>
              </w:rPr>
            </w:pPr>
          </w:p>
        </w:tc>
        <w:tc>
          <w:tcPr>
            <w:tcW w:w="3020" w:type="dxa"/>
            <w:vAlign w:val="bottom"/>
          </w:tcPr>
          <w:p>
            <w:pPr>
              <w:ind w:left="720"/>
              <w:spacing w:after="0"/>
              <w:rPr>
                <w:sz w:val="20"/>
                <w:szCs w:val="20"/>
                <w:color w:val="auto"/>
              </w:rPr>
            </w:pPr>
            <w:r>
              <w:rPr>
                <w:rFonts w:ascii="Arial" w:cs="Arial" w:eastAsia="Arial" w:hAnsi="Arial"/>
                <w:sz w:val="14"/>
                <w:szCs w:val="14"/>
                <w:color w:val="auto"/>
              </w:rPr>
              <w:t>and Governance (Chair)</w:t>
            </w:r>
          </w:p>
        </w:tc>
      </w:tr>
      <w:tr>
        <w:trPr>
          <w:trHeight w:val="175"/>
        </w:trPr>
        <w:tc>
          <w:tcPr>
            <w:tcW w:w="30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20" w:type="dxa"/>
            <w:vAlign w:val="bottom"/>
          </w:tcPr>
          <w:p>
            <w:pPr>
              <w:ind w:left="720"/>
              <w:spacing w:after="0"/>
              <w:rPr>
                <w:sz w:val="20"/>
                <w:szCs w:val="20"/>
                <w:color w:val="auto"/>
              </w:rPr>
            </w:pPr>
            <w:r>
              <w:rPr>
                <w:rFonts w:ascii="Arial" w:cs="Arial" w:eastAsia="Arial" w:hAnsi="Arial"/>
                <w:sz w:val="14"/>
                <w:szCs w:val="14"/>
                <w:color w:val="auto"/>
              </w:rPr>
              <w:t>Audit</w:t>
            </w:r>
          </w:p>
        </w:tc>
      </w:tr>
      <w:tr>
        <w:trPr>
          <w:trHeight w:val="190"/>
        </w:trPr>
        <w:tc>
          <w:tcPr>
            <w:tcW w:w="30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20" w:type="dxa"/>
            <w:vAlign w:val="bottom"/>
          </w:tcPr>
          <w:p>
            <w:pPr>
              <w:ind w:left="720"/>
              <w:spacing w:after="0"/>
              <w:rPr>
                <w:sz w:val="20"/>
                <w:szCs w:val="20"/>
                <w:color w:val="auto"/>
              </w:rPr>
            </w:pPr>
            <w:r>
              <w:rPr>
                <w:rFonts w:ascii="Arial" w:cs="Arial" w:eastAsia="Arial" w:hAnsi="Arial"/>
                <w:sz w:val="14"/>
                <w:szCs w:val="14"/>
                <w:color w:val="auto"/>
              </w:rPr>
              <w:t>People, Culture and Compensation</w:t>
            </w: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60" w:type="dxa"/>
            <w:vAlign w:val="bottom"/>
            <w:tcBorders>
              <w:top w:val="single" w:sz="8" w:color="0D64EF"/>
            </w:tcBorders>
            <w:shd w:val="clear" w:color="auto" w:fill="D1D0CF"/>
          </w:tcPr>
          <w:p>
            <w:pPr>
              <w:spacing w:after="0"/>
              <w:rPr>
                <w:sz w:val="14"/>
                <w:szCs w:val="14"/>
                <w:color w:val="auto"/>
              </w:rPr>
            </w:pPr>
          </w:p>
        </w:tc>
        <w:tc>
          <w:tcPr>
            <w:tcW w:w="1960" w:type="dxa"/>
            <w:vAlign w:val="bottom"/>
            <w:tcBorders>
              <w:top w:val="single" w:sz="8" w:color="0D64EF"/>
            </w:tcBorders>
            <w:shd w:val="clear" w:color="auto" w:fill="D1D0CF"/>
          </w:tcPr>
          <w:p>
            <w:pPr>
              <w:spacing w:after="0"/>
              <w:rPr>
                <w:sz w:val="14"/>
                <w:szCs w:val="14"/>
                <w:color w:val="auto"/>
              </w:rPr>
            </w:pPr>
          </w:p>
        </w:tc>
        <w:tc>
          <w:tcPr>
            <w:tcW w:w="1020" w:type="dxa"/>
            <w:vAlign w:val="bottom"/>
            <w:tcBorders>
              <w:top w:val="single" w:sz="8" w:color="0D64EF"/>
            </w:tcBorders>
            <w:shd w:val="clear" w:color="auto" w:fill="D1D0CF"/>
          </w:tcPr>
          <w:p>
            <w:pPr>
              <w:spacing w:after="0"/>
              <w:rPr>
                <w:sz w:val="14"/>
                <w:szCs w:val="14"/>
                <w:color w:val="auto"/>
              </w:rPr>
            </w:pPr>
          </w:p>
        </w:tc>
        <w:tc>
          <w:tcPr>
            <w:tcW w:w="2440" w:type="dxa"/>
            <w:vAlign w:val="bottom"/>
            <w:tcBorders>
              <w:top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Meets share ownership</w:t>
            </w:r>
          </w:p>
        </w:tc>
      </w:tr>
      <w:tr>
        <w:trPr>
          <w:trHeight w:val="210"/>
        </w:trPr>
        <w:tc>
          <w:tcPr>
            <w:tcW w:w="28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960" w:type="dxa"/>
            <w:vAlign w:val="bottom"/>
            <w:tcBorders>
              <w:bottom w:val="single" w:sz="8" w:color="0D64EF"/>
            </w:tcBorders>
            <w:shd w:val="clear" w:color="auto" w:fill="D1D0CF"/>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r>
      <w:tr>
        <w:trPr>
          <w:trHeight w:val="228"/>
        </w:trPr>
        <w:tc>
          <w:tcPr>
            <w:tcW w:w="2860" w:type="dxa"/>
            <w:vAlign w:val="bottom"/>
          </w:tcPr>
          <w:p>
            <w:pPr>
              <w:ind w:left="20"/>
              <w:spacing w:after="0"/>
              <w:rPr>
                <w:sz w:val="20"/>
                <w:szCs w:val="20"/>
                <w:color w:val="auto"/>
              </w:rPr>
            </w:pPr>
            <w:r>
              <w:rPr>
                <w:rFonts w:ascii="Arial" w:cs="Arial" w:eastAsia="Arial" w:hAnsi="Arial"/>
                <w:sz w:val="14"/>
                <w:szCs w:val="14"/>
                <w:color w:val="auto"/>
              </w:rPr>
              <w:t>Shares</w:t>
            </w:r>
          </w:p>
        </w:tc>
        <w:tc>
          <w:tcPr>
            <w:tcW w:w="1960" w:type="dxa"/>
            <w:vAlign w:val="bottom"/>
          </w:tcPr>
          <w:p>
            <w:pPr>
              <w:jc w:val="right"/>
              <w:ind w:right="308"/>
              <w:spacing w:after="0"/>
              <w:rPr>
                <w:sz w:val="20"/>
                <w:szCs w:val="20"/>
                <w:color w:val="auto"/>
              </w:rPr>
            </w:pPr>
            <w:r>
              <w:rPr>
                <w:rFonts w:ascii="Arial" w:cs="Arial" w:eastAsia="Arial" w:hAnsi="Arial"/>
                <w:sz w:val="14"/>
                <w:szCs w:val="14"/>
                <w:color w:val="auto"/>
              </w:rPr>
              <w:t>12,000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52,000</w:t>
            </w:r>
          </w:p>
        </w:tc>
        <w:tc>
          <w:tcPr>
            <w:tcW w:w="2440" w:type="dxa"/>
            <w:vAlign w:val="bottom"/>
          </w:tcPr>
          <w:p>
            <w:pPr>
              <w:ind w:left="140"/>
              <w:spacing w:after="0"/>
              <w:rPr>
                <w:sz w:val="20"/>
                <w:szCs w:val="20"/>
                <w:color w:val="auto"/>
              </w:rPr>
            </w:pPr>
            <w:r>
              <w:rPr>
                <w:rFonts w:ascii="Arial" w:cs="Arial" w:eastAsia="Arial" w:hAnsi="Arial"/>
                <w:sz w:val="14"/>
                <w:szCs w:val="14"/>
                <w:color w:val="auto"/>
              </w:rPr>
              <w:t>Yes</w:t>
            </w:r>
          </w:p>
        </w:tc>
      </w:tr>
      <w:tr>
        <w:trPr>
          <w:trHeight w:val="228"/>
        </w:trPr>
        <w:tc>
          <w:tcPr>
            <w:tcW w:w="2860" w:type="dxa"/>
            <w:vAlign w:val="bottom"/>
          </w:tcPr>
          <w:p>
            <w:pPr>
              <w:ind w:left="20"/>
              <w:spacing w:after="0"/>
              <w:rPr>
                <w:sz w:val="20"/>
                <w:szCs w:val="20"/>
                <w:color w:val="auto"/>
              </w:rPr>
            </w:pPr>
            <w:r>
              <w:rPr>
                <w:rFonts w:ascii="Arial" w:cs="Arial" w:eastAsia="Arial" w:hAnsi="Arial"/>
                <w:sz w:val="14"/>
                <w:szCs w:val="14"/>
                <w:color w:val="auto"/>
              </w:rPr>
              <w:t>DSUs</w:t>
            </w:r>
          </w:p>
        </w:tc>
        <w:tc>
          <w:tcPr>
            <w:tcW w:w="1960" w:type="dxa"/>
            <w:vAlign w:val="bottom"/>
          </w:tcPr>
          <w:p>
            <w:pPr>
              <w:jc w:val="right"/>
              <w:ind w:right="308"/>
              <w:spacing w:after="0"/>
              <w:rPr>
                <w:sz w:val="20"/>
                <w:szCs w:val="20"/>
                <w:color w:val="auto"/>
              </w:rPr>
            </w:pPr>
            <w:r>
              <w:rPr>
                <w:rFonts w:ascii="Arial" w:cs="Arial" w:eastAsia="Arial" w:hAnsi="Arial"/>
                <w:sz w:val="14"/>
                <w:szCs w:val="14"/>
                <w:color w:val="auto"/>
              </w:rPr>
              <w:t>134,627</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122,824</w:t>
            </w:r>
          </w:p>
        </w:tc>
        <w:tc>
          <w:tcPr>
            <w:tcW w:w="2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2460" w:space="500"/>
            <w:col w:w="8280"/>
          </w:cols>
          <w:pgMar w:left="320" w:top="10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34" w:right="339" w:bottom="1440" w:gutter="0" w:footer="0" w:header="0"/>
          <w:type w:val="continuous"/>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40" w:hanging="135"/>
        <w:spacing w:after="0"/>
        <w:tabs>
          <w:tab w:leader="none" w:pos="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Accounting/Audit</w:t>
      </w:r>
    </w:p>
    <w:p>
      <w:pPr>
        <w:spacing w:after="0" w:line="53" w:lineRule="exact"/>
        <w:rPr>
          <w:rFonts w:ascii="Arial" w:cs="Arial" w:eastAsia="Arial" w:hAnsi="Arial"/>
          <w:sz w:val="14"/>
          <w:szCs w:val="14"/>
          <w:color w:val="auto"/>
        </w:rPr>
      </w:pPr>
    </w:p>
    <w:p>
      <w:pPr>
        <w:ind w:left="140" w:hanging="135"/>
        <w:spacing w:after="0"/>
        <w:tabs>
          <w:tab w:leader="none" w:pos="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CEO</w:t>
      </w:r>
    </w:p>
    <w:p>
      <w:pPr>
        <w:spacing w:after="0" w:line="67" w:lineRule="exact"/>
        <w:rPr>
          <w:rFonts w:ascii="Arial" w:cs="Arial" w:eastAsia="Arial" w:hAnsi="Arial"/>
          <w:sz w:val="14"/>
          <w:szCs w:val="14"/>
          <w:color w:val="auto"/>
        </w:rPr>
      </w:pPr>
    </w:p>
    <w:p>
      <w:pPr>
        <w:ind w:left="160" w:hanging="155"/>
        <w:spacing w:after="0" w:line="300" w:lineRule="auto"/>
        <w:tabs>
          <w:tab w:leader="none" w:pos="143" w:val="left"/>
        </w:tabs>
        <w:numPr>
          <w:ilvl w:val="0"/>
          <w:numId w:val="49"/>
        </w:numPr>
        <w:rPr>
          <w:rFonts w:ascii="Arial" w:cs="Arial" w:eastAsia="Arial" w:hAnsi="Arial"/>
          <w:sz w:val="14"/>
          <w:szCs w:val="14"/>
          <w:color w:val="auto"/>
        </w:rPr>
      </w:pPr>
      <w:r>
        <w:rPr>
          <w:rFonts w:ascii="Arial" w:cs="Arial" w:eastAsia="Arial" w:hAnsi="Arial"/>
          <w:sz w:val="14"/>
          <w:szCs w:val="14"/>
          <w:color w:val="auto"/>
        </w:rPr>
        <w:t>Electric Power &amp; Electrification Value Chain</w:t>
      </w:r>
    </w:p>
    <w:p>
      <w:pPr>
        <w:ind w:left="140" w:hanging="135"/>
        <w:spacing w:after="0"/>
        <w:tabs>
          <w:tab w:leader="none" w:pos="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Energy, Pipelines &amp; Midstream</w:t>
      </w:r>
    </w:p>
    <w:p>
      <w:pPr>
        <w:spacing w:after="0" w:line="67" w:lineRule="exact"/>
        <w:rPr>
          <w:rFonts w:ascii="Arial" w:cs="Arial" w:eastAsia="Arial" w:hAnsi="Arial"/>
          <w:sz w:val="14"/>
          <w:szCs w:val="14"/>
          <w:color w:val="auto"/>
        </w:rPr>
      </w:pPr>
    </w:p>
    <w:p>
      <w:pPr>
        <w:ind w:left="140" w:hanging="135"/>
        <w:spacing w:after="0"/>
        <w:tabs>
          <w:tab w:leader="none" w:pos="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Governance</w:t>
      </w:r>
    </w:p>
    <w:p>
      <w:pPr>
        <w:spacing w:after="0" w:line="53" w:lineRule="exact"/>
        <w:rPr>
          <w:rFonts w:ascii="Arial" w:cs="Arial" w:eastAsia="Arial" w:hAnsi="Arial"/>
          <w:sz w:val="14"/>
          <w:szCs w:val="14"/>
          <w:color w:val="auto"/>
        </w:rPr>
      </w:pPr>
    </w:p>
    <w:p>
      <w:pPr>
        <w:ind w:left="140" w:hanging="135"/>
        <w:spacing w:after="0"/>
        <w:tabs>
          <w:tab w:leader="none" w:pos="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Human Resources &amp; Compensation</w:t>
      </w:r>
    </w:p>
    <w:p>
      <w:pPr>
        <w:spacing w:after="0" w:line="67" w:lineRule="exact"/>
        <w:rPr>
          <w:rFonts w:ascii="Arial" w:cs="Arial" w:eastAsia="Arial" w:hAnsi="Arial"/>
          <w:sz w:val="14"/>
          <w:szCs w:val="14"/>
          <w:color w:val="auto"/>
        </w:rPr>
      </w:pPr>
    </w:p>
    <w:p>
      <w:pPr>
        <w:ind w:left="140" w:hanging="135"/>
        <w:spacing w:after="0"/>
        <w:tabs>
          <w:tab w:leader="none" w:pos="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Major Projects</w:t>
      </w:r>
    </w:p>
    <w:p>
      <w:pPr>
        <w:spacing w:after="0" w:line="53" w:lineRule="exact"/>
        <w:rPr>
          <w:rFonts w:ascii="Arial" w:cs="Arial" w:eastAsia="Arial" w:hAnsi="Arial"/>
          <w:sz w:val="14"/>
          <w:szCs w:val="14"/>
          <w:color w:val="auto"/>
        </w:rPr>
      </w:pPr>
    </w:p>
    <w:p>
      <w:pPr>
        <w:ind w:left="140" w:hanging="135"/>
        <w:spacing w:after="0"/>
        <w:tabs>
          <w:tab w:leader="none" w:pos="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$5,923,858</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TC Energy</w:t>
      </w:r>
    </w:p>
    <w:p>
      <w:pPr>
        <w:spacing w:after="0" w:line="236" w:lineRule="auto"/>
        <w:rPr>
          <w:sz w:val="20"/>
          <w:szCs w:val="20"/>
          <w:color w:val="auto"/>
        </w:rPr>
      </w:pPr>
      <w:r>
        <w:rPr>
          <w:rFonts w:ascii="Arial" w:cs="Arial" w:eastAsia="Arial" w:hAnsi="Arial"/>
          <w:sz w:val="16"/>
          <w:szCs w:val="16"/>
          <w:b w:val="1"/>
          <w:bCs w:val="1"/>
          <w:color w:val="0D64EF"/>
        </w:rPr>
        <w:t>Board/Committees</w:t>
      </w:r>
    </w:p>
    <w:p>
      <w:pPr>
        <w:spacing w:after="0"/>
        <w:rPr>
          <w:sz w:val="20"/>
          <w:szCs w:val="20"/>
          <w:color w:val="auto"/>
        </w:rPr>
      </w:pPr>
      <w:r>
        <w:rPr>
          <w:rFonts w:ascii="Arial" w:cs="Arial" w:eastAsia="Arial" w:hAnsi="Arial"/>
          <w:sz w:val="16"/>
          <w:szCs w:val="16"/>
          <w:b w:val="1"/>
          <w:bCs w:val="1"/>
          <w:color w:val="0D64EF"/>
        </w:rPr>
        <w:t>2025 meeting attendance</w:t>
      </w:r>
    </w:p>
    <w:p>
      <w:pPr>
        <w:spacing w:after="0" w:line="47" w:lineRule="exact"/>
        <w:rPr>
          <w:sz w:val="20"/>
          <w:szCs w:val="20"/>
          <w:color w:val="auto"/>
        </w:rPr>
      </w:pPr>
    </w:p>
    <w:p>
      <w:pPr>
        <w:ind w:left="160" w:right="1000" w:hanging="155"/>
        <w:spacing w:after="0" w:line="330" w:lineRule="auto"/>
        <w:tabs>
          <w:tab w:leader="none" w:pos="143" w:val="left"/>
        </w:tabs>
        <w:numPr>
          <w:ilvl w:val="0"/>
          <w:numId w:val="50"/>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ind w:left="160" w:right="340" w:hanging="155"/>
        <w:spacing w:after="0" w:line="330" w:lineRule="auto"/>
        <w:tabs>
          <w:tab w:leader="none" w:pos="143" w:val="left"/>
        </w:tabs>
        <w:numPr>
          <w:ilvl w:val="0"/>
          <w:numId w:val="50"/>
        </w:numPr>
        <w:rPr>
          <w:rFonts w:ascii="Arial" w:cs="Arial" w:eastAsia="Arial" w:hAnsi="Arial"/>
          <w:sz w:val="14"/>
          <w:szCs w:val="14"/>
          <w:color w:val="auto"/>
        </w:rPr>
      </w:pPr>
      <w:r>
        <w:rPr>
          <w:rFonts w:ascii="Arial" w:cs="Arial" w:eastAsia="Arial" w:hAnsi="Arial"/>
          <w:sz w:val="14"/>
          <w:szCs w:val="14"/>
          <w:color w:val="auto"/>
        </w:rPr>
        <w:t>Governance Committee (Chair) 4/4 meetings (100%)</w:t>
      </w:r>
    </w:p>
    <w:p>
      <w:pPr>
        <w:ind w:left="160" w:right="240" w:hanging="155"/>
        <w:spacing w:after="0" w:line="310" w:lineRule="auto"/>
        <w:tabs>
          <w:tab w:leader="none" w:pos="143" w:val="left"/>
        </w:tabs>
        <w:numPr>
          <w:ilvl w:val="0"/>
          <w:numId w:val="50"/>
        </w:numPr>
        <w:rPr>
          <w:rFonts w:ascii="Arial" w:cs="Arial" w:eastAsia="Arial" w:hAnsi="Arial"/>
          <w:sz w:val="14"/>
          <w:szCs w:val="14"/>
          <w:color w:val="auto"/>
        </w:rPr>
      </w:pPr>
      <w:r>
        <w:rPr>
          <w:rFonts w:ascii="Arial" w:cs="Arial" w:eastAsia="Arial" w:hAnsi="Arial"/>
          <w:sz w:val="14"/>
          <w:szCs w:val="14"/>
          <w:color w:val="auto"/>
        </w:rPr>
        <w:t>Health, Safety, Sustainability and Environment Committee</w:t>
      </w:r>
    </w:p>
    <w:p>
      <w:pPr>
        <w:ind w:left="160"/>
        <w:spacing w:after="0"/>
        <w:rPr>
          <w:rFonts w:ascii="Arial" w:cs="Arial" w:eastAsia="Arial" w:hAnsi="Arial"/>
          <w:sz w:val="14"/>
          <w:szCs w:val="14"/>
          <w:color w:val="auto"/>
        </w:rPr>
      </w:pPr>
      <w:r>
        <w:rPr>
          <w:rFonts w:ascii="Arial" w:cs="Arial" w:eastAsia="Arial" w:hAnsi="Arial"/>
          <w:sz w:val="14"/>
          <w:szCs w:val="14"/>
          <w:color w:val="auto"/>
        </w:rPr>
        <w:t>4/4 meetings (100%)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Thierry Vandal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-190500</wp:posOffset>
            </wp:positionV>
            <wp:extent cx="8255" cy="7807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780732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65, MAMARONECK, NY, U.S.A | DIRECTOR SINCE 2017</w:t>
      </w:r>
    </w:p>
    <w:p>
      <w:pPr>
        <w:spacing w:after="0" w:line="364" w:lineRule="exact"/>
        <w:rPr>
          <w:sz w:val="20"/>
          <w:szCs w:val="20"/>
          <w:color w:val="auto"/>
        </w:rPr>
      </w:pPr>
    </w:p>
    <w:p>
      <w:pPr>
        <w:ind w:left="20" w:right="80"/>
        <w:spacing w:after="0" w:line="316" w:lineRule="auto"/>
        <w:rPr>
          <w:sz w:val="20"/>
          <w:szCs w:val="20"/>
          <w:color w:val="auto"/>
        </w:rPr>
      </w:pPr>
      <w:r>
        <w:rPr>
          <w:rFonts w:ascii="Arial" w:cs="Arial" w:eastAsia="Arial" w:hAnsi="Arial"/>
          <w:sz w:val="16"/>
          <w:szCs w:val="16"/>
          <w:color w:val="auto"/>
        </w:rPr>
        <w:t>Mr. Vandal is the President of Axium Infrastructure U.S., Inc. (independent infrastructure fund management firm) and currently serves on the board of directors for Axium Infrastructure Inc. (infrastructure fund management) since August 2015 and The Royal Bank of Canada (chartered bank) since August 2015. He is also Governor Emeritus at McGill University.</w:t>
      </w:r>
    </w:p>
    <w:p>
      <w:pPr>
        <w:spacing w:after="0" w:line="66" w:lineRule="exact"/>
        <w:rPr>
          <w:sz w:val="20"/>
          <w:szCs w:val="20"/>
          <w:color w:val="auto"/>
        </w:rPr>
      </w:pPr>
    </w:p>
    <w:p>
      <w:pPr>
        <w:ind w:left="20" w:right="60"/>
        <w:spacing w:after="0" w:line="310" w:lineRule="auto"/>
        <w:rPr>
          <w:sz w:val="20"/>
          <w:szCs w:val="20"/>
          <w:color w:val="auto"/>
        </w:rPr>
      </w:pPr>
      <w:r>
        <w:rPr>
          <w:rFonts w:ascii="Arial" w:cs="Arial" w:eastAsia="Arial" w:hAnsi="Arial"/>
          <w:sz w:val="16"/>
          <w:szCs w:val="16"/>
          <w:color w:val="auto"/>
        </w:rPr>
        <w:t>Mr. Vandal previously served as President and Chief Executive Officer for Hydro-Québec (electric utility) from 2005 to May 2015. He has also served as a director for École des Hautes Etudes Commerciales de Montréal (HEC Montréal) from 2006 to October 2017, director for Veresen Inc. (energy infrastructure) from 2015 to July 2017, Chairman of BioFuelNet Canada (biofuels industry) from 2013 to 2015, Chairman of the Conference Board of Canada from 2009 to 2010 and was a McGill University Governor from 2006 to 2017 as well as Chair of its Finance Committee from 2010 to 2017. He also served on the international advisory boards of HEC Montréal from 2017 to 2022 and McGill University from 2019 to 2022.</w:t>
      </w:r>
    </w:p>
    <w:p>
      <w:pPr>
        <w:spacing w:after="0" w:line="70" w:lineRule="exact"/>
        <w:rPr>
          <w:sz w:val="20"/>
          <w:szCs w:val="20"/>
          <w:color w:val="auto"/>
        </w:rPr>
      </w:pPr>
    </w:p>
    <w:p>
      <w:pPr>
        <w:ind w:left="20" w:right="180"/>
        <w:spacing w:after="0" w:line="316" w:lineRule="auto"/>
        <w:rPr>
          <w:sz w:val="20"/>
          <w:szCs w:val="20"/>
          <w:color w:val="auto"/>
        </w:rPr>
      </w:pPr>
      <w:r>
        <w:rPr>
          <w:rFonts w:ascii="Arial" w:cs="Arial" w:eastAsia="Arial" w:hAnsi="Arial"/>
          <w:sz w:val="16"/>
          <w:szCs w:val="16"/>
          <w:color w:val="auto"/>
        </w:rPr>
        <w:t>Mr. Vandal holds a Bachelor of Engineering degree from École Polytechnique de Montréal and a Master of Business Administration in finance from HEC Montréal. In 2012, he was named Canadian Energy Person of the Year by the Canadian Energy Council. He was also awarded an honorary doctorate by the Université de Montréal in 2007.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3060" w:type="dxa"/>
            <w:vAlign w:val="bottom"/>
            <w:tcBorders>
              <w:top w:val="single" w:sz="8" w:color="0D64EF"/>
              <w:bottom w:val="single" w:sz="8" w:color="0D64EF"/>
            </w:tcBorders>
            <w:shd w:val="clear" w:color="auto" w:fill="D1D0CF"/>
          </w:tcPr>
          <w:p>
            <w:pPr>
              <w:jc w:val="right"/>
              <w:ind w:right="1268"/>
              <w:spacing w:after="0"/>
              <w:rPr>
                <w:sz w:val="20"/>
                <w:szCs w:val="20"/>
                <w:color w:val="auto"/>
              </w:rPr>
            </w:pPr>
            <w:r>
              <w:rPr>
                <w:rFonts w:ascii="Arial" w:cs="Arial" w:eastAsia="Arial" w:hAnsi="Arial"/>
                <w:sz w:val="14"/>
                <w:szCs w:val="14"/>
                <w:b w:val="1"/>
                <w:bCs w:val="1"/>
                <w:color w:val="auto"/>
              </w:rPr>
              <w:t>Votes in favour</w:t>
            </w:r>
          </w:p>
        </w:tc>
        <w:tc>
          <w:tcPr>
            <w:tcW w:w="2440" w:type="dxa"/>
            <w:vAlign w:val="bottom"/>
            <w:tcBorders>
              <w:top w:val="single" w:sz="8" w:color="0D64EF"/>
              <w:bottom w:val="single" w:sz="8" w:color="0D64EF"/>
            </w:tcBorders>
            <w:shd w:val="clear" w:color="auto" w:fill="D1D0CF"/>
          </w:tcPr>
          <w:p>
            <w:pPr>
              <w:jc w:val="right"/>
              <w:ind w:right="1308"/>
              <w:spacing w:after="0"/>
              <w:rPr>
                <w:sz w:val="20"/>
                <w:szCs w:val="20"/>
                <w:color w:val="auto"/>
              </w:rPr>
            </w:pPr>
            <w:r>
              <w:rPr>
                <w:rFonts w:ascii="Arial" w:cs="Arial" w:eastAsia="Arial" w:hAnsi="Arial"/>
                <w:sz w:val="14"/>
                <w:szCs w:val="14"/>
                <w:b w:val="1"/>
                <w:bCs w:val="1"/>
                <w:color w:val="auto"/>
              </w:rPr>
              <w:t>Votes against</w:t>
            </w:r>
          </w:p>
        </w:tc>
      </w:tr>
      <w:tr>
        <w:trPr>
          <w:trHeight w:val="207"/>
        </w:trPr>
        <w:tc>
          <w:tcPr>
            <w:tcW w:w="2780" w:type="dxa"/>
            <w:vAlign w:val="bottom"/>
          </w:tcPr>
          <w:p>
            <w:pPr>
              <w:ind w:left="20"/>
              <w:spacing w:after="0"/>
              <w:rPr>
                <w:sz w:val="20"/>
                <w:szCs w:val="20"/>
                <w:color w:val="auto"/>
              </w:rPr>
            </w:pPr>
            <w:r>
              <w:rPr>
                <w:rFonts w:ascii="Arial" w:cs="Arial" w:eastAsia="Arial" w:hAnsi="Arial"/>
                <w:sz w:val="14"/>
                <w:szCs w:val="14"/>
                <w:color w:val="auto"/>
              </w:rPr>
              <w:t>2025</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668,886,158 (98.64%)</w:t>
            </w:r>
          </w:p>
        </w:tc>
        <w:tc>
          <w:tcPr>
            <w:tcW w:w="2440" w:type="dxa"/>
            <w:vAlign w:val="bottom"/>
          </w:tcPr>
          <w:p>
            <w:pPr>
              <w:jc w:val="right"/>
              <w:spacing w:after="0"/>
              <w:rPr>
                <w:sz w:val="20"/>
                <w:szCs w:val="20"/>
                <w:color w:val="auto"/>
              </w:rPr>
            </w:pPr>
            <w:r>
              <w:rPr>
                <w:rFonts w:ascii="Arial" w:cs="Arial" w:eastAsia="Arial" w:hAnsi="Arial"/>
                <w:sz w:val="14"/>
                <w:szCs w:val="14"/>
                <w:color w:val="auto"/>
              </w:rPr>
              <w:t>9,192,983 (1.36%)</w:t>
            </w:r>
          </w:p>
        </w:tc>
      </w:tr>
      <w:tr>
        <w:trPr>
          <w:trHeight w:val="255"/>
        </w:trPr>
        <w:tc>
          <w:tcPr>
            <w:tcW w:w="2780" w:type="dxa"/>
            <w:vAlign w:val="bottom"/>
          </w:tcPr>
          <w:p>
            <w:pPr>
              <w:ind w:left="20"/>
              <w:spacing w:after="0"/>
              <w:rPr>
                <w:sz w:val="20"/>
                <w:szCs w:val="20"/>
                <w:color w:val="auto"/>
              </w:rPr>
            </w:pPr>
            <w:r>
              <w:rPr>
                <w:rFonts w:ascii="Arial" w:cs="Arial" w:eastAsia="Arial" w:hAnsi="Arial"/>
                <w:sz w:val="14"/>
                <w:szCs w:val="14"/>
                <w:color w:val="auto"/>
              </w:rPr>
              <w:t>2024</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656,168,396 (98.67%)</w:t>
            </w:r>
          </w:p>
        </w:tc>
        <w:tc>
          <w:tcPr>
            <w:tcW w:w="2440" w:type="dxa"/>
            <w:vAlign w:val="bottom"/>
          </w:tcPr>
          <w:p>
            <w:pPr>
              <w:jc w:val="right"/>
              <w:spacing w:after="0"/>
              <w:rPr>
                <w:sz w:val="20"/>
                <w:szCs w:val="20"/>
                <w:color w:val="auto"/>
              </w:rPr>
            </w:pPr>
            <w:r>
              <w:rPr>
                <w:rFonts w:ascii="Arial" w:cs="Arial" w:eastAsia="Arial" w:hAnsi="Arial"/>
                <w:sz w:val="14"/>
                <w:szCs w:val="14"/>
                <w:color w:val="auto"/>
              </w:rPr>
              <w:t>8,857,229 (1.33%)</w:t>
            </w:r>
          </w:p>
        </w:tc>
      </w:tr>
      <w:tr>
        <w:trPr>
          <w:trHeight w:val="255"/>
        </w:trPr>
        <w:tc>
          <w:tcPr>
            <w:tcW w:w="2780" w:type="dxa"/>
            <w:vAlign w:val="bottom"/>
          </w:tcPr>
          <w:p>
            <w:pPr>
              <w:ind w:left="20"/>
              <w:spacing w:after="0"/>
              <w:rPr>
                <w:sz w:val="20"/>
                <w:szCs w:val="20"/>
                <w:color w:val="auto"/>
              </w:rPr>
            </w:pPr>
            <w:r>
              <w:rPr>
                <w:rFonts w:ascii="Arial" w:cs="Arial" w:eastAsia="Arial" w:hAnsi="Arial"/>
                <w:sz w:val="14"/>
                <w:szCs w:val="14"/>
                <w:color w:val="auto"/>
              </w:rPr>
              <w:t>2023</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667,078,800 (98.99%)</w:t>
            </w:r>
          </w:p>
        </w:tc>
        <w:tc>
          <w:tcPr>
            <w:tcW w:w="2440" w:type="dxa"/>
            <w:vAlign w:val="bottom"/>
          </w:tcPr>
          <w:p>
            <w:pPr>
              <w:jc w:val="right"/>
              <w:spacing w:after="0"/>
              <w:rPr>
                <w:sz w:val="20"/>
                <w:szCs w:val="20"/>
                <w:color w:val="auto"/>
              </w:rPr>
            </w:pPr>
            <w:r>
              <w:rPr>
                <w:rFonts w:ascii="Arial" w:cs="Arial" w:eastAsia="Arial" w:hAnsi="Arial"/>
                <w:sz w:val="14"/>
                <w:szCs w:val="14"/>
                <w:color w:val="auto"/>
              </w:rPr>
              <w:t>6,774,508 (1.01%)</w:t>
            </w:r>
          </w:p>
        </w:tc>
      </w:tr>
    </w:tbl>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16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1760" w:type="dxa"/>
            <w:vAlign w:val="bottom"/>
            <w:tcBorders>
              <w:top w:val="single" w:sz="8" w:color="0D64EF"/>
              <w:bottom w:val="single" w:sz="8" w:color="0D64EF"/>
            </w:tcBorders>
            <w:shd w:val="clear" w:color="auto" w:fill="D1D0CF"/>
          </w:tcPr>
          <w:p>
            <w:pPr>
              <w:ind w:left="320"/>
              <w:spacing w:after="0"/>
              <w:rPr>
                <w:sz w:val="20"/>
                <w:szCs w:val="20"/>
                <w:color w:val="auto"/>
              </w:rPr>
            </w:pPr>
            <w:r>
              <w:rPr>
                <w:rFonts w:ascii="Arial" w:cs="Arial" w:eastAsia="Arial" w:hAnsi="Arial"/>
                <w:sz w:val="14"/>
                <w:szCs w:val="14"/>
                <w:b w:val="1"/>
                <w:bCs w:val="1"/>
                <w:color w:val="auto"/>
              </w:rPr>
              <w:t>Stock exchange</w:t>
            </w:r>
          </w:p>
        </w:tc>
        <w:tc>
          <w:tcPr>
            <w:tcW w:w="92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r>
      <w:tr>
        <w:trPr>
          <w:trHeight w:val="179"/>
        </w:trPr>
        <w:tc>
          <w:tcPr>
            <w:tcW w:w="3160" w:type="dxa"/>
            <w:vAlign w:val="bottom"/>
          </w:tcPr>
          <w:p>
            <w:pPr>
              <w:ind w:left="20"/>
              <w:spacing w:after="0"/>
              <w:rPr>
                <w:sz w:val="20"/>
                <w:szCs w:val="20"/>
                <w:color w:val="auto"/>
              </w:rPr>
            </w:pPr>
            <w:r>
              <w:rPr>
                <w:rFonts w:ascii="Arial" w:cs="Arial" w:eastAsia="Arial" w:hAnsi="Arial"/>
                <w:sz w:val="14"/>
                <w:szCs w:val="14"/>
                <w:color w:val="auto"/>
              </w:rPr>
              <w:t>The Royal Bank of Canada (chartered bank)</w:t>
            </w:r>
          </w:p>
        </w:tc>
        <w:tc>
          <w:tcPr>
            <w:tcW w:w="1760" w:type="dxa"/>
            <w:vAlign w:val="bottom"/>
          </w:tcPr>
          <w:p>
            <w:pPr>
              <w:ind w:left="320"/>
              <w:spacing w:after="0"/>
              <w:rPr>
                <w:sz w:val="20"/>
                <w:szCs w:val="20"/>
                <w:color w:val="auto"/>
              </w:rPr>
            </w:pPr>
            <w:r>
              <w:rPr>
                <w:rFonts w:ascii="Arial" w:cs="Arial" w:eastAsia="Arial" w:hAnsi="Arial"/>
                <w:sz w:val="14"/>
                <w:szCs w:val="14"/>
                <w:color w:val="auto"/>
              </w:rPr>
              <w:t>TSX, NYSE</w:t>
            </w:r>
          </w:p>
        </w:tc>
        <w:tc>
          <w:tcPr>
            <w:tcW w:w="920" w:type="dxa"/>
            <w:vAlign w:val="bottom"/>
          </w:tcPr>
          <w:p>
            <w:pPr>
              <w:spacing w:after="0"/>
              <w:rPr>
                <w:sz w:val="15"/>
                <w:szCs w:val="15"/>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Human Resources (Chair)</w:t>
            </w:r>
          </w:p>
        </w:tc>
      </w:tr>
      <w:tr>
        <w:trPr>
          <w:trHeight w:val="190"/>
        </w:trPr>
        <w:tc>
          <w:tcPr>
            <w:tcW w:w="3160" w:type="dxa"/>
            <w:vAlign w:val="bottom"/>
          </w:tcPr>
          <w:p>
            <w:pPr>
              <w:ind w:left="20"/>
              <w:spacing w:after="0"/>
              <w:rPr>
                <w:sz w:val="20"/>
                <w:szCs w:val="20"/>
                <w:color w:val="auto"/>
              </w:rPr>
            </w:pPr>
            <w:r>
              <w:rPr>
                <w:rFonts w:ascii="Arial" w:cs="Arial" w:eastAsia="Arial" w:hAnsi="Arial"/>
                <w:sz w:val="14"/>
                <w:szCs w:val="14"/>
                <w:color w:val="auto"/>
              </w:rPr>
              <w:t>(since August 2015)</w:t>
            </w:r>
          </w:p>
        </w:tc>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Risk</w:t>
            </w:r>
          </w:p>
        </w:tc>
      </w:tr>
      <w:tr>
        <w:trPr>
          <w:trHeight w:val="35"/>
        </w:trPr>
        <w:tc>
          <w:tcPr>
            <w:tcW w:w="3160" w:type="dxa"/>
            <w:vAlign w:val="bottom"/>
            <w:tcBorders>
              <w:bottom w:val="single" w:sz="8" w:color="0D64EF"/>
            </w:tcBorders>
          </w:tcPr>
          <w:p>
            <w:pPr>
              <w:spacing w:after="0"/>
              <w:rPr>
                <w:sz w:val="3"/>
                <w:szCs w:val="3"/>
                <w:color w:val="auto"/>
              </w:rPr>
            </w:pPr>
          </w:p>
        </w:tc>
        <w:tc>
          <w:tcPr>
            <w:tcW w:w="1760" w:type="dxa"/>
            <w:vAlign w:val="bottom"/>
            <w:tcBorders>
              <w:bottom w:val="single" w:sz="8" w:color="0D64EF"/>
            </w:tcBorders>
          </w:tcPr>
          <w:p>
            <w:pPr>
              <w:spacing w:after="0"/>
              <w:rPr>
                <w:sz w:val="3"/>
                <w:szCs w:val="3"/>
                <w:color w:val="auto"/>
              </w:rPr>
            </w:pPr>
          </w:p>
        </w:tc>
        <w:tc>
          <w:tcPr>
            <w:tcW w:w="920" w:type="dxa"/>
            <w:vAlign w:val="bottom"/>
            <w:tcBorders>
              <w:bottom w:val="single" w:sz="8" w:color="0D64EF"/>
            </w:tcBorders>
          </w:tcPr>
          <w:p>
            <w:pPr>
              <w:spacing w:after="0"/>
              <w:rPr>
                <w:sz w:val="3"/>
                <w:szCs w:val="3"/>
                <w:color w:val="auto"/>
              </w:rPr>
            </w:pPr>
          </w:p>
        </w:tc>
        <w:tc>
          <w:tcPr>
            <w:tcW w:w="2440" w:type="dxa"/>
            <w:vAlign w:val="bottom"/>
            <w:tcBorders>
              <w:bottom w:val="single" w:sz="8" w:color="0D64EF"/>
            </w:tcBorders>
          </w:tcPr>
          <w:p>
            <w:pPr>
              <w:spacing w:after="0"/>
              <w:rPr>
                <w:sz w:val="3"/>
                <w:szCs w:val="3"/>
                <w:color w:val="auto"/>
              </w:rPr>
            </w:pPr>
          </w:p>
        </w:tc>
      </w:tr>
      <w:tr>
        <w:trPr>
          <w:trHeight w:val="145"/>
        </w:trPr>
        <w:tc>
          <w:tcPr>
            <w:tcW w:w="3160" w:type="dxa"/>
            <w:vAlign w:val="bottom"/>
            <w:shd w:val="clear" w:color="auto" w:fill="D1D0CF"/>
          </w:tcPr>
          <w:p>
            <w:pPr>
              <w:spacing w:after="0"/>
              <w:rPr>
                <w:sz w:val="12"/>
                <w:szCs w:val="12"/>
                <w:color w:val="auto"/>
              </w:rPr>
            </w:pPr>
          </w:p>
        </w:tc>
        <w:tc>
          <w:tcPr>
            <w:tcW w:w="1760" w:type="dxa"/>
            <w:vAlign w:val="bottom"/>
            <w:shd w:val="clear" w:color="auto" w:fill="D1D0CF"/>
          </w:tcPr>
          <w:p>
            <w:pPr>
              <w:spacing w:after="0"/>
              <w:rPr>
                <w:sz w:val="12"/>
                <w:szCs w:val="12"/>
                <w:color w:val="auto"/>
              </w:rPr>
            </w:pPr>
          </w:p>
        </w:tc>
        <w:tc>
          <w:tcPr>
            <w:tcW w:w="92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5" w:lineRule="exact"/>
              <w:rPr>
                <w:sz w:val="20"/>
                <w:szCs w:val="20"/>
                <w:color w:val="auto"/>
              </w:rPr>
            </w:pPr>
            <w:r>
              <w:rPr>
                <w:rFonts w:ascii="Arial" w:cs="Arial" w:eastAsia="Arial" w:hAnsi="Arial"/>
                <w:sz w:val="14"/>
                <w:szCs w:val="14"/>
                <w:b w:val="1"/>
                <w:bCs w:val="1"/>
                <w:color w:val="auto"/>
              </w:rPr>
              <w:t>Meets share ownership</w:t>
            </w:r>
          </w:p>
        </w:tc>
      </w:tr>
      <w:tr>
        <w:trPr>
          <w:trHeight w:val="210"/>
        </w:trPr>
        <w:tc>
          <w:tcPr>
            <w:tcW w:w="31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760" w:type="dxa"/>
            <w:vAlign w:val="bottom"/>
            <w:tcBorders>
              <w:bottom w:val="single" w:sz="8" w:color="0D64EF"/>
            </w:tcBorders>
            <w:shd w:val="clear" w:color="auto" w:fill="D1D0CF"/>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r>
      <w:tr>
        <w:trPr>
          <w:trHeight w:val="228"/>
        </w:trPr>
        <w:tc>
          <w:tcPr>
            <w:tcW w:w="3160" w:type="dxa"/>
            <w:vAlign w:val="bottom"/>
          </w:tcPr>
          <w:p>
            <w:pPr>
              <w:ind w:left="20"/>
              <w:spacing w:after="0"/>
              <w:rPr>
                <w:sz w:val="20"/>
                <w:szCs w:val="20"/>
                <w:color w:val="auto"/>
              </w:rPr>
            </w:pPr>
            <w:r>
              <w:rPr>
                <w:rFonts w:ascii="Arial" w:cs="Arial" w:eastAsia="Arial" w:hAnsi="Arial"/>
                <w:sz w:val="14"/>
                <w:szCs w:val="14"/>
                <w:color w:val="auto"/>
              </w:rPr>
              <w:t>Shares</w:t>
            </w:r>
          </w:p>
        </w:tc>
        <w:tc>
          <w:tcPr>
            <w:tcW w:w="1760" w:type="dxa"/>
            <w:vAlign w:val="bottom"/>
          </w:tcPr>
          <w:p>
            <w:pPr>
              <w:jc w:val="right"/>
              <w:ind w:right="408"/>
              <w:spacing w:after="0"/>
              <w:rPr>
                <w:sz w:val="20"/>
                <w:szCs w:val="20"/>
                <w:color w:val="auto"/>
              </w:rPr>
            </w:pPr>
            <w:r>
              <w:rPr>
                <w:rFonts w:ascii="Arial" w:cs="Arial" w:eastAsia="Arial" w:hAnsi="Arial"/>
                <w:sz w:val="14"/>
                <w:szCs w:val="14"/>
                <w:color w:val="auto"/>
              </w:rPr>
              <w:t>316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296</w:t>
            </w:r>
          </w:p>
        </w:tc>
        <w:tc>
          <w:tcPr>
            <w:tcW w:w="2440" w:type="dxa"/>
            <w:vAlign w:val="bottom"/>
          </w:tcPr>
          <w:p>
            <w:pPr>
              <w:ind w:left="140"/>
              <w:spacing w:after="0"/>
              <w:rPr>
                <w:sz w:val="20"/>
                <w:szCs w:val="20"/>
                <w:color w:val="auto"/>
              </w:rPr>
            </w:pPr>
            <w:r>
              <w:rPr>
                <w:rFonts w:ascii="Arial" w:cs="Arial" w:eastAsia="Arial" w:hAnsi="Arial"/>
                <w:sz w:val="14"/>
                <w:szCs w:val="14"/>
                <w:color w:val="auto"/>
              </w:rPr>
              <w:t>Yes</w:t>
            </w:r>
          </w:p>
        </w:tc>
      </w:tr>
      <w:tr>
        <w:trPr>
          <w:trHeight w:val="228"/>
        </w:trPr>
        <w:tc>
          <w:tcPr>
            <w:tcW w:w="3160" w:type="dxa"/>
            <w:vAlign w:val="bottom"/>
          </w:tcPr>
          <w:p>
            <w:pPr>
              <w:ind w:left="20"/>
              <w:spacing w:after="0"/>
              <w:rPr>
                <w:sz w:val="20"/>
                <w:szCs w:val="20"/>
                <w:color w:val="auto"/>
              </w:rPr>
            </w:pPr>
            <w:r>
              <w:rPr>
                <w:rFonts w:ascii="Arial" w:cs="Arial" w:eastAsia="Arial" w:hAnsi="Arial"/>
                <w:sz w:val="14"/>
                <w:szCs w:val="14"/>
                <w:color w:val="auto"/>
              </w:rPr>
              <w:t>DSUs</w:t>
            </w:r>
          </w:p>
        </w:tc>
        <w:tc>
          <w:tcPr>
            <w:tcW w:w="1760" w:type="dxa"/>
            <w:vAlign w:val="bottom"/>
          </w:tcPr>
          <w:p>
            <w:pPr>
              <w:jc w:val="right"/>
              <w:ind w:right="408"/>
              <w:spacing w:after="0"/>
              <w:rPr>
                <w:sz w:val="20"/>
                <w:szCs w:val="20"/>
                <w:color w:val="auto"/>
              </w:rPr>
            </w:pPr>
            <w:r>
              <w:rPr>
                <w:rFonts w:ascii="Arial" w:cs="Arial" w:eastAsia="Arial" w:hAnsi="Arial"/>
                <w:sz w:val="14"/>
                <w:szCs w:val="14"/>
                <w:color w:val="auto"/>
              </w:rPr>
              <w:t>67,587</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58,506</w:t>
            </w:r>
          </w:p>
        </w:tc>
        <w:tc>
          <w:tcPr>
            <w:tcW w:w="2440" w:type="dxa"/>
            <w:vAlign w:val="bottom"/>
          </w:tcPr>
          <w:p>
            <w:pPr>
              <w:spacing w:after="0"/>
              <w:rPr>
                <w:sz w:val="19"/>
                <w:szCs w:val="19"/>
                <w:color w:val="auto"/>
              </w:rPr>
            </w:pPr>
          </w:p>
        </w:tc>
      </w:tr>
    </w:tbl>
    <w:p>
      <w:pPr>
        <w:spacing w:after="0" w:line="238" w:lineRule="exact"/>
        <w:rPr>
          <w:sz w:val="20"/>
          <w:szCs w:val="20"/>
          <w:color w:val="auto"/>
        </w:rPr>
      </w:pPr>
    </w:p>
    <w:p>
      <w:pPr>
        <w:sectPr>
          <w:pgSz w:w="11900" w:h="16838" w:orient="portrait"/>
          <w:cols w:equalWidth="0" w:num="2">
            <w:col w:w="2480" w:space="460"/>
            <w:col w:w="8280"/>
          </w:cols>
          <w:pgMar w:left="34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31</w:t>
      </w:r>
    </w:p>
    <w:p>
      <w:pPr>
        <w:sectPr>
          <w:pgSz w:w="11900" w:h="16838" w:orient="portrait"/>
          <w:cols w:equalWidth="0" w:num="1">
            <w:col w:w="11220"/>
          </w:cols>
          <w:pgMar w:left="340" w:top="1035" w:right="33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677545</wp:posOffset>
            </wp:positionV>
            <wp:extent cx="1279525" cy="127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Independent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Skills and experience</w:t>
      </w:r>
    </w:p>
    <w:p>
      <w:pPr>
        <w:spacing w:after="0" w:line="49" w:lineRule="exact"/>
        <w:rPr>
          <w:sz w:val="20"/>
          <w:szCs w:val="20"/>
          <w:color w:val="auto"/>
        </w:rPr>
      </w:pPr>
    </w:p>
    <w:p>
      <w:pPr>
        <w:ind w:left="180" w:right="640" w:hanging="155"/>
        <w:spacing w:after="0" w:line="300" w:lineRule="auto"/>
        <w:tabs>
          <w:tab w:leader="none" w:pos="163" w:val="left"/>
        </w:tabs>
        <w:numPr>
          <w:ilvl w:val="0"/>
          <w:numId w:val="51"/>
        </w:numPr>
        <w:rPr>
          <w:rFonts w:ascii="Arial" w:cs="Arial" w:eastAsia="Arial" w:hAnsi="Arial"/>
          <w:sz w:val="14"/>
          <w:szCs w:val="14"/>
          <w:color w:val="auto"/>
        </w:rPr>
      </w:pPr>
      <w:r>
        <w:rPr>
          <w:rFonts w:ascii="Arial" w:cs="Arial" w:eastAsia="Arial" w:hAnsi="Arial"/>
          <w:sz w:val="14"/>
          <w:szCs w:val="14"/>
          <w:color w:val="auto"/>
        </w:rPr>
        <w:t>Capital Markets/Mergers &amp; Acquisitions</w:t>
      </w:r>
    </w:p>
    <w:p>
      <w:pPr>
        <w:ind w:left="160" w:hanging="135"/>
        <w:spacing w:after="0"/>
        <w:tabs>
          <w:tab w:leader="none" w:pos="1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CEO</w:t>
      </w:r>
    </w:p>
    <w:p>
      <w:pPr>
        <w:spacing w:after="0" w:line="67" w:lineRule="exact"/>
        <w:rPr>
          <w:rFonts w:ascii="Arial" w:cs="Arial" w:eastAsia="Arial" w:hAnsi="Arial"/>
          <w:sz w:val="14"/>
          <w:szCs w:val="14"/>
          <w:color w:val="auto"/>
        </w:rPr>
      </w:pPr>
    </w:p>
    <w:p>
      <w:pPr>
        <w:ind w:left="180" w:hanging="155"/>
        <w:spacing w:after="0" w:line="300" w:lineRule="auto"/>
        <w:tabs>
          <w:tab w:leader="none" w:pos="163" w:val="left"/>
        </w:tabs>
        <w:numPr>
          <w:ilvl w:val="0"/>
          <w:numId w:val="51"/>
        </w:numPr>
        <w:rPr>
          <w:rFonts w:ascii="Arial" w:cs="Arial" w:eastAsia="Arial" w:hAnsi="Arial"/>
          <w:sz w:val="14"/>
          <w:szCs w:val="14"/>
          <w:color w:val="auto"/>
        </w:rPr>
      </w:pPr>
      <w:r>
        <w:rPr>
          <w:rFonts w:ascii="Arial" w:cs="Arial" w:eastAsia="Arial" w:hAnsi="Arial"/>
          <w:sz w:val="14"/>
          <w:szCs w:val="14"/>
          <w:color w:val="auto"/>
        </w:rPr>
        <w:t>Electric Power &amp; Electrification Value Chain</w:t>
      </w:r>
    </w:p>
    <w:p>
      <w:pPr>
        <w:ind w:left="160" w:hanging="135"/>
        <w:spacing w:after="0"/>
        <w:tabs>
          <w:tab w:leader="none" w:pos="1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Energy, Pipelines &amp; Midstream</w:t>
      </w:r>
    </w:p>
    <w:p>
      <w:pPr>
        <w:spacing w:after="0" w:line="67" w:lineRule="exact"/>
        <w:rPr>
          <w:rFonts w:ascii="Arial" w:cs="Arial" w:eastAsia="Arial" w:hAnsi="Arial"/>
          <w:sz w:val="14"/>
          <w:szCs w:val="14"/>
          <w:color w:val="auto"/>
        </w:rPr>
      </w:pPr>
    </w:p>
    <w:p>
      <w:pPr>
        <w:ind w:left="160" w:hanging="135"/>
        <w:spacing w:after="0"/>
        <w:tabs>
          <w:tab w:leader="none" w:pos="1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Governance</w:t>
      </w:r>
    </w:p>
    <w:p>
      <w:pPr>
        <w:spacing w:after="0" w:line="53" w:lineRule="exact"/>
        <w:rPr>
          <w:rFonts w:ascii="Arial" w:cs="Arial" w:eastAsia="Arial" w:hAnsi="Arial"/>
          <w:sz w:val="14"/>
          <w:szCs w:val="14"/>
          <w:color w:val="auto"/>
        </w:rPr>
      </w:pPr>
    </w:p>
    <w:p>
      <w:pPr>
        <w:ind w:left="160" w:hanging="135"/>
        <w:spacing w:after="0"/>
        <w:tabs>
          <w:tab w:leader="none" w:pos="1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Human Resources &amp; Compensation</w:t>
      </w:r>
    </w:p>
    <w:p>
      <w:pPr>
        <w:spacing w:after="0" w:line="67" w:lineRule="exact"/>
        <w:rPr>
          <w:rFonts w:ascii="Arial" w:cs="Arial" w:eastAsia="Arial" w:hAnsi="Arial"/>
          <w:sz w:val="14"/>
          <w:szCs w:val="14"/>
          <w:color w:val="auto"/>
        </w:rPr>
      </w:pPr>
    </w:p>
    <w:p>
      <w:pPr>
        <w:ind w:left="180" w:right="500" w:hanging="155"/>
        <w:spacing w:after="0" w:line="300" w:lineRule="auto"/>
        <w:tabs>
          <w:tab w:leader="none" w:pos="163" w:val="left"/>
        </w:tabs>
        <w:numPr>
          <w:ilvl w:val="0"/>
          <w:numId w:val="51"/>
        </w:numPr>
        <w:rPr>
          <w:rFonts w:ascii="Arial" w:cs="Arial" w:eastAsia="Arial" w:hAnsi="Arial"/>
          <w:sz w:val="14"/>
          <w:szCs w:val="14"/>
          <w:color w:val="auto"/>
        </w:rPr>
      </w:pPr>
      <w:r>
        <w:rPr>
          <w:rFonts w:ascii="Arial" w:cs="Arial" w:eastAsia="Arial" w:hAnsi="Arial"/>
          <w:sz w:val="14"/>
          <w:szCs w:val="14"/>
          <w:color w:val="auto"/>
        </w:rPr>
        <w:t>Operations/Health, Safety, Sustainability &amp; Environment</w:t>
      </w:r>
    </w:p>
    <w:p>
      <w:pPr>
        <w:ind w:left="160" w:hanging="135"/>
        <w:spacing w:after="0"/>
        <w:tabs>
          <w:tab w:leader="none" w:pos="1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Strategy &amp; Leading Growth</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At-risk investment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$9,792,952</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TC Energy</w:t>
      </w:r>
    </w:p>
    <w:p>
      <w:pPr>
        <w:ind w:left="20"/>
        <w:spacing w:after="0" w:line="236" w:lineRule="auto"/>
        <w:rPr>
          <w:sz w:val="20"/>
          <w:szCs w:val="20"/>
          <w:color w:val="auto"/>
        </w:rPr>
      </w:pPr>
      <w:r>
        <w:rPr>
          <w:rFonts w:ascii="Arial" w:cs="Arial" w:eastAsia="Arial" w:hAnsi="Arial"/>
          <w:sz w:val="16"/>
          <w:szCs w:val="16"/>
          <w:b w:val="1"/>
          <w:bCs w:val="1"/>
          <w:color w:val="0D64EF"/>
        </w:rPr>
        <w:t>Board/Committees</w:t>
      </w:r>
    </w:p>
    <w:p>
      <w:pPr>
        <w:ind w:left="20"/>
        <w:spacing w:after="0"/>
        <w:rPr>
          <w:sz w:val="20"/>
          <w:szCs w:val="20"/>
          <w:color w:val="auto"/>
        </w:rPr>
      </w:pPr>
      <w:r>
        <w:rPr>
          <w:rFonts w:ascii="Arial" w:cs="Arial" w:eastAsia="Arial" w:hAnsi="Arial"/>
          <w:sz w:val="16"/>
          <w:szCs w:val="16"/>
          <w:b w:val="1"/>
          <w:bCs w:val="1"/>
          <w:color w:val="0D64EF"/>
        </w:rPr>
        <w:t>2025 meeting attendance</w:t>
      </w:r>
    </w:p>
    <w:p>
      <w:pPr>
        <w:spacing w:after="0" w:line="47" w:lineRule="exact"/>
        <w:rPr>
          <w:sz w:val="20"/>
          <w:szCs w:val="20"/>
          <w:color w:val="auto"/>
        </w:rPr>
      </w:pPr>
    </w:p>
    <w:p>
      <w:pPr>
        <w:ind w:left="180" w:right="1000" w:hanging="155"/>
        <w:spacing w:after="0" w:line="330" w:lineRule="auto"/>
        <w:tabs>
          <w:tab w:leader="none" w:pos="163" w:val="left"/>
        </w:tabs>
        <w:numPr>
          <w:ilvl w:val="0"/>
          <w:numId w:val="52"/>
        </w:numPr>
        <w:rPr>
          <w:rFonts w:ascii="Arial" w:cs="Arial" w:eastAsia="Arial" w:hAnsi="Arial"/>
          <w:sz w:val="14"/>
          <w:szCs w:val="14"/>
          <w:color w:val="auto"/>
        </w:rPr>
      </w:pPr>
      <w:r>
        <w:rPr>
          <w:rFonts w:ascii="Arial" w:cs="Arial" w:eastAsia="Arial" w:hAnsi="Arial"/>
          <w:sz w:val="14"/>
          <w:szCs w:val="14"/>
          <w:color w:val="auto"/>
        </w:rPr>
        <w:t>Board of Directors 5/5 meetings (100%)</w:t>
      </w:r>
    </w:p>
    <w:p>
      <w:pPr>
        <w:ind w:left="180" w:right="820" w:hanging="155"/>
        <w:spacing w:after="0" w:line="330" w:lineRule="auto"/>
        <w:tabs>
          <w:tab w:leader="none" w:pos="163" w:val="left"/>
        </w:tabs>
        <w:numPr>
          <w:ilvl w:val="0"/>
          <w:numId w:val="52"/>
        </w:numPr>
        <w:rPr>
          <w:rFonts w:ascii="Arial" w:cs="Arial" w:eastAsia="Arial" w:hAnsi="Arial"/>
          <w:sz w:val="14"/>
          <w:szCs w:val="14"/>
          <w:color w:val="auto"/>
        </w:rPr>
      </w:pPr>
      <w:r>
        <w:rPr>
          <w:rFonts w:ascii="Arial" w:cs="Arial" w:eastAsia="Arial" w:hAnsi="Arial"/>
          <w:sz w:val="14"/>
          <w:szCs w:val="14"/>
          <w:color w:val="auto"/>
        </w:rPr>
        <w:t>Governance Committee 4/4 meetings (100%)</w:t>
      </w:r>
    </w:p>
    <w:p>
      <w:pPr>
        <w:ind w:left="180" w:right="420" w:hanging="155"/>
        <w:spacing w:after="0" w:line="383" w:lineRule="auto"/>
        <w:tabs>
          <w:tab w:leader="none" w:pos="163" w:val="left"/>
        </w:tabs>
        <w:numPr>
          <w:ilvl w:val="0"/>
          <w:numId w:val="52"/>
        </w:numPr>
        <w:rPr>
          <w:rFonts w:ascii="Arial" w:cs="Arial" w:eastAsia="Arial" w:hAnsi="Arial"/>
          <w:sz w:val="14"/>
          <w:szCs w:val="14"/>
          <w:color w:val="auto"/>
        </w:rPr>
      </w:pPr>
      <w:r>
        <w:rPr>
          <w:rFonts w:ascii="Arial" w:cs="Arial" w:eastAsia="Arial" w:hAnsi="Arial"/>
          <w:sz w:val="14"/>
          <w:szCs w:val="14"/>
          <w:color w:val="auto"/>
        </w:rPr>
        <w:t>Human Resources Committee 4/4 meetings (100%)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Dheeraj "D"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-190500</wp:posOffset>
            </wp:positionV>
            <wp:extent cx="8255" cy="78073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780732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AGE 48, HOUSTON, TX, U.S.A. | DIRECTOR SINCE 2022</w:t>
      </w:r>
    </w:p>
    <w:p>
      <w:pPr>
        <w:spacing w:after="0" w:line="364" w:lineRule="exact"/>
        <w:rPr>
          <w:sz w:val="20"/>
          <w:szCs w:val="20"/>
          <w:color w:val="auto"/>
        </w:rPr>
      </w:pPr>
    </w:p>
    <w:p>
      <w:pPr>
        <w:ind w:left="20" w:right="160"/>
        <w:spacing w:after="0" w:line="316" w:lineRule="auto"/>
        <w:rPr>
          <w:sz w:val="20"/>
          <w:szCs w:val="20"/>
          <w:color w:val="auto"/>
        </w:rPr>
      </w:pPr>
      <w:r>
        <w:rPr>
          <w:rFonts w:ascii="Arial" w:cs="Arial" w:eastAsia="Arial" w:hAnsi="Arial"/>
          <w:sz w:val="16"/>
          <w:szCs w:val="16"/>
          <w:color w:val="auto"/>
        </w:rPr>
        <w:t>Mr. Verma is currently a Senior Advisor to Quantum Energy Partners (Quantum), a private equity firm focused on the global energy sector. He served on the Executive and Investment Committees of the firm from 2008 until 2021 and was also the President of the firm from 2017 through 2021. As part of his responsibilities, Mr. Verma also served as a director on several boards of private energy companies controlled by Quantum.</w:t>
      </w:r>
    </w:p>
    <w:p>
      <w:pPr>
        <w:spacing w:after="0" w:line="66" w:lineRule="exact"/>
        <w:rPr>
          <w:sz w:val="20"/>
          <w:szCs w:val="20"/>
          <w:color w:val="auto"/>
        </w:rPr>
      </w:pPr>
    </w:p>
    <w:p>
      <w:pPr>
        <w:ind w:left="20" w:right="100"/>
        <w:spacing w:after="0" w:line="312" w:lineRule="auto"/>
        <w:rPr>
          <w:sz w:val="20"/>
          <w:szCs w:val="20"/>
          <w:color w:val="auto"/>
        </w:rPr>
      </w:pPr>
      <w:r>
        <w:rPr>
          <w:rFonts w:ascii="Arial" w:cs="Arial" w:eastAsia="Arial" w:hAnsi="Arial"/>
          <w:sz w:val="16"/>
          <w:szCs w:val="16"/>
          <w:color w:val="auto"/>
        </w:rPr>
        <w:t>During his time with Quantum, Mr. Verma was responsible for investing and then stewarding significant institutional equity capital across the energy value chain, including in the upstream, midstream, oilfield services, power generation, renewables, technology and energy transition segments of the industry. He was also actively involved in investing in and helping build some of the largest private equity backed energy companies in North America. Among many other responsibilities, he was also one of the key architects of the firm's ESG strategy and oversaw the firm's operational efforts and reporting in this regard.</w:t>
      </w:r>
    </w:p>
    <w:p>
      <w:pPr>
        <w:spacing w:after="0" w:line="56" w:lineRule="exact"/>
        <w:rPr>
          <w:sz w:val="20"/>
          <w:szCs w:val="20"/>
          <w:color w:val="auto"/>
        </w:rPr>
      </w:pPr>
    </w:p>
    <w:p>
      <w:pPr>
        <w:jc w:val="both"/>
        <w:ind w:left="20" w:right="80"/>
        <w:spacing w:after="0" w:line="326" w:lineRule="auto"/>
        <w:rPr>
          <w:sz w:val="20"/>
          <w:szCs w:val="20"/>
          <w:color w:val="auto"/>
        </w:rPr>
      </w:pPr>
      <w:r>
        <w:rPr>
          <w:rFonts w:ascii="Arial" w:cs="Arial" w:eastAsia="Arial" w:hAnsi="Arial"/>
          <w:sz w:val="16"/>
          <w:szCs w:val="16"/>
          <w:color w:val="auto"/>
        </w:rPr>
        <w:t>Prior to joining Quantum, Mr. Verma was a senior member of J.P. Morgan's Mergers and Acquisitions group in New York from 2001 through 2008 and advised various public and private companies (including electric and gas utilities, renewable/conventional power generators) on strategic and financial transactions.</w:t>
      </w:r>
    </w:p>
    <w:p>
      <w:pPr>
        <w:spacing w:after="0" w:line="56" w:lineRule="exact"/>
        <w:rPr>
          <w:sz w:val="20"/>
          <w:szCs w:val="20"/>
          <w:color w:val="auto"/>
        </w:rPr>
      </w:pPr>
    </w:p>
    <w:p>
      <w:pPr>
        <w:ind w:left="20" w:right="720"/>
        <w:spacing w:after="0" w:line="337" w:lineRule="auto"/>
        <w:rPr>
          <w:sz w:val="20"/>
          <w:szCs w:val="20"/>
          <w:color w:val="auto"/>
        </w:rPr>
      </w:pPr>
      <w:r>
        <w:rPr>
          <w:rFonts w:ascii="Arial" w:cs="Arial" w:eastAsia="Arial" w:hAnsi="Arial"/>
          <w:sz w:val="16"/>
          <w:szCs w:val="16"/>
          <w:color w:val="auto"/>
        </w:rPr>
        <w:t>Mr. Verma has a B.A./B.S. in Mathematics and Finance from Ithaca College and a Masters in International Management from Thunderbird School of Global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Annual meeting voting results</w:t>
            </w:r>
          </w:p>
        </w:tc>
        <w:tc>
          <w:tcPr>
            <w:tcW w:w="3060" w:type="dxa"/>
            <w:vAlign w:val="bottom"/>
            <w:tcBorders>
              <w:top w:val="single" w:sz="8" w:color="0D64EF"/>
              <w:bottom w:val="single" w:sz="8" w:color="0D64EF"/>
            </w:tcBorders>
            <w:shd w:val="clear" w:color="auto" w:fill="D1D0CF"/>
          </w:tcPr>
          <w:p>
            <w:pPr>
              <w:jc w:val="right"/>
              <w:ind w:right="1268"/>
              <w:spacing w:after="0"/>
              <w:rPr>
                <w:sz w:val="20"/>
                <w:szCs w:val="20"/>
                <w:color w:val="auto"/>
              </w:rPr>
            </w:pPr>
            <w:r>
              <w:rPr>
                <w:rFonts w:ascii="Arial" w:cs="Arial" w:eastAsia="Arial" w:hAnsi="Arial"/>
                <w:sz w:val="14"/>
                <w:szCs w:val="14"/>
                <w:b w:val="1"/>
                <w:bCs w:val="1"/>
                <w:color w:val="auto"/>
              </w:rPr>
              <w:t>Votes in favour</w:t>
            </w:r>
          </w:p>
        </w:tc>
        <w:tc>
          <w:tcPr>
            <w:tcW w:w="2440" w:type="dxa"/>
            <w:vAlign w:val="bottom"/>
            <w:tcBorders>
              <w:top w:val="single" w:sz="8" w:color="0D64EF"/>
              <w:bottom w:val="single" w:sz="8" w:color="0D64EF"/>
            </w:tcBorders>
            <w:shd w:val="clear" w:color="auto" w:fill="D1D0CF"/>
          </w:tcPr>
          <w:p>
            <w:pPr>
              <w:jc w:val="right"/>
              <w:ind w:right="1308"/>
              <w:spacing w:after="0"/>
              <w:rPr>
                <w:sz w:val="20"/>
                <w:szCs w:val="20"/>
                <w:color w:val="auto"/>
              </w:rPr>
            </w:pPr>
            <w:r>
              <w:rPr>
                <w:rFonts w:ascii="Arial" w:cs="Arial" w:eastAsia="Arial" w:hAnsi="Arial"/>
                <w:sz w:val="14"/>
                <w:szCs w:val="14"/>
                <w:b w:val="1"/>
                <w:bCs w:val="1"/>
                <w:color w:val="auto"/>
              </w:rPr>
              <w:t>Votes against</w:t>
            </w:r>
          </w:p>
        </w:tc>
      </w:tr>
      <w:tr>
        <w:trPr>
          <w:trHeight w:val="207"/>
        </w:trPr>
        <w:tc>
          <w:tcPr>
            <w:tcW w:w="2780" w:type="dxa"/>
            <w:vAlign w:val="bottom"/>
          </w:tcPr>
          <w:p>
            <w:pPr>
              <w:ind w:left="20"/>
              <w:spacing w:after="0"/>
              <w:rPr>
                <w:sz w:val="20"/>
                <w:szCs w:val="20"/>
                <w:color w:val="auto"/>
              </w:rPr>
            </w:pPr>
            <w:r>
              <w:rPr>
                <w:rFonts w:ascii="Arial" w:cs="Arial" w:eastAsia="Arial" w:hAnsi="Arial"/>
                <w:sz w:val="14"/>
                <w:szCs w:val="14"/>
                <w:color w:val="auto"/>
              </w:rPr>
              <w:t>2025</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671,156,491 (98.98%)</w:t>
            </w:r>
          </w:p>
        </w:tc>
        <w:tc>
          <w:tcPr>
            <w:tcW w:w="2440" w:type="dxa"/>
            <w:vAlign w:val="bottom"/>
          </w:tcPr>
          <w:p>
            <w:pPr>
              <w:jc w:val="right"/>
              <w:spacing w:after="0"/>
              <w:rPr>
                <w:sz w:val="20"/>
                <w:szCs w:val="20"/>
                <w:color w:val="auto"/>
              </w:rPr>
            </w:pPr>
            <w:r>
              <w:rPr>
                <w:rFonts w:ascii="Arial" w:cs="Arial" w:eastAsia="Arial" w:hAnsi="Arial"/>
                <w:sz w:val="14"/>
                <w:szCs w:val="14"/>
                <w:color w:val="auto"/>
              </w:rPr>
              <w:t>6,922,648 (1.02%)</w:t>
            </w:r>
          </w:p>
        </w:tc>
      </w:tr>
      <w:tr>
        <w:trPr>
          <w:trHeight w:val="255"/>
        </w:trPr>
        <w:tc>
          <w:tcPr>
            <w:tcW w:w="2780" w:type="dxa"/>
            <w:vAlign w:val="bottom"/>
          </w:tcPr>
          <w:p>
            <w:pPr>
              <w:ind w:left="20"/>
              <w:spacing w:after="0"/>
              <w:rPr>
                <w:sz w:val="20"/>
                <w:szCs w:val="20"/>
                <w:color w:val="auto"/>
              </w:rPr>
            </w:pPr>
            <w:r>
              <w:rPr>
                <w:rFonts w:ascii="Arial" w:cs="Arial" w:eastAsia="Arial" w:hAnsi="Arial"/>
                <w:sz w:val="14"/>
                <w:szCs w:val="14"/>
                <w:color w:val="auto"/>
              </w:rPr>
              <w:t>2024</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657,340,753 (98.84%)</w:t>
            </w:r>
          </w:p>
        </w:tc>
        <w:tc>
          <w:tcPr>
            <w:tcW w:w="2440" w:type="dxa"/>
            <w:vAlign w:val="bottom"/>
          </w:tcPr>
          <w:p>
            <w:pPr>
              <w:jc w:val="right"/>
              <w:spacing w:after="0"/>
              <w:rPr>
                <w:sz w:val="20"/>
                <w:szCs w:val="20"/>
                <w:color w:val="auto"/>
              </w:rPr>
            </w:pPr>
            <w:r>
              <w:rPr>
                <w:rFonts w:ascii="Arial" w:cs="Arial" w:eastAsia="Arial" w:hAnsi="Arial"/>
                <w:sz w:val="14"/>
                <w:szCs w:val="14"/>
                <w:color w:val="auto"/>
              </w:rPr>
              <w:t>7,684,873 (1.16%)</w:t>
            </w:r>
          </w:p>
        </w:tc>
      </w:tr>
      <w:tr>
        <w:trPr>
          <w:trHeight w:val="255"/>
        </w:trPr>
        <w:tc>
          <w:tcPr>
            <w:tcW w:w="2780" w:type="dxa"/>
            <w:vAlign w:val="bottom"/>
          </w:tcPr>
          <w:p>
            <w:pPr>
              <w:ind w:left="20"/>
              <w:spacing w:after="0"/>
              <w:rPr>
                <w:sz w:val="20"/>
                <w:szCs w:val="20"/>
                <w:color w:val="auto"/>
              </w:rPr>
            </w:pPr>
            <w:r>
              <w:rPr>
                <w:rFonts w:ascii="Arial" w:cs="Arial" w:eastAsia="Arial" w:hAnsi="Arial"/>
                <w:sz w:val="14"/>
                <w:szCs w:val="14"/>
                <w:color w:val="auto"/>
              </w:rPr>
              <w:t>2023</w:t>
            </w:r>
          </w:p>
        </w:tc>
        <w:tc>
          <w:tcPr>
            <w:tcW w:w="3060" w:type="dxa"/>
            <w:vAlign w:val="bottom"/>
          </w:tcPr>
          <w:p>
            <w:pPr>
              <w:jc w:val="right"/>
              <w:ind w:right="68"/>
              <w:spacing w:after="0"/>
              <w:rPr>
                <w:sz w:val="20"/>
                <w:szCs w:val="20"/>
                <w:color w:val="auto"/>
              </w:rPr>
            </w:pPr>
            <w:r>
              <w:rPr>
                <w:rFonts w:ascii="Arial" w:cs="Arial" w:eastAsia="Arial" w:hAnsi="Arial"/>
                <w:sz w:val="14"/>
                <w:szCs w:val="14"/>
                <w:color w:val="auto"/>
              </w:rPr>
              <w:t>670,577,149 (99.51%)</w:t>
            </w:r>
          </w:p>
        </w:tc>
        <w:tc>
          <w:tcPr>
            <w:tcW w:w="2440" w:type="dxa"/>
            <w:vAlign w:val="bottom"/>
          </w:tcPr>
          <w:p>
            <w:pPr>
              <w:jc w:val="right"/>
              <w:spacing w:after="0"/>
              <w:rPr>
                <w:sz w:val="20"/>
                <w:szCs w:val="20"/>
                <w:color w:val="auto"/>
              </w:rPr>
            </w:pPr>
            <w:r>
              <w:rPr>
                <w:rFonts w:ascii="Arial" w:cs="Arial" w:eastAsia="Arial" w:hAnsi="Arial"/>
                <w:sz w:val="14"/>
                <w:szCs w:val="14"/>
                <w:color w:val="auto"/>
              </w:rPr>
              <w:t>3,277,158 (0.49%)</w:t>
            </w:r>
          </w:p>
        </w:tc>
      </w:tr>
    </w:tbl>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Other public company boards and date</w:t>
            </w:r>
          </w:p>
        </w:tc>
        <w:tc>
          <w:tcPr>
            <w:tcW w:w="1840" w:type="dxa"/>
            <w:vAlign w:val="bottom"/>
            <w:tcBorders>
              <w:top w:val="single" w:sz="8" w:color="0D64EF"/>
              <w:bottom w:val="single" w:sz="8" w:color="0D64EF"/>
            </w:tcBorders>
            <w:shd w:val="clear" w:color="auto" w:fill="D1D0CF"/>
          </w:tcPr>
          <w:p>
            <w:pPr>
              <w:ind w:left="400"/>
              <w:spacing w:after="0"/>
              <w:rPr>
                <w:sz w:val="20"/>
                <w:szCs w:val="20"/>
                <w:color w:val="auto"/>
              </w:rPr>
            </w:pPr>
            <w:r>
              <w:rPr>
                <w:rFonts w:ascii="Arial" w:cs="Arial" w:eastAsia="Arial" w:hAnsi="Arial"/>
                <w:sz w:val="14"/>
                <w:szCs w:val="14"/>
                <w:b w:val="1"/>
                <w:bCs w:val="1"/>
                <w:color w:val="auto"/>
              </w:rPr>
              <w:t>Stock exchange</w:t>
            </w:r>
          </w:p>
        </w:tc>
        <w:tc>
          <w:tcPr>
            <w:tcW w:w="920" w:type="dxa"/>
            <w:vAlign w:val="bottom"/>
            <w:tcBorders>
              <w:top w:val="single" w:sz="8" w:color="0D64EF"/>
              <w:bottom w:val="single" w:sz="8" w:color="0D64EF"/>
            </w:tcBorders>
            <w:shd w:val="clear" w:color="auto" w:fill="D1D0CF"/>
          </w:tcPr>
          <w:p>
            <w:pPr>
              <w:spacing w:after="0"/>
              <w:rPr>
                <w:sz w:val="21"/>
                <w:szCs w:val="21"/>
                <w:color w:val="auto"/>
              </w:rPr>
            </w:pPr>
          </w:p>
        </w:tc>
        <w:tc>
          <w:tcPr>
            <w:tcW w:w="2440" w:type="dxa"/>
            <w:vAlign w:val="bottom"/>
            <w:tcBorders>
              <w:top w:val="single" w:sz="8" w:color="0D64EF"/>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Board committees</w:t>
            </w:r>
          </w:p>
        </w:tc>
      </w:tr>
      <w:tr>
        <w:trPr>
          <w:trHeight w:val="207"/>
        </w:trPr>
        <w:tc>
          <w:tcPr>
            <w:tcW w:w="3080" w:type="dxa"/>
            <w:vAlign w:val="bottom"/>
          </w:tcPr>
          <w:p>
            <w:pPr>
              <w:ind w:left="20"/>
              <w:spacing w:after="0"/>
              <w:rPr>
                <w:sz w:val="20"/>
                <w:szCs w:val="20"/>
                <w:color w:val="auto"/>
              </w:rPr>
            </w:pPr>
            <w:r>
              <w:rPr>
                <w:rFonts w:ascii="Arial" w:cs="Arial" w:eastAsia="Arial" w:hAnsi="Arial"/>
                <w:sz w:val="14"/>
                <w:szCs w:val="14"/>
                <w:color w:val="auto"/>
              </w:rPr>
              <w:t>—</w:t>
            </w:r>
          </w:p>
        </w:tc>
        <w:tc>
          <w:tcPr>
            <w:tcW w:w="1840" w:type="dxa"/>
            <w:vAlign w:val="bottom"/>
          </w:tcPr>
          <w:p>
            <w:pPr>
              <w:ind w:left="40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35"/>
        </w:trPr>
        <w:tc>
          <w:tcPr>
            <w:tcW w:w="3080" w:type="dxa"/>
            <w:vAlign w:val="bottom"/>
            <w:tcBorders>
              <w:bottom w:val="single" w:sz="8" w:color="0D64EF"/>
            </w:tcBorders>
          </w:tcPr>
          <w:p>
            <w:pPr>
              <w:spacing w:after="0"/>
              <w:rPr>
                <w:sz w:val="3"/>
                <w:szCs w:val="3"/>
                <w:color w:val="auto"/>
              </w:rPr>
            </w:pPr>
          </w:p>
        </w:tc>
        <w:tc>
          <w:tcPr>
            <w:tcW w:w="1840" w:type="dxa"/>
            <w:vAlign w:val="bottom"/>
            <w:tcBorders>
              <w:bottom w:val="single" w:sz="8" w:color="0D64EF"/>
            </w:tcBorders>
          </w:tcPr>
          <w:p>
            <w:pPr>
              <w:spacing w:after="0"/>
              <w:rPr>
                <w:sz w:val="3"/>
                <w:szCs w:val="3"/>
                <w:color w:val="auto"/>
              </w:rPr>
            </w:pPr>
          </w:p>
        </w:tc>
        <w:tc>
          <w:tcPr>
            <w:tcW w:w="920" w:type="dxa"/>
            <w:vAlign w:val="bottom"/>
            <w:tcBorders>
              <w:bottom w:val="single" w:sz="8" w:color="0D64EF"/>
            </w:tcBorders>
          </w:tcPr>
          <w:p>
            <w:pPr>
              <w:spacing w:after="0"/>
              <w:rPr>
                <w:sz w:val="3"/>
                <w:szCs w:val="3"/>
                <w:color w:val="auto"/>
              </w:rPr>
            </w:pPr>
          </w:p>
        </w:tc>
        <w:tc>
          <w:tcPr>
            <w:tcW w:w="2440" w:type="dxa"/>
            <w:vAlign w:val="bottom"/>
            <w:tcBorders>
              <w:bottom w:val="single" w:sz="8" w:color="0D64EF"/>
            </w:tcBorders>
          </w:tcPr>
          <w:p>
            <w:pPr>
              <w:spacing w:after="0"/>
              <w:rPr>
                <w:sz w:val="3"/>
                <w:szCs w:val="3"/>
                <w:color w:val="auto"/>
              </w:rPr>
            </w:pPr>
          </w:p>
        </w:tc>
      </w:tr>
      <w:tr>
        <w:trPr>
          <w:trHeight w:val="145"/>
        </w:trPr>
        <w:tc>
          <w:tcPr>
            <w:tcW w:w="3080" w:type="dxa"/>
            <w:vAlign w:val="bottom"/>
            <w:shd w:val="clear" w:color="auto" w:fill="D1D0CF"/>
          </w:tcPr>
          <w:p>
            <w:pPr>
              <w:spacing w:after="0"/>
              <w:rPr>
                <w:sz w:val="12"/>
                <w:szCs w:val="12"/>
                <w:color w:val="auto"/>
              </w:rPr>
            </w:pPr>
          </w:p>
        </w:tc>
        <w:tc>
          <w:tcPr>
            <w:tcW w:w="1840" w:type="dxa"/>
            <w:vAlign w:val="bottom"/>
            <w:shd w:val="clear" w:color="auto" w:fill="D1D0CF"/>
          </w:tcPr>
          <w:p>
            <w:pPr>
              <w:spacing w:after="0"/>
              <w:rPr>
                <w:sz w:val="12"/>
                <w:szCs w:val="12"/>
                <w:color w:val="auto"/>
              </w:rPr>
            </w:pPr>
          </w:p>
        </w:tc>
        <w:tc>
          <w:tcPr>
            <w:tcW w:w="920" w:type="dxa"/>
            <w:vAlign w:val="bottom"/>
            <w:shd w:val="clear" w:color="auto" w:fill="D1D0CF"/>
          </w:tcPr>
          <w:p>
            <w:pPr>
              <w:spacing w:after="0"/>
              <w:rPr>
                <w:sz w:val="12"/>
                <w:szCs w:val="12"/>
                <w:color w:val="auto"/>
              </w:rPr>
            </w:pPr>
          </w:p>
        </w:tc>
        <w:tc>
          <w:tcPr>
            <w:tcW w:w="2440" w:type="dxa"/>
            <w:vAlign w:val="bottom"/>
            <w:shd w:val="clear" w:color="auto" w:fill="D1D0CF"/>
          </w:tcPr>
          <w:p>
            <w:pPr>
              <w:ind w:left="140"/>
              <w:spacing w:after="0" w:line="145" w:lineRule="exact"/>
              <w:rPr>
                <w:sz w:val="20"/>
                <w:szCs w:val="20"/>
                <w:color w:val="auto"/>
              </w:rPr>
            </w:pPr>
            <w:r>
              <w:rPr>
                <w:rFonts w:ascii="Arial" w:cs="Arial" w:eastAsia="Arial" w:hAnsi="Arial"/>
                <w:sz w:val="14"/>
                <w:szCs w:val="14"/>
                <w:b w:val="1"/>
                <w:bCs w:val="1"/>
                <w:color w:val="auto"/>
              </w:rPr>
              <w:t>Meets share ownership</w:t>
            </w:r>
          </w:p>
        </w:tc>
      </w:tr>
      <w:tr>
        <w:trPr>
          <w:trHeight w:val="210"/>
        </w:trPr>
        <w:tc>
          <w:tcPr>
            <w:tcW w:w="30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TC Energy securities held</w:t>
            </w:r>
          </w:p>
        </w:tc>
        <w:tc>
          <w:tcPr>
            <w:tcW w:w="1840" w:type="dxa"/>
            <w:vAlign w:val="bottom"/>
            <w:tcBorders>
              <w:bottom w:val="single" w:sz="8" w:color="0D64EF"/>
            </w:tcBorders>
            <w:shd w:val="clear" w:color="auto" w:fill="D1D0CF"/>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requirements</w:t>
            </w:r>
          </w:p>
        </w:tc>
      </w:tr>
      <w:tr>
        <w:trPr>
          <w:trHeight w:val="215"/>
        </w:trPr>
        <w:tc>
          <w:tcPr>
            <w:tcW w:w="3080" w:type="dxa"/>
            <w:vAlign w:val="bottom"/>
          </w:tcPr>
          <w:p>
            <w:pPr>
              <w:ind w:left="20"/>
              <w:spacing w:after="0"/>
              <w:rPr>
                <w:sz w:val="20"/>
                <w:szCs w:val="20"/>
                <w:color w:val="auto"/>
              </w:rPr>
            </w:pPr>
            <w:r>
              <w:rPr>
                <w:rFonts w:ascii="Arial" w:cs="Arial" w:eastAsia="Arial" w:hAnsi="Arial"/>
                <w:sz w:val="14"/>
                <w:szCs w:val="14"/>
                <w:color w:val="auto"/>
              </w:rPr>
              <w:t>Shares</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85,000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85,000</w:t>
            </w:r>
          </w:p>
        </w:tc>
        <w:tc>
          <w:tcPr>
            <w:tcW w:w="2440" w:type="dxa"/>
            <w:vAlign w:val="bottom"/>
          </w:tcPr>
          <w:p>
            <w:pPr>
              <w:ind w:left="140"/>
              <w:spacing w:after="0"/>
              <w:rPr>
                <w:sz w:val="20"/>
                <w:szCs w:val="20"/>
                <w:color w:val="auto"/>
              </w:rPr>
            </w:pPr>
            <w:r>
              <w:rPr>
                <w:rFonts w:ascii="Arial" w:cs="Arial" w:eastAsia="Arial" w:hAnsi="Arial"/>
                <w:sz w:val="14"/>
                <w:szCs w:val="14"/>
                <w:color w:val="auto"/>
              </w:rPr>
              <w:t>Yes</w:t>
            </w:r>
          </w:p>
        </w:tc>
      </w:tr>
      <w:tr>
        <w:trPr>
          <w:trHeight w:val="242"/>
        </w:trPr>
        <w:tc>
          <w:tcPr>
            <w:tcW w:w="3080" w:type="dxa"/>
            <w:vAlign w:val="bottom"/>
          </w:tcPr>
          <w:p>
            <w:pPr>
              <w:ind w:left="20"/>
              <w:spacing w:after="0"/>
              <w:rPr>
                <w:sz w:val="20"/>
                <w:szCs w:val="20"/>
                <w:color w:val="auto"/>
              </w:rPr>
            </w:pPr>
            <w:r>
              <w:rPr>
                <w:rFonts w:ascii="Arial" w:cs="Arial" w:eastAsia="Arial" w:hAnsi="Arial"/>
                <w:sz w:val="14"/>
                <w:szCs w:val="14"/>
                <w:color w:val="auto"/>
              </w:rPr>
              <w:t>DSUs</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27,253</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20,457</w:t>
            </w:r>
          </w:p>
        </w:tc>
        <w:tc>
          <w:tcPr>
            <w:tcW w:w="24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2">
            <w:col w:w="2500" w:space="460"/>
            <w:col w:w="8280"/>
          </w:cols>
          <w:pgMar w:left="320" w:top="10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34"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color w:val="0D64EF"/>
        </w:rPr>
        <w:t>SERVING TOGETHER ON OTHER BOARDS</w:t>
      </w:r>
    </w:p>
    <w:p>
      <w:pPr>
        <w:spacing w:after="0" w:line="48" w:lineRule="exact"/>
        <w:rPr>
          <w:sz w:val="20"/>
          <w:szCs w:val="20"/>
          <w:color w:val="auto"/>
        </w:rPr>
      </w:pPr>
    </w:p>
    <w:p>
      <w:pPr>
        <w:ind w:right="100"/>
        <w:spacing w:after="0" w:line="337" w:lineRule="auto"/>
        <w:rPr>
          <w:sz w:val="20"/>
          <w:szCs w:val="20"/>
          <w:color w:val="auto"/>
        </w:rPr>
      </w:pPr>
      <w:r>
        <w:rPr>
          <w:rFonts w:ascii="Arial" w:cs="Arial" w:eastAsia="Arial" w:hAnsi="Arial"/>
          <w:sz w:val="16"/>
          <w:szCs w:val="16"/>
          <w:color w:val="auto"/>
        </w:rPr>
        <w:t>While the Board does not prohibit directors having common membership on other boards, the Board reviews potential common membership on other boards as they arise to determine whether it affects the ability of those directors to exercise independent judgment as members of TC Energy's Board.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Currently, none of our directors serve together on another board. Accordingly, there are no board interlocks.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also place limits on the number of public company boards that our directors may serve on. See </w:t>
      </w:r>
      <w:r>
        <w:rPr>
          <w:rFonts w:ascii="Arial" w:cs="Arial" w:eastAsia="Arial" w:hAnsi="Arial"/>
          <w:sz w:val="16"/>
          <w:szCs w:val="16"/>
          <w:i w:val="1"/>
          <w:iCs w:val="1"/>
          <w:color w:val="auto"/>
        </w:rPr>
        <w:t>Governance - Serving on other boards</w:t>
      </w:r>
      <w:r>
        <w:rPr>
          <w:rFonts w:ascii="Arial" w:cs="Arial" w:eastAsia="Arial" w:hAnsi="Arial"/>
          <w:sz w:val="16"/>
          <w:szCs w:val="16"/>
          <w:color w:val="auto"/>
        </w:rPr>
        <w:t xml:space="preserve"> on page 37.</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MEETING ATTENDANCE</w:t>
      </w:r>
    </w:p>
    <w:p>
      <w:pPr>
        <w:spacing w:after="0" w:line="48" w:lineRule="exact"/>
        <w:rPr>
          <w:sz w:val="20"/>
          <w:szCs w:val="20"/>
          <w:color w:val="auto"/>
        </w:rPr>
      </w:pPr>
    </w:p>
    <w:p>
      <w:pPr>
        <w:jc w:val="both"/>
        <w:ind w:right="440"/>
        <w:spacing w:after="0" w:line="326" w:lineRule="auto"/>
        <w:rPr>
          <w:sz w:val="20"/>
          <w:szCs w:val="20"/>
          <w:color w:val="auto"/>
        </w:rPr>
      </w:pPr>
      <w:r>
        <w:rPr>
          <w:rFonts w:ascii="Arial" w:cs="Arial" w:eastAsia="Arial" w:hAnsi="Arial"/>
          <w:sz w:val="16"/>
          <w:szCs w:val="16"/>
          <w:color w:val="auto"/>
        </w:rPr>
        <w:t>We expect our directors to demonstrate a strong commitment to their roles and responsibilities while serving on our Board. The table below shows each director's 2025 attendance record, which averaged 98 per cent for all Board and Committee meetings. The Board also held its annual strategic planning session, along with one in-depth educational session in 2025.</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Borders>
              <w:top w:val="single" w:sz="8" w:color="0D64EF"/>
              <w:bottom w:val="single" w:sz="8" w:color="D1D0CF"/>
            </w:tcBorders>
            <w:shd w:val="clear" w:color="auto" w:fill="D1D0CF"/>
          </w:tcPr>
          <w:p>
            <w:pPr>
              <w:spacing w:after="0"/>
              <w:rPr>
                <w:sz w:val="19"/>
                <w:szCs w:val="19"/>
                <w:color w:val="auto"/>
              </w:rPr>
            </w:pPr>
          </w:p>
        </w:tc>
        <w:tc>
          <w:tcPr>
            <w:tcW w:w="700" w:type="dxa"/>
            <w:vAlign w:val="bottom"/>
            <w:tcBorders>
              <w:top w:val="single" w:sz="8" w:color="0D64EF"/>
              <w:bottom w:val="single" w:sz="8" w:color="D1D0CF"/>
            </w:tcBorders>
            <w:shd w:val="clear" w:color="auto" w:fill="D1D0CF"/>
          </w:tcPr>
          <w:p>
            <w:pPr>
              <w:spacing w:after="0"/>
              <w:rPr>
                <w:sz w:val="19"/>
                <w:szCs w:val="19"/>
                <w:color w:val="auto"/>
              </w:rPr>
            </w:pPr>
          </w:p>
        </w:tc>
        <w:tc>
          <w:tcPr>
            <w:tcW w:w="720" w:type="dxa"/>
            <w:vAlign w:val="bottom"/>
            <w:tcBorders>
              <w:top w:val="single" w:sz="8" w:color="0D64EF"/>
              <w:bottom w:val="single" w:sz="8" w:color="D1D0CF"/>
            </w:tcBorders>
            <w:shd w:val="clear" w:color="auto" w:fill="D1D0CF"/>
          </w:tcPr>
          <w:p>
            <w:pPr>
              <w:spacing w:after="0"/>
              <w:rPr>
                <w:sz w:val="19"/>
                <w:szCs w:val="19"/>
                <w:color w:val="auto"/>
              </w:rPr>
            </w:pPr>
          </w:p>
        </w:tc>
        <w:tc>
          <w:tcPr>
            <w:tcW w:w="140" w:type="dxa"/>
            <w:vAlign w:val="bottom"/>
            <w:tcBorders>
              <w:top w:val="single" w:sz="8" w:color="0D64EF"/>
              <w:bottom w:val="single" w:sz="8" w:color="D1D0CF"/>
            </w:tcBorders>
            <w:shd w:val="clear" w:color="auto" w:fill="D1D0CF"/>
          </w:tcPr>
          <w:p>
            <w:pPr>
              <w:spacing w:after="0"/>
              <w:rPr>
                <w:sz w:val="19"/>
                <w:szCs w:val="19"/>
                <w:color w:val="auto"/>
              </w:rPr>
            </w:pPr>
          </w:p>
        </w:tc>
        <w:tc>
          <w:tcPr>
            <w:tcW w:w="520" w:type="dxa"/>
            <w:vAlign w:val="bottom"/>
            <w:tcBorders>
              <w:top w:val="single" w:sz="8" w:color="0D64EF"/>
              <w:bottom w:val="single" w:sz="8" w:color="0D64EF"/>
            </w:tcBorders>
            <w:shd w:val="clear" w:color="auto" w:fill="D1D0CF"/>
          </w:tcPr>
          <w:p>
            <w:pPr>
              <w:spacing w:after="0"/>
              <w:rPr>
                <w:sz w:val="19"/>
                <w:szCs w:val="19"/>
                <w:color w:val="auto"/>
              </w:rPr>
            </w:pPr>
          </w:p>
        </w:tc>
        <w:tc>
          <w:tcPr>
            <w:tcW w:w="980" w:type="dxa"/>
            <w:vAlign w:val="bottom"/>
            <w:tcBorders>
              <w:top w:val="single" w:sz="8" w:color="0D64EF"/>
              <w:bottom w:val="single" w:sz="8" w:color="0D64EF"/>
            </w:tcBorders>
            <w:shd w:val="clear" w:color="auto" w:fill="D1D0CF"/>
          </w:tcPr>
          <w:p>
            <w:pPr>
              <w:spacing w:after="0"/>
              <w:rPr>
                <w:sz w:val="19"/>
                <w:szCs w:val="19"/>
                <w:color w:val="auto"/>
              </w:rPr>
            </w:pPr>
          </w:p>
        </w:tc>
        <w:tc>
          <w:tcPr>
            <w:tcW w:w="700" w:type="dxa"/>
            <w:vAlign w:val="bottom"/>
            <w:tcBorders>
              <w:top w:val="single" w:sz="8" w:color="0D64EF"/>
              <w:bottom w:val="single" w:sz="8" w:color="0D64EF"/>
            </w:tcBorders>
            <w:shd w:val="clear" w:color="auto" w:fill="D1D0CF"/>
          </w:tcPr>
          <w:p>
            <w:pPr>
              <w:spacing w:after="0"/>
              <w:rPr>
                <w:sz w:val="19"/>
                <w:szCs w:val="19"/>
                <w:color w:val="auto"/>
              </w:rPr>
            </w:pPr>
          </w:p>
        </w:tc>
        <w:tc>
          <w:tcPr>
            <w:tcW w:w="1740" w:type="dxa"/>
            <w:vAlign w:val="bottom"/>
            <w:tcBorders>
              <w:top w:val="single" w:sz="8" w:color="0D64EF"/>
              <w:bottom w:val="single" w:sz="8" w:color="0D64EF"/>
            </w:tcBorders>
            <w:gridSpan w:val="2"/>
            <w:shd w:val="clear" w:color="auto" w:fill="D1D0CF"/>
          </w:tcPr>
          <w:p>
            <w:pPr>
              <w:ind w:left="260"/>
              <w:spacing w:after="0"/>
              <w:rPr>
                <w:sz w:val="20"/>
                <w:szCs w:val="20"/>
                <w:color w:val="auto"/>
              </w:rPr>
            </w:pPr>
            <w:r>
              <w:rPr>
                <w:rFonts w:ascii="Arial" w:cs="Arial" w:eastAsia="Arial" w:hAnsi="Arial"/>
                <w:sz w:val="14"/>
                <w:szCs w:val="14"/>
                <w:b w:val="1"/>
                <w:bCs w:val="1"/>
                <w:color w:val="auto"/>
              </w:rPr>
              <w:t>Board Committees</w:t>
            </w:r>
          </w:p>
        </w:tc>
        <w:tc>
          <w:tcPr>
            <w:tcW w:w="760" w:type="dxa"/>
            <w:vAlign w:val="bottom"/>
            <w:tcBorders>
              <w:top w:val="single" w:sz="8" w:color="0D64EF"/>
              <w:bottom w:val="single" w:sz="8" w:color="0D64EF"/>
            </w:tcBorders>
            <w:shd w:val="clear" w:color="auto" w:fill="D1D0CF"/>
          </w:tcPr>
          <w:p>
            <w:pPr>
              <w:spacing w:after="0"/>
              <w:rPr>
                <w:sz w:val="19"/>
                <w:szCs w:val="19"/>
                <w:color w:val="auto"/>
              </w:rPr>
            </w:pPr>
          </w:p>
        </w:tc>
        <w:tc>
          <w:tcPr>
            <w:tcW w:w="480" w:type="dxa"/>
            <w:vAlign w:val="bottom"/>
            <w:tcBorders>
              <w:top w:val="single" w:sz="8" w:color="0D64EF"/>
              <w:bottom w:val="single" w:sz="8" w:color="0D64EF"/>
            </w:tcBorders>
            <w:shd w:val="clear" w:color="auto" w:fill="D1D0CF"/>
          </w:tcPr>
          <w:p>
            <w:pPr>
              <w:spacing w:after="0"/>
              <w:rPr>
                <w:sz w:val="19"/>
                <w:szCs w:val="19"/>
                <w:color w:val="auto"/>
              </w:rPr>
            </w:pPr>
          </w:p>
        </w:tc>
        <w:tc>
          <w:tcPr>
            <w:tcW w:w="1020" w:type="dxa"/>
            <w:vAlign w:val="bottom"/>
            <w:tcBorders>
              <w:top w:val="single" w:sz="8" w:color="0D64EF"/>
              <w:bottom w:val="single" w:sz="8" w:color="0D64EF"/>
            </w:tcBorders>
            <w:shd w:val="clear" w:color="auto" w:fill="D1D0CF"/>
          </w:tcPr>
          <w:p>
            <w:pPr>
              <w:spacing w:after="0"/>
              <w:rPr>
                <w:sz w:val="19"/>
                <w:szCs w:val="19"/>
                <w:color w:val="auto"/>
              </w:rPr>
            </w:pPr>
          </w:p>
        </w:tc>
        <w:tc>
          <w:tcPr>
            <w:tcW w:w="140" w:type="dxa"/>
            <w:vAlign w:val="bottom"/>
            <w:tcBorders>
              <w:top w:val="single" w:sz="8" w:color="0D64EF"/>
              <w:bottom w:val="single" w:sz="8" w:color="D1D0CF"/>
            </w:tcBorders>
            <w:shd w:val="clear" w:color="auto" w:fill="D1D0CF"/>
          </w:tcPr>
          <w:p>
            <w:pPr>
              <w:spacing w:after="0"/>
              <w:rPr>
                <w:sz w:val="19"/>
                <w:szCs w:val="19"/>
                <w:color w:val="auto"/>
              </w:rPr>
            </w:pPr>
          </w:p>
        </w:tc>
        <w:tc>
          <w:tcPr>
            <w:tcW w:w="1240" w:type="dxa"/>
            <w:vAlign w:val="bottom"/>
            <w:tcBorders>
              <w:top w:val="single" w:sz="8" w:color="0D64EF"/>
              <w:bottom w:val="single" w:sz="8" w:color="D1D0CF"/>
            </w:tcBorders>
            <w:shd w:val="clear" w:color="auto" w:fill="D1D0CF"/>
          </w:tcPr>
          <w:p>
            <w:pPr>
              <w:spacing w:after="0"/>
              <w:rPr>
                <w:sz w:val="19"/>
                <w:szCs w:val="19"/>
                <w:color w:val="auto"/>
              </w:rPr>
            </w:pPr>
          </w:p>
        </w:tc>
      </w:tr>
      <w:tr>
        <w:trPr>
          <w:trHeight w:val="206"/>
        </w:trPr>
        <w:tc>
          <w:tcPr>
            <w:tcW w:w="2100" w:type="dxa"/>
            <w:vAlign w:val="bottom"/>
            <w:shd w:val="clear" w:color="auto" w:fill="D1D0CF"/>
          </w:tcPr>
          <w:p>
            <w:pPr>
              <w:spacing w:after="0"/>
              <w:rPr>
                <w:sz w:val="17"/>
                <w:szCs w:val="17"/>
                <w:color w:val="auto"/>
              </w:rPr>
            </w:pPr>
          </w:p>
        </w:tc>
        <w:tc>
          <w:tcPr>
            <w:tcW w:w="700" w:type="dxa"/>
            <w:vAlign w:val="bottom"/>
            <w:shd w:val="clear" w:color="auto" w:fill="D1D0CF"/>
          </w:tcPr>
          <w:p>
            <w:pPr>
              <w:spacing w:after="0"/>
              <w:rPr>
                <w:sz w:val="17"/>
                <w:szCs w:val="17"/>
                <w:color w:val="auto"/>
              </w:rPr>
            </w:pPr>
          </w:p>
        </w:tc>
        <w:tc>
          <w:tcPr>
            <w:tcW w:w="720" w:type="dxa"/>
            <w:vAlign w:val="bottom"/>
            <w:shd w:val="clear" w:color="auto" w:fill="D1D0CF"/>
          </w:tcPr>
          <w:p>
            <w:pPr>
              <w:spacing w:after="0"/>
              <w:rPr>
                <w:sz w:val="17"/>
                <w:szCs w:val="17"/>
                <w:color w:val="auto"/>
              </w:rPr>
            </w:pPr>
          </w:p>
        </w:tc>
        <w:tc>
          <w:tcPr>
            <w:tcW w:w="140" w:type="dxa"/>
            <w:vAlign w:val="bottom"/>
            <w:shd w:val="clear" w:color="auto" w:fill="D1D0CF"/>
          </w:tcPr>
          <w:p>
            <w:pPr>
              <w:spacing w:after="0"/>
              <w:rPr>
                <w:sz w:val="17"/>
                <w:szCs w:val="17"/>
                <w:color w:val="auto"/>
              </w:rPr>
            </w:pPr>
          </w:p>
        </w:tc>
        <w:tc>
          <w:tcPr>
            <w:tcW w:w="520" w:type="dxa"/>
            <w:vAlign w:val="bottom"/>
            <w:shd w:val="clear" w:color="auto" w:fill="D1D0CF"/>
          </w:tcPr>
          <w:p>
            <w:pPr>
              <w:spacing w:after="0"/>
              <w:rPr>
                <w:sz w:val="17"/>
                <w:szCs w:val="17"/>
                <w:color w:val="auto"/>
              </w:rPr>
            </w:pPr>
          </w:p>
        </w:tc>
        <w:tc>
          <w:tcPr>
            <w:tcW w:w="980" w:type="dxa"/>
            <w:vAlign w:val="bottom"/>
            <w:shd w:val="clear" w:color="auto" w:fill="D1D0CF"/>
          </w:tcPr>
          <w:p>
            <w:pPr>
              <w:spacing w:after="0"/>
              <w:rPr>
                <w:sz w:val="17"/>
                <w:szCs w:val="17"/>
                <w:color w:val="auto"/>
              </w:rPr>
            </w:pPr>
          </w:p>
        </w:tc>
        <w:tc>
          <w:tcPr>
            <w:tcW w:w="700" w:type="dxa"/>
            <w:vAlign w:val="bottom"/>
            <w:shd w:val="clear" w:color="auto" w:fill="D1D0CF"/>
          </w:tcPr>
          <w:p>
            <w:pPr>
              <w:spacing w:after="0"/>
              <w:rPr>
                <w:sz w:val="17"/>
                <w:szCs w:val="17"/>
                <w:color w:val="auto"/>
              </w:rPr>
            </w:pPr>
          </w:p>
        </w:tc>
        <w:tc>
          <w:tcPr>
            <w:tcW w:w="820" w:type="dxa"/>
            <w:vAlign w:val="bottom"/>
            <w:shd w:val="clear" w:color="auto" w:fill="D1D0CF"/>
          </w:tcPr>
          <w:p>
            <w:pPr>
              <w:spacing w:after="0"/>
              <w:rPr>
                <w:sz w:val="17"/>
                <w:szCs w:val="17"/>
                <w:color w:val="auto"/>
              </w:rPr>
            </w:pPr>
          </w:p>
        </w:tc>
        <w:tc>
          <w:tcPr>
            <w:tcW w:w="1680" w:type="dxa"/>
            <w:vAlign w:val="bottom"/>
            <w:gridSpan w:val="2"/>
            <w:shd w:val="clear" w:color="auto" w:fill="D1D0CF"/>
          </w:tcPr>
          <w:p>
            <w:pPr>
              <w:jc w:val="center"/>
              <w:spacing w:after="0"/>
              <w:rPr>
                <w:sz w:val="20"/>
                <w:szCs w:val="20"/>
                <w:color w:val="auto"/>
              </w:rPr>
            </w:pPr>
            <w:r>
              <w:rPr>
                <w:rFonts w:ascii="Arial" w:cs="Arial" w:eastAsia="Arial" w:hAnsi="Arial"/>
                <w:sz w:val="14"/>
                <w:szCs w:val="14"/>
                <w:b w:val="1"/>
                <w:bCs w:val="1"/>
                <w:color w:val="auto"/>
                <w:w w:val="99"/>
              </w:rPr>
              <w:t>Health, Safety,</w:t>
            </w:r>
          </w:p>
        </w:tc>
        <w:tc>
          <w:tcPr>
            <w:tcW w:w="480" w:type="dxa"/>
            <w:vAlign w:val="bottom"/>
            <w:shd w:val="clear" w:color="auto" w:fill="D1D0CF"/>
          </w:tcPr>
          <w:p>
            <w:pPr>
              <w:spacing w:after="0"/>
              <w:rPr>
                <w:sz w:val="17"/>
                <w:szCs w:val="17"/>
                <w:color w:val="auto"/>
              </w:rPr>
            </w:pPr>
          </w:p>
        </w:tc>
        <w:tc>
          <w:tcPr>
            <w:tcW w:w="1020" w:type="dxa"/>
            <w:vAlign w:val="bottom"/>
            <w:shd w:val="clear" w:color="auto" w:fill="D1D0CF"/>
          </w:tcPr>
          <w:p>
            <w:pPr>
              <w:spacing w:after="0"/>
              <w:rPr>
                <w:sz w:val="17"/>
                <w:szCs w:val="17"/>
                <w:color w:val="auto"/>
              </w:rPr>
            </w:pPr>
          </w:p>
        </w:tc>
        <w:tc>
          <w:tcPr>
            <w:tcW w:w="140" w:type="dxa"/>
            <w:vAlign w:val="bottom"/>
            <w:shd w:val="clear" w:color="auto" w:fill="D1D0CF"/>
          </w:tcPr>
          <w:p>
            <w:pPr>
              <w:spacing w:after="0"/>
              <w:rPr>
                <w:sz w:val="17"/>
                <w:szCs w:val="17"/>
                <w:color w:val="auto"/>
              </w:rPr>
            </w:pPr>
          </w:p>
        </w:tc>
        <w:tc>
          <w:tcPr>
            <w:tcW w:w="1240" w:type="dxa"/>
            <w:vAlign w:val="bottom"/>
            <w:shd w:val="clear" w:color="auto" w:fill="D1D0CF"/>
          </w:tcPr>
          <w:p>
            <w:pPr>
              <w:spacing w:after="0"/>
              <w:rPr>
                <w:sz w:val="17"/>
                <w:szCs w:val="17"/>
                <w:color w:val="auto"/>
              </w:rPr>
            </w:pPr>
          </w:p>
        </w:tc>
      </w:tr>
      <w:tr>
        <w:trPr>
          <w:trHeight w:val="202"/>
        </w:trPr>
        <w:tc>
          <w:tcPr>
            <w:tcW w:w="2100" w:type="dxa"/>
            <w:vAlign w:val="bottom"/>
            <w:shd w:val="clear" w:color="auto" w:fill="D1D0CF"/>
          </w:tcPr>
          <w:p>
            <w:pPr>
              <w:spacing w:after="0"/>
              <w:rPr>
                <w:sz w:val="17"/>
                <w:szCs w:val="17"/>
                <w:color w:val="auto"/>
              </w:rPr>
            </w:pPr>
          </w:p>
        </w:tc>
        <w:tc>
          <w:tcPr>
            <w:tcW w:w="700" w:type="dxa"/>
            <w:vAlign w:val="bottom"/>
            <w:shd w:val="clear" w:color="auto" w:fill="D1D0CF"/>
          </w:tcPr>
          <w:p>
            <w:pPr>
              <w:spacing w:after="0"/>
              <w:rPr>
                <w:sz w:val="17"/>
                <w:szCs w:val="17"/>
                <w:color w:val="auto"/>
              </w:rPr>
            </w:pPr>
          </w:p>
        </w:tc>
        <w:tc>
          <w:tcPr>
            <w:tcW w:w="720" w:type="dxa"/>
            <w:vAlign w:val="bottom"/>
            <w:shd w:val="clear" w:color="auto" w:fill="D1D0CF"/>
          </w:tcPr>
          <w:p>
            <w:pPr>
              <w:spacing w:after="0"/>
              <w:rPr>
                <w:sz w:val="17"/>
                <w:szCs w:val="17"/>
                <w:color w:val="auto"/>
              </w:rPr>
            </w:pPr>
          </w:p>
        </w:tc>
        <w:tc>
          <w:tcPr>
            <w:tcW w:w="140" w:type="dxa"/>
            <w:vAlign w:val="bottom"/>
            <w:shd w:val="clear" w:color="auto" w:fill="D1D0CF"/>
          </w:tcPr>
          <w:p>
            <w:pPr>
              <w:spacing w:after="0"/>
              <w:rPr>
                <w:sz w:val="17"/>
                <w:szCs w:val="17"/>
                <w:color w:val="auto"/>
              </w:rPr>
            </w:pPr>
          </w:p>
        </w:tc>
        <w:tc>
          <w:tcPr>
            <w:tcW w:w="520" w:type="dxa"/>
            <w:vAlign w:val="bottom"/>
            <w:shd w:val="clear" w:color="auto" w:fill="D1D0CF"/>
          </w:tcPr>
          <w:p>
            <w:pPr>
              <w:spacing w:after="0"/>
              <w:rPr>
                <w:sz w:val="17"/>
                <w:szCs w:val="17"/>
                <w:color w:val="auto"/>
              </w:rPr>
            </w:pPr>
          </w:p>
        </w:tc>
        <w:tc>
          <w:tcPr>
            <w:tcW w:w="980" w:type="dxa"/>
            <w:vAlign w:val="bottom"/>
            <w:shd w:val="clear" w:color="auto" w:fill="D1D0CF"/>
          </w:tcPr>
          <w:p>
            <w:pPr>
              <w:spacing w:after="0"/>
              <w:rPr>
                <w:sz w:val="17"/>
                <w:szCs w:val="17"/>
                <w:color w:val="auto"/>
              </w:rPr>
            </w:pPr>
          </w:p>
        </w:tc>
        <w:tc>
          <w:tcPr>
            <w:tcW w:w="700" w:type="dxa"/>
            <w:vAlign w:val="bottom"/>
            <w:shd w:val="clear" w:color="auto" w:fill="D1D0CF"/>
          </w:tcPr>
          <w:p>
            <w:pPr>
              <w:spacing w:after="0"/>
              <w:rPr>
                <w:sz w:val="17"/>
                <w:szCs w:val="17"/>
                <w:color w:val="auto"/>
              </w:rPr>
            </w:pPr>
          </w:p>
        </w:tc>
        <w:tc>
          <w:tcPr>
            <w:tcW w:w="820" w:type="dxa"/>
            <w:vAlign w:val="bottom"/>
            <w:shd w:val="clear" w:color="auto" w:fill="D1D0CF"/>
          </w:tcPr>
          <w:p>
            <w:pPr>
              <w:spacing w:after="0"/>
              <w:rPr>
                <w:sz w:val="17"/>
                <w:szCs w:val="17"/>
                <w:color w:val="auto"/>
              </w:rPr>
            </w:pPr>
          </w:p>
        </w:tc>
        <w:tc>
          <w:tcPr>
            <w:tcW w:w="1680" w:type="dxa"/>
            <w:vAlign w:val="bottom"/>
            <w:gridSpan w:val="2"/>
            <w:shd w:val="clear" w:color="auto" w:fill="D1D0CF"/>
          </w:tcPr>
          <w:p>
            <w:pPr>
              <w:jc w:val="center"/>
              <w:spacing w:after="0"/>
              <w:rPr>
                <w:sz w:val="20"/>
                <w:szCs w:val="20"/>
                <w:color w:val="auto"/>
              </w:rPr>
            </w:pPr>
            <w:r>
              <w:rPr>
                <w:rFonts w:ascii="Arial" w:cs="Arial" w:eastAsia="Arial" w:hAnsi="Arial"/>
                <w:sz w:val="14"/>
                <w:szCs w:val="14"/>
                <w:b w:val="1"/>
                <w:bCs w:val="1"/>
                <w:color w:val="auto"/>
              </w:rPr>
              <w:t>Sustainability</w:t>
            </w:r>
          </w:p>
        </w:tc>
        <w:tc>
          <w:tcPr>
            <w:tcW w:w="480" w:type="dxa"/>
            <w:vAlign w:val="bottom"/>
            <w:shd w:val="clear" w:color="auto" w:fill="D1D0CF"/>
          </w:tcPr>
          <w:p>
            <w:pPr>
              <w:spacing w:after="0"/>
              <w:rPr>
                <w:sz w:val="17"/>
                <w:szCs w:val="17"/>
                <w:color w:val="auto"/>
              </w:rPr>
            </w:pPr>
          </w:p>
        </w:tc>
        <w:tc>
          <w:tcPr>
            <w:tcW w:w="1160" w:type="dxa"/>
            <w:vAlign w:val="bottom"/>
            <w:gridSpan w:val="2"/>
            <w:shd w:val="clear" w:color="auto" w:fill="D1D0CF"/>
          </w:tcPr>
          <w:p>
            <w:pPr>
              <w:jc w:val="center"/>
              <w:ind w:right="640"/>
              <w:spacing w:after="0"/>
              <w:rPr>
                <w:sz w:val="20"/>
                <w:szCs w:val="20"/>
                <w:color w:val="auto"/>
              </w:rPr>
            </w:pPr>
            <w:r>
              <w:rPr>
                <w:rFonts w:ascii="Arial" w:cs="Arial" w:eastAsia="Arial" w:hAnsi="Arial"/>
                <w:sz w:val="14"/>
                <w:szCs w:val="14"/>
                <w:b w:val="1"/>
                <w:bCs w:val="1"/>
                <w:color w:val="auto"/>
              </w:rPr>
              <w:t>Human</w:t>
            </w:r>
          </w:p>
        </w:tc>
        <w:tc>
          <w:tcPr>
            <w:tcW w:w="1240" w:type="dxa"/>
            <w:vAlign w:val="bottom"/>
            <w:shd w:val="clear" w:color="auto" w:fill="D1D0CF"/>
          </w:tcPr>
          <w:p>
            <w:pPr>
              <w:jc w:val="center"/>
              <w:spacing w:after="0"/>
              <w:rPr>
                <w:sz w:val="20"/>
                <w:szCs w:val="20"/>
                <w:color w:val="auto"/>
              </w:rPr>
            </w:pPr>
            <w:r>
              <w:rPr>
                <w:rFonts w:ascii="Arial" w:cs="Arial" w:eastAsia="Arial" w:hAnsi="Arial"/>
                <w:sz w:val="14"/>
                <w:szCs w:val="14"/>
                <w:b w:val="1"/>
                <w:bCs w:val="1"/>
                <w:color w:val="auto"/>
              </w:rPr>
              <w:t>Overall</w:t>
            </w:r>
          </w:p>
        </w:tc>
      </w:tr>
      <w:tr>
        <w:trPr>
          <w:trHeight w:val="231"/>
        </w:trPr>
        <w:tc>
          <w:tcPr>
            <w:tcW w:w="2100" w:type="dxa"/>
            <w:vAlign w:val="bottom"/>
            <w:shd w:val="clear" w:color="auto" w:fill="D1D0CF"/>
          </w:tcPr>
          <w:p>
            <w:pPr>
              <w:spacing w:after="0"/>
              <w:rPr>
                <w:sz w:val="20"/>
                <w:szCs w:val="20"/>
                <w:color w:val="auto"/>
              </w:rPr>
            </w:pPr>
          </w:p>
        </w:tc>
        <w:tc>
          <w:tcPr>
            <w:tcW w:w="1560" w:type="dxa"/>
            <w:vAlign w:val="bottom"/>
            <w:gridSpan w:val="3"/>
            <w:shd w:val="clear" w:color="auto" w:fill="D1D0CF"/>
          </w:tcPr>
          <w:p>
            <w:pPr>
              <w:ind w:left="100"/>
              <w:spacing w:after="0"/>
              <w:rPr>
                <w:sz w:val="20"/>
                <w:szCs w:val="20"/>
                <w:color w:val="auto"/>
              </w:rPr>
            </w:pPr>
            <w:r>
              <w:rPr>
                <w:rFonts w:ascii="Arial" w:cs="Arial" w:eastAsia="Arial" w:hAnsi="Arial"/>
                <w:sz w:val="14"/>
                <w:szCs w:val="14"/>
                <w:b w:val="1"/>
                <w:bCs w:val="1"/>
                <w:color w:val="auto"/>
              </w:rPr>
              <w:t>Board of Directors</w:t>
            </w:r>
          </w:p>
        </w:tc>
        <w:tc>
          <w:tcPr>
            <w:tcW w:w="520" w:type="dxa"/>
            <w:vAlign w:val="bottom"/>
            <w:shd w:val="clear" w:color="auto" w:fill="D1D0CF"/>
          </w:tcPr>
          <w:p>
            <w:pPr>
              <w:spacing w:after="0"/>
              <w:rPr>
                <w:sz w:val="20"/>
                <w:szCs w:val="20"/>
                <w:color w:val="auto"/>
              </w:rPr>
            </w:pPr>
          </w:p>
        </w:tc>
        <w:tc>
          <w:tcPr>
            <w:tcW w:w="980" w:type="dxa"/>
            <w:vAlign w:val="bottom"/>
            <w:shd w:val="clear" w:color="auto" w:fill="D1D0CF"/>
          </w:tcPr>
          <w:p>
            <w:pPr>
              <w:ind w:left="40"/>
              <w:spacing w:after="0"/>
              <w:rPr>
                <w:sz w:val="20"/>
                <w:szCs w:val="20"/>
                <w:color w:val="auto"/>
              </w:rPr>
            </w:pPr>
            <w:r>
              <w:rPr>
                <w:rFonts w:ascii="Arial" w:cs="Arial" w:eastAsia="Arial" w:hAnsi="Arial"/>
                <w:sz w:val="14"/>
                <w:szCs w:val="14"/>
                <w:b w:val="1"/>
                <w:bCs w:val="1"/>
                <w:color w:val="auto"/>
              </w:rPr>
              <w:t>Audit</w:t>
            </w:r>
          </w:p>
        </w:tc>
        <w:tc>
          <w:tcPr>
            <w:tcW w:w="1520" w:type="dxa"/>
            <w:vAlign w:val="bottom"/>
            <w:gridSpan w:val="2"/>
            <w:shd w:val="clear" w:color="auto" w:fill="D1D0CF"/>
          </w:tcPr>
          <w:p>
            <w:pPr>
              <w:jc w:val="right"/>
              <w:ind w:right="308"/>
              <w:spacing w:after="0"/>
              <w:rPr>
                <w:sz w:val="20"/>
                <w:szCs w:val="20"/>
                <w:color w:val="auto"/>
              </w:rPr>
            </w:pPr>
            <w:r>
              <w:rPr>
                <w:rFonts w:ascii="Arial" w:cs="Arial" w:eastAsia="Arial" w:hAnsi="Arial"/>
                <w:sz w:val="14"/>
                <w:szCs w:val="14"/>
                <w:b w:val="1"/>
                <w:bCs w:val="1"/>
                <w:color w:val="auto"/>
              </w:rPr>
              <w:t>Governance</w:t>
            </w:r>
          </w:p>
        </w:tc>
        <w:tc>
          <w:tcPr>
            <w:tcW w:w="1680" w:type="dxa"/>
            <w:vAlign w:val="bottom"/>
            <w:gridSpan w:val="2"/>
            <w:shd w:val="clear" w:color="auto" w:fill="D1D0CF"/>
          </w:tcPr>
          <w:p>
            <w:pPr>
              <w:jc w:val="center"/>
              <w:spacing w:after="0"/>
              <w:rPr>
                <w:sz w:val="20"/>
                <w:szCs w:val="20"/>
                <w:color w:val="auto"/>
              </w:rPr>
            </w:pPr>
            <w:r>
              <w:rPr>
                <w:rFonts w:ascii="Arial" w:cs="Arial" w:eastAsia="Arial" w:hAnsi="Arial"/>
                <w:sz w:val="14"/>
                <w:szCs w:val="14"/>
                <w:b w:val="1"/>
                <w:bCs w:val="1"/>
                <w:color w:val="auto"/>
              </w:rPr>
              <w:t>and Environment</w:t>
            </w:r>
          </w:p>
        </w:tc>
        <w:tc>
          <w:tcPr>
            <w:tcW w:w="1640" w:type="dxa"/>
            <w:vAlign w:val="bottom"/>
            <w:gridSpan w:val="3"/>
            <w:shd w:val="clear" w:color="auto" w:fill="D1D0CF"/>
          </w:tcPr>
          <w:p>
            <w:pPr>
              <w:jc w:val="center"/>
              <w:ind w:right="140"/>
              <w:spacing w:after="0"/>
              <w:rPr>
                <w:sz w:val="20"/>
                <w:szCs w:val="20"/>
                <w:color w:val="auto"/>
              </w:rPr>
            </w:pPr>
            <w:r>
              <w:rPr>
                <w:rFonts w:ascii="Arial" w:cs="Arial" w:eastAsia="Arial" w:hAnsi="Arial"/>
                <w:sz w:val="14"/>
                <w:szCs w:val="14"/>
                <w:b w:val="1"/>
                <w:bCs w:val="1"/>
                <w:color w:val="auto"/>
              </w:rPr>
              <w:t>Resources</w:t>
            </w:r>
          </w:p>
        </w:tc>
        <w:tc>
          <w:tcPr>
            <w:tcW w:w="1240" w:type="dxa"/>
            <w:vAlign w:val="bottom"/>
            <w:shd w:val="clear" w:color="auto" w:fill="D1D0CF"/>
          </w:tcPr>
          <w:p>
            <w:pPr>
              <w:jc w:val="center"/>
              <w:spacing w:after="0"/>
              <w:rPr>
                <w:sz w:val="20"/>
                <w:szCs w:val="20"/>
                <w:color w:val="auto"/>
              </w:rPr>
            </w:pPr>
            <w:r>
              <w:rPr>
                <w:rFonts w:ascii="Arial" w:cs="Arial" w:eastAsia="Arial" w:hAnsi="Arial"/>
                <w:sz w:val="14"/>
                <w:szCs w:val="14"/>
                <w:b w:val="1"/>
                <w:bCs w:val="1"/>
                <w:color w:val="auto"/>
              </w:rPr>
              <w:t>attendance</w:t>
            </w:r>
          </w:p>
        </w:tc>
      </w:tr>
      <w:tr>
        <w:trPr>
          <w:trHeight w:val="211"/>
        </w:trPr>
        <w:tc>
          <w:tcPr>
            <w:tcW w:w="2100" w:type="dxa"/>
            <w:vAlign w:val="bottom"/>
            <w:tcBorders>
              <w:top w:val="single" w:sz="8" w:color="D1D0CF"/>
              <w:bottom w:val="single" w:sz="8" w:color="0D64EF"/>
            </w:tcBorders>
            <w:shd w:val="clear" w:color="auto" w:fill="D1D0CF"/>
          </w:tcPr>
          <w:p>
            <w:pPr>
              <w:spacing w:after="0"/>
              <w:rPr>
                <w:sz w:val="18"/>
                <w:szCs w:val="18"/>
                <w:color w:val="auto"/>
              </w:rPr>
            </w:pPr>
          </w:p>
        </w:tc>
        <w:tc>
          <w:tcPr>
            <w:tcW w:w="700" w:type="dxa"/>
            <w:vAlign w:val="bottom"/>
            <w:tcBorders>
              <w:top w:val="single" w:sz="8" w:color="0D64EF"/>
              <w:bottom w:val="single" w:sz="8" w:color="0D64EF"/>
            </w:tcBorders>
            <w:shd w:val="clear" w:color="auto" w:fill="D1D0CF"/>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0D64EF"/>
              <w:bottom w:val="single" w:sz="8" w:color="0D64EF"/>
            </w:tcBorders>
            <w:shd w:val="clear" w:color="auto" w:fill="D1D0CF"/>
          </w:tcPr>
          <w:p>
            <w:pPr>
              <w:jc w:val="center"/>
              <w:spacing w:after="0"/>
              <w:rPr>
                <w:sz w:val="20"/>
                <w:szCs w:val="20"/>
                <w:color w:val="auto"/>
              </w:rPr>
            </w:pPr>
            <w:r>
              <w:rPr>
                <w:rFonts w:ascii="Arial" w:cs="Arial" w:eastAsia="Arial" w:hAnsi="Arial"/>
                <w:sz w:val="14"/>
                <w:szCs w:val="14"/>
                <w:color w:val="auto"/>
                <w:w w:val="96"/>
              </w:rPr>
              <w:t>%</w:t>
            </w:r>
          </w:p>
        </w:tc>
        <w:tc>
          <w:tcPr>
            <w:tcW w:w="140" w:type="dxa"/>
            <w:vAlign w:val="bottom"/>
            <w:tcBorders>
              <w:top w:val="single" w:sz="8" w:color="D1D0CF"/>
              <w:bottom w:val="single" w:sz="8" w:color="0D64EF"/>
            </w:tcBorders>
            <w:shd w:val="clear" w:color="auto" w:fill="D1D0CF"/>
          </w:tcPr>
          <w:p>
            <w:pPr>
              <w:spacing w:after="0"/>
              <w:rPr>
                <w:sz w:val="18"/>
                <w:szCs w:val="18"/>
                <w:color w:val="auto"/>
              </w:rPr>
            </w:pPr>
          </w:p>
        </w:tc>
        <w:tc>
          <w:tcPr>
            <w:tcW w:w="520" w:type="dxa"/>
            <w:vAlign w:val="bottom"/>
            <w:tcBorders>
              <w:top w:val="single" w:sz="8" w:color="0D64EF"/>
              <w:bottom w:val="single" w:sz="8" w:color="0D64EF"/>
            </w:tcBorders>
            <w:shd w:val="clear" w:color="auto" w:fill="D1D0CF"/>
          </w:tcPr>
          <w:p>
            <w:pPr>
              <w:jc w:val="center"/>
              <w:ind w:lef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0D64EF"/>
              <w:bottom w:val="single" w:sz="8" w:color="0D64EF"/>
            </w:tcBorders>
            <w:shd w:val="clear" w:color="auto" w:fill="D1D0CF"/>
          </w:tcPr>
          <w:p>
            <w:pPr>
              <w:jc w:val="center"/>
              <w:ind w:left="1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0D64EF"/>
              <w:bottom w:val="single" w:sz="8" w:color="0D64EF"/>
            </w:tcBorders>
            <w:shd w:val="clear" w:color="auto" w:fill="D1D0C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0D64EF"/>
              <w:bottom w:val="single" w:sz="8" w:color="0D64EF"/>
            </w:tcBorders>
            <w:shd w:val="clear" w:color="auto" w:fill="D1D0CF"/>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0D64EF"/>
              <w:bottom w:val="single" w:sz="8" w:color="0D64EF"/>
            </w:tcBorders>
            <w:shd w:val="clear" w:color="auto" w:fill="D1D0CF"/>
          </w:tcPr>
          <w:p>
            <w:pPr>
              <w:jc w:val="center"/>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0D64EF"/>
              <w:bottom w:val="single" w:sz="8" w:color="0D64EF"/>
            </w:tcBorders>
            <w:shd w:val="clear" w:color="auto" w:fill="D1D0CF"/>
          </w:tcPr>
          <w:p>
            <w:pPr>
              <w:jc w:val="center"/>
              <w:ind w:right="8"/>
              <w:spacing w:after="0"/>
              <w:rPr>
                <w:sz w:val="20"/>
                <w:szCs w:val="20"/>
                <w:color w:val="auto"/>
              </w:rPr>
            </w:pPr>
            <w:r>
              <w:rPr>
                <w:rFonts w:ascii="Arial" w:cs="Arial" w:eastAsia="Arial" w:hAnsi="Arial"/>
                <w:sz w:val="14"/>
                <w:szCs w:val="14"/>
                <w:color w:val="auto"/>
                <w:w w:val="96"/>
              </w:rPr>
              <w:t>%</w:t>
            </w:r>
          </w:p>
        </w:tc>
        <w:tc>
          <w:tcPr>
            <w:tcW w:w="480" w:type="dxa"/>
            <w:vAlign w:val="bottom"/>
            <w:tcBorders>
              <w:top w:val="single" w:sz="8" w:color="0D64EF"/>
              <w:bottom w:val="single" w:sz="8" w:color="0D64EF"/>
            </w:tcBorders>
            <w:shd w:val="clear" w:color="auto" w:fill="D1D0CF"/>
          </w:tcPr>
          <w:p>
            <w:pPr>
              <w:jc w:val="center"/>
              <w:ind w:left="1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0D64EF"/>
              <w:bottom w:val="single" w:sz="8" w:color="0D64EF"/>
            </w:tcBorders>
            <w:shd w:val="clear" w:color="auto" w:fill="D1D0CF"/>
          </w:tcPr>
          <w:p>
            <w:pPr>
              <w:jc w:val="center"/>
              <w:ind w:left="188"/>
              <w:spacing w:after="0"/>
              <w:rPr>
                <w:sz w:val="20"/>
                <w:szCs w:val="20"/>
                <w:color w:val="auto"/>
              </w:rPr>
            </w:pPr>
            <w:r>
              <w:rPr>
                <w:rFonts w:ascii="Arial" w:cs="Arial" w:eastAsia="Arial" w:hAnsi="Arial"/>
                <w:sz w:val="14"/>
                <w:szCs w:val="14"/>
                <w:color w:val="auto"/>
                <w:w w:val="96"/>
              </w:rPr>
              <w:t>%</w:t>
            </w:r>
          </w:p>
        </w:tc>
        <w:tc>
          <w:tcPr>
            <w:tcW w:w="140" w:type="dxa"/>
            <w:vAlign w:val="bottom"/>
            <w:tcBorders>
              <w:top w:val="single" w:sz="8" w:color="D1D0CF"/>
              <w:bottom w:val="single" w:sz="8" w:color="0D64EF"/>
            </w:tcBorders>
            <w:shd w:val="clear" w:color="auto" w:fill="D1D0CF"/>
          </w:tcPr>
          <w:p>
            <w:pPr>
              <w:spacing w:after="0"/>
              <w:rPr>
                <w:sz w:val="18"/>
                <w:szCs w:val="18"/>
                <w:color w:val="auto"/>
              </w:rPr>
            </w:pPr>
          </w:p>
        </w:tc>
        <w:tc>
          <w:tcPr>
            <w:tcW w:w="1240" w:type="dxa"/>
            <w:vAlign w:val="bottom"/>
            <w:tcBorders>
              <w:top w:val="single" w:sz="8" w:color="0D64EF"/>
              <w:bottom w:val="single" w:sz="8" w:color="0D64EF"/>
            </w:tcBorders>
            <w:shd w:val="clear" w:color="auto" w:fill="D1D0CF"/>
          </w:tcPr>
          <w:p>
            <w:pPr>
              <w:jc w:val="center"/>
              <w:spacing w:after="0"/>
              <w:rPr>
                <w:sz w:val="20"/>
                <w:szCs w:val="20"/>
                <w:color w:val="auto"/>
              </w:rPr>
            </w:pPr>
            <w:r>
              <w:rPr>
                <w:rFonts w:ascii="Arial" w:cs="Arial" w:eastAsia="Arial" w:hAnsi="Arial"/>
                <w:sz w:val="14"/>
                <w:szCs w:val="14"/>
                <w:color w:val="auto"/>
                <w:w w:val="96"/>
              </w:rPr>
              <w:t>%</w:t>
            </w:r>
          </w:p>
        </w:tc>
      </w:tr>
      <w:tr>
        <w:trPr>
          <w:trHeight w:val="195"/>
        </w:trPr>
        <w:tc>
          <w:tcPr>
            <w:tcW w:w="21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Scott Bonham</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6"/>
                <w:szCs w:val="16"/>
                <w:color w:val="auto"/>
              </w:rPr>
            </w:pPr>
          </w:p>
        </w:tc>
        <w:tc>
          <w:tcPr>
            <w:tcW w:w="52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4/4</w:t>
            </w:r>
          </w:p>
        </w:tc>
        <w:tc>
          <w:tcPr>
            <w:tcW w:w="98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rPr>
              <w:t>100</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B2B2B2"/>
            </w:tcBorders>
          </w:tcPr>
          <w:p>
            <w:pPr>
              <w:jc w:val="center"/>
              <w:ind w:right="2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4/4</w:t>
            </w:r>
          </w:p>
        </w:tc>
        <w:tc>
          <w:tcPr>
            <w:tcW w:w="102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6"/>
                <w:szCs w:val="16"/>
                <w:color w:val="auto"/>
              </w:rPr>
            </w:pP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195"/>
        </w:trPr>
        <w:tc>
          <w:tcPr>
            <w:tcW w:w="21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Cheryl F. Campbell</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6"/>
                <w:szCs w:val="16"/>
                <w:color w:val="auto"/>
              </w:rPr>
            </w:pPr>
          </w:p>
        </w:tc>
        <w:tc>
          <w:tcPr>
            <w:tcW w:w="52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4/4</w:t>
            </w:r>
          </w:p>
        </w:tc>
        <w:tc>
          <w:tcPr>
            <w:tcW w:w="98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rPr>
              <w:t>100</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B2B2B2"/>
            </w:tcBorders>
          </w:tcPr>
          <w:p>
            <w:pPr>
              <w:jc w:val="center"/>
              <w:ind w:right="48"/>
              <w:spacing w:after="0"/>
              <w:rPr>
                <w:sz w:val="20"/>
                <w:szCs w:val="20"/>
                <w:color w:val="auto"/>
              </w:rPr>
            </w:pPr>
            <w:r>
              <w:rPr>
                <w:rFonts w:ascii="Arial" w:cs="Arial" w:eastAsia="Arial" w:hAnsi="Arial"/>
                <w:sz w:val="14"/>
                <w:szCs w:val="14"/>
                <w:color w:val="auto"/>
              </w:rPr>
              <w:t>4/4</w:t>
            </w:r>
          </w:p>
        </w:tc>
        <w:tc>
          <w:tcPr>
            <w:tcW w:w="760" w:type="dxa"/>
            <w:vAlign w:val="bottom"/>
            <w:tcBorders>
              <w:bottom w:val="single" w:sz="8" w:color="B2B2B2"/>
            </w:tcBorders>
          </w:tcPr>
          <w:p>
            <w:pPr>
              <w:jc w:val="center"/>
              <w:ind w:right="8"/>
              <w:spacing w:after="0"/>
              <w:rPr>
                <w:sz w:val="20"/>
                <w:szCs w:val="20"/>
                <w:color w:val="auto"/>
              </w:rPr>
            </w:pPr>
            <w:r>
              <w:rPr>
                <w:rFonts w:ascii="Arial" w:cs="Arial" w:eastAsia="Arial" w:hAnsi="Arial"/>
                <w:sz w:val="14"/>
                <w:szCs w:val="14"/>
                <w:color w:val="auto"/>
              </w:rPr>
              <w:t>100</w:t>
            </w:r>
          </w:p>
        </w:tc>
        <w:tc>
          <w:tcPr>
            <w:tcW w:w="48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B2B2B2"/>
            </w:tcBorders>
            <w:gridSpan w:val="2"/>
          </w:tcPr>
          <w:p>
            <w:pPr>
              <w:jc w:val="center"/>
              <w:ind w:lef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195"/>
        </w:trPr>
        <w:tc>
          <w:tcPr>
            <w:tcW w:w="21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Michael R. Culbert</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6"/>
                <w:szCs w:val="16"/>
                <w:color w:val="auto"/>
              </w:rPr>
            </w:pPr>
          </w:p>
        </w:tc>
        <w:tc>
          <w:tcPr>
            <w:tcW w:w="52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4/4</w:t>
            </w:r>
          </w:p>
        </w:tc>
        <w:tc>
          <w:tcPr>
            <w:tcW w:w="98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rPr>
              <w:t>100</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B2B2B2"/>
            </w:tcBorders>
          </w:tcPr>
          <w:p>
            <w:pPr>
              <w:jc w:val="center"/>
              <w:ind w:right="48"/>
              <w:spacing w:after="0"/>
              <w:rPr>
                <w:sz w:val="20"/>
                <w:szCs w:val="20"/>
                <w:color w:val="auto"/>
              </w:rPr>
            </w:pPr>
            <w:r>
              <w:rPr>
                <w:rFonts w:ascii="Arial" w:cs="Arial" w:eastAsia="Arial" w:hAnsi="Arial"/>
                <w:sz w:val="14"/>
                <w:szCs w:val="14"/>
                <w:color w:val="auto"/>
              </w:rPr>
              <w:t>4/4</w:t>
            </w:r>
          </w:p>
        </w:tc>
        <w:tc>
          <w:tcPr>
            <w:tcW w:w="760" w:type="dxa"/>
            <w:vAlign w:val="bottom"/>
            <w:tcBorders>
              <w:bottom w:val="single" w:sz="8" w:color="B2B2B2"/>
            </w:tcBorders>
          </w:tcPr>
          <w:p>
            <w:pPr>
              <w:jc w:val="center"/>
              <w:ind w:right="8"/>
              <w:spacing w:after="0"/>
              <w:rPr>
                <w:sz w:val="20"/>
                <w:szCs w:val="20"/>
                <w:color w:val="auto"/>
              </w:rPr>
            </w:pPr>
            <w:r>
              <w:rPr>
                <w:rFonts w:ascii="Arial" w:cs="Arial" w:eastAsia="Arial" w:hAnsi="Arial"/>
                <w:sz w:val="14"/>
                <w:szCs w:val="14"/>
                <w:color w:val="auto"/>
              </w:rPr>
              <w:t>100</w:t>
            </w:r>
          </w:p>
        </w:tc>
        <w:tc>
          <w:tcPr>
            <w:tcW w:w="48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B2B2B2"/>
            </w:tcBorders>
            <w:gridSpan w:val="2"/>
          </w:tcPr>
          <w:p>
            <w:pPr>
              <w:jc w:val="center"/>
              <w:ind w:lef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199"/>
        </w:trPr>
        <w:tc>
          <w:tcPr>
            <w:tcW w:w="2100" w:type="dxa"/>
            <w:vAlign w:val="bottom"/>
            <w:tcBorders>
              <w:bottom w:val="single" w:sz="8" w:color="B2B2B2"/>
            </w:tcBorders>
          </w:tcPr>
          <w:p>
            <w:pPr>
              <w:ind w:left="20"/>
              <w:spacing w:after="0" w:line="199" w:lineRule="exact"/>
              <w:rPr>
                <w:sz w:val="20"/>
                <w:szCs w:val="20"/>
                <w:color w:val="auto"/>
              </w:rPr>
            </w:pPr>
            <w:r>
              <w:rPr>
                <w:rFonts w:ascii="Arial" w:cs="Arial" w:eastAsia="Arial" w:hAnsi="Arial"/>
                <w:sz w:val="14"/>
                <w:szCs w:val="14"/>
                <w:color w:val="auto"/>
              </w:rPr>
              <w:t>William D. Johnson</w:t>
            </w:r>
            <w:r>
              <w:rPr>
                <w:rFonts w:ascii="Arial" w:cs="Arial" w:eastAsia="Arial" w:hAnsi="Arial"/>
                <w:sz w:val="18"/>
                <w:szCs w:val="18"/>
                <w:color w:val="auto"/>
                <w:vertAlign w:val="superscript"/>
              </w:rPr>
              <w:t>1</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2/2</w:t>
            </w:r>
          </w:p>
        </w:tc>
        <w:tc>
          <w:tcPr>
            <w:tcW w:w="98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rPr>
              <w:t>100</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2/2</w:t>
            </w:r>
          </w:p>
        </w:tc>
        <w:tc>
          <w:tcPr>
            <w:tcW w:w="820" w:type="dxa"/>
            <w:vAlign w:val="bottom"/>
            <w:tcBorders>
              <w:bottom w:val="single" w:sz="8" w:color="B2B2B2"/>
            </w:tcBorders>
          </w:tcPr>
          <w:p>
            <w:pPr>
              <w:jc w:val="right"/>
              <w:ind w:right="208"/>
              <w:spacing w:after="0"/>
              <w:rPr>
                <w:sz w:val="20"/>
                <w:szCs w:val="20"/>
                <w:color w:val="auto"/>
              </w:rPr>
            </w:pPr>
            <w:r>
              <w:rPr>
                <w:rFonts w:ascii="Arial" w:cs="Arial" w:eastAsia="Arial" w:hAnsi="Arial"/>
                <w:sz w:val="14"/>
                <w:szCs w:val="14"/>
                <w:color w:val="auto"/>
              </w:rPr>
              <w:t>100</w:t>
            </w:r>
          </w:p>
        </w:tc>
        <w:tc>
          <w:tcPr>
            <w:tcW w:w="920" w:type="dxa"/>
            <w:vAlign w:val="bottom"/>
            <w:tcBorders>
              <w:bottom w:val="single" w:sz="8" w:color="B2B2B2"/>
            </w:tcBorders>
          </w:tcPr>
          <w:p>
            <w:pPr>
              <w:jc w:val="center"/>
              <w:ind w:right="2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4/4</w:t>
            </w:r>
          </w:p>
        </w:tc>
        <w:tc>
          <w:tcPr>
            <w:tcW w:w="102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7"/>
                <w:szCs w:val="17"/>
                <w:color w:val="auto"/>
              </w:rPr>
            </w:pP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191"/>
        </w:trPr>
        <w:tc>
          <w:tcPr>
            <w:tcW w:w="21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Susan C. Jones</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6"/>
                <w:szCs w:val="16"/>
                <w:color w:val="auto"/>
              </w:rPr>
            </w:pPr>
          </w:p>
        </w:tc>
        <w:tc>
          <w:tcPr>
            <w:tcW w:w="52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4/4</w:t>
            </w:r>
          </w:p>
        </w:tc>
        <w:tc>
          <w:tcPr>
            <w:tcW w:w="98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rPr>
              <w:t>100</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B2B2B2"/>
            </w:tcBorders>
          </w:tcPr>
          <w:p>
            <w:pPr>
              <w:jc w:val="center"/>
              <w:ind w:right="2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3/4</w:t>
            </w:r>
          </w:p>
        </w:tc>
        <w:tc>
          <w:tcPr>
            <w:tcW w:w="102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rPr>
              <w:t>75</w:t>
            </w:r>
          </w:p>
        </w:tc>
        <w:tc>
          <w:tcPr>
            <w:tcW w:w="140" w:type="dxa"/>
            <w:vAlign w:val="bottom"/>
            <w:tcBorders>
              <w:bottom w:val="single" w:sz="8" w:color="B2B2B2"/>
            </w:tcBorders>
          </w:tcPr>
          <w:p>
            <w:pPr>
              <w:spacing w:after="0"/>
              <w:rPr>
                <w:sz w:val="16"/>
                <w:szCs w:val="16"/>
                <w:color w:val="auto"/>
              </w:rPr>
            </w:pP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92</w:t>
            </w:r>
          </w:p>
        </w:tc>
      </w:tr>
      <w:tr>
        <w:trPr>
          <w:trHeight w:val="208"/>
        </w:trPr>
        <w:tc>
          <w:tcPr>
            <w:tcW w:w="21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John E. Lowe</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8"/>
                <w:szCs w:val="18"/>
                <w:color w:val="auto"/>
              </w:rPr>
            </w:pPr>
          </w:p>
        </w:tc>
        <w:tc>
          <w:tcPr>
            <w:tcW w:w="52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B2B2B2"/>
            </w:tcBorders>
          </w:tcPr>
          <w:p>
            <w:pPr>
              <w:jc w:val="center"/>
              <w:ind w:left="128"/>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4/4</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920" w:type="dxa"/>
            <w:vAlign w:val="bottom"/>
            <w:tcBorders>
              <w:bottom w:val="single" w:sz="8" w:color="B2B2B2"/>
            </w:tcBorders>
          </w:tcPr>
          <w:p>
            <w:pPr>
              <w:jc w:val="center"/>
              <w:ind w:right="2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4/4</w:t>
            </w:r>
          </w:p>
        </w:tc>
        <w:tc>
          <w:tcPr>
            <w:tcW w:w="102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8"/>
                <w:szCs w:val="18"/>
                <w:color w:val="auto"/>
              </w:rPr>
            </w:pP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199"/>
        </w:trPr>
        <w:tc>
          <w:tcPr>
            <w:tcW w:w="2100" w:type="dxa"/>
            <w:vAlign w:val="bottom"/>
            <w:tcBorders>
              <w:bottom w:val="single" w:sz="8" w:color="B2B2B2"/>
            </w:tcBorders>
          </w:tcPr>
          <w:p>
            <w:pPr>
              <w:ind w:left="20"/>
              <w:spacing w:after="0" w:line="199" w:lineRule="exact"/>
              <w:rPr>
                <w:sz w:val="20"/>
                <w:szCs w:val="20"/>
                <w:color w:val="auto"/>
              </w:rPr>
            </w:pPr>
            <w:r>
              <w:rPr>
                <w:rFonts w:ascii="Arial" w:cs="Arial" w:eastAsia="Arial" w:hAnsi="Arial"/>
                <w:sz w:val="14"/>
                <w:szCs w:val="14"/>
                <w:color w:val="auto"/>
              </w:rPr>
              <w:t>David MacNaughton</w:t>
            </w:r>
            <w:r>
              <w:rPr>
                <w:rFonts w:ascii="Arial" w:cs="Arial" w:eastAsia="Arial" w:hAnsi="Arial"/>
                <w:sz w:val="18"/>
                <w:szCs w:val="18"/>
                <w:color w:val="auto"/>
                <w:vertAlign w:val="superscript"/>
              </w:rPr>
              <w:t>2</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2/2</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B2B2B2"/>
            </w:tcBorders>
          </w:tcPr>
          <w:p>
            <w:pPr>
              <w:jc w:val="center"/>
              <w:ind w:left="128"/>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2/2</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920" w:type="dxa"/>
            <w:vAlign w:val="bottom"/>
            <w:tcBorders>
              <w:bottom w:val="single" w:sz="8" w:color="B2B2B2"/>
            </w:tcBorders>
          </w:tcPr>
          <w:p>
            <w:pPr>
              <w:jc w:val="center"/>
              <w:ind w:right="48"/>
              <w:spacing w:after="0"/>
              <w:rPr>
                <w:sz w:val="20"/>
                <w:szCs w:val="20"/>
                <w:color w:val="auto"/>
              </w:rPr>
            </w:pPr>
            <w:r>
              <w:rPr>
                <w:rFonts w:ascii="Arial" w:cs="Arial" w:eastAsia="Arial" w:hAnsi="Arial"/>
                <w:sz w:val="14"/>
                <w:szCs w:val="14"/>
                <w:color w:val="auto"/>
              </w:rPr>
              <w:t>2/2</w:t>
            </w:r>
          </w:p>
        </w:tc>
        <w:tc>
          <w:tcPr>
            <w:tcW w:w="760" w:type="dxa"/>
            <w:vAlign w:val="bottom"/>
            <w:tcBorders>
              <w:bottom w:val="single" w:sz="8" w:color="B2B2B2"/>
            </w:tcBorders>
          </w:tcPr>
          <w:p>
            <w:pPr>
              <w:jc w:val="center"/>
              <w:ind w:right="8"/>
              <w:spacing w:after="0"/>
              <w:rPr>
                <w:sz w:val="20"/>
                <w:szCs w:val="20"/>
                <w:color w:val="auto"/>
              </w:rPr>
            </w:pPr>
            <w:r>
              <w:rPr>
                <w:rFonts w:ascii="Arial" w:cs="Arial" w:eastAsia="Arial" w:hAnsi="Arial"/>
                <w:sz w:val="14"/>
                <w:szCs w:val="14"/>
                <w:color w:val="auto"/>
              </w:rPr>
              <w:t>100</w:t>
            </w:r>
          </w:p>
        </w:tc>
        <w:tc>
          <w:tcPr>
            <w:tcW w:w="48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B2B2B2"/>
            </w:tcBorders>
            <w:gridSpan w:val="2"/>
          </w:tcPr>
          <w:p>
            <w:pPr>
              <w:jc w:val="center"/>
              <w:ind w:lef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191"/>
        </w:trPr>
        <w:tc>
          <w:tcPr>
            <w:tcW w:w="21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Dawn Madahbee Leach</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6"/>
                <w:szCs w:val="16"/>
                <w:color w:val="auto"/>
              </w:rPr>
            </w:pPr>
          </w:p>
        </w:tc>
        <w:tc>
          <w:tcPr>
            <w:tcW w:w="52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4/4</w:t>
            </w:r>
          </w:p>
        </w:tc>
        <w:tc>
          <w:tcPr>
            <w:tcW w:w="98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rPr>
              <w:t>100</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B2B2B2"/>
            </w:tcBorders>
          </w:tcPr>
          <w:p>
            <w:pPr>
              <w:jc w:val="center"/>
              <w:ind w:right="48"/>
              <w:spacing w:after="0"/>
              <w:rPr>
                <w:sz w:val="20"/>
                <w:szCs w:val="20"/>
                <w:color w:val="auto"/>
              </w:rPr>
            </w:pPr>
            <w:r>
              <w:rPr>
                <w:rFonts w:ascii="Arial" w:cs="Arial" w:eastAsia="Arial" w:hAnsi="Arial"/>
                <w:sz w:val="14"/>
                <w:szCs w:val="14"/>
                <w:color w:val="auto"/>
              </w:rPr>
              <w:t>4/4</w:t>
            </w:r>
          </w:p>
        </w:tc>
        <w:tc>
          <w:tcPr>
            <w:tcW w:w="760" w:type="dxa"/>
            <w:vAlign w:val="bottom"/>
            <w:tcBorders>
              <w:bottom w:val="single" w:sz="8" w:color="B2B2B2"/>
            </w:tcBorders>
          </w:tcPr>
          <w:p>
            <w:pPr>
              <w:jc w:val="center"/>
              <w:ind w:right="8"/>
              <w:spacing w:after="0"/>
              <w:rPr>
                <w:sz w:val="20"/>
                <w:szCs w:val="20"/>
                <w:color w:val="auto"/>
              </w:rPr>
            </w:pPr>
            <w:r>
              <w:rPr>
                <w:rFonts w:ascii="Arial" w:cs="Arial" w:eastAsia="Arial" w:hAnsi="Arial"/>
                <w:sz w:val="14"/>
                <w:szCs w:val="14"/>
                <w:color w:val="auto"/>
              </w:rPr>
              <w:t>100</w:t>
            </w:r>
          </w:p>
        </w:tc>
        <w:tc>
          <w:tcPr>
            <w:tcW w:w="48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B2B2B2"/>
            </w:tcBorders>
            <w:gridSpan w:val="2"/>
          </w:tcPr>
          <w:p>
            <w:pPr>
              <w:jc w:val="center"/>
              <w:ind w:lef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199"/>
        </w:trPr>
        <w:tc>
          <w:tcPr>
            <w:tcW w:w="2100" w:type="dxa"/>
            <w:vAlign w:val="bottom"/>
            <w:tcBorders>
              <w:bottom w:val="single" w:sz="8" w:color="B2B2B2"/>
            </w:tcBorders>
          </w:tcPr>
          <w:p>
            <w:pPr>
              <w:ind w:left="20"/>
              <w:spacing w:after="0" w:line="199" w:lineRule="exact"/>
              <w:rPr>
                <w:sz w:val="20"/>
                <w:szCs w:val="20"/>
                <w:color w:val="auto"/>
              </w:rPr>
            </w:pPr>
            <w:r>
              <w:rPr>
                <w:rFonts w:ascii="Arial" w:cs="Arial" w:eastAsia="Arial" w:hAnsi="Arial"/>
                <w:sz w:val="14"/>
                <w:szCs w:val="14"/>
                <w:color w:val="auto"/>
              </w:rPr>
              <w:t>François L. Poirier</w:t>
            </w:r>
            <w:r>
              <w:rPr>
                <w:rFonts w:ascii="Arial" w:cs="Arial" w:eastAsia="Arial" w:hAnsi="Arial"/>
                <w:sz w:val="18"/>
                <w:szCs w:val="18"/>
                <w:color w:val="auto"/>
                <w:vertAlign w:val="superscript"/>
              </w:rPr>
              <w:t>3</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B2B2B2"/>
            </w:tcBorders>
          </w:tcPr>
          <w:p>
            <w:pPr>
              <w:jc w:val="center"/>
              <w:ind w:left="128"/>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4/4</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920" w:type="dxa"/>
            <w:vAlign w:val="bottom"/>
            <w:tcBorders>
              <w:bottom w:val="single" w:sz="8" w:color="B2B2B2"/>
            </w:tcBorders>
          </w:tcPr>
          <w:p>
            <w:pPr>
              <w:jc w:val="center"/>
              <w:ind w:right="2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4/4</w:t>
            </w:r>
          </w:p>
        </w:tc>
        <w:tc>
          <w:tcPr>
            <w:tcW w:w="102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7"/>
                <w:szCs w:val="17"/>
                <w:color w:val="auto"/>
              </w:rPr>
            </w:pP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205"/>
        </w:trPr>
        <w:tc>
          <w:tcPr>
            <w:tcW w:w="21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Una Power</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4/4</w:t>
            </w:r>
          </w:p>
        </w:tc>
        <w:tc>
          <w:tcPr>
            <w:tcW w:w="98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rPr>
              <w:t>100</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B2B2B2"/>
            </w:tcBorders>
          </w:tcPr>
          <w:p>
            <w:pPr>
              <w:jc w:val="center"/>
              <w:ind w:right="48"/>
              <w:spacing w:after="0"/>
              <w:rPr>
                <w:sz w:val="20"/>
                <w:szCs w:val="20"/>
                <w:color w:val="auto"/>
              </w:rPr>
            </w:pPr>
            <w:r>
              <w:rPr>
                <w:rFonts w:ascii="Arial" w:cs="Arial" w:eastAsia="Arial" w:hAnsi="Arial"/>
                <w:sz w:val="14"/>
                <w:szCs w:val="14"/>
                <w:color w:val="auto"/>
              </w:rPr>
              <w:t>4/4</w:t>
            </w:r>
          </w:p>
        </w:tc>
        <w:tc>
          <w:tcPr>
            <w:tcW w:w="760" w:type="dxa"/>
            <w:vAlign w:val="bottom"/>
            <w:tcBorders>
              <w:bottom w:val="single" w:sz="8" w:color="B2B2B2"/>
            </w:tcBorders>
          </w:tcPr>
          <w:p>
            <w:pPr>
              <w:jc w:val="center"/>
              <w:ind w:right="8"/>
              <w:spacing w:after="0"/>
              <w:rPr>
                <w:sz w:val="20"/>
                <w:szCs w:val="20"/>
                <w:color w:val="auto"/>
              </w:rPr>
            </w:pPr>
            <w:r>
              <w:rPr>
                <w:rFonts w:ascii="Arial" w:cs="Arial" w:eastAsia="Arial" w:hAnsi="Arial"/>
                <w:sz w:val="14"/>
                <w:szCs w:val="14"/>
                <w:color w:val="auto"/>
              </w:rPr>
              <w:t>100</w:t>
            </w:r>
          </w:p>
        </w:tc>
        <w:tc>
          <w:tcPr>
            <w:tcW w:w="48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B2B2B2"/>
            </w:tcBorders>
            <w:gridSpan w:val="2"/>
          </w:tcPr>
          <w:p>
            <w:pPr>
              <w:jc w:val="center"/>
              <w:ind w:lef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208"/>
        </w:trPr>
        <w:tc>
          <w:tcPr>
            <w:tcW w:w="21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Mary Pat Salomone</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8"/>
                <w:szCs w:val="18"/>
                <w:color w:val="auto"/>
              </w:rPr>
            </w:pPr>
          </w:p>
        </w:tc>
        <w:tc>
          <w:tcPr>
            <w:tcW w:w="52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B2B2B2"/>
            </w:tcBorders>
          </w:tcPr>
          <w:p>
            <w:pPr>
              <w:jc w:val="center"/>
              <w:ind w:left="128"/>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4/4</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920" w:type="dxa"/>
            <w:vAlign w:val="bottom"/>
            <w:tcBorders>
              <w:bottom w:val="single" w:sz="8" w:color="B2B2B2"/>
            </w:tcBorders>
          </w:tcPr>
          <w:p>
            <w:pPr>
              <w:jc w:val="center"/>
              <w:ind w:right="48"/>
              <w:spacing w:after="0"/>
              <w:rPr>
                <w:sz w:val="20"/>
                <w:szCs w:val="20"/>
                <w:color w:val="auto"/>
              </w:rPr>
            </w:pPr>
            <w:r>
              <w:rPr>
                <w:rFonts w:ascii="Arial" w:cs="Arial" w:eastAsia="Arial" w:hAnsi="Arial"/>
                <w:sz w:val="14"/>
                <w:szCs w:val="14"/>
                <w:color w:val="auto"/>
              </w:rPr>
              <w:t>4/4</w:t>
            </w:r>
          </w:p>
        </w:tc>
        <w:tc>
          <w:tcPr>
            <w:tcW w:w="760" w:type="dxa"/>
            <w:vAlign w:val="bottom"/>
            <w:tcBorders>
              <w:bottom w:val="single" w:sz="8" w:color="B2B2B2"/>
            </w:tcBorders>
          </w:tcPr>
          <w:p>
            <w:pPr>
              <w:jc w:val="center"/>
              <w:ind w:right="8"/>
              <w:spacing w:after="0"/>
              <w:rPr>
                <w:sz w:val="20"/>
                <w:szCs w:val="20"/>
                <w:color w:val="auto"/>
              </w:rPr>
            </w:pPr>
            <w:r>
              <w:rPr>
                <w:rFonts w:ascii="Arial" w:cs="Arial" w:eastAsia="Arial" w:hAnsi="Arial"/>
                <w:sz w:val="14"/>
                <w:szCs w:val="14"/>
                <w:color w:val="auto"/>
              </w:rPr>
              <w:t>100</w:t>
            </w:r>
          </w:p>
        </w:tc>
        <w:tc>
          <w:tcPr>
            <w:tcW w:w="48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B2B2B2"/>
            </w:tcBorders>
            <w:gridSpan w:val="2"/>
          </w:tcPr>
          <w:p>
            <w:pPr>
              <w:jc w:val="center"/>
              <w:ind w:lef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199"/>
        </w:trPr>
        <w:tc>
          <w:tcPr>
            <w:tcW w:w="2100" w:type="dxa"/>
            <w:vAlign w:val="bottom"/>
            <w:tcBorders>
              <w:bottom w:val="single" w:sz="8" w:color="B2B2B2"/>
            </w:tcBorders>
          </w:tcPr>
          <w:p>
            <w:pPr>
              <w:ind w:left="20"/>
              <w:spacing w:after="0" w:line="199" w:lineRule="exact"/>
              <w:rPr>
                <w:sz w:val="20"/>
                <w:szCs w:val="20"/>
                <w:color w:val="auto"/>
              </w:rPr>
            </w:pPr>
            <w:r>
              <w:rPr>
                <w:rFonts w:ascii="Arial" w:cs="Arial" w:eastAsia="Arial" w:hAnsi="Arial"/>
                <w:sz w:val="14"/>
                <w:szCs w:val="14"/>
                <w:color w:val="auto"/>
              </w:rPr>
              <w:t>Indira Samarasekera</w:t>
            </w:r>
            <w:r>
              <w:rPr>
                <w:rFonts w:ascii="Arial" w:cs="Arial" w:eastAsia="Arial" w:hAnsi="Arial"/>
                <w:sz w:val="18"/>
                <w:szCs w:val="18"/>
                <w:color w:val="auto"/>
                <w:vertAlign w:val="superscript"/>
              </w:rPr>
              <w:t>2</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2/2</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B2B2B2"/>
            </w:tcBorders>
          </w:tcPr>
          <w:p>
            <w:pPr>
              <w:jc w:val="center"/>
              <w:ind w:left="128"/>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1/2</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50</w:t>
            </w:r>
          </w:p>
        </w:tc>
        <w:tc>
          <w:tcPr>
            <w:tcW w:w="920" w:type="dxa"/>
            <w:vAlign w:val="bottom"/>
            <w:tcBorders>
              <w:bottom w:val="single" w:sz="8" w:color="B2B2B2"/>
            </w:tcBorders>
          </w:tcPr>
          <w:p>
            <w:pPr>
              <w:jc w:val="center"/>
              <w:ind w:right="2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1/1</w:t>
            </w:r>
          </w:p>
        </w:tc>
        <w:tc>
          <w:tcPr>
            <w:tcW w:w="102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7"/>
                <w:szCs w:val="17"/>
                <w:color w:val="auto"/>
              </w:rPr>
            </w:pP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80</w:t>
            </w:r>
          </w:p>
        </w:tc>
      </w:tr>
      <w:tr>
        <w:trPr>
          <w:trHeight w:val="205"/>
        </w:trPr>
        <w:tc>
          <w:tcPr>
            <w:tcW w:w="21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Siim A. Vanaselja</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B2B2B2"/>
            </w:tcBorders>
          </w:tcPr>
          <w:p>
            <w:pPr>
              <w:jc w:val="center"/>
              <w:ind w:left="128"/>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4/4</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920" w:type="dxa"/>
            <w:vAlign w:val="bottom"/>
            <w:tcBorders>
              <w:bottom w:val="single" w:sz="8" w:color="B2B2B2"/>
            </w:tcBorders>
          </w:tcPr>
          <w:p>
            <w:pPr>
              <w:jc w:val="center"/>
              <w:ind w:right="2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tcBorders>
              <w:bottom w:val="single" w:sz="8" w:color="B2B2B2"/>
            </w:tcBorders>
          </w:tcPr>
          <w:p>
            <w:pPr>
              <w:jc w:val="center"/>
              <w:ind w:left="168"/>
              <w:spacing w:after="0"/>
              <w:rPr>
                <w:sz w:val="20"/>
                <w:szCs w:val="20"/>
                <w:color w:val="auto"/>
              </w:rPr>
            </w:pPr>
            <w:r>
              <w:rPr>
                <w:rFonts w:ascii="Arial" w:cs="Arial" w:eastAsia="Arial" w:hAnsi="Arial"/>
                <w:sz w:val="14"/>
                <w:szCs w:val="14"/>
                <w:color w:val="auto"/>
              </w:rPr>
              <w:t>4/4</w:t>
            </w:r>
          </w:p>
        </w:tc>
        <w:tc>
          <w:tcPr>
            <w:tcW w:w="102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7"/>
                <w:szCs w:val="17"/>
                <w:color w:val="auto"/>
              </w:rPr>
            </w:pP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208"/>
        </w:trPr>
        <w:tc>
          <w:tcPr>
            <w:tcW w:w="21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Thierry Vandal</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B2B2B2"/>
            </w:tcBorders>
          </w:tcPr>
          <w:p>
            <w:pPr>
              <w:spacing w:after="0"/>
              <w:rPr>
                <w:sz w:val="18"/>
                <w:szCs w:val="18"/>
                <w:color w:val="auto"/>
              </w:rPr>
            </w:pPr>
          </w:p>
        </w:tc>
        <w:tc>
          <w:tcPr>
            <w:tcW w:w="520" w:type="dxa"/>
            <w:vAlign w:val="bottom"/>
            <w:tcBorders>
              <w:bottom w:val="single" w:sz="8" w:color="B2B2B2"/>
            </w:tcBorders>
          </w:tcPr>
          <w:p>
            <w:pPr>
              <w:jc w:val="center"/>
              <w:ind w:left="148"/>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B2B2B2"/>
            </w:tcBorders>
          </w:tcPr>
          <w:p>
            <w:pPr>
              <w:jc w:val="center"/>
              <w:ind w:left="128"/>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4/4</w:t>
            </w:r>
          </w:p>
        </w:tc>
        <w:tc>
          <w:tcPr>
            <w:tcW w:w="82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c>
          <w:tcPr>
            <w:tcW w:w="920" w:type="dxa"/>
            <w:vAlign w:val="bottom"/>
            <w:tcBorders>
              <w:bottom w:val="single" w:sz="8" w:color="B2B2B2"/>
            </w:tcBorders>
          </w:tcPr>
          <w:p>
            <w:pPr>
              <w:jc w:val="center"/>
              <w:ind w:right="48"/>
              <w:spacing w:after="0"/>
              <w:rPr>
                <w:sz w:val="20"/>
                <w:szCs w:val="20"/>
                <w:color w:val="auto"/>
              </w:rPr>
            </w:pPr>
            <w:r>
              <w:rPr>
                <w:rFonts w:ascii="Arial" w:cs="Arial" w:eastAsia="Arial" w:hAnsi="Arial"/>
                <w:sz w:val="14"/>
                <w:szCs w:val="14"/>
                <w:color w:val="auto"/>
              </w:rPr>
              <w:t>4/4</w:t>
            </w:r>
          </w:p>
        </w:tc>
        <w:tc>
          <w:tcPr>
            <w:tcW w:w="760" w:type="dxa"/>
            <w:vAlign w:val="bottom"/>
            <w:tcBorders>
              <w:bottom w:val="single" w:sz="8" w:color="B2B2B2"/>
            </w:tcBorders>
          </w:tcPr>
          <w:p>
            <w:pPr>
              <w:jc w:val="center"/>
              <w:ind w:right="8"/>
              <w:spacing w:after="0"/>
              <w:rPr>
                <w:sz w:val="20"/>
                <w:szCs w:val="20"/>
                <w:color w:val="auto"/>
              </w:rPr>
            </w:pPr>
            <w:r>
              <w:rPr>
                <w:rFonts w:ascii="Arial" w:cs="Arial" w:eastAsia="Arial" w:hAnsi="Arial"/>
                <w:sz w:val="14"/>
                <w:szCs w:val="14"/>
                <w:color w:val="auto"/>
              </w:rPr>
              <w:t>100</w:t>
            </w:r>
          </w:p>
        </w:tc>
        <w:tc>
          <w:tcPr>
            <w:tcW w:w="480" w:type="dxa"/>
            <w:vAlign w:val="bottom"/>
            <w:tcBorders>
              <w:bottom w:val="single" w:sz="8" w:color="B2B2B2"/>
            </w:tcBorders>
          </w:tcPr>
          <w:p>
            <w:pPr>
              <w:jc w:val="center"/>
              <w:ind w:left="188"/>
              <w:spacing w:after="0"/>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B2B2B2"/>
            </w:tcBorders>
            <w:gridSpan w:val="2"/>
          </w:tcPr>
          <w:p>
            <w:pPr>
              <w:jc w:val="center"/>
              <w:ind w:lef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100</w:t>
            </w:r>
          </w:p>
        </w:tc>
      </w:tr>
      <w:tr>
        <w:trPr>
          <w:trHeight w:val="208"/>
        </w:trPr>
        <w:tc>
          <w:tcPr>
            <w:tcW w:w="210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Dheeraj "D" Verma</w:t>
            </w:r>
          </w:p>
        </w:tc>
        <w:tc>
          <w:tcPr>
            <w:tcW w:w="700" w:type="dxa"/>
            <w:vAlign w:val="bottom"/>
            <w:tcBorders>
              <w:bottom w:val="single" w:sz="8" w:color="0D64EF"/>
            </w:tcBorders>
          </w:tcPr>
          <w:p>
            <w:pPr>
              <w:jc w:val="center"/>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0D64EF"/>
            </w:tcBorders>
          </w:tcPr>
          <w:p>
            <w:pPr>
              <w:jc w:val="center"/>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0D64EF"/>
            </w:tcBorders>
          </w:tcPr>
          <w:p>
            <w:pPr>
              <w:spacing w:after="0"/>
              <w:rPr>
                <w:sz w:val="18"/>
                <w:szCs w:val="18"/>
                <w:color w:val="auto"/>
              </w:rPr>
            </w:pPr>
          </w:p>
        </w:tc>
        <w:tc>
          <w:tcPr>
            <w:tcW w:w="520" w:type="dxa"/>
            <w:vAlign w:val="bottom"/>
            <w:tcBorders>
              <w:bottom w:val="single" w:sz="8" w:color="0D64EF"/>
            </w:tcBorders>
          </w:tcPr>
          <w:p>
            <w:pPr>
              <w:jc w:val="center"/>
              <w:ind w:left="148"/>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0D64EF"/>
            </w:tcBorders>
          </w:tcPr>
          <w:p>
            <w:pPr>
              <w:jc w:val="center"/>
              <w:ind w:left="128"/>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0D64EF"/>
            </w:tcBorders>
          </w:tcPr>
          <w:p>
            <w:pPr>
              <w:jc w:val="center"/>
              <w:spacing w:after="0"/>
              <w:rPr>
                <w:sz w:val="20"/>
                <w:szCs w:val="20"/>
                <w:color w:val="auto"/>
              </w:rPr>
            </w:pPr>
            <w:r>
              <w:rPr>
                <w:rFonts w:ascii="Arial" w:cs="Arial" w:eastAsia="Arial" w:hAnsi="Arial"/>
                <w:sz w:val="14"/>
                <w:szCs w:val="14"/>
                <w:color w:val="auto"/>
              </w:rPr>
              <w:t>4/4</w:t>
            </w:r>
          </w:p>
        </w:tc>
        <w:tc>
          <w:tcPr>
            <w:tcW w:w="820" w:type="dxa"/>
            <w:vAlign w:val="bottom"/>
            <w:tcBorders>
              <w:bottom w:val="single" w:sz="8" w:color="0D64EF"/>
            </w:tcBorders>
          </w:tcPr>
          <w:p>
            <w:pPr>
              <w:jc w:val="center"/>
              <w:spacing w:after="0"/>
              <w:rPr>
                <w:sz w:val="20"/>
                <w:szCs w:val="20"/>
                <w:color w:val="auto"/>
              </w:rPr>
            </w:pPr>
            <w:r>
              <w:rPr>
                <w:rFonts w:ascii="Arial" w:cs="Arial" w:eastAsia="Arial" w:hAnsi="Arial"/>
                <w:sz w:val="14"/>
                <w:szCs w:val="14"/>
                <w:color w:val="auto"/>
              </w:rPr>
              <w:t>100</w:t>
            </w:r>
          </w:p>
        </w:tc>
        <w:tc>
          <w:tcPr>
            <w:tcW w:w="920" w:type="dxa"/>
            <w:vAlign w:val="bottom"/>
            <w:tcBorders>
              <w:bottom w:val="single" w:sz="8" w:color="0D64EF"/>
            </w:tcBorders>
          </w:tcPr>
          <w:p>
            <w:pPr>
              <w:jc w:val="center"/>
              <w:ind w:right="2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0D64EF"/>
            </w:tcBorders>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tcBorders>
              <w:bottom w:val="single" w:sz="8" w:color="0D64EF"/>
            </w:tcBorders>
          </w:tcPr>
          <w:p>
            <w:pPr>
              <w:jc w:val="center"/>
              <w:ind w:left="168"/>
              <w:spacing w:after="0"/>
              <w:rPr>
                <w:sz w:val="20"/>
                <w:szCs w:val="20"/>
                <w:color w:val="auto"/>
              </w:rPr>
            </w:pPr>
            <w:r>
              <w:rPr>
                <w:rFonts w:ascii="Arial" w:cs="Arial" w:eastAsia="Arial" w:hAnsi="Arial"/>
                <w:sz w:val="14"/>
                <w:szCs w:val="14"/>
                <w:color w:val="auto"/>
              </w:rPr>
              <w:t>4/4</w:t>
            </w:r>
          </w:p>
        </w:tc>
        <w:tc>
          <w:tcPr>
            <w:tcW w:w="1020" w:type="dxa"/>
            <w:vAlign w:val="bottom"/>
            <w:tcBorders>
              <w:bottom w:val="single" w:sz="8" w:color="0D64EF"/>
            </w:tcBorders>
          </w:tcPr>
          <w:p>
            <w:pPr>
              <w:jc w:val="center"/>
              <w:ind w:left="1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0D64EF"/>
            </w:tcBorders>
          </w:tcPr>
          <w:p>
            <w:pPr>
              <w:spacing w:after="0"/>
              <w:rPr>
                <w:sz w:val="18"/>
                <w:szCs w:val="18"/>
                <w:color w:val="auto"/>
              </w:rPr>
            </w:pPr>
          </w:p>
        </w:tc>
        <w:tc>
          <w:tcPr>
            <w:tcW w:w="1240" w:type="dxa"/>
            <w:vAlign w:val="bottom"/>
            <w:tcBorders>
              <w:bottom w:val="single" w:sz="8" w:color="0D64EF"/>
            </w:tcBorders>
          </w:tcPr>
          <w:p>
            <w:pPr>
              <w:jc w:val="center"/>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2201545</wp:posOffset>
            </wp:positionV>
            <wp:extent cx="28327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3880" w:firstLine="7"/>
        <w:spacing w:after="0" w:line="261" w:lineRule="auto"/>
        <w:tabs>
          <w:tab w:leader="none" w:pos="185" w:val="left"/>
        </w:tabs>
        <w:numPr>
          <w:ilvl w:val="0"/>
          <w:numId w:val="53"/>
        </w:numPr>
        <w:rPr>
          <w:rFonts w:ascii="Arial" w:cs="Arial" w:eastAsia="Arial" w:hAnsi="Arial"/>
          <w:sz w:val="16"/>
          <w:szCs w:val="16"/>
          <w:color w:val="auto"/>
          <w:vertAlign w:val="superscript"/>
        </w:rPr>
      </w:pPr>
      <w:r>
        <w:rPr>
          <w:rFonts w:ascii="Arial" w:cs="Arial" w:eastAsia="Arial" w:hAnsi="Arial"/>
          <w:sz w:val="13"/>
          <w:szCs w:val="13"/>
          <w:color w:val="auto"/>
        </w:rPr>
        <w:t xml:space="preserve">Mr. Johnson was a member of the Audit Committee until May 8, 2025 when he became a member of the Governance Committee. </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Mr. MacNaughton and Dr. Samarasekera retired from the Board on May 8, 2025.</w:t>
      </w:r>
    </w:p>
    <w:p>
      <w:pPr>
        <w:spacing w:after="0" w:line="1"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color w:val="auto"/>
          <w:vertAlign w:val="superscript"/>
        </w:rPr>
        <w:t>3</w:t>
      </w:r>
      <w:r>
        <w:rPr>
          <w:rFonts w:ascii="Arial" w:cs="Arial" w:eastAsia="Arial" w:hAnsi="Arial"/>
          <w:sz w:val="13"/>
          <w:szCs w:val="13"/>
          <w:color w:val="auto"/>
        </w:rPr>
        <w:t xml:space="preserve">  Mr. Poirier was not a member of any committees but was invited to attend Committee meetings as required.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33</w:t>
      </w:r>
    </w:p>
    <w:p>
      <w:pPr>
        <w:sectPr>
          <w:pgSz w:w="11900" w:h="16838" w:orient="portrait"/>
          <w:cols w:equalWidth="0" w:num="1">
            <w:col w:w="11240"/>
          </w:cols>
          <w:pgMar w:left="320" w:top="1097" w:right="339" w:bottom="1440" w:gutter="0" w:footer="0" w:header="0"/>
        </w:sectPr>
      </w:pPr>
    </w:p>
    <w:bookmarkStart w:id="39" w:name="page40"/>
    <w:bookmarkEnd w:id="39"/>
    <w:p>
      <w:pPr>
        <w:spacing w:after="0"/>
        <w:rPr>
          <w:sz w:val="20"/>
          <w:szCs w:val="20"/>
          <w:color w:val="auto"/>
        </w:rPr>
      </w:pPr>
      <w:r>
        <w:rPr>
          <w:rFonts w:ascii="Arial" w:cs="Arial" w:eastAsia="Arial" w:hAnsi="Arial"/>
          <w:sz w:val="29"/>
          <w:szCs w:val="29"/>
          <w:color w:val="0D64EF"/>
        </w:rPr>
        <w:t>Governance</w:t>
      </w:r>
    </w:p>
    <w:p>
      <w:pPr>
        <w:spacing w:after="0" w:line="222" w:lineRule="exact"/>
        <w:rPr>
          <w:sz w:val="20"/>
          <w:szCs w:val="20"/>
          <w:color w:val="auto"/>
        </w:rPr>
      </w:pPr>
    </w:p>
    <w:p>
      <w:pPr>
        <w:ind w:left="20" w:right="780"/>
        <w:spacing w:after="0" w:line="337" w:lineRule="auto"/>
        <w:rPr>
          <w:sz w:val="20"/>
          <w:szCs w:val="20"/>
          <w:color w:val="auto"/>
        </w:rPr>
      </w:pPr>
      <w:r>
        <w:rPr>
          <w:rFonts w:ascii="Arial" w:cs="Arial" w:eastAsia="Arial" w:hAnsi="Arial"/>
          <w:sz w:val="16"/>
          <w:szCs w:val="16"/>
          <w:color w:val="auto"/>
        </w:rPr>
        <w:t>We believe that strong governance improves corporate performance and benefits all stakeholders.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This section discusses our approach to governance and describes our Board and how it works.</w:t>
      </w:r>
    </w:p>
    <w:p>
      <w:pPr>
        <w:spacing w:after="0" w:line="228" w:lineRule="exact"/>
        <w:rPr>
          <w:sz w:val="20"/>
          <w:szCs w:val="20"/>
          <w:color w:val="auto"/>
        </w:rPr>
      </w:pPr>
    </w:p>
    <w:p>
      <w:pPr>
        <w:ind w:left="80"/>
        <w:spacing w:after="0"/>
        <w:rPr>
          <w:sz w:val="20"/>
          <w:szCs w:val="20"/>
          <w:color w:val="auto"/>
        </w:rPr>
      </w:pPr>
      <w:r>
        <w:rPr>
          <w:rFonts w:ascii="Arial" w:cs="Arial" w:eastAsia="Arial" w:hAnsi="Arial"/>
          <w:sz w:val="29"/>
          <w:szCs w:val="29"/>
          <w:color w:val="0D64EF"/>
        </w:rPr>
        <w:t>About our Governance Practices</w:t>
      </w:r>
    </w:p>
    <w:p>
      <w:pPr>
        <w:spacing w:after="0" w:line="222" w:lineRule="exact"/>
        <w:rPr>
          <w:sz w:val="20"/>
          <w:szCs w:val="20"/>
          <w:color w:val="auto"/>
        </w:rPr>
      </w:pPr>
    </w:p>
    <w:p>
      <w:pPr>
        <w:ind w:left="80" w:right="240"/>
        <w:spacing w:after="0" w:line="337" w:lineRule="auto"/>
        <w:rPr>
          <w:sz w:val="20"/>
          <w:szCs w:val="20"/>
          <w:color w:val="auto"/>
        </w:rPr>
      </w:pPr>
      <w:r>
        <w:rPr>
          <w:rFonts w:ascii="Arial" w:cs="Arial" w:eastAsia="Arial" w:hAnsi="Arial"/>
          <w:sz w:val="16"/>
          <w:szCs w:val="16"/>
          <w:color w:val="auto"/>
        </w:rPr>
        <w:t>Our Board and management are committed to the highest standards of ethical conduct and corporate governance.</w:t>
      </w:r>
    </w:p>
    <w:p>
      <w:pPr>
        <w:spacing w:after="0" w:line="48" w:lineRule="exact"/>
        <w:rPr>
          <w:sz w:val="20"/>
          <w:szCs w:val="20"/>
          <w:color w:val="auto"/>
        </w:rPr>
      </w:pPr>
    </w:p>
    <w:p>
      <w:pPr>
        <w:ind w:left="80" w:right="500"/>
        <w:spacing w:after="0" w:line="337" w:lineRule="auto"/>
        <w:rPr>
          <w:sz w:val="20"/>
          <w:szCs w:val="20"/>
          <w:color w:val="auto"/>
        </w:rPr>
      </w:pPr>
      <w:r>
        <w:rPr>
          <w:rFonts w:ascii="Arial" w:cs="Arial" w:eastAsia="Arial" w:hAnsi="Arial"/>
          <w:sz w:val="16"/>
          <w:szCs w:val="16"/>
          <w:color w:val="auto"/>
        </w:rPr>
        <w:t>TC Energy is a public company listed on the TSX and the NYSE, and we recognize and respect rules and regulations in both Canada and the U.S.</w:t>
      </w:r>
    </w:p>
    <w:p>
      <w:pPr>
        <w:spacing w:after="0" w:line="48" w:lineRule="exact"/>
        <w:rPr>
          <w:sz w:val="20"/>
          <w:szCs w:val="20"/>
          <w:color w:val="auto"/>
        </w:rPr>
      </w:pPr>
    </w:p>
    <w:p>
      <w:pPr>
        <w:ind w:left="80" w:right="100"/>
        <w:spacing w:after="0" w:line="326" w:lineRule="auto"/>
        <w:rPr>
          <w:sz w:val="20"/>
          <w:szCs w:val="20"/>
          <w:color w:val="auto"/>
        </w:rPr>
      </w:pPr>
      <w:r>
        <w:rPr>
          <w:rFonts w:ascii="Arial" w:cs="Arial" w:eastAsia="Arial" w:hAnsi="Arial"/>
          <w:sz w:val="16"/>
          <w:szCs w:val="16"/>
          <w:color w:val="auto"/>
        </w:rPr>
        <w:t xml:space="preserve">Our corporate governance practices comply with the Canadian governance guidelines, which include the governance rules of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xml:space="preserve"> (CBCA), TSX and Canadian Securities Administrators (CSA), including:</w:t>
      </w:r>
    </w:p>
    <w:p>
      <w:pPr>
        <w:spacing w:after="0" w:line="43" w:lineRule="exact"/>
        <w:rPr>
          <w:sz w:val="20"/>
          <w:szCs w:val="20"/>
          <w:color w:val="auto"/>
        </w:rPr>
      </w:pPr>
    </w:p>
    <w:p>
      <w:pPr>
        <w:ind w:left="160" w:hanging="135"/>
        <w:spacing w:after="0"/>
        <w:tabs>
          <w:tab w:leader="none" w:pos="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National Instrument 52-110, </w:t>
      </w:r>
      <w:r>
        <w:rPr>
          <w:rFonts w:ascii="Arial" w:cs="Arial" w:eastAsia="Arial" w:hAnsi="Arial"/>
          <w:sz w:val="16"/>
          <w:szCs w:val="16"/>
          <w:i w:val="1"/>
          <w:iCs w:val="1"/>
          <w:color w:val="auto"/>
        </w:rPr>
        <w:t>Audit Committees</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left="160" w:hanging="135"/>
        <w:spacing w:after="0"/>
        <w:tabs>
          <w:tab w:leader="none" w:pos="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National Policy 58-201,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and</w:t>
      </w:r>
    </w:p>
    <w:p>
      <w:pPr>
        <w:spacing w:after="0" w:line="44" w:lineRule="exact"/>
        <w:rPr>
          <w:rFonts w:ascii="Arial" w:cs="Arial" w:eastAsia="Arial" w:hAnsi="Arial"/>
          <w:sz w:val="16"/>
          <w:szCs w:val="16"/>
          <w:color w:val="auto"/>
        </w:rPr>
      </w:pPr>
    </w:p>
    <w:p>
      <w:pPr>
        <w:ind w:left="160" w:hanging="135"/>
        <w:spacing w:after="0"/>
        <w:tabs>
          <w:tab w:leader="none" w:pos="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National Instrument 58-101, </w:t>
      </w:r>
      <w:r>
        <w:rPr>
          <w:rFonts w:ascii="Arial" w:cs="Arial" w:eastAsia="Arial" w:hAnsi="Arial"/>
          <w:sz w:val="16"/>
          <w:szCs w:val="16"/>
          <w:i w:val="1"/>
          <w:iCs w:val="1"/>
          <w:color w:val="auto"/>
        </w:rPr>
        <w:t>Disclosure of Corporate Governance Practices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D64EF"/>
        </w:rPr>
        <w:t>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2644775" cy="26022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44775" cy="260223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40" w:type="dxa"/>
            <w:vAlign w:val="bottom"/>
            <w:tcBorders>
              <w:top w:val="single" w:sz="8" w:color="0D64EF"/>
            </w:tcBorders>
          </w:tcPr>
          <w:p>
            <w:pPr>
              <w:jc w:val="right"/>
              <w:ind w:right="64"/>
              <w:spacing w:after="0"/>
              <w:rPr>
                <w:sz w:val="20"/>
                <w:szCs w:val="20"/>
                <w:color w:val="auto"/>
              </w:rPr>
            </w:pPr>
            <w:r>
              <w:rPr>
                <w:rFonts w:ascii="Arial" w:cs="Arial" w:eastAsia="Arial" w:hAnsi="Arial"/>
                <w:sz w:val="15"/>
                <w:szCs w:val="15"/>
                <w:color w:val="0D64EF"/>
              </w:rPr>
              <w:t>&gt;</w:t>
            </w:r>
          </w:p>
        </w:tc>
        <w:tc>
          <w:tcPr>
            <w:tcW w:w="33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6"/>
                <w:szCs w:val="16"/>
                <w:color w:val="0D64EF"/>
              </w:rPr>
              <w:t>Governance</w:t>
            </w:r>
          </w:p>
        </w:tc>
        <w:tc>
          <w:tcPr>
            <w:tcW w:w="40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6"/>
                <w:szCs w:val="16"/>
                <w:color w:val="0D64EF"/>
              </w:rPr>
              <w:t>34</w:t>
            </w:r>
          </w:p>
        </w:tc>
        <w:tc>
          <w:tcPr>
            <w:tcW w:w="100" w:type="dxa"/>
            <w:vAlign w:val="bottom"/>
            <w:tcBorders>
              <w:top w:val="single" w:sz="8" w:color="0D64EF"/>
            </w:tcBorders>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About our Governance Practices</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Board Characteristics</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Governance Philosophy</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Role and Responsibilities of</w:t>
            </w:r>
          </w:p>
        </w:tc>
        <w:tc>
          <w:tcPr>
            <w:tcW w:w="400" w:type="dxa"/>
            <w:vAlign w:val="bottom"/>
            <w:vMerge w:val="restart"/>
            <w:shd w:val="clear" w:color="auto" w:fill="D1D0C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3320" w:type="dxa"/>
            <w:vAlign w:val="bottom"/>
            <w:vMerge w:val="restart"/>
            <w:shd w:val="clear" w:color="auto" w:fill="D1D0CF"/>
          </w:tcPr>
          <w:p>
            <w:pPr>
              <w:ind w:left="20"/>
              <w:spacing w:after="0"/>
              <w:rPr>
                <w:sz w:val="20"/>
                <w:szCs w:val="20"/>
                <w:color w:val="auto"/>
              </w:rPr>
            </w:pPr>
            <w:r>
              <w:rPr>
                <w:rFonts w:ascii="Arial" w:cs="Arial" w:eastAsia="Arial" w:hAnsi="Arial"/>
                <w:sz w:val="16"/>
                <w:szCs w:val="16"/>
                <w:color w:val="auto"/>
              </w:rPr>
              <w:t>the Board</w:t>
            </w:r>
          </w:p>
        </w:tc>
        <w:tc>
          <w:tcPr>
            <w:tcW w:w="400" w:type="dxa"/>
            <w:vAlign w:val="bottom"/>
            <w:vMerge w:val="continue"/>
            <w:shd w:val="clear" w:color="auto" w:fill="D1D0CF"/>
          </w:tcPr>
          <w:p>
            <w:pPr>
              <w:spacing w:after="0"/>
              <w:rPr>
                <w:sz w:val="11"/>
                <w:szCs w:val="11"/>
                <w:color w:val="auto"/>
              </w:rPr>
            </w:pPr>
          </w:p>
        </w:tc>
        <w:tc>
          <w:tcPr>
            <w:tcW w:w="100" w:type="dxa"/>
            <w:vAlign w:val="bottom"/>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3320" w:type="dxa"/>
            <w:vAlign w:val="bottom"/>
            <w:vMerge w:val="continue"/>
            <w:shd w:val="clear" w:color="auto" w:fill="D1D0CF"/>
          </w:tcPr>
          <w:p>
            <w:pPr>
              <w:spacing w:after="0"/>
              <w:rPr>
                <w:sz w:val="7"/>
                <w:szCs w:val="7"/>
                <w:color w:val="auto"/>
              </w:rPr>
            </w:pPr>
          </w:p>
        </w:tc>
        <w:tc>
          <w:tcPr>
            <w:tcW w:w="400" w:type="dxa"/>
            <w:vAlign w:val="bottom"/>
            <w:shd w:val="clear" w:color="auto" w:fill="D1D0CF"/>
          </w:tcPr>
          <w:p>
            <w:pPr>
              <w:spacing w:after="0"/>
              <w:rPr>
                <w:sz w:val="7"/>
                <w:szCs w:val="7"/>
                <w:color w:val="auto"/>
              </w:rPr>
            </w:pPr>
          </w:p>
        </w:tc>
        <w:tc>
          <w:tcPr>
            <w:tcW w:w="100" w:type="dxa"/>
            <w:vAlign w:val="bottom"/>
            <w:shd w:val="clear" w:color="auto" w:fill="D1D0CF"/>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Orientation and Education</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D1D0C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340" w:type="dxa"/>
            <w:vAlign w:val="bottom"/>
          </w:tcPr>
          <w:p>
            <w:pPr>
              <w:spacing w:after="0"/>
              <w:rPr>
                <w:sz w:val="24"/>
                <w:szCs w:val="24"/>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Board Effectiveness and Director Assessment</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D1D0CF"/>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40" w:type="dxa"/>
            <w:vAlign w:val="bottom"/>
          </w:tcPr>
          <w:p>
            <w:pPr>
              <w:spacing w:after="0"/>
              <w:rPr>
                <w:sz w:val="24"/>
                <w:szCs w:val="24"/>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Engagement</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D1D0CF"/>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Communicating with the Board</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Shareholder Proposals</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Advance Notice Bylaw</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Sustainability and Environmental, Social and</w:t>
            </w:r>
          </w:p>
        </w:tc>
        <w:tc>
          <w:tcPr>
            <w:tcW w:w="400" w:type="dxa"/>
            <w:vAlign w:val="bottom"/>
            <w:vMerge w:val="restart"/>
            <w:shd w:val="clear" w:color="auto" w:fill="D1D0C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3320" w:type="dxa"/>
            <w:vAlign w:val="bottom"/>
            <w:vMerge w:val="restart"/>
            <w:shd w:val="clear" w:color="auto" w:fill="D1D0CF"/>
          </w:tcPr>
          <w:p>
            <w:pPr>
              <w:ind w:left="20"/>
              <w:spacing w:after="0"/>
              <w:rPr>
                <w:sz w:val="20"/>
                <w:szCs w:val="20"/>
                <w:color w:val="auto"/>
              </w:rPr>
            </w:pPr>
            <w:r>
              <w:rPr>
                <w:rFonts w:ascii="Arial" w:cs="Arial" w:eastAsia="Arial" w:hAnsi="Arial"/>
                <w:sz w:val="16"/>
                <w:szCs w:val="16"/>
                <w:color w:val="auto"/>
              </w:rPr>
              <w:t>Governance Matters</w:t>
            </w:r>
          </w:p>
        </w:tc>
        <w:tc>
          <w:tcPr>
            <w:tcW w:w="400" w:type="dxa"/>
            <w:vAlign w:val="bottom"/>
            <w:vMerge w:val="continue"/>
            <w:shd w:val="clear" w:color="auto" w:fill="D1D0CF"/>
          </w:tcPr>
          <w:p>
            <w:pPr>
              <w:spacing w:after="0"/>
              <w:rPr>
                <w:sz w:val="11"/>
                <w:szCs w:val="11"/>
                <w:color w:val="auto"/>
              </w:rPr>
            </w:pPr>
          </w:p>
        </w:tc>
        <w:tc>
          <w:tcPr>
            <w:tcW w:w="100" w:type="dxa"/>
            <w:vAlign w:val="bottom"/>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3320" w:type="dxa"/>
            <w:vAlign w:val="bottom"/>
            <w:vMerge w:val="continue"/>
            <w:shd w:val="clear" w:color="auto" w:fill="D1D0CF"/>
          </w:tcPr>
          <w:p>
            <w:pPr>
              <w:spacing w:after="0"/>
              <w:rPr>
                <w:sz w:val="7"/>
                <w:szCs w:val="7"/>
                <w:color w:val="auto"/>
              </w:rPr>
            </w:pPr>
          </w:p>
        </w:tc>
        <w:tc>
          <w:tcPr>
            <w:tcW w:w="400" w:type="dxa"/>
            <w:vAlign w:val="bottom"/>
            <w:shd w:val="clear" w:color="auto" w:fill="D1D0CF"/>
          </w:tcPr>
          <w:p>
            <w:pPr>
              <w:spacing w:after="0"/>
              <w:rPr>
                <w:sz w:val="7"/>
                <w:szCs w:val="7"/>
                <w:color w:val="auto"/>
              </w:rPr>
            </w:pPr>
          </w:p>
        </w:tc>
        <w:tc>
          <w:tcPr>
            <w:tcW w:w="100" w:type="dxa"/>
            <w:vAlign w:val="bottom"/>
            <w:shd w:val="clear" w:color="auto" w:fill="D1D0CF"/>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320" w:type="dxa"/>
            <w:vAlign w:val="bottom"/>
            <w:shd w:val="clear" w:color="auto" w:fill="D1D0CF"/>
          </w:tcPr>
          <w:p>
            <w:pPr>
              <w:ind w:left="20"/>
              <w:spacing w:after="0"/>
              <w:rPr>
                <w:sz w:val="20"/>
                <w:szCs w:val="20"/>
                <w:color w:val="auto"/>
              </w:rPr>
            </w:pPr>
            <w:r>
              <w:rPr>
                <w:rFonts w:ascii="Arial" w:cs="Arial" w:eastAsia="Arial" w:hAnsi="Arial"/>
                <w:sz w:val="16"/>
                <w:szCs w:val="16"/>
                <w:color w:val="auto"/>
              </w:rPr>
              <w:t>Board Committees</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D1D0CF"/>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340" w:type="dxa"/>
            <w:vAlign w:val="bottom"/>
            <w:tcBorders>
              <w:bottom w:val="single" w:sz="8" w:color="0D64EF"/>
            </w:tcBorders>
          </w:tcPr>
          <w:p>
            <w:pPr>
              <w:spacing w:after="0"/>
              <w:rPr>
                <w:sz w:val="7"/>
                <w:szCs w:val="7"/>
                <w:color w:val="auto"/>
              </w:rPr>
            </w:pPr>
          </w:p>
        </w:tc>
        <w:tc>
          <w:tcPr>
            <w:tcW w:w="3320" w:type="dxa"/>
            <w:vAlign w:val="bottom"/>
            <w:tcBorders>
              <w:bottom w:val="single" w:sz="8" w:color="0D64EF"/>
            </w:tcBorders>
            <w:shd w:val="clear" w:color="auto" w:fill="D1D0CF"/>
          </w:tcPr>
          <w:p>
            <w:pPr>
              <w:spacing w:after="0"/>
              <w:rPr>
                <w:sz w:val="7"/>
                <w:szCs w:val="7"/>
                <w:color w:val="auto"/>
              </w:rPr>
            </w:pPr>
          </w:p>
        </w:tc>
        <w:tc>
          <w:tcPr>
            <w:tcW w:w="400" w:type="dxa"/>
            <w:vAlign w:val="bottom"/>
            <w:tcBorders>
              <w:bottom w:val="single" w:sz="8" w:color="0D64EF"/>
            </w:tcBorders>
            <w:shd w:val="clear" w:color="auto" w:fill="D1D0CF"/>
          </w:tcPr>
          <w:p>
            <w:pPr>
              <w:spacing w:after="0"/>
              <w:rPr>
                <w:sz w:val="7"/>
                <w:szCs w:val="7"/>
                <w:color w:val="auto"/>
              </w:rPr>
            </w:pPr>
          </w:p>
        </w:tc>
        <w:tc>
          <w:tcPr>
            <w:tcW w:w="100" w:type="dxa"/>
            <w:vAlign w:val="bottom"/>
            <w:tcBorders>
              <w:bottom w:val="single" w:sz="8" w:color="0D64EF"/>
            </w:tcBorders>
            <w:shd w:val="clear" w:color="auto" w:fill="D1D0CF"/>
          </w:tcPr>
          <w:p>
            <w:pPr>
              <w:spacing w:after="0"/>
              <w:rPr>
                <w:sz w:val="7"/>
                <w:szCs w:val="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ectPr>
          <w:pgSz w:w="11900" w:h="16838" w:orient="portrait"/>
          <w:cols w:equalWidth="0" w:num="2">
            <w:col w:w="6800" w:space="280"/>
            <w:col w:w="4160"/>
          </w:cols>
          <w:pgMar w:left="320" w:top="1048"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60" w:right="3000"/>
        <w:spacing w:after="0" w:line="337" w:lineRule="auto"/>
        <w:rPr>
          <w:sz w:val="20"/>
          <w:szCs w:val="20"/>
          <w:color w:val="auto"/>
        </w:rPr>
      </w:pPr>
      <w:r>
        <w:rPr>
          <w:rFonts w:ascii="Arial" w:cs="Arial" w:eastAsia="Arial" w:hAnsi="Arial"/>
          <w:sz w:val="16"/>
          <w:szCs w:val="16"/>
          <w:color w:val="auto"/>
        </w:rPr>
        <w:t>We also comply with the governance listing standards of the NYSE and the governance rules of the U.S. Securities and Exchange Commission (SEC) that apply, in each case, to foreign private issuers.</w:t>
      </w:r>
    </w:p>
    <w:p>
      <w:pPr>
        <w:spacing w:after="0" w:line="48" w:lineRule="exact"/>
        <w:rPr>
          <w:sz w:val="20"/>
          <w:szCs w:val="20"/>
          <w:color w:val="auto"/>
        </w:rPr>
      </w:pPr>
    </w:p>
    <w:p>
      <w:pPr>
        <w:jc w:val="both"/>
        <w:ind w:left="60" w:right="300"/>
        <w:spacing w:after="0" w:line="303" w:lineRule="auto"/>
        <w:rPr>
          <w:sz w:val="20"/>
          <w:szCs w:val="20"/>
          <w:color w:val="auto"/>
        </w:rPr>
      </w:pPr>
      <w:r>
        <w:rPr>
          <w:rFonts w:ascii="Arial" w:cs="Arial" w:eastAsia="Arial" w:hAnsi="Arial"/>
          <w:sz w:val="16"/>
          <w:szCs w:val="16"/>
          <w:color w:val="auto"/>
        </w:rPr>
        <w:t>Our governance practices comply with the NYSE standards for U.S. companies in all significant respects. As a non-U.S. company, we are not required to comply with most of the governance listing standards of the NYSE. As a foreign private issuer, however, we must disclose how our governance practices differ from those followed by U.S. companies</w:t>
      </w:r>
    </w:p>
    <w:p>
      <w:pPr>
        <w:spacing w:after="0" w:line="2" w:lineRule="exact"/>
        <w:rPr>
          <w:sz w:val="20"/>
          <w:szCs w:val="20"/>
          <w:color w:val="auto"/>
        </w:rPr>
      </w:pPr>
    </w:p>
    <w:p>
      <w:pPr>
        <w:ind w:left="60" w:right="220"/>
        <w:spacing w:after="0" w:line="326" w:lineRule="auto"/>
        <w:rPr>
          <w:sz w:val="20"/>
          <w:szCs w:val="20"/>
          <w:color w:val="auto"/>
        </w:rPr>
      </w:pPr>
      <w:r>
        <w:rPr>
          <w:rFonts w:ascii="Arial" w:cs="Arial" w:eastAsia="Arial" w:hAnsi="Arial"/>
          <w:sz w:val="16"/>
          <w:szCs w:val="16"/>
          <w:color w:val="auto"/>
        </w:rPr>
        <w:t>that are subject to the NYSE standards. Our corporate governance practices do not significantly differ from those required to be followed by U.S. domestic issuers under the NYSE's listing standards. A summary of our governance practices compared to U.S. standards can be found on our website (www.tcenergy.com).</w:t>
      </w:r>
    </w:p>
    <w:p>
      <w:pPr>
        <w:spacing w:after="0" w:line="43" w:lineRule="exact"/>
        <w:rPr>
          <w:sz w:val="20"/>
          <w:szCs w:val="20"/>
          <w:color w:val="auto"/>
        </w:rPr>
      </w:pPr>
    </w:p>
    <w:p>
      <w:pPr>
        <w:ind w:left="60" w:right="140"/>
        <w:spacing w:after="0" w:line="326" w:lineRule="auto"/>
        <w:rPr>
          <w:sz w:val="20"/>
          <w:szCs w:val="20"/>
          <w:color w:val="auto"/>
        </w:rPr>
      </w:pPr>
      <w:r>
        <w:rPr>
          <w:rFonts w:ascii="Arial" w:cs="Arial" w:eastAsia="Arial" w:hAnsi="Arial"/>
          <w:sz w:val="16"/>
          <w:szCs w:val="16"/>
          <w:color w:val="auto"/>
        </w:rPr>
        <w:t xml:space="preserve">We benchmark our policies and procedures against major North American companies to assess our standards and we adopt best practices as appropriate. Some of our best practices are derived from the NYSE rules and comply with applicable rules adopted by the SEC to meet the requirements of the </w:t>
      </w:r>
      <w:r>
        <w:rPr>
          <w:rFonts w:ascii="Arial" w:cs="Arial" w:eastAsia="Arial" w:hAnsi="Arial"/>
          <w:sz w:val="16"/>
          <w:szCs w:val="16"/>
          <w:i w:val="1"/>
          <w:iCs w:val="1"/>
          <w:color w:val="auto"/>
        </w:rPr>
        <w:t xml:space="preserve">Sarbanes-Oxley Act of 2002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Dodd-Frank Wall Street Reform and Consumer Protection Act</w:t>
      </w:r>
      <w:r>
        <w:rPr>
          <w:rFonts w:ascii="Arial" w:cs="Arial" w:eastAsia="Arial" w:hAnsi="Arial"/>
          <w:sz w:val="16"/>
          <w:szCs w:val="16"/>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color w:val="0D64EF"/>
        </w:rPr>
        <w:t>Board Characteristics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Our Board and its members exemplify strong principles of corporate governance:</w:t>
      </w:r>
    </w:p>
    <w:p>
      <w:pPr>
        <w:spacing w:after="0" w:line="138" w:lineRule="exact"/>
        <w:rPr>
          <w:sz w:val="20"/>
          <w:szCs w:val="20"/>
          <w:color w:val="auto"/>
        </w:rPr>
      </w:pPr>
    </w:p>
    <w:p>
      <w:pPr>
        <w:ind w:left="140" w:hanging="133"/>
        <w:spacing w:after="0"/>
        <w:tabs>
          <w:tab w:leader="none" w:pos="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independent, non-executive Chair,</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directors except our CEO are independent,</w:t>
      </w:r>
    </w:p>
    <w:p>
      <w:pPr>
        <w:spacing w:after="0" w:line="31" w:lineRule="exact"/>
        <w:rPr>
          <w:rFonts w:ascii="Arial" w:cs="Arial" w:eastAsia="Arial" w:hAnsi="Arial"/>
          <w:sz w:val="16"/>
          <w:szCs w:val="16"/>
          <w:color w:val="auto"/>
        </w:rPr>
      </w:pPr>
    </w:p>
    <w:p>
      <w:pPr>
        <w:ind w:left="140" w:hanging="133"/>
        <w:spacing w:after="0"/>
        <w:tabs>
          <w:tab w:leader="none" w:pos="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knowledgeable and experienced directors who ensure that we promote ethical behaviour throughout TC Energy,</w:t>
      </w:r>
    </w:p>
    <w:p>
      <w:pPr>
        <w:spacing w:after="0" w:line="44" w:lineRule="exact"/>
        <w:rPr>
          <w:rFonts w:ascii="Arial" w:cs="Arial" w:eastAsia="Arial" w:hAnsi="Arial"/>
          <w:sz w:val="16"/>
          <w:szCs w:val="16"/>
          <w:color w:val="auto"/>
        </w:rPr>
      </w:pPr>
    </w:p>
    <w:p>
      <w:pPr>
        <w:ind w:left="160" w:right="860" w:hanging="153"/>
        <w:spacing w:after="0" w:line="297" w:lineRule="auto"/>
        <w:tabs>
          <w:tab w:leader="none" w:pos="136" w:val="left"/>
        </w:tabs>
        <w:numPr>
          <w:ilvl w:val="0"/>
          <w:numId w:val="55"/>
        </w:numPr>
        <w:rPr>
          <w:rFonts w:ascii="Arial" w:cs="Arial" w:eastAsia="Arial" w:hAnsi="Arial"/>
          <w:sz w:val="16"/>
          <w:szCs w:val="16"/>
          <w:color w:val="auto"/>
        </w:rPr>
      </w:pPr>
      <w:r>
        <w:rPr>
          <w:rFonts w:ascii="Arial" w:cs="Arial" w:eastAsia="Arial" w:hAnsi="Arial"/>
          <w:sz w:val="16"/>
          <w:szCs w:val="16"/>
          <w:color w:val="auto"/>
        </w:rPr>
        <w:t>qualified directors who can make a meaningful contribution to the Board, the development of our strategy and business and oversight of our risk management processes,</w:t>
      </w:r>
    </w:p>
    <w:p>
      <w:pPr>
        <w:spacing w:after="0" w:line="1" w:lineRule="exact"/>
        <w:rPr>
          <w:rFonts w:ascii="Arial" w:cs="Arial" w:eastAsia="Arial" w:hAnsi="Arial"/>
          <w:sz w:val="16"/>
          <w:szCs w:val="16"/>
          <w:color w:val="auto"/>
        </w:rPr>
      </w:pPr>
    </w:p>
    <w:p>
      <w:pPr>
        <w:ind w:left="140" w:hanging="133"/>
        <w:spacing w:after="0"/>
        <w:tabs>
          <w:tab w:leader="none" w:pos="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significant share ownership requirements to align the directors’ interests with those of our shareholders,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annual assessments of Board, Chair, committee and director effectiveness, and</w:t>
      </w:r>
    </w:p>
    <w:p>
      <w:pPr>
        <w:spacing w:after="0" w:line="31" w:lineRule="exact"/>
        <w:rPr>
          <w:rFonts w:ascii="Arial" w:cs="Arial" w:eastAsia="Arial" w:hAnsi="Arial"/>
          <w:sz w:val="16"/>
          <w:szCs w:val="16"/>
          <w:color w:val="auto"/>
        </w:rPr>
      </w:pPr>
    </w:p>
    <w:p>
      <w:pPr>
        <w:ind w:left="140" w:hanging="133"/>
        <w:spacing w:after="0"/>
        <w:tabs>
          <w:tab w:leader="none" w:pos="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effective board size.</w:t>
      </w:r>
    </w:p>
    <w:p>
      <w:pPr>
        <w:spacing w:after="0" w:line="138"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auto"/>
        </w:rPr>
        <w:t>Based on the current Board composition, 12 of 13 or 92 per cent of our directors are independent. Assuming all director nominees are elected, 12 of 13 or 92 per cent of our directors will be independent.</w:t>
      </w:r>
    </w:p>
    <w:p>
      <w:pPr>
        <w:sectPr>
          <w:pgSz w:w="11900" w:h="16838" w:orient="portrait"/>
          <w:cols w:equalWidth="0" w:num="1">
            <w:col w:w="11240"/>
          </w:cols>
          <w:pgMar w:left="320" w:top="10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48"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color w:val="0D64EF"/>
        </w:rPr>
        <w:t>SIZE AND COMPOSITION</w:t>
      </w:r>
    </w:p>
    <w:p>
      <w:pPr>
        <w:spacing w:after="0" w:line="142"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TC Energy's articles state that the Board must have a minimum of eight and a maximum of 15 directors. The Board has determined that 13 directors will be elected this year at the annual meeting. The Board believes this size is appropriate based on the scope of our business, the skills and experience of the nominated directors, the four standing committees, and to achieve effective decision making. It believes that all of the nominated directors are well qualified to serve on the Board.</w:t>
      </w:r>
    </w:p>
    <w:p>
      <w:pPr>
        <w:spacing w:after="0" w:line="46" w:lineRule="exact"/>
        <w:rPr>
          <w:sz w:val="20"/>
          <w:szCs w:val="20"/>
          <w:color w:val="auto"/>
        </w:rPr>
      </w:pPr>
    </w:p>
    <w:p>
      <w:pPr>
        <w:ind w:right="720"/>
        <w:spacing w:after="0" w:line="337" w:lineRule="auto"/>
        <w:rPr>
          <w:sz w:val="20"/>
          <w:szCs w:val="20"/>
          <w:color w:val="auto"/>
        </w:rPr>
      </w:pPr>
      <w:r>
        <w:rPr>
          <w:rFonts w:ascii="Arial" w:cs="Arial" w:eastAsia="Arial" w:hAnsi="Arial"/>
          <w:sz w:val="16"/>
          <w:szCs w:val="16"/>
          <w:color w:val="auto"/>
        </w:rPr>
        <w:t>We believe our Board must consist of qualified, experienced and knowledgeable directors, and include directors with direct experience in the oil and gas, pipelines and energy sectors.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BOARD DIVERSITY</w:t>
      </w:r>
    </w:p>
    <w:p>
      <w:pPr>
        <w:spacing w:after="0" w:line="1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TC Energy has long been committed to promoting diversity on our Board. In 1999, we revised our Corporate Governance Guidelines to include a variety of diversity criteria for Board membership. Under these guidelines, when selecting new members for nomination to the Board, the Governance Committee takes fully into account the desirability of maintaining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 balanced diversity of backgrounds, skills and experience, and personal characteristics such as age, gender and the geographic residence of directors.</w:t>
      </w:r>
    </w:p>
    <w:p>
      <w:pPr>
        <w:spacing w:after="0" w:line="125"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color w:val="auto"/>
        </w:rPr>
        <w:t>In addition to our Corporate Governance Guidelines, as a further commitment to promoting Board diversity, in February 2018, the Board adopted and endorsed a Board Diversity Policy, which relates to the identification and nomination of directors generally. The objective of the policy is to increase Board diversity by seeking qualified director nominees, while considering diversity criteria. The diversity criteria includes skills, expertise, industry experience and personal characteristics such as age, gender, ethnicity and other distinctions of potential director nominees.</w:t>
      </w:r>
    </w:p>
    <w:p>
      <w:pPr>
        <w:spacing w:after="0" w:line="44" w:lineRule="exact"/>
        <w:rPr>
          <w:sz w:val="20"/>
          <w:szCs w:val="20"/>
          <w:color w:val="auto"/>
        </w:rPr>
      </w:pPr>
    </w:p>
    <w:p>
      <w:pPr>
        <w:ind w:right="440"/>
        <w:spacing w:after="0" w:line="297" w:lineRule="auto"/>
        <w:rPr>
          <w:sz w:val="20"/>
          <w:szCs w:val="20"/>
          <w:color w:val="auto"/>
        </w:rPr>
      </w:pPr>
      <w:r>
        <w:rPr>
          <w:rFonts w:ascii="Arial" w:cs="Arial" w:eastAsia="Arial" w:hAnsi="Arial"/>
          <w:sz w:val="16"/>
          <w:szCs w:val="16"/>
          <w:color w:val="auto"/>
        </w:rPr>
        <w:t>As part of its ongoing process of seeking potential Board candidates for future consideration and nomination, TC Energy's search consultant is asked to ensure that candidates with salient industry experience who identify as women, members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visible minorities, Aboriginal peoples and persons with disabilities (each as defined in the </w:t>
      </w:r>
      <w:r>
        <w:rPr>
          <w:rFonts w:ascii="Arial" w:cs="Arial" w:eastAsia="Arial" w:hAnsi="Arial"/>
          <w:sz w:val="16"/>
          <w:szCs w:val="16"/>
          <w:i w:val="1"/>
          <w:iCs w:val="1"/>
          <w:color w:val="auto"/>
        </w:rPr>
        <w:t>Employment Equity Act</w:t>
      </w:r>
      <w:r>
        <w:rPr>
          <w:rFonts w:ascii="Arial" w:cs="Arial" w:eastAsia="Arial" w:hAnsi="Arial"/>
          <w:sz w:val="16"/>
          <w:szCs w:val="16"/>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are considered.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Board Diversity Policy, the Board has a target of at least 30 per cent women and at least one racially</w:t>
      </w:r>
    </w:p>
    <w:p>
      <w:pPr>
        <w:spacing w:after="0" w:line="44"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and/or ethnically diverse member on our Board. Further, if the Board composition falls below the target of 30 per cent women or one racially and/or ethnically diverse member on the Board, the Governance Committee will commit to increasing the gender diversity and/or racial or ethnic diversity representation to the applicable target by the next annual meeting of shareholders. Assuming all the director nominees are elected this year, we will exceed our targets with</w:t>
      </w:r>
    </w:p>
    <w:p>
      <w:pPr>
        <w:ind w:right="140"/>
        <w:spacing w:after="0" w:line="337" w:lineRule="auto"/>
        <w:rPr>
          <w:sz w:val="20"/>
          <w:szCs w:val="20"/>
          <w:color w:val="auto"/>
        </w:rPr>
      </w:pPr>
      <w:r>
        <w:rPr>
          <w:rFonts w:ascii="Arial" w:cs="Arial" w:eastAsia="Arial" w:hAnsi="Arial"/>
          <w:sz w:val="16"/>
          <w:szCs w:val="16"/>
          <w:color w:val="auto"/>
        </w:rPr>
        <w:t>38 per cent of the Board being comprised of women and two members of the Board being visible minorities representing racial and/or ethnic diversity on the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addition, each year, the Governance Committee will:</w:t>
      </w:r>
    </w:p>
    <w:p>
      <w:pPr>
        <w:spacing w:after="0" w:line="138" w:lineRule="exact"/>
        <w:rPr>
          <w:sz w:val="20"/>
          <w:szCs w:val="20"/>
          <w:color w:val="auto"/>
        </w:rPr>
      </w:pPr>
    </w:p>
    <w:p>
      <w:pPr>
        <w:ind w:left="160" w:right="400" w:hanging="153"/>
        <w:spacing w:after="0" w:line="289" w:lineRule="auto"/>
        <w:tabs>
          <w:tab w:leader="none" w:pos="136"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assess the effectiveness of the Board Diversity Policy, including receiving updates on TC Energy's board diversity statistics, peer diversity policies and shareholder expectations on diversity,</w:t>
      </w:r>
    </w:p>
    <w:p>
      <w:pPr>
        <w:ind w:left="140" w:hanging="133"/>
        <w:spacing w:after="0"/>
        <w:tabs>
          <w:tab w:leader="none" w:pos="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monitor and review our progress in achieving the target for gender diversity,</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monitor the implementation of the Board Diversity Policy,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report to the Board and recommend any revisions to the Board Diversity Policy that may be necessary.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TC Energy has a director Term Limit and Retirement Policy that stipulates once a director turns 75 or has served more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than 15 years on the Board, whichever comes first, such director will not stand for re-election at the next annual meeting. Notwithstanding age limits,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 will be eligible to serve on the Board for at least eight years in order to ensure a robust level of Board continuity and to permit onboarded directors to</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serve a sufficient term to meaningfully contribute to the Board. For more information, please see our </w:t>
      </w:r>
      <w:r>
        <w:rPr>
          <w:rFonts w:ascii="Arial" w:cs="Arial" w:eastAsia="Arial" w:hAnsi="Arial"/>
          <w:sz w:val="16"/>
          <w:szCs w:val="16"/>
          <w:i w:val="1"/>
          <w:iCs w:val="1"/>
          <w:color w:val="auto"/>
        </w:rPr>
        <w:t>Governance - Board Effectiveness and Director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Assessment - Director Tenure</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 pages 58 and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35</w:t>
      </w:r>
    </w:p>
    <w:p>
      <w:pPr>
        <w:sectPr>
          <w:pgSz w:w="11900" w:h="16838" w:orient="portrait"/>
          <w:cols w:equalWidth="0" w:num="1">
            <w:col w:w="11240"/>
          </w:cols>
          <w:pgMar w:left="320" w:top="109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0D64EF"/>
        </w:rPr>
        <w:t>Women on the Board</w:t>
      </w:r>
    </w:p>
    <w:p>
      <w:pPr>
        <w:spacing w:after="0" w:line="134" w:lineRule="exact"/>
        <w:rPr>
          <w:sz w:val="20"/>
          <w:szCs w:val="20"/>
          <w:color w:val="auto"/>
        </w:rPr>
      </w:pPr>
    </w:p>
    <w:p>
      <w:pPr>
        <w:ind w:right="380"/>
        <w:spacing w:after="0" w:line="343" w:lineRule="auto"/>
        <w:rPr>
          <w:sz w:val="20"/>
          <w:szCs w:val="20"/>
          <w:color w:val="auto"/>
        </w:rPr>
      </w:pPr>
      <w:r>
        <w:rPr>
          <w:rFonts w:ascii="Arial" w:cs="Arial" w:eastAsia="Arial" w:hAnsi="Arial"/>
          <w:sz w:val="16"/>
          <w:szCs w:val="16"/>
          <w:color w:val="auto"/>
        </w:rPr>
        <w:t>Currently, five of 13, or 38 per cent of the Board is composed of women. After the annual meeting, if all the nominated directors are elected, five of 13, or approximately 38 per cent of the Board will be composed of women, which continues to exceed our target of 30 per cent women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170180</wp:posOffset>
            </wp:positionV>
            <wp:extent cx="3924935" cy="2065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24935" cy="206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Racial and Ethnic Diversity on the Board</w:t>
      </w:r>
    </w:p>
    <w:p>
      <w:pPr>
        <w:spacing w:after="0" w:line="134" w:lineRule="exact"/>
        <w:rPr>
          <w:sz w:val="20"/>
          <w:szCs w:val="20"/>
          <w:color w:val="auto"/>
        </w:rPr>
      </w:pPr>
    </w:p>
    <w:p>
      <w:pPr>
        <w:ind w:right="2660"/>
        <w:spacing w:after="0" w:line="289" w:lineRule="auto"/>
        <w:rPr>
          <w:sz w:val="20"/>
          <w:szCs w:val="20"/>
          <w:color w:val="auto"/>
        </w:rPr>
      </w:pPr>
      <w:r>
        <w:rPr>
          <w:rFonts w:ascii="Arial" w:cs="Arial" w:eastAsia="Arial" w:hAnsi="Arial"/>
          <w:sz w:val="16"/>
          <w:szCs w:val="16"/>
          <w:color w:val="auto"/>
        </w:rPr>
        <w:t>Currently, two of 13, or 15 per cent of the Board is composed of racially and/or ethnically diverse members, of which one is a visible minority and one is Aboriginal. After the annual meeting, if all the nominated directors are elected, two of 13,</w:t>
      </w:r>
    </w:p>
    <w:p>
      <w:pPr>
        <w:jc w:val="both"/>
        <w:ind w:right="80"/>
        <w:spacing w:after="0" w:line="317" w:lineRule="auto"/>
        <w:rPr>
          <w:sz w:val="20"/>
          <w:szCs w:val="20"/>
          <w:color w:val="auto"/>
        </w:rPr>
      </w:pPr>
      <w:r>
        <w:rPr>
          <w:rFonts w:ascii="Arial" w:cs="Arial" w:eastAsia="Arial" w:hAnsi="Arial"/>
          <w:sz w:val="16"/>
          <w:szCs w:val="16"/>
          <w:color w:val="auto"/>
        </w:rPr>
        <w:t>or 15 per cent of the Board will be composed of racially and/or ethnically diverse members, with one of 13, or eight per cent of the Board composed of visible minorities and one of 13, or eight per cent of the Board composed of Aboriginal peoples. Racially and/or ethnically diverse members includes both Aboriginal peoples and members of visible minorities.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40640</wp:posOffset>
            </wp:positionV>
            <wp:extent cx="2286635" cy="1996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6635" cy="199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660"/>
        <w:spacing w:after="0"/>
        <w:rPr>
          <w:sz w:val="20"/>
          <w:szCs w:val="20"/>
          <w:color w:val="auto"/>
        </w:rPr>
      </w:pPr>
      <w:r>
        <w:rPr>
          <w:rFonts w:ascii="Arial" w:cs="Arial" w:eastAsia="Arial" w:hAnsi="Arial"/>
          <w:sz w:val="14"/>
          <w:szCs w:val="14"/>
          <w:color w:val="FFFFFF"/>
        </w:rPr>
        <w:t>0 2024 2</w:t>
      </w:r>
    </w:p>
    <w:p>
      <w:pPr>
        <w:ind w:left="10640"/>
        <w:spacing w:after="0" w:line="221" w:lineRule="auto"/>
        <w:rPr>
          <w:sz w:val="20"/>
          <w:szCs w:val="20"/>
          <w:color w:val="auto"/>
        </w:rPr>
      </w:pPr>
      <w:r>
        <w:rPr>
          <w:rFonts w:ascii="Arial" w:cs="Arial" w:eastAsia="Arial" w:hAnsi="Arial"/>
          <w:sz w:val="14"/>
          <w:szCs w:val="14"/>
          <w:color w:val="FFFFFF"/>
        </w:rPr>
        <w:t>members</w:t>
      </w:r>
    </w:p>
    <w:p>
      <w:pPr>
        <w:ind w:left="10720"/>
        <w:spacing w:after="0" w:line="200" w:lineRule="auto"/>
        <w:rPr>
          <w:sz w:val="20"/>
          <w:szCs w:val="20"/>
          <w:color w:val="auto"/>
        </w:rPr>
      </w:pPr>
      <w:r>
        <w:rPr>
          <w:rFonts w:ascii="Arial" w:cs="Arial" w:eastAsia="Arial" w:hAnsi="Arial"/>
          <w:sz w:val="14"/>
          <w:szCs w:val="14"/>
          <w:color w:val="FFFFFF"/>
        </w:rPr>
        <w:t>2025 3</w:t>
      </w:r>
    </w:p>
    <w:p>
      <w:pPr>
        <w:ind w:left="10640"/>
        <w:spacing w:after="0" w:line="221" w:lineRule="auto"/>
        <w:rPr>
          <w:sz w:val="20"/>
          <w:szCs w:val="20"/>
          <w:color w:val="auto"/>
        </w:rPr>
      </w:pPr>
      <w:r>
        <w:rPr>
          <w:rFonts w:ascii="Arial" w:cs="Arial" w:eastAsia="Arial" w:hAnsi="Arial"/>
          <w:sz w:val="14"/>
          <w:szCs w:val="14"/>
          <w:color w:val="FFFFFF"/>
        </w:rPr>
        <w:t>members</w:t>
      </w:r>
    </w:p>
    <w:p>
      <w:pPr>
        <w:ind w:left="10780"/>
        <w:spacing w:after="0" w:line="220" w:lineRule="auto"/>
        <w:rPr>
          <w:sz w:val="20"/>
          <w:szCs w:val="20"/>
          <w:color w:val="auto"/>
        </w:rPr>
      </w:pPr>
      <w:r>
        <w:rPr>
          <w:rFonts w:ascii="Arial" w:cs="Arial" w:eastAsia="Arial" w:hAnsi="Arial"/>
          <w:sz w:val="14"/>
          <w:szCs w:val="14"/>
          <w:color w:val="FFFFFF"/>
        </w:rPr>
        <w:t>2026</w:t>
      </w:r>
    </w:p>
    <w:p>
      <w:pPr>
        <w:ind w:left="10720"/>
        <w:spacing w:after="0" w:line="200" w:lineRule="auto"/>
        <w:rPr>
          <w:sz w:val="20"/>
          <w:szCs w:val="20"/>
          <w:color w:val="auto"/>
        </w:rPr>
      </w:pPr>
      <w:r>
        <w:rPr>
          <w:rFonts w:ascii="Arial" w:cs="Arial" w:eastAsia="Arial" w:hAnsi="Arial"/>
          <w:sz w:val="14"/>
          <w:szCs w:val="14"/>
          <w:color w:val="FFFFFF"/>
        </w:rPr>
        <w:t>YTD 2</w:t>
      </w:r>
    </w:p>
    <w:p>
      <w:pPr>
        <w:ind w:left="10640"/>
        <w:spacing w:after="0" w:line="221" w:lineRule="auto"/>
        <w:rPr>
          <w:sz w:val="20"/>
          <w:szCs w:val="20"/>
          <w:color w:val="auto"/>
        </w:rPr>
      </w:pPr>
      <w:r>
        <w:rPr>
          <w:rFonts w:ascii="Arial" w:cs="Arial" w:eastAsia="Arial" w:hAnsi="Arial"/>
          <w:sz w:val="14"/>
          <w:szCs w:val="14"/>
          <w:color w:val="FFFFFF"/>
        </w:rPr>
        <w:t>members</w:t>
      </w:r>
    </w:p>
    <w:p>
      <w:pPr>
        <w:ind w:left="10680"/>
        <w:spacing w:after="0" w:line="220" w:lineRule="auto"/>
        <w:rPr>
          <w:sz w:val="20"/>
          <w:szCs w:val="20"/>
          <w:color w:val="auto"/>
        </w:rPr>
      </w:pPr>
      <w:r>
        <w:rPr>
          <w:rFonts w:ascii="Arial" w:cs="Arial" w:eastAsia="Arial" w:hAnsi="Arial"/>
          <w:sz w:val="14"/>
          <w:szCs w:val="14"/>
          <w:color w:val="FFFFFF"/>
        </w:rPr>
        <w:t>Target 2</w:t>
      </w:r>
    </w:p>
    <w:p>
      <w:pPr>
        <w:ind w:left="10640"/>
        <w:spacing w:after="0"/>
        <w:rPr>
          <w:sz w:val="20"/>
          <w:szCs w:val="20"/>
          <w:color w:val="auto"/>
        </w:rPr>
      </w:pPr>
      <w:r>
        <w:rPr>
          <w:rFonts w:ascii="Arial" w:cs="Arial" w:eastAsia="Arial" w:hAnsi="Arial"/>
          <w:sz w:val="14"/>
          <w:szCs w:val="14"/>
          <w:color w:val="FFFFFF"/>
        </w:rPr>
        <w:t>members</w:t>
      </w:r>
    </w:p>
    <w:p>
      <w:pPr>
        <w:spacing w:after="0" w:line="102"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auto"/>
        </w:rPr>
        <w:t>As such, the Board will have two members who identify as racially and/or ethnically diverse members, which exceeds the target of at least one racially and/or ethnically diverse member on the Board.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Persons with disabilities</w:t>
      </w:r>
    </w:p>
    <w:p>
      <w:pPr>
        <w:spacing w:after="0" w:line="161" w:lineRule="exact"/>
        <w:rPr>
          <w:sz w:val="20"/>
          <w:szCs w:val="20"/>
          <w:color w:val="auto"/>
        </w:rPr>
      </w:pPr>
    </w:p>
    <w:p>
      <w:pPr>
        <w:ind w:right="2780"/>
        <w:spacing w:after="0" w:line="337" w:lineRule="auto"/>
        <w:rPr>
          <w:sz w:val="20"/>
          <w:szCs w:val="20"/>
          <w:color w:val="auto"/>
        </w:rPr>
      </w:pPr>
      <w:r>
        <w:rPr>
          <w:rFonts w:ascii="Arial" w:cs="Arial" w:eastAsia="Arial" w:hAnsi="Arial"/>
          <w:sz w:val="16"/>
          <w:szCs w:val="16"/>
          <w:color w:val="auto"/>
        </w:rPr>
        <w:t>There are no persons with disabilities currently serving on the Board. After the meeting, if all of the nominated directors are elected, zero of 13, or zero per cent of the Board will be composed of persons with disabilities.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Although we do not have specific targets regarding Board membership for persons with disabilities, as described above,</w:t>
      </w:r>
    </w:p>
    <w:p>
      <w:pPr>
        <w:spacing w:after="0" w:line="31"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the Governance Committee does specifically consider the representation of women, Aboriginal peoples, visible minorities and persons with disabilities in its nomination of potential director candidates. In addition, we believe that our Board Diversity Policy and Corporate Governance Guidelines sufficiently encourage our Governance Committee to consider all forms of diversity, including with respect to women, racial or ethnic diversity, such as Aboriginal peoples and visible minorities, and persons with disabilities when selecting director candidates.</w:t>
      </w:r>
    </w:p>
    <w:p>
      <w:pPr>
        <w:sectPr>
          <w:pgSz w:w="11900" w:h="16838" w:orient="portrait"/>
          <w:cols w:equalWidth="0" w:num="1">
            <w:col w:w="11240"/>
          </w:cols>
          <w:pgMar w:left="320" w:top="10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6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color w:val="0D64EF"/>
        </w:rPr>
        <w:t>INDEPENDENCE</w:t>
      </w:r>
    </w:p>
    <w:p>
      <w:pPr>
        <w:spacing w:after="0" w:line="142" w:lineRule="exact"/>
        <w:rPr>
          <w:sz w:val="20"/>
          <w:szCs w:val="20"/>
          <w:color w:val="auto"/>
        </w:rPr>
      </w:pPr>
    </w:p>
    <w:p>
      <w:pPr>
        <w:ind w:right="140"/>
        <w:spacing w:after="0" w:line="337" w:lineRule="auto"/>
        <w:rPr>
          <w:sz w:val="20"/>
          <w:szCs w:val="20"/>
          <w:color w:val="auto"/>
        </w:rPr>
      </w:pPr>
      <w:r>
        <w:rPr>
          <w:rFonts w:ascii="Arial" w:cs="Arial" w:eastAsia="Arial" w:hAnsi="Arial"/>
          <w:sz w:val="16"/>
          <w:szCs w:val="16"/>
          <w:color w:val="auto"/>
        </w:rPr>
        <w:t xml:space="preserve">An independent board is a fundamental principle of governance. We believe that the majority of our directors are </w:t>
      </w:r>
      <w:r>
        <w:rPr>
          <w:rFonts w:ascii="Arial" w:cs="Arial" w:eastAsia="Arial" w:hAnsi="Arial"/>
          <w:sz w:val="16"/>
          <w:szCs w:val="16"/>
          <w:i w:val="1"/>
          <w:iCs w:val="1"/>
          <w:color w:val="auto"/>
        </w:rPr>
        <w:t>independent</w:t>
      </w:r>
      <w:r>
        <w:rPr>
          <w:rFonts w:ascii="Arial" w:cs="Arial" w:eastAsia="Arial" w:hAnsi="Arial"/>
          <w:sz w:val="16"/>
          <w:szCs w:val="16"/>
          <w:color w:val="auto"/>
        </w:rPr>
        <w:t xml:space="preserve"> in accordance with applicable Canadian legal requirements and guidelines, and consistent with the applicable independence criteria of the regulations of the SEC and rules of the NYSE.</w:t>
      </w:r>
    </w:p>
    <w:p>
      <w:pPr>
        <w:spacing w:after="0" w:line="34" w:lineRule="exact"/>
        <w:rPr>
          <w:sz w:val="20"/>
          <w:szCs w:val="20"/>
          <w:color w:val="auto"/>
        </w:rPr>
      </w:pPr>
    </w:p>
    <w:p>
      <w:pPr>
        <w:ind w:right="160"/>
        <w:spacing w:after="0" w:line="326" w:lineRule="auto"/>
        <w:rPr>
          <w:sz w:val="20"/>
          <w:szCs w:val="20"/>
          <w:color w:val="auto"/>
        </w:rPr>
      </w:pPr>
      <w:r>
        <w:rPr>
          <w:rFonts w:ascii="Arial" w:cs="Arial" w:eastAsia="Arial" w:hAnsi="Arial"/>
          <w:sz w:val="16"/>
          <w:szCs w:val="16"/>
          <w:color w:val="auto"/>
        </w:rPr>
        <w:t>The Governance Committee and the Board review the independence of each Board member and nominated director against these criteria once a year. The Governance Committee also reviews family relationships and associations with companies that have relationships with TC Energy when it reviews director independence.</w:t>
      </w:r>
    </w:p>
    <w:p>
      <w:pPr>
        <w:spacing w:after="0" w:line="43" w:lineRule="exact"/>
        <w:rPr>
          <w:sz w:val="20"/>
          <w:szCs w:val="20"/>
          <w:color w:val="auto"/>
        </w:rPr>
      </w:pPr>
    </w:p>
    <w:p>
      <w:pPr>
        <w:ind w:right="420"/>
        <w:spacing w:after="0" w:line="337" w:lineRule="auto"/>
        <w:rPr>
          <w:sz w:val="20"/>
          <w:szCs w:val="20"/>
          <w:color w:val="auto"/>
        </w:rPr>
      </w:pPr>
      <w:r>
        <w:rPr>
          <w:rFonts w:ascii="Arial" w:cs="Arial" w:eastAsia="Arial" w:hAnsi="Arial"/>
          <w:sz w:val="16"/>
          <w:szCs w:val="16"/>
          <w:color w:val="auto"/>
        </w:rPr>
        <w:t>The Board has determined that 12 of 13 or 92 per cent of the nominated directors are independent. Mr. Poirier is not independent because of his role as President and CEO.</w:t>
      </w:r>
    </w:p>
    <w:p>
      <w:pPr>
        <w:spacing w:after="0" w:line="34" w:lineRule="exact"/>
        <w:rPr>
          <w:sz w:val="20"/>
          <w:szCs w:val="20"/>
          <w:color w:val="auto"/>
        </w:rPr>
      </w:pPr>
    </w:p>
    <w:p>
      <w:pPr>
        <w:ind w:right="440"/>
        <w:spacing w:after="0" w:line="354" w:lineRule="auto"/>
        <w:rPr>
          <w:sz w:val="20"/>
          <w:szCs w:val="20"/>
          <w:color w:val="auto"/>
        </w:rPr>
      </w:pPr>
      <w:r>
        <w:rPr>
          <w:rFonts w:ascii="Arial" w:cs="Arial" w:eastAsia="Arial" w:hAnsi="Arial"/>
          <w:sz w:val="16"/>
          <w:szCs w:val="16"/>
          <w:color w:val="auto"/>
        </w:rPr>
        <w:t>Other than as described above, none of the directors have a direct or indirect material relationship with TC Energy that could reasonably be expected to interfere with the exercise of their independent judgment.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Independent Chair</w:t>
      </w:r>
    </w:p>
    <w:p>
      <w:pPr>
        <w:spacing w:after="0" w:line="13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Chair is appointed by the Board, and serves in a non-executive capacity. We have had separate Chair and CEO positions since our incorporation in 2003 and at our predecessor company since 1994. Mr. Lowe has served as the independent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non-executive Chair since January 1, 2024.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Independent advice</w:t>
      </w:r>
    </w:p>
    <w:p>
      <w:pPr>
        <w:spacing w:after="0" w:line="134" w:lineRule="exact"/>
        <w:rPr>
          <w:sz w:val="20"/>
          <w:szCs w:val="20"/>
          <w:color w:val="auto"/>
        </w:rPr>
      </w:pPr>
    </w:p>
    <w:p>
      <w:pPr>
        <w:ind w:right="2680"/>
        <w:spacing w:after="0" w:line="354" w:lineRule="auto"/>
        <w:rPr>
          <w:sz w:val="20"/>
          <w:szCs w:val="20"/>
          <w:color w:val="auto"/>
        </w:rPr>
      </w:pPr>
      <w:r>
        <w:rPr>
          <w:rFonts w:ascii="Arial" w:cs="Arial" w:eastAsia="Arial" w:hAnsi="Arial"/>
          <w:sz w:val="16"/>
          <w:szCs w:val="16"/>
          <w:color w:val="auto"/>
        </w:rPr>
        <w:t>The Board and each of its four standing committees can retain independent advisors to assist in carrying out their duties and responsibilities.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Serving on other boards</w:t>
      </w:r>
    </w:p>
    <w:p>
      <w:pPr>
        <w:spacing w:after="0" w:line="134" w:lineRule="exact"/>
        <w:rPr>
          <w:sz w:val="20"/>
          <w:szCs w:val="20"/>
          <w:color w:val="auto"/>
        </w:rPr>
      </w:pPr>
    </w:p>
    <w:p>
      <w:pPr>
        <w:ind w:right="2840"/>
        <w:spacing w:after="0" w:line="337" w:lineRule="auto"/>
        <w:rPr>
          <w:sz w:val="20"/>
          <w:szCs w:val="20"/>
          <w:color w:val="auto"/>
        </w:rPr>
      </w:pPr>
      <w:r>
        <w:rPr>
          <w:rFonts w:ascii="Arial" w:cs="Arial" w:eastAsia="Arial" w:hAnsi="Arial"/>
          <w:sz w:val="16"/>
          <w:szCs w:val="16"/>
          <w:color w:val="auto"/>
        </w:rPr>
        <w:t>To ensure we do not have overboarding or interlocking relationships that would conflict with a director’s independence or interfere with fulfilling their Board duties and responsibilities, we have the following policy:</w:t>
      </w:r>
    </w:p>
    <w:p>
      <w:pPr>
        <w:spacing w:after="0" w:line="34" w:lineRule="exact"/>
        <w:rPr>
          <w:sz w:val="20"/>
          <w:szCs w:val="20"/>
          <w:color w:val="auto"/>
        </w:rPr>
      </w:pPr>
    </w:p>
    <w:p>
      <w:pPr>
        <w:ind w:left="160" w:right="2940" w:hanging="153"/>
        <w:spacing w:after="0" w:line="306" w:lineRule="auto"/>
        <w:tabs>
          <w:tab w:leader="none" w:pos="136"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outside directors may not serve on more than four public company boards in total (including TC Energy), with each non-executive board chair role counting as two board seats,</w:t>
      </w:r>
    </w:p>
    <w:p>
      <w:pPr>
        <w:spacing w:after="0" w:line="1" w:lineRule="exact"/>
        <w:rPr>
          <w:rFonts w:ascii="Arial" w:cs="Arial" w:eastAsia="Arial" w:hAnsi="Arial"/>
          <w:sz w:val="16"/>
          <w:szCs w:val="16"/>
          <w:color w:val="auto"/>
        </w:rPr>
      </w:pPr>
    </w:p>
    <w:p>
      <w:pPr>
        <w:ind w:left="140" w:hanging="133"/>
        <w:spacing w:after="0"/>
        <w:tabs>
          <w:tab w:leader="none" w:pos="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CEO may not serve on more than two public company boards in total (including TC Energy), and</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Audit Committee members may not serve on more than three audit committees in total (including TC Energy).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All of our directors meet our overboarding policy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We discuss the time commitment and duties and responsibilities with every candidate so they have a full understanding</w:t>
      </w:r>
    </w:p>
    <w:p>
      <w:pPr>
        <w:spacing w:after="0" w:line="44" w:lineRule="exact"/>
        <w:rPr>
          <w:sz w:val="20"/>
          <w:szCs w:val="20"/>
          <w:color w:val="auto"/>
        </w:rPr>
      </w:pPr>
    </w:p>
    <w:p>
      <w:pPr>
        <w:ind w:right="140"/>
        <w:spacing w:after="0" w:line="337" w:lineRule="auto"/>
        <w:rPr>
          <w:sz w:val="20"/>
          <w:szCs w:val="20"/>
          <w:color w:val="auto"/>
        </w:rPr>
      </w:pPr>
      <w:r>
        <w:rPr>
          <w:rFonts w:ascii="Arial" w:cs="Arial" w:eastAsia="Arial" w:hAnsi="Arial"/>
          <w:sz w:val="16"/>
          <w:szCs w:val="16"/>
          <w:color w:val="auto"/>
        </w:rPr>
        <w:t>of the role and our expectations of directors. The Governance Committee monitors director relationships to ensure their business associations do not hinder their role as a TC Energy director or Board performance overall.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Board believes that it is important for it to be composed of qualified and knowledgeable directors. As a result,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due to the specialized nature of the energy infrastructure business, some of the nominated directors are associated with</w:t>
      </w:r>
    </w:p>
    <w:p>
      <w:pPr>
        <w:spacing w:after="0" w:line="44"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auto"/>
        </w:rPr>
        <w:t xml:space="preserve">or sit on the boards of companies that ship natural gas through our pipeline systems. Transmission services on most of TC Energy’s pipeline systems in Canada and the U.S. are subject to regulation and, accordingly, we generally cannot deny transportation services to a creditworthy shipper. As discussed in </w:t>
      </w:r>
      <w:r>
        <w:rPr>
          <w:rFonts w:ascii="Arial" w:cs="Arial" w:eastAsia="Arial" w:hAnsi="Arial"/>
          <w:sz w:val="16"/>
          <w:szCs w:val="16"/>
          <w:i w:val="1"/>
          <w:iCs w:val="1"/>
          <w:color w:val="auto"/>
        </w:rPr>
        <w:t>Conflicts of interest and related party transactions</w:t>
      </w:r>
      <w:r>
        <w:rPr>
          <w:rFonts w:ascii="Arial" w:cs="Arial" w:eastAsia="Arial" w:hAnsi="Arial"/>
          <w:sz w:val="16"/>
          <w:szCs w:val="16"/>
          <w:color w:val="auto"/>
        </w:rPr>
        <w:t>, the Governance Committee monitors relationships among directors to ensure that business associations</w:t>
      </w:r>
      <w:r>
        <w:rPr>
          <w:rFonts w:ascii="Arial" w:cs="Arial" w:eastAsia="Arial" w:hAnsi="Arial"/>
          <w:sz w:val="16"/>
          <w:szCs w:val="16"/>
          <w:i w:val="1"/>
          <w:iCs w:val="1"/>
          <w:color w:val="auto"/>
        </w:rPr>
        <w:t xml:space="preserve"> </w:t>
      </w:r>
      <w:r>
        <w:rPr>
          <w:rFonts w:ascii="Arial" w:cs="Arial" w:eastAsia="Arial" w:hAnsi="Arial"/>
          <w:sz w:val="16"/>
          <w:szCs w:val="16"/>
          <w:color w:val="auto"/>
        </w:rPr>
        <w:t>do not affect the Board’s performance.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See the director profiles starting on page 20 for the other public company boards each nominated director serves 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Independent of management</w:t>
      </w:r>
    </w:p>
    <w:p>
      <w:pPr>
        <w:spacing w:after="0" w:line="134" w:lineRule="exact"/>
        <w:rPr>
          <w:sz w:val="20"/>
          <w:szCs w:val="20"/>
          <w:color w:val="auto"/>
        </w:rPr>
      </w:pPr>
    </w:p>
    <w:p>
      <w:pPr>
        <w:ind w:right="80"/>
        <w:spacing w:after="0" w:line="326" w:lineRule="auto"/>
        <w:rPr>
          <w:sz w:val="20"/>
          <w:szCs w:val="20"/>
          <w:color w:val="auto"/>
        </w:rPr>
      </w:pPr>
      <w:r>
        <w:rPr>
          <w:rFonts w:ascii="Arial" w:cs="Arial" w:eastAsia="Arial" w:hAnsi="Arial"/>
          <w:sz w:val="16"/>
          <w:szCs w:val="16"/>
          <w:color w:val="auto"/>
        </w:rPr>
        <w:t xml:space="preserve">Our Corporate Governance Guidelines stipulate that the Board must meet at the end of each Board meeting, </w:t>
      </w:r>
      <w:r>
        <w:rPr>
          <w:rFonts w:ascii="Arial" w:cs="Arial" w:eastAsia="Arial" w:hAnsi="Arial"/>
          <w:sz w:val="16"/>
          <w:szCs w:val="16"/>
          <w:i w:val="1"/>
          <w:iCs w:val="1"/>
          <w:color w:val="auto"/>
        </w:rPr>
        <w:t>in-camera</w:t>
      </w:r>
      <w:r>
        <w:rPr>
          <w:rFonts w:ascii="Arial" w:cs="Arial" w:eastAsia="Arial" w:hAnsi="Arial"/>
          <w:sz w:val="16"/>
          <w:szCs w:val="16"/>
          <w:color w:val="auto"/>
        </w:rPr>
        <w:t xml:space="preserve">, without management present. In 2025, the independent directors met separately at each regularly scheduled Board meeting. Our Board has adopted the policy of holding </w:t>
      </w:r>
      <w:r>
        <w:rPr>
          <w:rFonts w:ascii="Arial" w:cs="Arial" w:eastAsia="Arial" w:hAnsi="Arial"/>
          <w:sz w:val="16"/>
          <w:szCs w:val="16"/>
          <w:i w:val="1"/>
          <w:iCs w:val="1"/>
          <w:color w:val="auto"/>
        </w:rPr>
        <w:t>in-camera</w:t>
      </w:r>
      <w:r>
        <w:rPr>
          <w:rFonts w:ascii="Arial" w:cs="Arial" w:eastAsia="Arial" w:hAnsi="Arial"/>
          <w:sz w:val="16"/>
          <w:szCs w:val="16"/>
          <w:color w:val="auto"/>
        </w:rPr>
        <w:t xml:space="preserve"> sessions at each meeting of its Committees without management. Members of management meet with the independent directors upon request.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37</w:t>
      </w:r>
    </w:p>
    <w:p>
      <w:pPr>
        <w:sectPr>
          <w:pgSz w:w="11900" w:h="16838" w:orient="portrait"/>
          <w:cols w:equalWidth="0" w:num="1">
            <w:col w:w="11240"/>
          </w:cols>
          <w:pgMar w:left="320" w:top="1097" w:right="339" w:bottom="1440" w:gutter="0" w:footer="0" w:header="0"/>
        </w:sectPr>
      </w:pPr>
    </w:p>
    <w:bookmarkStart w:id="43" w:name="page44"/>
    <w:bookmarkEnd w:id="43"/>
    <w:p>
      <w:pPr>
        <w:spacing w:after="0"/>
        <w:rPr>
          <w:sz w:val="20"/>
          <w:szCs w:val="20"/>
          <w:color w:val="auto"/>
        </w:rPr>
      </w:pPr>
      <w:r>
        <w:rPr>
          <w:rFonts w:ascii="Arial" w:cs="Arial" w:eastAsia="Arial" w:hAnsi="Arial"/>
          <w:sz w:val="29"/>
          <w:szCs w:val="29"/>
          <w:color w:val="0D64EF"/>
        </w:rPr>
        <w:t>Governance Philosophy</w:t>
      </w:r>
    </w:p>
    <w:p>
      <w:pPr>
        <w:spacing w:after="0" w:line="168" w:lineRule="exact"/>
        <w:rPr>
          <w:sz w:val="20"/>
          <w:szCs w:val="20"/>
          <w:color w:val="auto"/>
        </w:rPr>
      </w:pPr>
    </w:p>
    <w:p>
      <w:pPr>
        <w:ind w:right="440"/>
        <w:spacing w:after="0" w:line="337" w:lineRule="auto"/>
        <w:rPr>
          <w:sz w:val="20"/>
          <w:szCs w:val="20"/>
          <w:color w:val="auto"/>
        </w:rPr>
      </w:pPr>
      <w:r>
        <w:rPr>
          <w:rFonts w:ascii="Arial" w:cs="Arial" w:eastAsia="Arial" w:hAnsi="Arial"/>
          <w:sz w:val="16"/>
          <w:szCs w:val="16"/>
          <w:color w:val="auto"/>
        </w:rPr>
        <w:t>We believe that effective corporate governance improves corporate performance and benefits all shareholders and that honesty and integrity are vital to ensuring good corporate governance.</w:t>
      </w:r>
    </w:p>
    <w:p>
      <w:pPr>
        <w:spacing w:after="0" w:line="48" w:lineRule="exact"/>
        <w:rPr>
          <w:sz w:val="20"/>
          <w:szCs w:val="20"/>
          <w:color w:val="auto"/>
        </w:rPr>
      </w:pPr>
    </w:p>
    <w:p>
      <w:pPr>
        <w:ind w:right="2740"/>
        <w:spacing w:after="0" w:line="326" w:lineRule="auto"/>
        <w:rPr>
          <w:sz w:val="20"/>
          <w:szCs w:val="20"/>
          <w:color w:val="auto"/>
        </w:rPr>
      </w:pPr>
      <w:r>
        <w:rPr>
          <w:rFonts w:ascii="Arial" w:cs="Arial" w:eastAsia="Arial" w:hAnsi="Arial"/>
          <w:sz w:val="16"/>
          <w:szCs w:val="16"/>
          <w:color w:val="auto"/>
        </w:rPr>
        <w:t>The Board has formally adopted the Corporate Governance Guidelines recommended by the Governance Committee. These guidelines address the structure and composition of the Board and its Committees and clarify the responsibilities of the Board and management.</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ETHICAL BUSINESS CONDUCT</w:t>
      </w:r>
    </w:p>
    <w:p>
      <w:pPr>
        <w:spacing w:after="0" w:line="48" w:lineRule="exact"/>
        <w:rPr>
          <w:sz w:val="20"/>
          <w:szCs w:val="20"/>
          <w:color w:val="auto"/>
        </w:rPr>
      </w:pPr>
    </w:p>
    <w:p>
      <w:pPr>
        <w:ind w:right="2760"/>
        <w:spacing w:after="0" w:line="337" w:lineRule="auto"/>
        <w:rPr>
          <w:sz w:val="20"/>
          <w:szCs w:val="20"/>
          <w:color w:val="auto"/>
        </w:rPr>
      </w:pPr>
      <w:r>
        <w:rPr>
          <w:rFonts w:ascii="Arial" w:cs="Arial" w:eastAsia="Arial" w:hAnsi="Arial"/>
          <w:sz w:val="16"/>
          <w:szCs w:val="16"/>
          <w:color w:val="auto"/>
        </w:rPr>
        <w:t>Our Code of Business Ethics (the Code) incorporates principles of good conduct and ethical and responsible behaviour to guide our decisions and actions and the way we conduct business.</w:t>
      </w:r>
    </w:p>
    <w:p>
      <w:pPr>
        <w:spacing w:after="0" w:line="4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Code applies to all employees, officers and directors as well as contract workers of TC Energy and its wholly-owned subsidiaries and operated entities in countries where we conduct business. All employees (including executive officers)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 directors must certify their compliance with the Code.</w:t>
      </w:r>
    </w:p>
    <w:p>
      <w:pPr>
        <w:spacing w:after="0" w:line="13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Any unusual behaviour or suspected violations of the Code must be reported immediately. Employees can report a concern to their supervisor, Corporate Compliance, Internal Audit, their Compliance coordinator or to our ethics help-line. The ethics help-line allows anyone – employees, contractors, consultants, other stakeholders and the general public – to report a concern, confidentially and anonymously, about any perceived accounting irregularities, legal or ethical violations or other suspected breaches of the Code. The telephone number is published on our website and employee intranet, in other employee communications and in our Annual Report. Our policy strictly prohibits reprisals or retaliation against anyone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who files an ethics concern or complaint in good faith.</w:t>
      </w:r>
    </w:p>
    <w:p>
      <w:pPr>
        <w:spacing w:after="0" w:line="152" w:lineRule="exact"/>
        <w:rPr>
          <w:sz w:val="20"/>
          <w:szCs w:val="20"/>
          <w:color w:val="auto"/>
        </w:rPr>
      </w:pPr>
    </w:p>
    <w:p>
      <w:pPr>
        <w:ind w:right="440"/>
        <w:spacing w:after="0" w:line="337" w:lineRule="auto"/>
        <w:rPr>
          <w:sz w:val="20"/>
          <w:szCs w:val="20"/>
          <w:color w:val="auto"/>
        </w:rPr>
      </w:pPr>
      <w:r>
        <w:rPr>
          <w:rFonts w:ascii="Arial" w:cs="Arial" w:eastAsia="Arial" w:hAnsi="Arial"/>
          <w:sz w:val="16"/>
          <w:szCs w:val="16"/>
          <w:color w:val="auto"/>
        </w:rPr>
        <w:t>Internal Audit handles most investigations, including any concerns about directors and senior management. Human resources professionals handle any concerns relating to human resource matters such as harassment.</w:t>
      </w:r>
    </w:p>
    <w:p>
      <w:pPr>
        <w:spacing w:after="0" w:line="48"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The Audit Committee monitors compliance with the Code and reports any significant violations to the Board. The Audit Committee oversees the procedures for receiving and reviewing complaints and determining a course of action. It also oversees the operation of the ethics help-line and reviews the Internal Audit Charter as needed as part of its responsibilities.</w:t>
      </w:r>
    </w:p>
    <w:p>
      <w:pPr>
        <w:spacing w:after="0" w:line="64"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auto"/>
        </w:rPr>
        <w:t>Any waiver of the Code for our executive officers and directors must be approved by the Board, or the appropriate committee. There were no such waivers or material departures from the Code in 2025.</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Code is posted on our website (www.tcenergy.com).</w:t>
      </w:r>
    </w:p>
    <w:p>
      <w:pPr>
        <w:spacing w:after="0" w:line="152" w:lineRule="exact"/>
        <w:rPr>
          <w:sz w:val="20"/>
          <w:szCs w:val="20"/>
          <w:color w:val="auto"/>
        </w:rPr>
      </w:pPr>
    </w:p>
    <w:p>
      <w:pPr>
        <w:ind w:right="3080"/>
        <w:spacing w:after="0" w:line="337" w:lineRule="auto"/>
        <w:rPr>
          <w:sz w:val="20"/>
          <w:szCs w:val="20"/>
          <w:color w:val="auto"/>
        </w:rPr>
      </w:pPr>
      <w:r>
        <w:rPr>
          <w:rFonts w:ascii="Arial" w:cs="Arial" w:eastAsia="Arial" w:hAnsi="Arial"/>
          <w:sz w:val="16"/>
          <w:szCs w:val="16"/>
          <w:color w:val="auto"/>
        </w:rPr>
        <w:t>In order to promote a culture of ethical business conduct across the company, TC Energy also maintains additional internal corporate policies with respect to gift giving and conflicts of interest that apply to our personnel.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4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0D64EF"/>
        </w:rPr>
        <w:t>Conflicts of interest and related party transactions</w:t>
      </w:r>
    </w:p>
    <w:p>
      <w:pPr>
        <w:spacing w:after="0" w:line="40" w:lineRule="exact"/>
        <w:rPr>
          <w:sz w:val="20"/>
          <w:szCs w:val="20"/>
          <w:color w:val="auto"/>
        </w:rPr>
      </w:pPr>
    </w:p>
    <w:p>
      <w:pPr>
        <w:ind w:right="2820"/>
        <w:spacing w:after="0" w:line="354" w:lineRule="auto"/>
        <w:rPr>
          <w:sz w:val="20"/>
          <w:szCs w:val="20"/>
          <w:color w:val="auto"/>
        </w:rPr>
      </w:pPr>
      <w:r>
        <w:rPr>
          <w:rFonts w:ascii="Arial" w:cs="Arial" w:eastAsia="Arial" w:hAnsi="Arial"/>
          <w:sz w:val="16"/>
          <w:szCs w:val="16"/>
          <w:color w:val="auto"/>
        </w:rPr>
        <w:t>The Code covers potential conflicts of interest and requires that all employees, officers, directors and contract workers of TC Energy avoid situations that may result in a potential conflict.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In the event an employee, officer, director or contract worker finds themselves in a potential conflict situation, the Code stipulates that:</w:t>
      </w:r>
    </w:p>
    <w:p>
      <w:pPr>
        <w:spacing w:after="0" w:line="152" w:lineRule="exact"/>
        <w:rPr>
          <w:sz w:val="20"/>
          <w:szCs w:val="20"/>
          <w:color w:val="auto"/>
        </w:rPr>
      </w:pPr>
    </w:p>
    <w:p>
      <w:pPr>
        <w:ind w:left="140" w:hanging="133"/>
        <w:spacing w:after="0"/>
        <w:tabs>
          <w:tab w:leader="none" w:pos="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conflict should be reported,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person should refrain from participation in any decision or action where there is a real or perceived conflict.</w:t>
      </w:r>
    </w:p>
    <w:p>
      <w:pPr>
        <w:spacing w:after="0" w:line="152" w:lineRule="exact"/>
        <w:rPr>
          <w:sz w:val="20"/>
          <w:szCs w:val="20"/>
          <w:color w:val="auto"/>
        </w:rPr>
      </w:pPr>
    </w:p>
    <w:p>
      <w:pPr>
        <w:ind w:right="340"/>
        <w:spacing w:after="0" w:line="326" w:lineRule="auto"/>
        <w:rPr>
          <w:sz w:val="20"/>
          <w:szCs w:val="20"/>
          <w:color w:val="auto"/>
        </w:rPr>
      </w:pPr>
      <w:r>
        <w:rPr>
          <w:rFonts w:ascii="Arial" w:cs="Arial" w:eastAsia="Arial" w:hAnsi="Arial"/>
          <w:sz w:val="16"/>
          <w:szCs w:val="16"/>
          <w:color w:val="auto"/>
        </w:rPr>
        <w:t>The Code also notes that employees and officers of TC Energy may not engage in outside business activities that are in conflict with or detrimental to the interests of TC Energy. The CEO and the Executive Leadership Team must receive consent from the Chair of the Governance Committee for all outside business activities.</w:t>
      </w:r>
    </w:p>
    <w:p>
      <w:pPr>
        <w:spacing w:after="0" w:line="43"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Under the Code, directors must also declare any material interest that they may have in a material contract or transaction and recuse themselves from related deliberations and approvals.</w:t>
      </w:r>
    </w:p>
    <w:p>
      <w:pPr>
        <w:spacing w:after="0" w:line="22" w:lineRule="exact"/>
        <w:rPr>
          <w:sz w:val="20"/>
          <w:szCs w:val="20"/>
          <w:color w:val="auto"/>
        </w:rPr>
      </w:pPr>
    </w:p>
    <w:p>
      <w:pPr>
        <w:ind w:right="240"/>
        <w:spacing w:after="0" w:line="354" w:lineRule="auto"/>
        <w:rPr>
          <w:sz w:val="20"/>
          <w:szCs w:val="20"/>
          <w:color w:val="auto"/>
        </w:rPr>
      </w:pPr>
      <w:r>
        <w:rPr>
          <w:rFonts w:ascii="Arial" w:cs="Arial" w:eastAsia="Arial" w:hAnsi="Arial"/>
          <w:sz w:val="16"/>
          <w:szCs w:val="16"/>
          <w:color w:val="auto"/>
        </w:rPr>
        <w:t>In addition to the Code, the directors and corporate officers of TC Energy are required to disclose any related parties and related party transactions in their annual directors and officers questionnaires. These questionnaires assist TC Energy in identifying and monitoring material related party transactions.</w:t>
      </w:r>
    </w:p>
    <w:p>
      <w:pPr>
        <w:spacing w:after="0" w:line="22" w:lineRule="exact"/>
        <w:rPr>
          <w:sz w:val="20"/>
          <w:szCs w:val="20"/>
          <w:color w:val="auto"/>
        </w:rPr>
      </w:pPr>
    </w:p>
    <w:p>
      <w:pPr>
        <w:ind w:right="300"/>
        <w:spacing w:after="0" w:line="354" w:lineRule="auto"/>
        <w:rPr>
          <w:sz w:val="20"/>
          <w:szCs w:val="20"/>
          <w:color w:val="auto"/>
        </w:rPr>
      </w:pPr>
      <w:r>
        <w:rPr>
          <w:rFonts w:ascii="Arial" w:cs="Arial" w:eastAsia="Arial" w:hAnsi="Arial"/>
          <w:sz w:val="16"/>
          <w:szCs w:val="16"/>
          <w:color w:val="auto"/>
        </w:rPr>
        <w:t>The Governance Committee reviews and approves any material related party transactions prior to the transaction occurring, and maintains oversight over material related party transactions following such approval.</w:t>
      </w:r>
    </w:p>
    <w:p>
      <w:pPr>
        <w:spacing w:after="0" w:line="22" w:lineRule="exact"/>
        <w:rPr>
          <w:sz w:val="20"/>
          <w:szCs w:val="20"/>
          <w:color w:val="auto"/>
        </w:rPr>
      </w:pPr>
    </w:p>
    <w:p>
      <w:pPr>
        <w:ind w:right="180"/>
        <w:spacing w:after="0" w:line="354" w:lineRule="auto"/>
        <w:rPr>
          <w:sz w:val="20"/>
          <w:szCs w:val="20"/>
          <w:color w:val="auto"/>
        </w:rPr>
      </w:pPr>
      <w:r>
        <w:rPr>
          <w:rFonts w:ascii="Arial" w:cs="Arial" w:eastAsia="Arial" w:hAnsi="Arial"/>
          <w:sz w:val="16"/>
          <w:szCs w:val="16"/>
          <w:color w:val="auto"/>
        </w:rPr>
        <w:t>Related party transactions include any transactions between TC Energy (or any of its subsidiaries) and a related party that are material to TC Energy or the related party or are unusual in their nature or conditions and are inconsistent with the interests of TC Energy and its shareholders.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For this purpose, related parties include:</w:t>
      </w:r>
    </w:p>
    <w:p>
      <w:pPr>
        <w:spacing w:after="0" w:line="152" w:lineRule="exact"/>
        <w:rPr>
          <w:sz w:val="20"/>
          <w:szCs w:val="20"/>
          <w:color w:val="auto"/>
        </w:rPr>
      </w:pPr>
    </w:p>
    <w:p>
      <w:pPr>
        <w:ind w:left="140" w:hanging="133"/>
        <w:spacing w:after="0"/>
        <w:tabs>
          <w:tab w:leader="none" w:pos="1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key management personnel, such as TC Energy's directors and Executive Leadership Team and their immediate family members,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individuals and their immediate family members who exercise significant influence over TC Energy,</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entities where the individuals, including their immediate family members, noted above have substantial voting power</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or are able to exercise significant influence,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entities directly controlled by TC Energy.</w:t>
      </w:r>
    </w:p>
    <w:p>
      <w:pPr>
        <w:spacing w:after="0" w:line="152" w:lineRule="exact"/>
        <w:rPr>
          <w:sz w:val="20"/>
          <w:szCs w:val="20"/>
          <w:color w:val="auto"/>
        </w:rPr>
      </w:pPr>
    </w:p>
    <w:p>
      <w:pPr>
        <w:ind w:right="540"/>
        <w:spacing w:after="0" w:line="337" w:lineRule="auto"/>
        <w:rPr>
          <w:sz w:val="20"/>
          <w:szCs w:val="20"/>
          <w:color w:val="auto"/>
        </w:rPr>
      </w:pPr>
      <w:r>
        <w:rPr>
          <w:rFonts w:ascii="Arial" w:cs="Arial" w:eastAsia="Arial" w:hAnsi="Arial"/>
          <w:sz w:val="16"/>
          <w:szCs w:val="16"/>
          <w:color w:val="auto"/>
        </w:rPr>
        <w:t>There were no material conflicts of interests or related party transactions reported by the Board, CEO or the corporate officers, including the Executive Leadership Team, in 2025.</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Serving on other boards</w:t>
      </w:r>
    </w:p>
    <w:p>
      <w:pPr>
        <w:spacing w:after="0" w:line="44"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auto"/>
        </w:rPr>
        <w:t>The Board considers whether directors serving on the boards of, or acting as officers or in another similar capacity, for other entities including public and private companies, Crown corporations and other state-owned entities, and non-profit organizations pose any potential conflict. The Board reviews these relationships annually to determine that they do not interfere with any of our directors' ability to act in our best interests. If a director declares a material interest in any material contract or material transaction being considered at a meeting, the director is not present during the discussion and does not vote on the matter.</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Our Code requires employees to receive consent before accepting a directorship with an entity that is not an affiliate.</w:t>
      </w:r>
    </w:p>
    <w:p>
      <w:pPr>
        <w:spacing w:after="0" w:line="58" w:lineRule="exact"/>
        <w:rPr>
          <w:sz w:val="20"/>
          <w:szCs w:val="20"/>
          <w:color w:val="auto"/>
        </w:rPr>
      </w:pPr>
    </w:p>
    <w:p>
      <w:pPr>
        <w:ind w:right="140"/>
        <w:spacing w:after="0" w:line="337" w:lineRule="auto"/>
        <w:rPr>
          <w:sz w:val="20"/>
          <w:szCs w:val="20"/>
          <w:color w:val="auto"/>
        </w:rPr>
      </w:pPr>
      <w:r>
        <w:rPr>
          <w:rFonts w:ascii="Arial" w:cs="Arial" w:eastAsia="Arial" w:hAnsi="Arial"/>
          <w:sz w:val="16"/>
          <w:szCs w:val="16"/>
          <w:color w:val="auto"/>
        </w:rPr>
        <w:t>The CEO and executive vice-presidents must receive the consent of the Chair of the Governance Committee. All other employees must receive the consent of the Corporate Secretary or their delegate.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Affiliates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Board oversees relationships between TC Energy and any affiliates to avoid any potential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39</w:t>
      </w:r>
    </w:p>
    <w:p>
      <w:pPr>
        <w:sectPr>
          <w:pgSz w:w="11900" w:h="16838" w:orient="portrait"/>
          <w:cols w:equalWidth="0" w:num="1">
            <w:col w:w="11240"/>
          </w:cols>
          <w:pgMar w:left="320" w:top="1061"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0D64EF"/>
        </w:rPr>
        <w:t>MAJORITY VOTING</w:t>
      </w:r>
    </w:p>
    <w:p>
      <w:pPr>
        <w:spacing w:after="0" w:line="48"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Our Majority Voting Policy aligns with the majority voting requirements under the CBCA and provides that, in director elections where the number of nominated directors is the same as the number of director positions available (an uncontested election), each candidate is elected only if the number of votes cast in their favour represents a majority</w:t>
      </w:r>
    </w:p>
    <w:p>
      <w:pPr>
        <w:spacing w:after="0" w:line="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(50 per cent plus one vote) of the votes cast for and against them by the shareholders who are present in person or represented by proxy at the meeting and voted on the election of directors. Unelected incumbent directors who fail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 achieve a majority vote may continue in office until the earlier of: (a) the 90th day after the election; and (b) the</w:t>
      </w:r>
    </w:p>
    <w:p>
      <w:pPr>
        <w:spacing w:after="0" w:line="44" w:lineRule="exact"/>
        <w:rPr>
          <w:sz w:val="20"/>
          <w:szCs w:val="20"/>
          <w:color w:val="auto"/>
        </w:rPr>
      </w:pPr>
    </w:p>
    <w:p>
      <w:pPr>
        <w:ind w:right="2440"/>
        <w:spacing w:after="0" w:line="306" w:lineRule="auto"/>
        <w:rPr>
          <w:sz w:val="20"/>
          <w:szCs w:val="20"/>
          <w:color w:val="auto"/>
        </w:rPr>
      </w:pPr>
      <w:r>
        <w:rPr>
          <w:rFonts w:ascii="Arial" w:cs="Arial" w:eastAsia="Arial" w:hAnsi="Arial"/>
          <w:sz w:val="16"/>
          <w:szCs w:val="16"/>
          <w:color w:val="auto"/>
        </w:rPr>
        <w:t>day on which their successor is appointed or elected. This policy does not apply if there is a proxy contest over the election of directors. Majority voting will not apply in the case of a contested election of directors, in which case the directors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will be elected by a plurality of votes of the shares represented in person or by proxy at the meeting and voted on the election of directors.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SHARE OWNERSHIP</w:t>
      </w:r>
    </w:p>
    <w:p>
      <w:pPr>
        <w:spacing w:after="0" w:line="48" w:lineRule="exact"/>
        <w:rPr>
          <w:sz w:val="20"/>
          <w:szCs w:val="20"/>
          <w:color w:val="auto"/>
        </w:rPr>
      </w:pPr>
    </w:p>
    <w:p>
      <w:pPr>
        <w:ind w:right="680"/>
        <w:spacing w:after="0" w:line="306" w:lineRule="auto"/>
        <w:rPr>
          <w:sz w:val="20"/>
          <w:szCs w:val="20"/>
          <w:color w:val="auto"/>
        </w:rPr>
      </w:pPr>
      <w:r>
        <w:rPr>
          <w:rFonts w:ascii="Arial" w:cs="Arial" w:eastAsia="Arial" w:hAnsi="Arial"/>
          <w:sz w:val="16"/>
          <w:szCs w:val="16"/>
          <w:color w:val="auto"/>
        </w:rPr>
        <w:t>We have share ownership requirements for our directors and executives to align their interests with those of our shareholders. Ownership levels are significant, and directors and executives must meet the requirements within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assuming their position.</w:t>
      </w:r>
    </w:p>
    <w:p>
      <w:pPr>
        <w:spacing w:after="0" w:line="152" w:lineRule="exact"/>
        <w:rPr>
          <w:sz w:val="20"/>
          <w:szCs w:val="20"/>
          <w:color w:val="auto"/>
        </w:rPr>
      </w:pPr>
    </w:p>
    <w:p>
      <w:pPr>
        <w:ind w:right="140"/>
        <w:spacing w:after="0" w:line="326" w:lineRule="auto"/>
        <w:rPr>
          <w:sz w:val="20"/>
          <w:szCs w:val="20"/>
          <w:color w:val="auto"/>
        </w:rPr>
      </w:pPr>
      <w:r>
        <w:rPr>
          <w:rFonts w:ascii="Arial" w:cs="Arial" w:eastAsia="Arial" w:hAnsi="Arial"/>
          <w:sz w:val="16"/>
          <w:szCs w:val="16"/>
          <w:color w:val="auto"/>
        </w:rPr>
        <w:t>As of March 5, 2026, all of our directors are in compliance with our director Share Ownership Policy, which provides that directors must hold at least four times their annual retainer in shares or DSUs within five years of joining the Board. Certain directors are still within the five year period from their election to the Board.</w:t>
      </w:r>
    </w:p>
    <w:p>
      <w:pPr>
        <w:spacing w:after="0" w:line="43" w:lineRule="exact"/>
        <w:rPr>
          <w:sz w:val="20"/>
          <w:szCs w:val="20"/>
          <w:color w:val="auto"/>
        </w:rPr>
      </w:pPr>
    </w:p>
    <w:p>
      <w:pPr>
        <w:ind w:right="2240"/>
        <w:spacing w:after="0" w:line="337"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Aligning the interests of directors and shareholders</w:t>
      </w:r>
      <w:r>
        <w:rPr>
          <w:rFonts w:ascii="Arial" w:cs="Arial" w:eastAsia="Arial" w:hAnsi="Arial"/>
          <w:sz w:val="16"/>
          <w:szCs w:val="16"/>
          <w:color w:val="auto"/>
        </w:rPr>
        <w:t xml:space="preserve"> on page 79 and </w:t>
      </w:r>
      <w:r>
        <w:rPr>
          <w:rFonts w:ascii="Arial" w:cs="Arial" w:eastAsia="Arial" w:hAnsi="Arial"/>
          <w:sz w:val="16"/>
          <w:szCs w:val="16"/>
          <w:i w:val="1"/>
          <w:iCs w:val="1"/>
          <w:color w:val="auto"/>
        </w:rPr>
        <w:t>Aligning the interests of executives and shareholders</w:t>
      </w:r>
      <w:r>
        <w:rPr>
          <w:rFonts w:ascii="Arial" w:cs="Arial" w:eastAsia="Arial" w:hAnsi="Arial"/>
          <w:sz w:val="16"/>
          <w:szCs w:val="16"/>
          <w:color w:val="auto"/>
        </w:rPr>
        <w:t xml:space="preserve"> on page 93 for more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00"/>
          </w:cols>
          <w:pgMar w:left="320" w:top="1097" w:right="379" w:bottom="1440" w:gutter="0" w:footer="0" w:header="0"/>
        </w:sectPr>
      </w:pPr>
    </w:p>
    <w:bookmarkStart w:id="46" w:name="page47"/>
    <w:bookmarkEnd w:id="46"/>
    <w:p>
      <w:pPr>
        <w:spacing w:after="0"/>
        <w:rPr>
          <w:sz w:val="20"/>
          <w:szCs w:val="20"/>
          <w:color w:val="auto"/>
        </w:rPr>
      </w:pPr>
      <w:r>
        <w:rPr>
          <w:rFonts w:ascii="Arial" w:cs="Arial" w:eastAsia="Arial" w:hAnsi="Arial"/>
          <w:sz w:val="29"/>
          <w:szCs w:val="29"/>
          <w:color w:val="0D64EF"/>
        </w:rPr>
        <w:t>Role and Responsibilities of the Board</w:t>
      </w:r>
    </w:p>
    <w:p>
      <w:pPr>
        <w:spacing w:after="0" w:line="168"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auto"/>
        </w:rPr>
        <w:t>The Board’s primary responsibilities are to foster TC Energy’s long-term success and sustainability, oversee our business affairs and management and to act honestly, in good faith and in the best interests of TC Energy.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Board’s main objective is to promote our best interests, to maximize long-term shareholder value and to enhance shareholder returns.</w:t>
      </w:r>
    </w:p>
    <w:p>
      <w:pPr>
        <w:spacing w:after="0" w:line="138"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The Board has key duties and responsibilities, delegates some duties to its four standing committees and discharges others to management for managing the day-to-day affairs of the business.</w:t>
      </w:r>
    </w:p>
    <w:p>
      <w:pPr>
        <w:spacing w:after="0" w:line="22" w:lineRule="exact"/>
        <w:rPr>
          <w:sz w:val="20"/>
          <w:szCs w:val="20"/>
          <w:color w:val="auto"/>
        </w:rPr>
      </w:pPr>
    </w:p>
    <w:p>
      <w:pPr>
        <w:jc w:val="both"/>
        <w:ind w:right="320"/>
        <w:spacing w:after="0" w:line="326" w:lineRule="auto"/>
        <w:rPr>
          <w:sz w:val="20"/>
          <w:szCs w:val="20"/>
          <w:color w:val="auto"/>
        </w:rPr>
      </w:pPr>
      <w:r>
        <w:rPr>
          <w:rFonts w:ascii="Arial" w:cs="Arial" w:eastAsia="Arial" w:hAnsi="Arial"/>
          <w:sz w:val="16"/>
          <w:szCs w:val="16"/>
          <w:color w:val="auto"/>
        </w:rPr>
        <w:t>The Chair of the Board is responsible for ensuring that the Board is organized properly, functions effectively and meets its obligations and responsibilities. The Chair’s role includes coordinating the affairs of the Board, working with management (primarily the CEO) and ensuring effective relations with Board members, shareholders, other stakeholders and the public.</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CHARTERS AND POSITION DESCRIPTIONS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Board and each standing Committee have adopted a charter that outlines its principal responsibilities.</w:t>
      </w:r>
    </w:p>
    <w:p>
      <w:pPr>
        <w:spacing w:after="0" w:line="152" w:lineRule="exact"/>
        <w:rPr>
          <w:sz w:val="20"/>
          <w:szCs w:val="20"/>
          <w:color w:val="auto"/>
        </w:rPr>
      </w:pPr>
    </w:p>
    <w:p>
      <w:pPr>
        <w:ind w:right="140"/>
        <w:spacing w:after="0" w:line="337" w:lineRule="auto"/>
        <w:rPr>
          <w:sz w:val="20"/>
          <w:szCs w:val="20"/>
          <w:color w:val="auto"/>
        </w:rPr>
      </w:pPr>
      <w:r>
        <w:rPr>
          <w:rFonts w:ascii="Arial" w:cs="Arial" w:eastAsia="Arial" w:hAnsi="Arial"/>
          <w:sz w:val="16"/>
          <w:szCs w:val="16"/>
          <w:color w:val="auto"/>
        </w:rPr>
        <w:t>The charters are reviewed every year to ensure that they reflect current developments in corporate governance and corporate best practices, and the Board approves any necessary changes.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Board charter describes the:</w:t>
      </w:r>
    </w:p>
    <w:p>
      <w:pPr>
        <w:spacing w:after="0" w:line="152" w:lineRule="exact"/>
        <w:rPr>
          <w:sz w:val="20"/>
          <w:szCs w:val="20"/>
          <w:color w:val="auto"/>
        </w:rPr>
      </w:pPr>
    </w:p>
    <w:p>
      <w:pPr>
        <w:ind w:left="140" w:hanging="133"/>
        <w:spacing w:after="0"/>
        <w:tabs>
          <w:tab w:leader="none" w:pos="1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composition and organization of the Board,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duties and responsibilities for managing the affairs of the Board,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oversight responsibilities for:</w:t>
      </w:r>
    </w:p>
    <w:p>
      <w:pPr>
        <w:spacing w:after="0" w:line="151" w:lineRule="exact"/>
        <w:rPr>
          <w:rFonts w:ascii="Arial" w:cs="Arial" w:eastAsia="Arial" w:hAnsi="Arial"/>
          <w:sz w:val="16"/>
          <w:szCs w:val="16"/>
          <w:color w:val="auto"/>
        </w:rPr>
      </w:pPr>
    </w:p>
    <w:p>
      <w:pPr>
        <w:ind w:left="620" w:hanging="129"/>
        <w:spacing w:after="0"/>
        <w:tabs>
          <w:tab w:leader="none" w:pos="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management and human resources,</w:t>
      </w:r>
    </w:p>
    <w:p>
      <w:pPr>
        <w:spacing w:after="0" w:line="44" w:lineRule="exact"/>
        <w:rPr>
          <w:rFonts w:ascii="Arial" w:cs="Arial" w:eastAsia="Arial" w:hAnsi="Arial"/>
          <w:sz w:val="16"/>
          <w:szCs w:val="16"/>
          <w:color w:val="auto"/>
        </w:rPr>
      </w:pPr>
    </w:p>
    <w:p>
      <w:pPr>
        <w:ind w:left="620" w:hanging="129"/>
        <w:spacing w:after="0"/>
        <w:tabs>
          <w:tab w:leader="none" w:pos="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strategy and planning,</w:t>
      </w:r>
    </w:p>
    <w:p>
      <w:pPr>
        <w:spacing w:after="0" w:line="57" w:lineRule="exact"/>
        <w:rPr>
          <w:rFonts w:ascii="Arial" w:cs="Arial" w:eastAsia="Arial" w:hAnsi="Arial"/>
          <w:sz w:val="16"/>
          <w:szCs w:val="16"/>
          <w:color w:val="auto"/>
        </w:rPr>
      </w:pPr>
    </w:p>
    <w:p>
      <w:pPr>
        <w:ind w:left="620" w:hanging="129"/>
        <w:spacing w:after="0"/>
        <w:tabs>
          <w:tab w:leader="none" w:pos="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financial and corporate issues,</w:t>
      </w:r>
    </w:p>
    <w:p>
      <w:pPr>
        <w:spacing w:after="0" w:line="44" w:lineRule="exact"/>
        <w:rPr>
          <w:rFonts w:ascii="Arial" w:cs="Arial" w:eastAsia="Arial" w:hAnsi="Arial"/>
          <w:sz w:val="16"/>
          <w:szCs w:val="16"/>
          <w:color w:val="auto"/>
        </w:rPr>
      </w:pPr>
    </w:p>
    <w:p>
      <w:pPr>
        <w:ind w:left="620" w:hanging="129"/>
        <w:spacing w:after="0"/>
        <w:tabs>
          <w:tab w:leader="none" w:pos="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business and risk management, including compensation risk,</w:t>
      </w:r>
    </w:p>
    <w:p>
      <w:pPr>
        <w:spacing w:after="0" w:line="44" w:lineRule="exact"/>
        <w:rPr>
          <w:rFonts w:ascii="Arial" w:cs="Arial" w:eastAsia="Arial" w:hAnsi="Arial"/>
          <w:sz w:val="16"/>
          <w:szCs w:val="16"/>
          <w:color w:val="auto"/>
        </w:rPr>
      </w:pPr>
    </w:p>
    <w:p>
      <w:pPr>
        <w:ind w:left="620" w:hanging="129"/>
        <w:spacing w:after="0"/>
        <w:tabs>
          <w:tab w:leader="none" w:pos="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policies and procedures,</w:t>
      </w:r>
    </w:p>
    <w:p>
      <w:pPr>
        <w:spacing w:after="0" w:line="57" w:lineRule="exact"/>
        <w:rPr>
          <w:rFonts w:ascii="Arial" w:cs="Arial" w:eastAsia="Arial" w:hAnsi="Arial"/>
          <w:sz w:val="16"/>
          <w:szCs w:val="16"/>
          <w:color w:val="auto"/>
        </w:rPr>
      </w:pPr>
    </w:p>
    <w:p>
      <w:pPr>
        <w:ind w:left="620" w:hanging="129"/>
        <w:spacing w:after="0"/>
        <w:tabs>
          <w:tab w:leader="none" w:pos="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compliance reporting and corporate communications, and</w:t>
      </w:r>
    </w:p>
    <w:p>
      <w:pPr>
        <w:spacing w:after="0" w:line="44" w:lineRule="exact"/>
        <w:rPr>
          <w:rFonts w:ascii="Arial" w:cs="Arial" w:eastAsia="Arial" w:hAnsi="Arial"/>
          <w:sz w:val="16"/>
          <w:szCs w:val="16"/>
          <w:color w:val="auto"/>
        </w:rPr>
      </w:pPr>
    </w:p>
    <w:p>
      <w:pPr>
        <w:ind w:left="620" w:hanging="129"/>
        <w:spacing w:after="0"/>
        <w:tabs>
          <w:tab w:leader="none" w:pos="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general legal obligations, including its ability to use independent advisors as necessary.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Board has also developed position descriptions for the Chair of the Board, each Committee Chair and the CEO.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position descriptions for the Chair of the Board and the CEO are part of their respective terms of reference.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position descriptions for the Chair of each Committee are contained in the Committee charters.</w:t>
      </w:r>
    </w:p>
    <w:p>
      <w:pPr>
        <w:spacing w:after="0" w:line="138" w:lineRule="exact"/>
        <w:rPr>
          <w:sz w:val="20"/>
          <w:szCs w:val="20"/>
          <w:color w:val="auto"/>
        </w:rPr>
      </w:pPr>
    </w:p>
    <w:p>
      <w:pPr>
        <w:ind w:right="2720"/>
        <w:spacing w:after="0" w:line="354"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Schedule A</w:t>
      </w:r>
      <w:r>
        <w:rPr>
          <w:rFonts w:ascii="Arial" w:cs="Arial" w:eastAsia="Arial" w:hAnsi="Arial"/>
          <w:sz w:val="16"/>
          <w:szCs w:val="16"/>
          <w:color w:val="auto"/>
        </w:rPr>
        <w:t xml:space="preserve"> for a copy of the Board charter. The Board charter, Committee charters and position terms of reference for the Chair of the Board and the CEO are posted on our website (www.tcenergy.com).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41</w:t>
      </w:r>
    </w:p>
    <w:p>
      <w:pPr>
        <w:sectPr>
          <w:pgSz w:w="11900" w:h="16838" w:orient="portrait"/>
          <w:cols w:equalWidth="0" w:num="1">
            <w:col w:w="11240"/>
          </w:cols>
          <w:pgMar w:left="320" w:top="1048"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0D64EF"/>
        </w:rPr>
        <w:t>STRATEGIC PLANNING</w:t>
      </w:r>
    </w:p>
    <w:p>
      <w:pPr>
        <w:spacing w:after="0" w:line="48" w:lineRule="exact"/>
        <w:rPr>
          <w:sz w:val="20"/>
          <w:szCs w:val="20"/>
          <w:color w:val="auto"/>
        </w:rPr>
      </w:pPr>
    </w:p>
    <w:p>
      <w:pPr>
        <w:ind w:right="240"/>
        <w:spacing w:after="0" w:line="337" w:lineRule="auto"/>
        <w:rPr>
          <w:sz w:val="20"/>
          <w:szCs w:val="20"/>
          <w:color w:val="auto"/>
        </w:rPr>
      </w:pPr>
      <w:r>
        <w:rPr>
          <w:rFonts w:ascii="Arial" w:cs="Arial" w:eastAsia="Arial" w:hAnsi="Arial"/>
          <w:sz w:val="16"/>
          <w:szCs w:val="16"/>
          <w:color w:val="auto"/>
        </w:rPr>
        <w:t>The Board provides oversight and direction in the strategic planning process to ensure we have a robust strategy that supports our vision to be the trusted leader in North America’s energy infrastructure, committed to excellence in safety, performance and stakeholder relationships.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Our business consists of natural gas transportation and storage, as well as power generation assets:</w:t>
      </w:r>
    </w:p>
    <w:p>
      <w:pPr>
        <w:spacing w:after="0" w:line="138" w:lineRule="exact"/>
        <w:rPr>
          <w:sz w:val="20"/>
          <w:szCs w:val="20"/>
          <w:color w:val="auto"/>
        </w:rPr>
      </w:pPr>
    </w:p>
    <w:p>
      <w:pPr>
        <w:ind w:left="100" w:hanging="93"/>
        <w:spacing w:after="0"/>
        <w:tabs>
          <w:tab w:leader="none" w:pos="1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deliver natural gas to Canada, the U.S. and Mexico, including to export terminals that ship LNG globally</w:t>
      </w:r>
    </w:p>
    <w:p>
      <w:pPr>
        <w:spacing w:after="0" w:line="44" w:lineRule="exact"/>
        <w:rPr>
          <w:rFonts w:ascii="Arial" w:cs="Arial" w:eastAsia="Arial" w:hAnsi="Arial"/>
          <w:sz w:val="16"/>
          <w:szCs w:val="16"/>
          <w:color w:val="auto"/>
        </w:rPr>
      </w:pPr>
    </w:p>
    <w:p>
      <w:pPr>
        <w:ind w:left="160" w:right="3700" w:hanging="153"/>
        <w:spacing w:after="0" w:line="306" w:lineRule="auto"/>
        <w:tabs>
          <w:tab w:leader="none" w:pos="1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generate electricity in Canada and the U.S., primarily from nuclear energy, but also from natural gas, wind and solar energy</w:t>
      </w:r>
    </w:p>
    <w:p>
      <w:pPr>
        <w:spacing w:after="0" w:line="1" w:lineRule="exact"/>
        <w:rPr>
          <w:rFonts w:ascii="Arial" w:cs="Arial" w:eastAsia="Arial" w:hAnsi="Arial"/>
          <w:sz w:val="16"/>
          <w:szCs w:val="16"/>
          <w:color w:val="auto"/>
        </w:rPr>
      </w:pPr>
    </w:p>
    <w:p>
      <w:pPr>
        <w:ind w:left="100" w:hanging="93"/>
        <w:spacing w:after="0"/>
        <w:tabs>
          <w:tab w:leader="none" w:pos="1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store natural gas in Canada and the U.S. through regulated and non-regulated businesses.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Our mission is to safely and efficiently move, generate and store the critical energy that North America and the world</w:t>
      </w:r>
    </w:p>
    <w:p>
      <w:pPr>
        <w:spacing w:after="0" w:line="58" w:lineRule="exact"/>
        <w:rPr>
          <w:sz w:val="20"/>
          <w:szCs w:val="20"/>
          <w:color w:val="auto"/>
        </w:rPr>
      </w:pPr>
    </w:p>
    <w:p>
      <w:pPr>
        <w:ind w:right="600"/>
        <w:spacing w:after="0" w:line="297" w:lineRule="auto"/>
        <w:rPr>
          <w:sz w:val="20"/>
          <w:szCs w:val="20"/>
          <w:color w:val="auto"/>
        </w:rPr>
      </w:pPr>
      <w:r>
        <w:rPr>
          <w:rFonts w:ascii="Arial" w:cs="Arial" w:eastAsia="Arial" w:hAnsi="Arial"/>
          <w:sz w:val="16"/>
          <w:szCs w:val="16"/>
          <w:color w:val="auto"/>
        </w:rPr>
        <w:t>rely on. To achieve this, we have a strategic plan which we reaffirm or update regularly. Additionally, we hold strategic issues sessions with the Board throughout the year to consider specific and emerging issues. The Governance Committee</w:t>
      </w:r>
    </w:p>
    <w:p>
      <w:pPr>
        <w:spacing w:after="0" w:line="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is accountable for overseeing the strategy development process and works with management to identify and discuss emerging issues, elevating topics for discussion with the entire Board as necessary. Guidance is also provided relative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 the annual strategy cycle.</w:t>
      </w:r>
    </w:p>
    <w:p>
      <w:pPr>
        <w:spacing w:after="0" w:line="138" w:lineRule="exact"/>
        <w:rPr>
          <w:sz w:val="20"/>
          <w:szCs w:val="20"/>
          <w:color w:val="auto"/>
        </w:rPr>
      </w:pPr>
    </w:p>
    <w:p>
      <w:pPr>
        <w:ind w:right="100"/>
        <w:spacing w:after="0" w:line="326" w:lineRule="auto"/>
        <w:rPr>
          <w:sz w:val="20"/>
          <w:szCs w:val="20"/>
          <w:color w:val="auto"/>
        </w:rPr>
      </w:pPr>
      <w:r>
        <w:rPr>
          <w:rFonts w:ascii="Arial" w:cs="Arial" w:eastAsia="Arial" w:hAnsi="Arial"/>
          <w:sz w:val="16"/>
          <w:szCs w:val="16"/>
          <w:color w:val="auto"/>
        </w:rPr>
        <w:t>As part of our annual strategic plan review, management includes an assessment of energy fundamentals, the competitive environment and the stakeholder landscape to identify opportunities and threats to our business strategy. This process informs our annual strategic priorities and executive performance measures. We also stress-test our strategy against a range of energy supply and demand outlooks to confirm its resilience.</w:t>
      </w:r>
    </w:p>
    <w:p>
      <w:pPr>
        <w:spacing w:after="0" w:line="43" w:lineRule="exact"/>
        <w:rPr>
          <w:sz w:val="20"/>
          <w:szCs w:val="20"/>
          <w:color w:val="auto"/>
        </w:rPr>
      </w:pPr>
    </w:p>
    <w:p>
      <w:pPr>
        <w:ind w:right="480"/>
        <w:spacing w:after="0" w:line="326" w:lineRule="auto"/>
        <w:rPr>
          <w:sz w:val="20"/>
          <w:szCs w:val="20"/>
          <w:color w:val="auto"/>
        </w:rPr>
      </w:pPr>
      <w:r>
        <w:rPr>
          <w:rFonts w:ascii="Arial" w:cs="Arial" w:eastAsia="Arial" w:hAnsi="Arial"/>
          <w:sz w:val="16"/>
          <w:szCs w:val="16"/>
          <w:color w:val="auto"/>
        </w:rPr>
        <w:t>Throughout the year, the Board monitors management's progress toward achieving our strategic priorities. At each regularly scheduled Board meeting, management also provides updates on the resources required to implement our strategy, which may include human, safety, technological and capital resources along with any issues that may impact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45085</wp:posOffset>
            </wp:positionV>
            <wp:extent cx="3276600" cy="32423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76600" cy="324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Election of Directors - Meeting Attendance</w:t>
      </w:r>
      <w:r>
        <w:rPr>
          <w:rFonts w:ascii="Arial" w:cs="Arial" w:eastAsia="Arial" w:hAnsi="Arial"/>
          <w:sz w:val="16"/>
          <w:szCs w:val="16"/>
          <w:color w:val="auto"/>
        </w:rPr>
        <w:t xml:space="preserve"> on page 33 for more information about the meetings held in 2025 and </w:t>
      </w:r>
      <w:r>
        <w:rPr>
          <w:rFonts w:ascii="Arial" w:cs="Arial" w:eastAsia="Arial" w:hAnsi="Arial"/>
          <w:sz w:val="16"/>
          <w:szCs w:val="16"/>
          <w:i w:val="1"/>
          <w:iCs w:val="1"/>
          <w:color w:val="auto"/>
        </w:rPr>
        <w:t>Orientation and Education</w:t>
      </w:r>
      <w:r>
        <w:rPr>
          <w:rFonts w:ascii="Arial" w:cs="Arial" w:eastAsia="Arial" w:hAnsi="Arial"/>
          <w:sz w:val="16"/>
          <w:szCs w:val="16"/>
          <w:color w:val="auto"/>
        </w:rPr>
        <w:t xml:space="preserve"> on pages 52 and 53 for more information about the strategic issues and planning sessions attended by Board members in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00"/>
          </w:cols>
          <w:pgMar w:left="320" w:top="1097" w:right="37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0D64EF"/>
        </w:rPr>
        <w:t>RISK OVERSIGHT AND ENTERPRISE RISK MANAGEMENT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Risk management is embedded in all activities at TC Energy and is integral to the successful operation of our business.</w:t>
      </w:r>
    </w:p>
    <w:p>
      <w:pPr>
        <w:spacing w:after="0" w:line="44" w:lineRule="exact"/>
        <w:rPr>
          <w:sz w:val="20"/>
          <w:szCs w:val="20"/>
          <w:color w:val="auto"/>
        </w:rPr>
      </w:pPr>
    </w:p>
    <w:p>
      <w:pPr>
        <w:jc w:val="both"/>
        <w:ind w:right="140"/>
        <w:spacing w:after="0" w:line="326" w:lineRule="auto"/>
        <w:rPr>
          <w:sz w:val="20"/>
          <w:szCs w:val="20"/>
          <w:color w:val="auto"/>
        </w:rPr>
      </w:pPr>
      <w:r>
        <w:rPr>
          <w:rFonts w:ascii="Arial" w:cs="Arial" w:eastAsia="Arial" w:hAnsi="Arial"/>
          <w:sz w:val="16"/>
          <w:szCs w:val="16"/>
          <w:color w:val="auto"/>
        </w:rPr>
        <w:t>Our strategy is designed to ensure that risks and related exposures are aligned with our business objectives and risk tolerances. We achieve this through a centralized Enterprise Risk Management (ERM) program, which systematically identifies and assesses risks that could materially impact the achievement of our strategic objectives.</w:t>
      </w:r>
    </w:p>
    <w:p>
      <w:pPr>
        <w:spacing w:after="0" w:line="56" w:lineRule="exact"/>
        <w:rPr>
          <w:sz w:val="20"/>
          <w:szCs w:val="20"/>
          <w:color w:val="auto"/>
        </w:rPr>
      </w:pPr>
    </w:p>
    <w:p>
      <w:pPr>
        <w:ind w:right="20"/>
        <w:spacing w:after="0" w:line="317" w:lineRule="auto"/>
        <w:rPr>
          <w:sz w:val="20"/>
          <w:szCs w:val="20"/>
          <w:color w:val="auto"/>
        </w:rPr>
      </w:pPr>
      <w:r>
        <w:rPr>
          <w:rFonts w:ascii="Arial" w:cs="Arial" w:eastAsia="Arial" w:hAnsi="Arial"/>
          <w:sz w:val="16"/>
          <w:szCs w:val="16"/>
          <w:color w:val="auto"/>
        </w:rPr>
        <w:t>The ERM program addresses risks related to executing our business strategies and supports practices for identifying and monitoring emerging risks. Specifically, the ERM framework offers a comprehensive process for risk identification, analysis, evaluation and mitigation. It also ensures ongoing monitoring and reporting to the Board of Directors, CEO and Executive Vice-Presidents, and the Chief Risk Officer.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Board and Committee Oversight</w:t>
      </w:r>
    </w:p>
    <w:p>
      <w:pPr>
        <w:spacing w:after="0" w:line="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Board of Directors retains general oversight over all enterprise risks. Annually, the Board reviews the enterprise risk register and receives quarterly updates on emerging risks and their management and mitigation in accordance with TC Energy’s risk appetite and tolerances. Additionally, the Board receives detailed presentations on enterprise risks quarterly, with specific themes addressed during regular financial updates and strategic meetings. Special presentations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are also delivered as needed or upon request.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Committee of our Board oversees the ERM program, ensuring comprehensive oversight of our risk management activities. In addition, other</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Board committees oversee specific risk types within their mandates:</w:t>
      </w:r>
    </w:p>
    <w:p>
      <w:pPr>
        <w:spacing w:after="0" w:line="138" w:lineRule="exact"/>
        <w:rPr>
          <w:sz w:val="20"/>
          <w:szCs w:val="20"/>
          <w:color w:val="auto"/>
        </w:rPr>
      </w:pPr>
    </w:p>
    <w:p>
      <w:pPr>
        <w:ind w:left="160" w:right="2860" w:hanging="153"/>
        <w:spacing w:after="0" w:line="354" w:lineRule="auto"/>
        <w:tabs>
          <w:tab w:leader="none" w:pos="136"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Human Resources Committee oversees executive resourcing, organizational capabilities and compensation risk to ensure human and labour policies and remuneration practices align with our overall business strategy,</w:t>
      </w:r>
    </w:p>
    <w:p>
      <w:pPr>
        <w:spacing w:after="0" w:line="21" w:lineRule="exact"/>
        <w:rPr>
          <w:rFonts w:ascii="Arial" w:cs="Arial" w:eastAsia="Arial" w:hAnsi="Arial"/>
          <w:sz w:val="16"/>
          <w:szCs w:val="16"/>
          <w:color w:val="auto"/>
        </w:rPr>
      </w:pPr>
    </w:p>
    <w:p>
      <w:pPr>
        <w:ind w:left="140" w:hanging="133"/>
        <w:spacing w:after="0"/>
        <w:tabs>
          <w:tab w:leader="none" w:pos="1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HSSE Committee oversees operational, major project execution, health, safety, sustainability and environmental risks, including climate-related risks,</w:t>
      </w:r>
    </w:p>
    <w:p>
      <w:pPr>
        <w:spacing w:after="0" w:line="151" w:lineRule="exact"/>
        <w:rPr>
          <w:rFonts w:ascii="Arial" w:cs="Arial" w:eastAsia="Arial" w:hAnsi="Arial"/>
          <w:sz w:val="16"/>
          <w:szCs w:val="16"/>
          <w:color w:val="auto"/>
        </w:rPr>
      </w:pPr>
    </w:p>
    <w:p>
      <w:pPr>
        <w:ind w:left="140" w:hanging="133"/>
        <w:spacing w:after="0"/>
        <w:tabs>
          <w:tab w:leader="none" w:pos="1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Audit Committee oversees management's role in mitigating financial risk, including market risk, counterparty credit risk and cybersecurity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Executive Leadership and Risk Management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Our Executive Leadership Team is responsible for developing and implementing risk management plans and actions,</w:t>
      </w:r>
    </w:p>
    <w:p>
      <w:pPr>
        <w:spacing w:after="0" w:line="4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with effective risk management reflected in their compensation. Each identified enterprise risk has a governance owner from the Executive Leadership Team. Risk management execution is overseen by an accountable Business Unit President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or Senior Vice-President. These risk owners provide in-depth risk reviews to the Board annually.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Segment-specific Risks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Key segment-specific financial, health, safety, and environment-related risks are covered in their respective sections</w:t>
      </w:r>
    </w:p>
    <w:p>
      <w:pPr>
        <w:spacing w:after="0" w:line="58" w:lineRule="exact"/>
        <w:rPr>
          <w:sz w:val="20"/>
          <w:szCs w:val="20"/>
          <w:color w:val="auto"/>
        </w:rPr>
      </w:pPr>
    </w:p>
    <w:p>
      <w:pPr>
        <w:ind w:right="240"/>
        <w:spacing w:after="0" w:line="337" w:lineRule="auto"/>
        <w:rPr>
          <w:sz w:val="20"/>
          <w:szCs w:val="20"/>
          <w:color w:val="auto"/>
        </w:rPr>
      </w:pPr>
      <w:r>
        <w:rPr>
          <w:rFonts w:ascii="Arial" w:cs="Arial" w:eastAsia="Arial" w:hAnsi="Arial"/>
          <w:sz w:val="16"/>
          <w:szCs w:val="16"/>
          <w:color w:val="auto"/>
        </w:rPr>
        <w:t>of our Management's Discussion &amp; Analysis (MD&amp;A). Further, our Report on Sustainability provides information on our approach to sustainability, including the oversight of sustainability-related risks and opportunities.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Enterprise Risk Monitoring and Key Risk Indicators</w:t>
      </w:r>
    </w:p>
    <w:p>
      <w:pPr>
        <w:spacing w:after="0" w:line="40" w:lineRule="exact"/>
        <w:rPr>
          <w:sz w:val="20"/>
          <w:szCs w:val="20"/>
          <w:color w:val="auto"/>
        </w:rPr>
      </w:pPr>
    </w:p>
    <w:p>
      <w:pPr>
        <w:ind w:right="180"/>
        <w:spacing w:after="0" w:line="337" w:lineRule="auto"/>
        <w:rPr>
          <w:sz w:val="20"/>
          <w:szCs w:val="20"/>
          <w:color w:val="auto"/>
        </w:rPr>
      </w:pPr>
      <w:r>
        <w:rPr>
          <w:rFonts w:ascii="Arial" w:cs="Arial" w:eastAsia="Arial" w:hAnsi="Arial"/>
          <w:sz w:val="16"/>
          <w:szCs w:val="16"/>
          <w:color w:val="auto"/>
        </w:rPr>
        <w:t>Risks related to our key enterprise risk themes are continuously monitored through our ERM program. The program includes a network of emerging risk liaisons strategically positioned across the organization, responsible for identifying potential enterprise-level risks and reporting them quarterly to the Board.</w:t>
      </w:r>
    </w:p>
    <w:p>
      <w:pPr>
        <w:spacing w:after="0" w:line="48" w:lineRule="exact"/>
        <w:rPr>
          <w:sz w:val="20"/>
          <w:szCs w:val="20"/>
          <w:color w:val="auto"/>
        </w:rPr>
      </w:pPr>
    </w:p>
    <w:p>
      <w:pPr>
        <w:ind w:right="60"/>
        <w:spacing w:after="0" w:line="326" w:lineRule="auto"/>
        <w:rPr>
          <w:sz w:val="20"/>
          <w:szCs w:val="20"/>
          <w:color w:val="auto"/>
        </w:rPr>
      </w:pPr>
      <w:r>
        <w:rPr>
          <w:rFonts w:ascii="Arial" w:cs="Arial" w:eastAsia="Arial" w:hAnsi="Arial"/>
          <w:sz w:val="16"/>
          <w:szCs w:val="16"/>
          <w:color w:val="auto"/>
        </w:rPr>
        <w:t>Additionally, as part of our ongoing commitment to enhancing the ERM program, we use Key Risk and Performance Indicators (KRIs) to monitor risk events that could impact our strategic objectives. These KRIs provide quantifiable metrics, objective rationale and meaningful trends for each enterprise risk, helping to inform the annual in-depth review of enterprise risks conducted by the Board.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43</w:t>
      </w:r>
    </w:p>
    <w:p>
      <w:pPr>
        <w:sectPr>
          <w:pgSz w:w="11900" w:h="16838" w:orient="portrait"/>
          <w:cols w:equalWidth="0" w:num="1">
            <w:col w:w="11240"/>
          </w:cols>
          <w:pgMar w:left="320" w:top="1097" w:right="339" w:bottom="1440" w:gutter="0" w:footer="0" w:header="0"/>
        </w:sectPr>
      </w:pPr>
    </w:p>
    <w:bookmarkStart w:id="49" w:name="page50"/>
    <w:bookmarkEnd w:id="49"/>
    <w:p>
      <w:pPr>
        <w:jc w:val="both"/>
        <w:ind w:right="160"/>
        <w:spacing w:after="0" w:line="326" w:lineRule="auto"/>
        <w:rPr>
          <w:sz w:val="20"/>
          <w:szCs w:val="20"/>
          <w:color w:val="auto"/>
        </w:rPr>
      </w:pPr>
      <w:r>
        <w:rPr>
          <w:rFonts w:ascii="Arial" w:cs="Arial" w:eastAsia="Arial" w:hAnsi="Arial"/>
          <w:sz w:val="16"/>
          <w:szCs w:val="16"/>
          <w:color w:val="auto"/>
        </w:rPr>
        <w:t>The enterprise risk register establishes clear accountabilities of the Board, committees and executives responsible for specific oversight of each enterprise risk. The following is a list of enterprise risks with the potential to affect our operations and the Board committee responsible for overseeing each enterprise risk. These are being continuously monitored through the ERM program and its framework.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0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Enterprise Risk</w:t>
            </w:r>
          </w:p>
        </w:tc>
        <w:tc>
          <w:tcPr>
            <w:tcW w:w="5920" w:type="dxa"/>
            <w:vAlign w:val="bottom"/>
            <w:tcBorders>
              <w:top w:val="single" w:sz="8" w:color="0D64EF"/>
              <w:bottom w:val="single" w:sz="8" w:color="0D64EF"/>
            </w:tcBorders>
            <w:shd w:val="clear" w:color="auto" w:fill="D1D0CF"/>
          </w:tcPr>
          <w:p>
            <w:pPr>
              <w:ind w:left="1060"/>
              <w:spacing w:after="0"/>
              <w:rPr>
                <w:sz w:val="20"/>
                <w:szCs w:val="20"/>
                <w:color w:val="auto"/>
              </w:rPr>
            </w:pPr>
            <w:r>
              <w:rPr>
                <w:rFonts w:ascii="Arial" w:cs="Arial" w:eastAsia="Arial" w:hAnsi="Arial"/>
                <w:sz w:val="14"/>
                <w:szCs w:val="14"/>
                <w:b w:val="1"/>
                <w:bCs w:val="1"/>
                <w:color w:val="auto"/>
              </w:rPr>
              <w:t>Board Committee/Board Oversight</w:t>
            </w:r>
          </w:p>
        </w:tc>
      </w:tr>
      <w:tr>
        <w:trPr>
          <w:trHeight w:val="192"/>
        </w:trPr>
        <w:tc>
          <w:tcPr>
            <w:tcW w:w="42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Operational Risk</w:t>
            </w:r>
          </w:p>
        </w:tc>
        <w:tc>
          <w:tcPr>
            <w:tcW w:w="5920" w:type="dxa"/>
            <w:vAlign w:val="bottom"/>
            <w:tcBorders>
              <w:bottom w:val="single" w:sz="8" w:color="B2B2B2"/>
            </w:tcBorders>
          </w:tcPr>
          <w:p>
            <w:pPr>
              <w:ind w:left="1060"/>
              <w:spacing w:after="0"/>
              <w:rPr>
                <w:sz w:val="20"/>
                <w:szCs w:val="20"/>
                <w:color w:val="auto"/>
              </w:rPr>
            </w:pPr>
            <w:r>
              <w:rPr>
                <w:rFonts w:ascii="Arial" w:cs="Arial" w:eastAsia="Arial" w:hAnsi="Arial"/>
                <w:sz w:val="14"/>
                <w:szCs w:val="14"/>
                <w:color w:val="auto"/>
              </w:rPr>
              <w:t>HSSE</w:t>
            </w:r>
          </w:p>
        </w:tc>
      </w:tr>
      <w:tr>
        <w:trPr>
          <w:trHeight w:val="195"/>
        </w:trPr>
        <w:tc>
          <w:tcPr>
            <w:tcW w:w="42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Regulatory Risk</w:t>
            </w:r>
          </w:p>
        </w:tc>
        <w:tc>
          <w:tcPr>
            <w:tcW w:w="5920" w:type="dxa"/>
            <w:vAlign w:val="bottom"/>
            <w:tcBorders>
              <w:bottom w:val="single" w:sz="8" w:color="B2B2B2"/>
            </w:tcBorders>
          </w:tcPr>
          <w:p>
            <w:pPr>
              <w:ind w:left="1060"/>
              <w:spacing w:after="0"/>
              <w:rPr>
                <w:sz w:val="20"/>
                <w:szCs w:val="20"/>
                <w:color w:val="auto"/>
              </w:rPr>
            </w:pPr>
            <w:r>
              <w:rPr>
                <w:rFonts w:ascii="Arial" w:cs="Arial" w:eastAsia="Arial" w:hAnsi="Arial"/>
                <w:sz w:val="14"/>
                <w:szCs w:val="14"/>
                <w:color w:val="auto"/>
              </w:rPr>
              <w:t>Board</w:t>
            </w:r>
          </w:p>
        </w:tc>
      </w:tr>
      <w:tr>
        <w:trPr>
          <w:trHeight w:val="195"/>
        </w:trPr>
        <w:tc>
          <w:tcPr>
            <w:tcW w:w="42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Access to capital at a competitive cost</w:t>
            </w:r>
          </w:p>
        </w:tc>
        <w:tc>
          <w:tcPr>
            <w:tcW w:w="5920" w:type="dxa"/>
            <w:vAlign w:val="bottom"/>
            <w:tcBorders>
              <w:bottom w:val="single" w:sz="8" w:color="B2B2B2"/>
            </w:tcBorders>
          </w:tcPr>
          <w:p>
            <w:pPr>
              <w:ind w:left="1060"/>
              <w:spacing w:after="0"/>
              <w:rPr>
                <w:sz w:val="20"/>
                <w:szCs w:val="20"/>
                <w:color w:val="auto"/>
              </w:rPr>
            </w:pPr>
            <w:r>
              <w:rPr>
                <w:rFonts w:ascii="Arial" w:cs="Arial" w:eastAsia="Arial" w:hAnsi="Arial"/>
                <w:sz w:val="14"/>
                <w:szCs w:val="14"/>
                <w:color w:val="auto"/>
              </w:rPr>
              <w:t>Audit/Board</w:t>
            </w:r>
          </w:p>
        </w:tc>
      </w:tr>
      <w:tr>
        <w:trPr>
          <w:trHeight w:val="195"/>
        </w:trPr>
        <w:tc>
          <w:tcPr>
            <w:tcW w:w="42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Capital Allocation</w:t>
            </w:r>
          </w:p>
        </w:tc>
        <w:tc>
          <w:tcPr>
            <w:tcW w:w="5920" w:type="dxa"/>
            <w:vAlign w:val="bottom"/>
            <w:tcBorders>
              <w:bottom w:val="single" w:sz="8" w:color="B2B2B2"/>
            </w:tcBorders>
          </w:tcPr>
          <w:p>
            <w:pPr>
              <w:ind w:left="1060"/>
              <w:spacing w:after="0"/>
              <w:rPr>
                <w:sz w:val="20"/>
                <w:szCs w:val="20"/>
                <w:color w:val="auto"/>
              </w:rPr>
            </w:pPr>
            <w:r>
              <w:rPr>
                <w:rFonts w:ascii="Arial" w:cs="Arial" w:eastAsia="Arial" w:hAnsi="Arial"/>
                <w:sz w:val="14"/>
                <w:szCs w:val="14"/>
                <w:color w:val="auto"/>
              </w:rPr>
              <w:t>Board</w:t>
            </w:r>
          </w:p>
        </w:tc>
      </w:tr>
      <w:tr>
        <w:trPr>
          <w:trHeight w:val="195"/>
        </w:trPr>
        <w:tc>
          <w:tcPr>
            <w:tcW w:w="42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Capital Recovery Risk</w:t>
            </w:r>
          </w:p>
        </w:tc>
        <w:tc>
          <w:tcPr>
            <w:tcW w:w="5920" w:type="dxa"/>
            <w:vAlign w:val="bottom"/>
            <w:tcBorders>
              <w:bottom w:val="single" w:sz="8" w:color="B2B2B2"/>
            </w:tcBorders>
          </w:tcPr>
          <w:p>
            <w:pPr>
              <w:ind w:left="1060"/>
              <w:spacing w:after="0"/>
              <w:rPr>
                <w:sz w:val="20"/>
                <w:szCs w:val="20"/>
                <w:color w:val="auto"/>
              </w:rPr>
            </w:pPr>
            <w:r>
              <w:rPr>
                <w:rFonts w:ascii="Arial" w:cs="Arial" w:eastAsia="Arial" w:hAnsi="Arial"/>
                <w:sz w:val="14"/>
                <w:szCs w:val="14"/>
                <w:color w:val="auto"/>
              </w:rPr>
              <w:t>Board</w:t>
            </w:r>
          </w:p>
        </w:tc>
      </w:tr>
      <w:tr>
        <w:trPr>
          <w:trHeight w:val="195"/>
        </w:trPr>
        <w:tc>
          <w:tcPr>
            <w:tcW w:w="42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Project Execution</w:t>
            </w:r>
          </w:p>
        </w:tc>
        <w:tc>
          <w:tcPr>
            <w:tcW w:w="5920" w:type="dxa"/>
            <w:vAlign w:val="bottom"/>
            <w:tcBorders>
              <w:bottom w:val="single" w:sz="8" w:color="B2B2B2"/>
            </w:tcBorders>
          </w:tcPr>
          <w:p>
            <w:pPr>
              <w:ind w:left="1060"/>
              <w:spacing w:after="0"/>
              <w:rPr>
                <w:sz w:val="20"/>
                <w:szCs w:val="20"/>
                <w:color w:val="auto"/>
              </w:rPr>
            </w:pPr>
            <w:r>
              <w:rPr>
                <w:rFonts w:ascii="Arial" w:cs="Arial" w:eastAsia="Arial" w:hAnsi="Arial"/>
                <w:sz w:val="14"/>
                <w:szCs w:val="14"/>
                <w:color w:val="auto"/>
              </w:rPr>
              <w:t>HSSE/Board</w:t>
            </w:r>
          </w:p>
        </w:tc>
      </w:tr>
      <w:tr>
        <w:trPr>
          <w:trHeight w:val="195"/>
        </w:trPr>
        <w:tc>
          <w:tcPr>
            <w:tcW w:w="42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Talent Risk</w:t>
            </w:r>
          </w:p>
        </w:tc>
        <w:tc>
          <w:tcPr>
            <w:tcW w:w="5920" w:type="dxa"/>
            <w:vAlign w:val="bottom"/>
            <w:tcBorders>
              <w:bottom w:val="single" w:sz="8" w:color="B2B2B2"/>
            </w:tcBorders>
          </w:tcPr>
          <w:p>
            <w:pPr>
              <w:ind w:left="1060"/>
              <w:spacing w:after="0"/>
              <w:rPr>
                <w:sz w:val="20"/>
                <w:szCs w:val="20"/>
                <w:color w:val="auto"/>
              </w:rPr>
            </w:pPr>
            <w:r>
              <w:rPr>
                <w:rFonts w:ascii="Arial" w:cs="Arial" w:eastAsia="Arial" w:hAnsi="Arial"/>
                <w:sz w:val="14"/>
                <w:szCs w:val="14"/>
                <w:color w:val="auto"/>
              </w:rPr>
              <w:t>Human Resources</w:t>
            </w:r>
          </w:p>
        </w:tc>
      </w:tr>
      <w:tr>
        <w:trPr>
          <w:trHeight w:val="195"/>
        </w:trPr>
        <w:tc>
          <w:tcPr>
            <w:tcW w:w="420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Enterprise Security (Physical and Cyber security)</w:t>
            </w:r>
          </w:p>
        </w:tc>
        <w:tc>
          <w:tcPr>
            <w:tcW w:w="5920" w:type="dxa"/>
            <w:vAlign w:val="bottom"/>
            <w:tcBorders>
              <w:bottom w:val="single" w:sz="8" w:color="0D64EF"/>
            </w:tcBorders>
          </w:tcPr>
          <w:p>
            <w:pPr>
              <w:ind w:left="1060"/>
              <w:spacing w:after="0"/>
              <w:rPr>
                <w:sz w:val="20"/>
                <w:szCs w:val="20"/>
                <w:color w:val="auto"/>
              </w:rPr>
            </w:pPr>
            <w:r>
              <w:rPr>
                <w:rFonts w:ascii="Arial" w:cs="Arial" w:eastAsia="Arial" w:hAnsi="Arial"/>
                <w:sz w:val="14"/>
                <w:szCs w:val="14"/>
                <w:color w:val="auto"/>
              </w:rPr>
              <w:t>Audit/HSSE</w:t>
            </w:r>
          </w:p>
        </w:tc>
      </w:tr>
    </w:tbl>
    <w:p>
      <w:pPr>
        <w:spacing w:after="0" w:line="174" w:lineRule="exact"/>
        <w:rPr>
          <w:sz w:val="20"/>
          <w:szCs w:val="20"/>
          <w:color w:val="auto"/>
        </w:rPr>
      </w:pPr>
    </w:p>
    <w:p>
      <w:pPr>
        <w:ind w:right="160"/>
        <w:spacing w:after="0" w:line="354" w:lineRule="auto"/>
        <w:rPr>
          <w:sz w:val="20"/>
          <w:szCs w:val="20"/>
          <w:color w:val="auto"/>
        </w:rPr>
      </w:pPr>
      <w:r>
        <w:rPr>
          <w:rFonts w:ascii="Arial" w:cs="Arial" w:eastAsia="Arial" w:hAnsi="Arial"/>
          <w:sz w:val="16"/>
          <w:szCs w:val="16"/>
          <w:color w:val="auto"/>
        </w:rPr>
        <w:t>In addition, all projects and opportunities recommended by management to the Board for approval include specific descriptions of the associated risks. The risk discussion associated with each project forms a part of the Board’s determination of whether to approve projects or pursue opportunities.</w:t>
      </w:r>
    </w:p>
    <w:p>
      <w:pPr>
        <w:spacing w:after="0" w:line="22" w:lineRule="exact"/>
        <w:rPr>
          <w:sz w:val="20"/>
          <w:szCs w:val="20"/>
          <w:color w:val="auto"/>
        </w:rPr>
      </w:pPr>
    </w:p>
    <w:p>
      <w:pPr>
        <w:ind w:right="240"/>
        <w:spacing w:after="0" w:line="354" w:lineRule="auto"/>
        <w:rPr>
          <w:sz w:val="20"/>
          <w:szCs w:val="20"/>
          <w:color w:val="auto"/>
        </w:rPr>
      </w:pPr>
      <w:r>
        <w:rPr>
          <w:rFonts w:ascii="Arial" w:cs="Arial" w:eastAsia="Arial" w:hAnsi="Arial"/>
          <w:sz w:val="16"/>
          <w:szCs w:val="16"/>
          <w:color w:val="auto"/>
        </w:rPr>
        <w:t>Our process ensures that the Board is fully informed of the interrelationship between the business environment and its associated risks, and is intended to facilitate and stimulate discussion of our key business risks.</w:t>
      </w:r>
    </w:p>
    <w:p>
      <w:pPr>
        <w:spacing w:after="0" w:line="22"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Our AIF and Annual Report include more information about the risks applicable to TC Energy. The 2025 AIF and the 2025 Annual Report are available on our website (www.tcenergy.com) and on SEDAR+ (www.sedarplus.ca).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Information security/cyber security programs</w:t>
      </w:r>
    </w:p>
    <w:p>
      <w:pPr>
        <w:spacing w:after="0" w:line="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TC Energy maintains an enterprise security program, reporting to our Chief Security Officer, covering cyber and physical security reporting. Our program is based on standards, assurance, risk management and prevention and mitigation activities, including compliance with requirements and best practices under the Transportation Security Administration, Canada Energy Regulator (CER), North American Electric Reliability Corporation and National Institute of Standards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Technology.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Our cyber and physical security risk preventative efforts include deploying security technology, defining secure</w:t>
      </w:r>
    </w:p>
    <w:p>
      <w:pPr>
        <w:spacing w:after="0" w:line="44" w:lineRule="exact"/>
        <w:rPr>
          <w:sz w:val="20"/>
          <w:szCs w:val="20"/>
          <w:color w:val="auto"/>
        </w:rPr>
      </w:pPr>
    </w:p>
    <w:p>
      <w:pPr>
        <w:ind w:right="80"/>
        <w:spacing w:after="0" w:line="337" w:lineRule="auto"/>
        <w:rPr>
          <w:sz w:val="20"/>
          <w:szCs w:val="20"/>
          <w:color w:val="auto"/>
        </w:rPr>
      </w:pPr>
      <w:r>
        <w:rPr>
          <w:rFonts w:ascii="Arial" w:cs="Arial" w:eastAsia="Arial" w:hAnsi="Arial"/>
          <w:sz w:val="16"/>
          <w:szCs w:val="16"/>
          <w:color w:val="auto"/>
        </w:rPr>
        <w:t>processes, enhanced security measures for high-risk staff or facilities, and cyber and physical security awareness programs. Our mitigative activities include proactive monitoring for and responding to potential security incidents.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00"/>
          </w:cols>
          <w:pgMar w:left="320" w:top="1039" w:right="37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cyber related security program includes the following key components: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60" w:type="dxa"/>
            <w:vAlign w:val="bottom"/>
            <w:tcBorders>
              <w:top w:val="single" w:sz="8" w:color="0D64EF"/>
            </w:tcBorders>
          </w:tcPr>
          <w:p>
            <w:pPr>
              <w:ind w:left="20"/>
              <w:spacing w:after="0"/>
              <w:rPr>
                <w:sz w:val="20"/>
                <w:szCs w:val="20"/>
                <w:color w:val="auto"/>
              </w:rPr>
            </w:pPr>
            <w:r>
              <w:rPr>
                <w:rFonts w:ascii="Arial" w:cs="Arial" w:eastAsia="Arial" w:hAnsi="Arial"/>
                <w:sz w:val="14"/>
                <w:szCs w:val="14"/>
                <w:b w:val="1"/>
                <w:bCs w:val="1"/>
                <w:color w:val="auto"/>
              </w:rPr>
              <w:t>Training and policies</w:t>
            </w:r>
          </w:p>
        </w:tc>
        <w:tc>
          <w:tcPr>
            <w:tcW w:w="7060" w:type="dxa"/>
            <w:vAlign w:val="bottom"/>
            <w:tcBorders>
              <w:top w:val="single" w:sz="8" w:color="0D64EF"/>
            </w:tcBorders>
          </w:tcPr>
          <w:p>
            <w:pPr>
              <w:ind w:left="260"/>
              <w:spacing w:after="0"/>
              <w:rPr>
                <w:sz w:val="20"/>
                <w:szCs w:val="20"/>
                <w:color w:val="auto"/>
              </w:rPr>
            </w:pPr>
            <w:r>
              <w:rPr>
                <w:rFonts w:ascii="Arial" w:cs="Arial" w:eastAsia="Arial" w:hAnsi="Arial"/>
                <w:sz w:val="14"/>
                <w:szCs w:val="14"/>
                <w:color w:val="auto"/>
              </w:rPr>
              <w:t>All employees and contractors are required to complete mandatory cyber security awareness training</w:t>
            </w:r>
          </w:p>
        </w:tc>
      </w:tr>
      <w:tr>
        <w:trPr>
          <w:trHeight w:val="161"/>
        </w:trPr>
        <w:tc>
          <w:tcPr>
            <w:tcW w:w="2860" w:type="dxa"/>
            <w:vAlign w:val="bottom"/>
          </w:tcPr>
          <w:p>
            <w:pPr>
              <w:spacing w:after="0"/>
              <w:rPr>
                <w:sz w:val="14"/>
                <w:szCs w:val="14"/>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annually. This training covers identifying and reporting cyber security related incidents and threats, such as</w:t>
            </w:r>
          </w:p>
        </w:tc>
      </w:tr>
      <w:tr>
        <w:trPr>
          <w:trHeight w:val="175"/>
        </w:trPr>
        <w:tc>
          <w:tcPr>
            <w:tcW w:w="2860" w:type="dxa"/>
            <w:vAlign w:val="bottom"/>
          </w:tcPr>
          <w:p>
            <w:pPr>
              <w:spacing w:after="0"/>
              <w:rPr>
                <w:sz w:val="15"/>
                <w:szCs w:val="15"/>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suspicious emails. Enterprise Security promotes awareness using safety moments, company-wide</w:t>
            </w:r>
          </w:p>
        </w:tc>
      </w:tr>
      <w:tr>
        <w:trPr>
          <w:trHeight w:val="190"/>
        </w:trPr>
        <w:tc>
          <w:tcPr>
            <w:tcW w:w="2860" w:type="dxa"/>
            <w:vAlign w:val="bottom"/>
          </w:tcPr>
          <w:p>
            <w:pPr>
              <w:spacing w:after="0"/>
              <w:rPr>
                <w:sz w:val="16"/>
                <w:szCs w:val="16"/>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communications and periodic presentations across the organization.</w:t>
            </w:r>
          </w:p>
        </w:tc>
      </w:tr>
      <w:tr>
        <w:trPr>
          <w:trHeight w:val="254"/>
        </w:trPr>
        <w:tc>
          <w:tcPr>
            <w:tcW w:w="2860" w:type="dxa"/>
            <w:vAlign w:val="bottom"/>
          </w:tcPr>
          <w:p>
            <w:pPr>
              <w:spacing w:after="0"/>
              <w:rPr>
                <w:sz w:val="22"/>
                <w:szCs w:val="22"/>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TC Energy also maintains Acceptable Use and Cyber Security Policies designed to ensure the safe,</w:t>
            </w:r>
          </w:p>
        </w:tc>
      </w:tr>
      <w:tr>
        <w:trPr>
          <w:trHeight w:val="175"/>
        </w:trPr>
        <w:tc>
          <w:tcPr>
            <w:tcW w:w="2860" w:type="dxa"/>
            <w:vAlign w:val="bottom"/>
          </w:tcPr>
          <w:p>
            <w:pPr>
              <w:spacing w:after="0"/>
              <w:rPr>
                <w:sz w:val="15"/>
                <w:szCs w:val="15"/>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reliable, and confidential usage of TC Energy’s digital assets. These policies outline TC Energy’s required</w:t>
            </w:r>
          </w:p>
        </w:tc>
      </w:tr>
      <w:tr>
        <w:trPr>
          <w:trHeight w:val="190"/>
        </w:trPr>
        <w:tc>
          <w:tcPr>
            <w:tcW w:w="2860" w:type="dxa"/>
            <w:vAlign w:val="bottom"/>
          </w:tcPr>
          <w:p>
            <w:pPr>
              <w:spacing w:after="0"/>
              <w:rPr>
                <w:sz w:val="16"/>
                <w:szCs w:val="16"/>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cyber security standards and reporting regimes for safeguarding TC Energy’s digital assets.</w:t>
            </w:r>
          </w:p>
        </w:tc>
      </w:tr>
      <w:tr>
        <w:trPr>
          <w:trHeight w:val="254"/>
        </w:trPr>
        <w:tc>
          <w:tcPr>
            <w:tcW w:w="2860" w:type="dxa"/>
            <w:vAlign w:val="bottom"/>
          </w:tcPr>
          <w:p>
            <w:pPr>
              <w:spacing w:after="0"/>
              <w:rPr>
                <w:sz w:val="22"/>
                <w:szCs w:val="22"/>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In order to protect confidential information, the Code was recently amended to include provisions</w:t>
            </w:r>
          </w:p>
        </w:tc>
      </w:tr>
      <w:tr>
        <w:trPr>
          <w:trHeight w:val="161"/>
        </w:trPr>
        <w:tc>
          <w:tcPr>
            <w:tcW w:w="2860" w:type="dxa"/>
            <w:vAlign w:val="bottom"/>
          </w:tcPr>
          <w:p>
            <w:pPr>
              <w:spacing w:after="0"/>
              <w:rPr>
                <w:sz w:val="14"/>
                <w:szCs w:val="14"/>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prohibiting the transmission and storage of TC Energy’s confidential information on non-approved</w:t>
            </w:r>
          </w:p>
        </w:tc>
      </w:tr>
      <w:tr>
        <w:trPr>
          <w:trHeight w:val="190"/>
        </w:trPr>
        <w:tc>
          <w:tcPr>
            <w:tcW w:w="2860" w:type="dxa"/>
            <w:vAlign w:val="bottom"/>
          </w:tcPr>
          <w:p>
            <w:pPr>
              <w:spacing w:after="0"/>
              <w:rPr>
                <w:sz w:val="16"/>
                <w:szCs w:val="16"/>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generative artificial intelligence (AI) programs.</w:t>
            </w:r>
          </w:p>
        </w:tc>
      </w:tr>
      <w:tr>
        <w:trPr>
          <w:trHeight w:val="129"/>
        </w:trPr>
        <w:tc>
          <w:tcPr>
            <w:tcW w:w="2860" w:type="dxa"/>
            <w:vAlign w:val="bottom"/>
            <w:tcBorders>
              <w:bottom w:val="single" w:sz="8" w:color="B2B2B2"/>
            </w:tcBorders>
          </w:tcPr>
          <w:p>
            <w:pPr>
              <w:spacing w:after="0"/>
              <w:rPr>
                <w:sz w:val="11"/>
                <w:szCs w:val="11"/>
                <w:color w:val="auto"/>
              </w:rPr>
            </w:pPr>
          </w:p>
        </w:tc>
        <w:tc>
          <w:tcPr>
            <w:tcW w:w="7060" w:type="dxa"/>
            <w:vAlign w:val="bottom"/>
            <w:tcBorders>
              <w:bottom w:val="single" w:sz="8" w:color="B2B2B2"/>
            </w:tcBorders>
          </w:tcPr>
          <w:p>
            <w:pPr>
              <w:spacing w:after="0"/>
              <w:rPr>
                <w:sz w:val="11"/>
                <w:szCs w:val="1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Monitoring, response and mitigation</w:t>
            </w:r>
          </w:p>
        </w:tc>
        <w:tc>
          <w:tcPr>
            <w:tcW w:w="7060" w:type="dxa"/>
            <w:vAlign w:val="bottom"/>
          </w:tcPr>
          <w:p>
            <w:pPr>
              <w:ind w:left="260"/>
              <w:spacing w:after="0"/>
              <w:rPr>
                <w:sz w:val="20"/>
                <w:szCs w:val="20"/>
                <w:color w:val="auto"/>
              </w:rPr>
            </w:pPr>
            <w:r>
              <w:rPr>
                <w:rFonts w:ascii="Arial" w:cs="Arial" w:eastAsia="Arial" w:hAnsi="Arial"/>
                <w:sz w:val="14"/>
                <w:szCs w:val="14"/>
                <w:color w:val="auto"/>
              </w:rPr>
              <w:t>TC Energy continuously monitors our networks for threats to the organization and maintains</w:t>
            </w:r>
          </w:p>
        </w:tc>
      </w:tr>
      <w:tr>
        <w:trPr>
          <w:trHeight w:val="161"/>
        </w:trPr>
        <w:tc>
          <w:tcPr>
            <w:tcW w:w="2860" w:type="dxa"/>
            <w:vAlign w:val="bottom"/>
          </w:tcPr>
          <w:p>
            <w:pPr>
              <w:spacing w:after="0"/>
              <w:rPr>
                <w:sz w:val="14"/>
                <w:szCs w:val="14"/>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comprehensive incident response plans/processes to respond to the detection of cyber security incidents,</w:t>
            </w:r>
          </w:p>
        </w:tc>
      </w:tr>
      <w:tr>
        <w:trPr>
          <w:trHeight w:val="175"/>
        </w:trPr>
        <w:tc>
          <w:tcPr>
            <w:tcW w:w="2860" w:type="dxa"/>
            <w:vAlign w:val="bottom"/>
          </w:tcPr>
          <w:p>
            <w:pPr>
              <w:spacing w:after="0"/>
              <w:rPr>
                <w:sz w:val="15"/>
                <w:szCs w:val="15"/>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including information security breaches. We also collaborate with government security agencies, law</w:t>
            </w:r>
          </w:p>
        </w:tc>
      </w:tr>
      <w:tr>
        <w:trPr>
          <w:trHeight w:val="190"/>
        </w:trPr>
        <w:tc>
          <w:tcPr>
            <w:tcW w:w="2860" w:type="dxa"/>
            <w:vAlign w:val="bottom"/>
          </w:tcPr>
          <w:p>
            <w:pPr>
              <w:spacing w:after="0"/>
              <w:rPr>
                <w:sz w:val="16"/>
                <w:szCs w:val="16"/>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enforcement and industry to stay informed on evolving threats.</w:t>
            </w:r>
          </w:p>
        </w:tc>
      </w:tr>
      <w:tr>
        <w:trPr>
          <w:trHeight w:val="254"/>
        </w:trPr>
        <w:tc>
          <w:tcPr>
            <w:tcW w:w="2860" w:type="dxa"/>
            <w:vAlign w:val="bottom"/>
          </w:tcPr>
          <w:p>
            <w:pPr>
              <w:spacing w:after="0"/>
              <w:rPr>
                <w:sz w:val="22"/>
                <w:szCs w:val="22"/>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TC Energy regularly tests incident response plans to manage and mitigate the impact of potential security</w:t>
            </w:r>
          </w:p>
        </w:tc>
      </w:tr>
      <w:tr>
        <w:trPr>
          <w:trHeight w:val="190"/>
        </w:trPr>
        <w:tc>
          <w:tcPr>
            <w:tcW w:w="2860" w:type="dxa"/>
            <w:vAlign w:val="bottom"/>
          </w:tcPr>
          <w:p>
            <w:pPr>
              <w:spacing w:after="0"/>
              <w:rPr>
                <w:sz w:val="16"/>
                <w:szCs w:val="16"/>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incidents, such as cyberattacks.</w:t>
            </w:r>
          </w:p>
        </w:tc>
      </w:tr>
      <w:tr>
        <w:trPr>
          <w:trHeight w:val="115"/>
        </w:trPr>
        <w:tc>
          <w:tcPr>
            <w:tcW w:w="2860" w:type="dxa"/>
            <w:vAlign w:val="bottom"/>
            <w:tcBorders>
              <w:bottom w:val="single" w:sz="8" w:color="B2B2B2"/>
            </w:tcBorders>
          </w:tcPr>
          <w:p>
            <w:pPr>
              <w:spacing w:after="0"/>
              <w:rPr>
                <w:sz w:val="10"/>
                <w:szCs w:val="10"/>
                <w:color w:val="auto"/>
              </w:rPr>
            </w:pPr>
          </w:p>
        </w:tc>
        <w:tc>
          <w:tcPr>
            <w:tcW w:w="7060" w:type="dxa"/>
            <w:vAlign w:val="bottom"/>
            <w:tcBorders>
              <w:bottom w:val="single" w:sz="8" w:color="B2B2B2"/>
            </w:tcBorders>
          </w:tcPr>
          <w:p>
            <w:pPr>
              <w:spacing w:after="0"/>
              <w:rPr>
                <w:sz w:val="10"/>
                <w:szCs w:val="10"/>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External assessments/security audits</w:t>
            </w:r>
          </w:p>
        </w:tc>
        <w:tc>
          <w:tcPr>
            <w:tcW w:w="7060" w:type="dxa"/>
            <w:vAlign w:val="bottom"/>
          </w:tcPr>
          <w:p>
            <w:pPr>
              <w:ind w:left="260"/>
              <w:spacing w:after="0"/>
              <w:rPr>
                <w:sz w:val="20"/>
                <w:szCs w:val="20"/>
                <w:color w:val="auto"/>
              </w:rPr>
            </w:pPr>
            <w:r>
              <w:rPr>
                <w:rFonts w:ascii="Arial" w:cs="Arial" w:eastAsia="Arial" w:hAnsi="Arial"/>
                <w:sz w:val="14"/>
                <w:szCs w:val="14"/>
                <w:color w:val="auto"/>
              </w:rPr>
              <w:t>TC Energy engages third parties to conduct regular external assessments, audits and cyber security</w:t>
            </w:r>
          </w:p>
        </w:tc>
      </w:tr>
      <w:tr>
        <w:trPr>
          <w:trHeight w:val="190"/>
        </w:trPr>
        <w:tc>
          <w:tcPr>
            <w:tcW w:w="2860" w:type="dxa"/>
            <w:vAlign w:val="bottom"/>
          </w:tcPr>
          <w:p>
            <w:pPr>
              <w:spacing w:after="0"/>
              <w:rPr>
                <w:sz w:val="16"/>
                <w:szCs w:val="16"/>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exercises (for example, penetration tests and red team exercises).</w:t>
            </w:r>
          </w:p>
        </w:tc>
      </w:tr>
      <w:tr>
        <w:trPr>
          <w:trHeight w:val="115"/>
        </w:trPr>
        <w:tc>
          <w:tcPr>
            <w:tcW w:w="2860" w:type="dxa"/>
            <w:vAlign w:val="bottom"/>
            <w:tcBorders>
              <w:bottom w:val="single" w:sz="8" w:color="B2B2B2"/>
            </w:tcBorders>
          </w:tcPr>
          <w:p>
            <w:pPr>
              <w:spacing w:after="0"/>
              <w:rPr>
                <w:sz w:val="10"/>
                <w:szCs w:val="10"/>
                <w:color w:val="auto"/>
              </w:rPr>
            </w:pPr>
          </w:p>
        </w:tc>
        <w:tc>
          <w:tcPr>
            <w:tcW w:w="7060" w:type="dxa"/>
            <w:vAlign w:val="bottom"/>
            <w:tcBorders>
              <w:bottom w:val="single" w:sz="8" w:color="B2B2B2"/>
            </w:tcBorders>
          </w:tcPr>
          <w:p>
            <w:pPr>
              <w:spacing w:after="0"/>
              <w:rPr>
                <w:sz w:val="10"/>
                <w:szCs w:val="10"/>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Insurance</w:t>
            </w:r>
          </w:p>
        </w:tc>
        <w:tc>
          <w:tcPr>
            <w:tcW w:w="7060" w:type="dxa"/>
            <w:vAlign w:val="bottom"/>
          </w:tcPr>
          <w:p>
            <w:pPr>
              <w:ind w:left="260"/>
              <w:spacing w:after="0"/>
              <w:rPr>
                <w:sz w:val="20"/>
                <w:szCs w:val="20"/>
                <w:color w:val="auto"/>
              </w:rPr>
            </w:pPr>
            <w:r>
              <w:rPr>
                <w:rFonts w:ascii="Arial" w:cs="Arial" w:eastAsia="Arial" w:hAnsi="Arial"/>
                <w:sz w:val="14"/>
                <w:szCs w:val="14"/>
                <w:color w:val="auto"/>
              </w:rPr>
              <w:t>TC Energy maintains a comprehensive insurance program that includes policies that would respond to</w:t>
            </w:r>
          </w:p>
        </w:tc>
      </w:tr>
      <w:tr>
        <w:trPr>
          <w:trHeight w:val="161"/>
        </w:trPr>
        <w:tc>
          <w:tcPr>
            <w:tcW w:w="2860" w:type="dxa"/>
            <w:vAlign w:val="bottom"/>
          </w:tcPr>
          <w:p>
            <w:pPr>
              <w:spacing w:after="0"/>
              <w:rPr>
                <w:sz w:val="14"/>
                <w:szCs w:val="14"/>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physical loss or damage to assets and/or third-party property damage or bodily harm that result from a</w:t>
            </w:r>
          </w:p>
        </w:tc>
      </w:tr>
      <w:tr>
        <w:trPr>
          <w:trHeight w:val="190"/>
        </w:trPr>
        <w:tc>
          <w:tcPr>
            <w:tcW w:w="2860" w:type="dxa"/>
            <w:vAlign w:val="bottom"/>
          </w:tcPr>
          <w:p>
            <w:pPr>
              <w:spacing w:after="0"/>
              <w:rPr>
                <w:sz w:val="16"/>
                <w:szCs w:val="16"/>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cyber incident.</w:t>
            </w:r>
          </w:p>
        </w:tc>
      </w:tr>
      <w:tr>
        <w:trPr>
          <w:trHeight w:val="129"/>
        </w:trPr>
        <w:tc>
          <w:tcPr>
            <w:tcW w:w="2860" w:type="dxa"/>
            <w:vAlign w:val="bottom"/>
            <w:tcBorders>
              <w:bottom w:val="single" w:sz="8" w:color="B2B2B2"/>
            </w:tcBorders>
          </w:tcPr>
          <w:p>
            <w:pPr>
              <w:spacing w:after="0"/>
              <w:rPr>
                <w:sz w:val="11"/>
                <w:szCs w:val="11"/>
                <w:color w:val="auto"/>
              </w:rPr>
            </w:pPr>
          </w:p>
        </w:tc>
        <w:tc>
          <w:tcPr>
            <w:tcW w:w="7060" w:type="dxa"/>
            <w:vAlign w:val="bottom"/>
            <w:tcBorders>
              <w:bottom w:val="single" w:sz="8" w:color="B2B2B2"/>
            </w:tcBorders>
          </w:tcPr>
          <w:p>
            <w:pPr>
              <w:spacing w:after="0"/>
              <w:rPr>
                <w:sz w:val="11"/>
                <w:szCs w:val="1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Governance and risk management</w:t>
            </w:r>
          </w:p>
        </w:tc>
        <w:tc>
          <w:tcPr>
            <w:tcW w:w="7060" w:type="dxa"/>
            <w:vAlign w:val="bottom"/>
          </w:tcPr>
          <w:p>
            <w:pPr>
              <w:ind w:left="260"/>
              <w:spacing w:after="0"/>
              <w:rPr>
                <w:sz w:val="20"/>
                <w:szCs w:val="20"/>
                <w:color w:val="auto"/>
              </w:rPr>
            </w:pPr>
            <w:r>
              <w:rPr>
                <w:rFonts w:ascii="Arial" w:cs="Arial" w:eastAsia="Arial" w:hAnsi="Arial"/>
                <w:sz w:val="14"/>
                <w:szCs w:val="14"/>
                <w:color w:val="auto"/>
              </w:rPr>
              <w:t>Our cyber security strategy is regularly reviewed and updated, and the status of our cyber security</w:t>
            </w:r>
          </w:p>
        </w:tc>
      </w:tr>
      <w:tr>
        <w:trPr>
          <w:trHeight w:val="161"/>
        </w:trPr>
        <w:tc>
          <w:tcPr>
            <w:tcW w:w="2860" w:type="dxa"/>
            <w:vAlign w:val="bottom"/>
          </w:tcPr>
          <w:p>
            <w:pPr>
              <w:spacing w:after="0"/>
              <w:rPr>
                <w:sz w:val="14"/>
                <w:szCs w:val="14"/>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program, through reports on the enterprise security program, is reported to the Audit Committee on a</w:t>
            </w:r>
          </w:p>
        </w:tc>
      </w:tr>
      <w:tr>
        <w:trPr>
          <w:trHeight w:val="190"/>
        </w:trPr>
        <w:tc>
          <w:tcPr>
            <w:tcW w:w="2860" w:type="dxa"/>
            <w:vAlign w:val="bottom"/>
          </w:tcPr>
          <w:p>
            <w:pPr>
              <w:spacing w:after="0"/>
              <w:rPr>
                <w:sz w:val="16"/>
                <w:szCs w:val="16"/>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quarterly basis. The Audit Committee maintains oversight over cyber security risks.</w:t>
            </w:r>
          </w:p>
        </w:tc>
      </w:tr>
      <w:tr>
        <w:trPr>
          <w:trHeight w:val="254"/>
        </w:trPr>
        <w:tc>
          <w:tcPr>
            <w:tcW w:w="2860" w:type="dxa"/>
            <w:vAlign w:val="bottom"/>
          </w:tcPr>
          <w:p>
            <w:pPr>
              <w:spacing w:after="0"/>
              <w:rPr>
                <w:sz w:val="22"/>
                <w:szCs w:val="22"/>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Reports on cyber security are also received by both senior management and the Board as part of our</w:t>
            </w:r>
          </w:p>
        </w:tc>
      </w:tr>
      <w:tr>
        <w:trPr>
          <w:trHeight w:val="190"/>
        </w:trPr>
        <w:tc>
          <w:tcPr>
            <w:tcW w:w="2860" w:type="dxa"/>
            <w:vAlign w:val="bottom"/>
          </w:tcPr>
          <w:p>
            <w:pPr>
              <w:spacing w:after="0"/>
              <w:rPr>
                <w:sz w:val="16"/>
                <w:szCs w:val="16"/>
                <w:color w:val="auto"/>
              </w:rPr>
            </w:pPr>
          </w:p>
        </w:tc>
        <w:tc>
          <w:tcPr>
            <w:tcW w:w="7060" w:type="dxa"/>
            <w:vAlign w:val="bottom"/>
          </w:tcPr>
          <w:p>
            <w:pPr>
              <w:ind w:left="260"/>
              <w:spacing w:after="0"/>
              <w:rPr>
                <w:sz w:val="20"/>
                <w:szCs w:val="20"/>
                <w:color w:val="auto"/>
              </w:rPr>
            </w:pPr>
            <w:r>
              <w:rPr>
                <w:rFonts w:ascii="Arial" w:cs="Arial" w:eastAsia="Arial" w:hAnsi="Arial"/>
                <w:sz w:val="14"/>
                <w:szCs w:val="14"/>
                <w:color w:val="auto"/>
              </w:rPr>
              <w:t>enterprise risk management program.</w:t>
            </w:r>
          </w:p>
        </w:tc>
      </w:tr>
      <w:tr>
        <w:trPr>
          <w:trHeight w:val="115"/>
        </w:trPr>
        <w:tc>
          <w:tcPr>
            <w:tcW w:w="2860" w:type="dxa"/>
            <w:vAlign w:val="bottom"/>
            <w:tcBorders>
              <w:bottom w:val="single" w:sz="8" w:color="0D64EF"/>
            </w:tcBorders>
          </w:tcPr>
          <w:p>
            <w:pPr>
              <w:spacing w:after="0"/>
              <w:rPr>
                <w:sz w:val="10"/>
                <w:szCs w:val="10"/>
                <w:color w:val="auto"/>
              </w:rPr>
            </w:pPr>
          </w:p>
        </w:tc>
        <w:tc>
          <w:tcPr>
            <w:tcW w:w="7060" w:type="dxa"/>
            <w:vAlign w:val="bottom"/>
            <w:tcBorders>
              <w:bottom w:val="single" w:sz="8" w:color="0D64EF"/>
            </w:tcBorders>
          </w:tcPr>
          <w:p>
            <w:pPr>
              <w:spacing w:after="0"/>
              <w:rPr>
                <w:sz w:val="10"/>
                <w:szCs w:val="10"/>
                <w:color w:val="auto"/>
              </w:rPr>
            </w:pPr>
          </w:p>
        </w:tc>
      </w:tr>
    </w:tbl>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Members of the Board also periodically attend cyber and physical security related training seminars. In 2024, TC Energy hosted a cybersecurity education session for the Board covering topics such as TC Energy's cyber security strategy, threat trends, national security, phishing and email defences and detection and response overviews. In 2025, TC Energy presented a Technology Showcase to the Board which included its Threat, Response, Analysis and Communication Centre (TRAC).</w:t>
      </w:r>
    </w:p>
    <w:p>
      <w:pPr>
        <w:spacing w:after="0" w:line="1"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 xml:space="preserve">This presentation highlighted how TRAC enhances field safety through 24/7 monitoring and response. For more information on the Board's education programs, please refer to </w:t>
      </w:r>
      <w:r>
        <w:rPr>
          <w:rFonts w:ascii="Arial" w:cs="Arial" w:eastAsia="Arial" w:hAnsi="Arial"/>
          <w:sz w:val="16"/>
          <w:szCs w:val="16"/>
          <w:i w:val="1"/>
          <w:iCs w:val="1"/>
          <w:color w:val="auto"/>
        </w:rPr>
        <w:t>Orientation and Education - 2025 Director Education Program</w:t>
      </w:r>
      <w:r>
        <w:rPr>
          <w:rFonts w:ascii="Arial" w:cs="Arial" w:eastAsia="Arial" w:hAnsi="Arial"/>
          <w:sz w:val="16"/>
          <w:szCs w:val="16"/>
          <w:color w:val="auto"/>
        </w:rPr>
        <w:t xml:space="preserve">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pages 52 and 53.</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TC Energy has not experienced a material information security breach in the last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45</w:t>
      </w:r>
    </w:p>
    <w:p>
      <w:pPr>
        <w:sectPr>
          <w:pgSz w:w="11900" w:h="16838" w:orient="portrait"/>
          <w:cols w:equalWidth="0" w:num="1">
            <w:col w:w="11240"/>
          </w:cols>
          <w:pgMar w:left="320" w:top="103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Artificial Intelligence Risk Management</w:t>
      </w:r>
    </w:p>
    <w:p>
      <w:pPr>
        <w:spacing w:after="0" w:line="5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Over the past year, TC Energy has continued to advance and formalize its approach to artificial intelligence (AI) risk management, reflecting both the growing importance of AI technologies in our business and the evolving regulatory</w:t>
      </w:r>
    </w:p>
    <w:p>
      <w:pPr>
        <w:spacing w:after="0" w:line="1" w:lineRule="exact"/>
        <w:rPr>
          <w:sz w:val="20"/>
          <w:szCs w:val="20"/>
          <w:color w:val="auto"/>
        </w:rPr>
      </w:pPr>
    </w:p>
    <w:p>
      <w:pPr>
        <w:ind w:right="2300"/>
        <w:spacing w:after="0" w:line="354" w:lineRule="auto"/>
        <w:rPr>
          <w:sz w:val="20"/>
          <w:szCs w:val="20"/>
          <w:color w:val="auto"/>
        </w:rPr>
      </w:pPr>
      <w:r>
        <w:rPr>
          <w:rFonts w:ascii="Arial" w:cs="Arial" w:eastAsia="Arial" w:hAnsi="Arial"/>
          <w:sz w:val="16"/>
          <w:szCs w:val="16"/>
          <w:color w:val="auto"/>
        </w:rPr>
        <w:t>and stakeholder landscape. As part of this process, TC Energy has established a robust AI Governance Framework providing a structured, enterprise-wide approach to managing AI risk and ensuring responsible adoption.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Our framework includes:</w:t>
      </w:r>
    </w:p>
    <w:p>
      <w:pPr>
        <w:spacing w:after="0" w:line="152" w:lineRule="exact"/>
        <w:rPr>
          <w:sz w:val="20"/>
          <w:szCs w:val="20"/>
          <w:color w:val="auto"/>
        </w:rPr>
      </w:pPr>
    </w:p>
    <w:p>
      <w:pPr>
        <w:ind w:left="160" w:right="420" w:hanging="153"/>
        <w:spacing w:after="0" w:line="326" w:lineRule="auto"/>
        <w:tabs>
          <w:tab w:leader="none" w:pos="136"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Internal Review Processes: </w:t>
      </w:r>
      <w:r>
        <w:rPr>
          <w:rFonts w:ascii="Arial" w:cs="Arial" w:eastAsia="Arial" w:hAnsi="Arial"/>
          <w:sz w:val="16"/>
          <w:szCs w:val="16"/>
          <w:color w:val="auto"/>
        </w:rPr>
        <w:t>TC Energy has implemented a robust internal review process for adoption of all AI solutions, which includes risk,</w:t>
      </w:r>
      <w:r>
        <w:rPr>
          <w:rFonts w:ascii="Arial" w:cs="Arial" w:eastAsia="Arial" w:hAnsi="Arial"/>
          <w:sz w:val="16"/>
          <w:szCs w:val="16"/>
          <w:b w:val="1"/>
          <w:bCs w:val="1"/>
          <w:color w:val="auto"/>
        </w:rPr>
        <w:t xml:space="preserve"> </w:t>
      </w:r>
      <w:r>
        <w:rPr>
          <w:rFonts w:ascii="Arial" w:cs="Arial" w:eastAsia="Arial" w:hAnsi="Arial"/>
          <w:sz w:val="16"/>
          <w:szCs w:val="16"/>
          <w:color w:val="auto"/>
        </w:rPr>
        <w:t>cybersecurity, compliance, privacy and data governance assessments, including specific risk based assessments to determine whether an AI solution meets TC Energy's responsible AI principles and whether any risk mitigation plans are required.</w:t>
      </w:r>
    </w:p>
    <w:p>
      <w:pPr>
        <w:spacing w:after="0" w:line="43" w:lineRule="exact"/>
        <w:rPr>
          <w:rFonts w:ascii="Arial" w:cs="Arial" w:eastAsia="Arial" w:hAnsi="Arial"/>
          <w:sz w:val="16"/>
          <w:szCs w:val="16"/>
          <w:b w:val="1"/>
          <w:bCs w:val="1"/>
          <w:color w:val="auto"/>
        </w:rPr>
      </w:pPr>
    </w:p>
    <w:p>
      <w:pPr>
        <w:jc w:val="both"/>
        <w:ind w:left="160" w:right="160" w:hanging="153"/>
        <w:spacing w:after="0" w:line="326" w:lineRule="auto"/>
        <w:tabs>
          <w:tab w:leader="none" w:pos="136"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Reporting and Oversight: </w:t>
      </w:r>
      <w:r>
        <w:rPr>
          <w:rFonts w:ascii="Arial" w:cs="Arial" w:eastAsia="Arial" w:hAnsi="Arial"/>
          <w:sz w:val="16"/>
          <w:szCs w:val="16"/>
          <w:color w:val="auto"/>
        </w:rPr>
        <w:t>TC Energy has formalized a reporting process on AI integration to senior management, executive leadership and the Board in</w:t>
      </w:r>
      <w:r>
        <w:rPr>
          <w:rFonts w:ascii="Arial" w:cs="Arial" w:eastAsia="Arial" w:hAnsi="Arial"/>
          <w:sz w:val="16"/>
          <w:szCs w:val="16"/>
          <w:b w:val="1"/>
          <w:bCs w:val="1"/>
          <w:color w:val="auto"/>
        </w:rPr>
        <w:t xml:space="preserve"> </w:t>
      </w:r>
      <w:r>
        <w:rPr>
          <w:rFonts w:ascii="Arial" w:cs="Arial" w:eastAsia="Arial" w:hAnsi="Arial"/>
          <w:sz w:val="16"/>
          <w:szCs w:val="16"/>
          <w:color w:val="auto"/>
        </w:rPr>
        <w:t>order to ensure strategic oversight and independent review of AI risk. Senior management receives regular reports on TC Energy's progress regarding AI integration and adoption.</w:t>
      </w:r>
    </w:p>
    <w:p>
      <w:pPr>
        <w:spacing w:after="0" w:line="56" w:lineRule="exact"/>
        <w:rPr>
          <w:rFonts w:ascii="Arial" w:cs="Arial" w:eastAsia="Arial" w:hAnsi="Arial"/>
          <w:sz w:val="16"/>
          <w:szCs w:val="16"/>
          <w:color w:val="auto"/>
        </w:rPr>
      </w:pPr>
    </w:p>
    <w:p>
      <w:pPr>
        <w:ind w:left="160" w:hanging="153"/>
        <w:spacing w:after="0" w:line="303" w:lineRule="auto"/>
        <w:tabs>
          <w:tab w:leader="none" w:pos="136"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Formalized AI Policy: </w:t>
      </w:r>
      <w:r>
        <w:rPr>
          <w:rFonts w:ascii="Arial" w:cs="Arial" w:eastAsia="Arial" w:hAnsi="Arial"/>
          <w:sz w:val="16"/>
          <w:szCs w:val="16"/>
          <w:color w:val="auto"/>
        </w:rPr>
        <w:t>We have adopted a comprehensive Artificial Intelligence Policy, which sets out clear expectations and requirements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trustworthy, ethical, and responsible development and use of AI solutions across the organization. It includes restrictions on use of non-approved third party AI software, as well as reporting mechanisms</w:t>
      </w:r>
    </w:p>
    <w:p>
      <w:pPr>
        <w:spacing w:after="0" w:line="1"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for non-compliance.</w:t>
      </w:r>
    </w:p>
    <w:p>
      <w:pPr>
        <w:spacing w:after="0" w:line="138" w:lineRule="exact"/>
        <w:rPr>
          <w:rFonts w:ascii="Arial" w:cs="Arial" w:eastAsia="Arial" w:hAnsi="Arial"/>
          <w:sz w:val="16"/>
          <w:szCs w:val="16"/>
          <w:color w:val="auto"/>
        </w:rPr>
      </w:pPr>
    </w:p>
    <w:p>
      <w:pPr>
        <w:ind w:left="160" w:right="220" w:hanging="153"/>
        <w:spacing w:after="0" w:line="326" w:lineRule="auto"/>
        <w:tabs>
          <w:tab w:leader="none" w:pos="136"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Education: </w:t>
      </w:r>
      <w:r>
        <w:rPr>
          <w:rFonts w:ascii="Arial" w:cs="Arial" w:eastAsia="Arial" w:hAnsi="Arial"/>
          <w:sz w:val="16"/>
          <w:szCs w:val="16"/>
          <w:color w:val="auto"/>
        </w:rPr>
        <w:t>As part of AI integration within TC Energy, we launched an AI Learning Hub and training programs to ensure that employees and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 their responsibilities under the AI Policy and are equipped to use AI solutions responsibly. In 2025, TC Energy also delivered AI foundations training to its executives and the Board, ensuring that leadership is well-versed in the fundamentals of AI, its opportunities, and its associated risks.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 we recognize that AI can impact many facets of the company, the Board of Directors maintains ultimate oversight of</w:t>
      </w:r>
    </w:p>
    <w:p>
      <w:pPr>
        <w:spacing w:after="0" w:line="44" w:lineRule="exact"/>
        <w:rPr>
          <w:sz w:val="20"/>
          <w:szCs w:val="20"/>
          <w:color w:val="auto"/>
        </w:rPr>
      </w:pPr>
    </w:p>
    <w:p>
      <w:pPr>
        <w:ind w:right="300"/>
        <w:spacing w:after="0" w:line="354" w:lineRule="auto"/>
        <w:rPr>
          <w:sz w:val="20"/>
          <w:szCs w:val="20"/>
          <w:color w:val="auto"/>
        </w:rPr>
      </w:pPr>
      <w:r>
        <w:rPr>
          <w:rFonts w:ascii="Arial" w:cs="Arial" w:eastAsia="Arial" w:hAnsi="Arial"/>
          <w:sz w:val="16"/>
          <w:szCs w:val="16"/>
          <w:color w:val="auto"/>
        </w:rPr>
        <w:t>TC Energy’s AI strategy, risk management, and implementation. The Board receives updates on AI risk and governance effectiveness. At least one Board member brings direct experience in AI and technology governance, further strengthening oversight capabilities.</w:t>
      </w:r>
    </w:p>
    <w:p>
      <w:pPr>
        <w:spacing w:after="0" w:line="22" w:lineRule="exact"/>
        <w:rPr>
          <w:sz w:val="20"/>
          <w:szCs w:val="20"/>
          <w:color w:val="auto"/>
        </w:rPr>
      </w:pPr>
    </w:p>
    <w:p>
      <w:pPr>
        <w:ind w:right="100"/>
        <w:spacing w:after="0" w:line="326" w:lineRule="auto"/>
        <w:rPr>
          <w:sz w:val="20"/>
          <w:szCs w:val="20"/>
          <w:color w:val="auto"/>
        </w:rPr>
      </w:pPr>
      <w:r>
        <w:rPr>
          <w:rFonts w:ascii="Arial" w:cs="Arial" w:eastAsia="Arial" w:hAnsi="Arial"/>
          <w:sz w:val="16"/>
          <w:szCs w:val="16"/>
          <w:color w:val="auto"/>
        </w:rPr>
        <w:t>With the rapid evolution of AI capabilities and regulatory expectations, TC Energy remains committed to continuous improvement of its AI governance and risk management practices. TC Energy will continue to refine our policies, standards, and processes to ensure that AI-specific risks are proactively managed and that the adoption of AI technologies delivers value in a safe, ethical, and responsible manner.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3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0D64EF"/>
        </w:rPr>
        <w:t>Committee responsibilities</w:t>
      </w:r>
    </w:p>
    <w:p>
      <w:pPr>
        <w:spacing w:after="0" w:line="40"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The various standing Board committees are also involved in risk oversight in their respective areas to ensure a robust risk management process with appropriate expertise, attention and diligence given to each key business risk. The chart below includes the risk focus area of each Committee, and information on each risk focus area. The Committees receive updates regularly from management on these areas, and update the Board on their risk oversight activities regularly. In addition</w:t>
      </w:r>
    </w:p>
    <w:p>
      <w:pPr>
        <w:spacing w:after="0" w:line="2" w:lineRule="exact"/>
        <w:rPr>
          <w:sz w:val="20"/>
          <w:szCs w:val="20"/>
          <w:color w:val="auto"/>
        </w:rPr>
      </w:pPr>
    </w:p>
    <w:p>
      <w:pPr>
        <w:ind w:right="160"/>
        <w:spacing w:after="0" w:line="337" w:lineRule="auto"/>
        <w:rPr>
          <w:sz w:val="20"/>
          <w:szCs w:val="20"/>
          <w:color w:val="auto"/>
        </w:rPr>
      </w:pPr>
      <w:r>
        <w:rPr>
          <w:rFonts w:ascii="Arial" w:cs="Arial" w:eastAsia="Arial" w:hAnsi="Arial"/>
          <w:sz w:val="16"/>
          <w:szCs w:val="16"/>
          <w:color w:val="auto"/>
        </w:rPr>
        <w:t>to its specific focus area, each Committee maintains an overall awareness of risk management for TC Energy, and includes other issues in its reports to the Board as appropriate.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Committee</w:t>
            </w:r>
          </w:p>
        </w:tc>
        <w:tc>
          <w:tcPr>
            <w:tcW w:w="2260" w:type="dxa"/>
            <w:vAlign w:val="bottom"/>
            <w:tcBorders>
              <w:top w:val="single" w:sz="8" w:color="0D64EF"/>
              <w:bottom w:val="single" w:sz="8" w:color="0D64EF"/>
            </w:tcBorders>
            <w:shd w:val="clear" w:color="auto" w:fill="D1D0CF"/>
          </w:tcPr>
          <w:p>
            <w:pPr>
              <w:ind w:left="100"/>
              <w:spacing w:after="0"/>
              <w:rPr>
                <w:sz w:val="20"/>
                <w:szCs w:val="20"/>
                <w:color w:val="auto"/>
              </w:rPr>
            </w:pPr>
            <w:r>
              <w:rPr>
                <w:rFonts w:ascii="Arial" w:cs="Arial" w:eastAsia="Arial" w:hAnsi="Arial"/>
                <w:sz w:val="14"/>
                <w:szCs w:val="14"/>
                <w:b w:val="1"/>
                <w:bCs w:val="1"/>
                <w:color w:val="auto"/>
              </w:rPr>
              <w:t>Risk focus</w:t>
            </w:r>
          </w:p>
        </w:tc>
        <w:tc>
          <w:tcPr>
            <w:tcW w:w="6360" w:type="dxa"/>
            <w:vAlign w:val="bottom"/>
            <w:tcBorders>
              <w:top w:val="single" w:sz="8" w:color="0D64EF"/>
              <w:bottom w:val="single" w:sz="8" w:color="0D64EF"/>
            </w:tcBorders>
            <w:shd w:val="clear" w:color="auto" w:fill="D1D0CF"/>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340" w:type="dxa"/>
            <w:vAlign w:val="bottom"/>
          </w:tcPr>
          <w:p>
            <w:pPr>
              <w:ind w:left="20"/>
              <w:spacing w:after="0"/>
              <w:rPr>
                <w:sz w:val="20"/>
                <w:szCs w:val="20"/>
                <w:color w:val="auto"/>
              </w:rPr>
            </w:pPr>
            <w:r>
              <w:rPr>
                <w:rFonts w:ascii="Arial" w:cs="Arial" w:eastAsia="Arial" w:hAnsi="Arial"/>
                <w:sz w:val="14"/>
                <w:szCs w:val="14"/>
                <w:color w:val="auto"/>
              </w:rPr>
              <w:t>Audit</w:t>
            </w:r>
          </w:p>
        </w:tc>
        <w:tc>
          <w:tcPr>
            <w:tcW w:w="2260" w:type="dxa"/>
            <w:vAlign w:val="bottom"/>
          </w:tcPr>
          <w:p>
            <w:pPr>
              <w:ind w:left="100"/>
              <w:spacing w:after="0"/>
              <w:rPr>
                <w:sz w:val="20"/>
                <w:szCs w:val="20"/>
                <w:color w:val="auto"/>
              </w:rPr>
            </w:pPr>
            <w:r>
              <w:rPr>
                <w:rFonts w:ascii="Arial" w:cs="Arial" w:eastAsia="Arial" w:hAnsi="Arial"/>
                <w:sz w:val="14"/>
                <w:szCs w:val="14"/>
                <w:color w:val="auto"/>
              </w:rPr>
              <w:t>Financial and</w:t>
            </w:r>
          </w:p>
        </w:tc>
        <w:tc>
          <w:tcPr>
            <w:tcW w:w="6360" w:type="dxa"/>
            <w:vAlign w:val="bottom"/>
          </w:tcPr>
          <w:p>
            <w:pPr>
              <w:ind w:left="100"/>
              <w:spacing w:after="0"/>
              <w:rPr>
                <w:sz w:val="20"/>
                <w:szCs w:val="20"/>
                <w:color w:val="auto"/>
              </w:rPr>
            </w:pPr>
            <w:r>
              <w:rPr>
                <w:rFonts w:ascii="Arial" w:cs="Arial" w:eastAsia="Arial" w:hAnsi="Arial"/>
                <w:sz w:val="14"/>
                <w:szCs w:val="14"/>
                <w:color w:val="auto"/>
              </w:rPr>
              <w:t>Oversees management’s role in monitoring compliance with financial risk management policies</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rPr>
              <w:t>cyber security risk</w:t>
            </w:r>
          </w:p>
        </w:tc>
        <w:tc>
          <w:tcPr>
            <w:tcW w:w="6360" w:type="dxa"/>
            <w:vAlign w:val="bottom"/>
          </w:tcPr>
          <w:p>
            <w:pPr>
              <w:ind w:left="100"/>
              <w:spacing w:after="0"/>
              <w:rPr>
                <w:sz w:val="20"/>
                <w:szCs w:val="20"/>
                <w:color w:val="auto"/>
              </w:rPr>
            </w:pPr>
            <w:r>
              <w:rPr>
                <w:rFonts w:ascii="Arial" w:cs="Arial" w:eastAsia="Arial" w:hAnsi="Arial"/>
                <w:sz w:val="14"/>
                <w:szCs w:val="14"/>
                <w:color w:val="auto"/>
              </w:rPr>
              <w:t>and procedures and reviewing the adequacy of our financial risk management.</w:t>
            </w:r>
          </w:p>
        </w:tc>
        <w:tc>
          <w:tcPr>
            <w:tcW w:w="0" w:type="dxa"/>
            <w:vAlign w:val="bottom"/>
          </w:tcPr>
          <w:p>
            <w:pPr>
              <w:spacing w:after="0"/>
              <w:rPr>
                <w:sz w:val="1"/>
                <w:szCs w:val="1"/>
                <w:color w:val="auto"/>
              </w:rPr>
            </w:pPr>
          </w:p>
        </w:tc>
      </w:tr>
      <w:tr>
        <w:trPr>
          <w:trHeight w:val="255"/>
        </w:trPr>
        <w:tc>
          <w:tcPr>
            <w:tcW w:w="13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Ensures that:</w:t>
            </w:r>
          </w:p>
        </w:tc>
        <w:tc>
          <w:tcPr>
            <w:tcW w:w="0" w:type="dxa"/>
            <w:vAlign w:val="bottom"/>
          </w:tcPr>
          <w:p>
            <w:pPr>
              <w:spacing w:after="0"/>
              <w:rPr>
                <w:sz w:val="1"/>
                <w:szCs w:val="1"/>
                <w:color w:val="auto"/>
              </w:rPr>
            </w:pPr>
          </w:p>
        </w:tc>
      </w:tr>
      <w:tr>
        <w:trPr>
          <w:trHeight w:val="240"/>
        </w:trPr>
        <w:tc>
          <w:tcPr>
            <w:tcW w:w="1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 our financial risk management strategies, policies and limits are designed to ensure our risks</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360" w:type="dxa"/>
            <w:vAlign w:val="bottom"/>
          </w:tcPr>
          <w:p>
            <w:pPr>
              <w:ind w:left="260"/>
              <w:spacing w:after="0"/>
              <w:rPr>
                <w:sz w:val="20"/>
                <w:szCs w:val="20"/>
                <w:color w:val="auto"/>
              </w:rPr>
            </w:pPr>
            <w:r>
              <w:rPr>
                <w:rFonts w:ascii="Arial" w:cs="Arial" w:eastAsia="Arial" w:hAnsi="Arial"/>
                <w:sz w:val="14"/>
                <w:szCs w:val="14"/>
                <w:color w:val="auto"/>
              </w:rPr>
              <w:t>and related exposures are in line with our business objectives and risk tolerance, and</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 risks are managed within limits that are ultimately established by the Board, implemented by</w:t>
            </w: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360" w:type="dxa"/>
            <w:vAlign w:val="bottom"/>
          </w:tcPr>
          <w:p>
            <w:pPr>
              <w:ind w:left="260"/>
              <w:spacing w:after="0"/>
              <w:rPr>
                <w:sz w:val="20"/>
                <w:szCs w:val="20"/>
                <w:color w:val="auto"/>
              </w:rPr>
            </w:pPr>
            <w:r>
              <w:rPr>
                <w:rFonts w:ascii="Arial" w:cs="Arial" w:eastAsia="Arial" w:hAnsi="Arial"/>
                <w:sz w:val="14"/>
                <w:szCs w:val="14"/>
                <w:color w:val="auto"/>
              </w:rPr>
              <w:t>senior management and monitored by our risk management and internal audit groups.</w:t>
            </w:r>
          </w:p>
        </w:tc>
        <w:tc>
          <w:tcPr>
            <w:tcW w:w="0" w:type="dxa"/>
            <w:vAlign w:val="bottom"/>
          </w:tcPr>
          <w:p>
            <w:pPr>
              <w:spacing w:after="0"/>
              <w:rPr>
                <w:sz w:val="1"/>
                <w:szCs w:val="1"/>
                <w:color w:val="auto"/>
              </w:rPr>
            </w:pPr>
          </w:p>
        </w:tc>
      </w:tr>
      <w:tr>
        <w:trPr>
          <w:trHeight w:val="269"/>
        </w:trPr>
        <w:tc>
          <w:tcPr>
            <w:tcW w:w="13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Oversees cyber security and its related risks to TC Energy.</w:t>
            </w:r>
          </w:p>
        </w:tc>
        <w:tc>
          <w:tcPr>
            <w:tcW w:w="0" w:type="dxa"/>
            <w:vAlign w:val="bottom"/>
          </w:tcPr>
          <w:p>
            <w:pPr>
              <w:spacing w:after="0"/>
              <w:rPr>
                <w:sz w:val="1"/>
                <w:szCs w:val="1"/>
                <w:color w:val="auto"/>
              </w:rPr>
            </w:pPr>
          </w:p>
        </w:tc>
      </w:tr>
      <w:tr>
        <w:trPr>
          <w:trHeight w:val="115"/>
        </w:trPr>
        <w:tc>
          <w:tcPr>
            <w:tcW w:w="1340" w:type="dxa"/>
            <w:vAlign w:val="bottom"/>
            <w:tcBorders>
              <w:bottom w:val="single" w:sz="8" w:color="B2B2B2"/>
            </w:tcBorders>
          </w:tcPr>
          <w:p>
            <w:pPr>
              <w:spacing w:after="0"/>
              <w:rPr>
                <w:sz w:val="10"/>
                <w:szCs w:val="10"/>
                <w:color w:val="auto"/>
              </w:rPr>
            </w:pPr>
          </w:p>
        </w:tc>
        <w:tc>
          <w:tcPr>
            <w:tcW w:w="2260" w:type="dxa"/>
            <w:vAlign w:val="bottom"/>
            <w:tcBorders>
              <w:bottom w:val="single" w:sz="8" w:color="B2B2B2"/>
            </w:tcBorders>
          </w:tcPr>
          <w:p>
            <w:pPr>
              <w:spacing w:after="0"/>
              <w:rPr>
                <w:sz w:val="10"/>
                <w:szCs w:val="10"/>
                <w:color w:val="auto"/>
              </w:rPr>
            </w:pPr>
          </w:p>
        </w:tc>
        <w:tc>
          <w:tcPr>
            <w:tcW w:w="6360" w:type="dxa"/>
            <w:vAlign w:val="bottom"/>
            <w:tcBorders>
              <w:bottom w:val="single" w:sz="8" w:color="B2B2B2"/>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340" w:type="dxa"/>
            <w:vAlign w:val="bottom"/>
          </w:tcPr>
          <w:p>
            <w:pPr>
              <w:ind w:left="20"/>
              <w:spacing w:after="0"/>
              <w:rPr>
                <w:sz w:val="20"/>
                <w:szCs w:val="20"/>
                <w:color w:val="auto"/>
              </w:rPr>
            </w:pPr>
            <w:r>
              <w:rPr>
                <w:rFonts w:ascii="Arial" w:cs="Arial" w:eastAsia="Arial" w:hAnsi="Arial"/>
                <w:sz w:val="14"/>
                <w:szCs w:val="14"/>
                <w:color w:val="auto"/>
              </w:rPr>
              <w:t>Governance</w:t>
            </w:r>
          </w:p>
        </w:tc>
        <w:tc>
          <w:tcPr>
            <w:tcW w:w="2260" w:type="dxa"/>
            <w:vAlign w:val="bottom"/>
          </w:tcPr>
          <w:p>
            <w:pPr>
              <w:ind w:left="100"/>
              <w:spacing w:after="0"/>
              <w:rPr>
                <w:sz w:val="20"/>
                <w:szCs w:val="20"/>
                <w:color w:val="auto"/>
              </w:rPr>
            </w:pPr>
            <w:r>
              <w:rPr>
                <w:rFonts w:ascii="Arial" w:cs="Arial" w:eastAsia="Arial" w:hAnsi="Arial"/>
                <w:sz w:val="14"/>
                <w:szCs w:val="14"/>
                <w:color w:val="auto"/>
              </w:rPr>
              <w:t>Enterprise risk management</w:t>
            </w:r>
          </w:p>
        </w:tc>
        <w:tc>
          <w:tcPr>
            <w:tcW w:w="6360" w:type="dxa"/>
            <w:vAlign w:val="bottom"/>
          </w:tcPr>
          <w:p>
            <w:pPr>
              <w:ind w:left="100"/>
              <w:spacing w:after="0"/>
              <w:rPr>
                <w:sz w:val="20"/>
                <w:szCs w:val="20"/>
                <w:color w:val="auto"/>
              </w:rPr>
            </w:pPr>
            <w:r>
              <w:rPr>
                <w:rFonts w:ascii="Arial" w:cs="Arial" w:eastAsia="Arial" w:hAnsi="Arial"/>
                <w:sz w:val="14"/>
                <w:szCs w:val="14"/>
                <w:color w:val="auto"/>
              </w:rPr>
              <w:t>Oversees the ERM program and framework and meets with management annually to ensure there</w:t>
            </w: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rPr>
              <w:t>process and management</w:t>
            </w:r>
          </w:p>
        </w:tc>
        <w:tc>
          <w:tcPr>
            <w:tcW w:w="6360" w:type="dxa"/>
            <w:vAlign w:val="bottom"/>
          </w:tcPr>
          <w:p>
            <w:pPr>
              <w:ind w:left="100"/>
              <w:spacing w:after="0"/>
              <w:rPr>
                <w:sz w:val="20"/>
                <w:szCs w:val="20"/>
                <w:color w:val="auto"/>
              </w:rPr>
            </w:pPr>
            <w:r>
              <w:rPr>
                <w:rFonts w:ascii="Arial" w:cs="Arial" w:eastAsia="Arial" w:hAnsi="Arial"/>
                <w:sz w:val="14"/>
                <w:szCs w:val="14"/>
                <w:color w:val="auto"/>
              </w:rPr>
              <w:t>is proper Board and Committee oversight according to the terms of their charters.</w:t>
            </w: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rPr>
              <w:t>allocation of enterprise risks</w:t>
            </w:r>
          </w:p>
        </w:tc>
        <w:tc>
          <w:tcPr>
            <w:tcW w:w="6360" w:type="dxa"/>
            <w:vAlign w:val="bottom"/>
            <w:vMerge w:val="restart"/>
          </w:tcPr>
          <w:p>
            <w:pPr>
              <w:ind w:left="100"/>
              <w:spacing w:after="0"/>
              <w:rPr>
                <w:sz w:val="20"/>
                <w:szCs w:val="20"/>
                <w:color w:val="auto"/>
              </w:rPr>
            </w:pPr>
            <w:r>
              <w:rPr>
                <w:rFonts w:ascii="Arial" w:cs="Arial" w:eastAsia="Arial" w:hAnsi="Arial"/>
                <w:sz w:val="14"/>
                <w:szCs w:val="14"/>
                <w:color w:val="auto"/>
              </w:rPr>
              <w:t>Recommends, along with the respective committee (or executive) assigned responsibility for</w:t>
            </w:r>
          </w:p>
        </w:tc>
        <w:tc>
          <w:tcPr>
            <w:tcW w:w="0" w:type="dxa"/>
            <w:vAlign w:val="bottom"/>
          </w:tcPr>
          <w:p>
            <w:pPr>
              <w:spacing w:after="0"/>
              <w:rPr>
                <w:sz w:val="1"/>
                <w:szCs w:val="1"/>
                <w:color w:val="auto"/>
              </w:rPr>
            </w:pPr>
          </w:p>
        </w:tc>
      </w:tr>
      <w:tr>
        <w:trPr>
          <w:trHeight w:val="79"/>
        </w:trPr>
        <w:tc>
          <w:tcPr>
            <w:tcW w:w="13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specific enterprise risks, any enhancements to the risk management program and policies to</w:t>
            </w: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the Board.</w:t>
            </w:r>
          </w:p>
        </w:tc>
        <w:tc>
          <w:tcPr>
            <w:tcW w:w="0" w:type="dxa"/>
            <w:vAlign w:val="bottom"/>
          </w:tcPr>
          <w:p>
            <w:pPr>
              <w:spacing w:after="0"/>
              <w:rPr>
                <w:sz w:val="1"/>
                <w:szCs w:val="1"/>
                <w:color w:val="auto"/>
              </w:rPr>
            </w:pPr>
          </w:p>
        </w:tc>
      </w:tr>
      <w:tr>
        <w:trPr>
          <w:trHeight w:val="115"/>
        </w:trPr>
        <w:tc>
          <w:tcPr>
            <w:tcW w:w="1340" w:type="dxa"/>
            <w:vAlign w:val="bottom"/>
            <w:tcBorders>
              <w:bottom w:val="single" w:sz="8" w:color="B2B2B2"/>
            </w:tcBorders>
          </w:tcPr>
          <w:p>
            <w:pPr>
              <w:spacing w:after="0"/>
              <w:rPr>
                <w:sz w:val="10"/>
                <w:szCs w:val="10"/>
                <w:color w:val="auto"/>
              </w:rPr>
            </w:pPr>
          </w:p>
        </w:tc>
        <w:tc>
          <w:tcPr>
            <w:tcW w:w="2260" w:type="dxa"/>
            <w:vAlign w:val="bottom"/>
            <w:tcBorders>
              <w:bottom w:val="single" w:sz="8" w:color="B2B2B2"/>
            </w:tcBorders>
          </w:tcPr>
          <w:p>
            <w:pPr>
              <w:spacing w:after="0"/>
              <w:rPr>
                <w:sz w:val="10"/>
                <w:szCs w:val="10"/>
                <w:color w:val="auto"/>
              </w:rPr>
            </w:pPr>
          </w:p>
        </w:tc>
        <w:tc>
          <w:tcPr>
            <w:tcW w:w="6360" w:type="dxa"/>
            <w:vAlign w:val="bottom"/>
            <w:tcBorders>
              <w:bottom w:val="single" w:sz="8" w:color="B2B2B2"/>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340" w:type="dxa"/>
            <w:vAlign w:val="bottom"/>
          </w:tcPr>
          <w:p>
            <w:pPr>
              <w:ind w:left="20"/>
              <w:spacing w:after="0"/>
              <w:rPr>
                <w:sz w:val="20"/>
                <w:szCs w:val="20"/>
                <w:color w:val="auto"/>
              </w:rPr>
            </w:pPr>
            <w:r>
              <w:rPr>
                <w:rFonts w:ascii="Arial" w:cs="Arial" w:eastAsia="Arial" w:hAnsi="Arial"/>
                <w:sz w:val="14"/>
                <w:szCs w:val="14"/>
                <w:color w:val="auto"/>
              </w:rPr>
              <w:t>Health, Safety,</w:t>
            </w:r>
          </w:p>
        </w:tc>
        <w:tc>
          <w:tcPr>
            <w:tcW w:w="2260" w:type="dxa"/>
            <w:vAlign w:val="bottom"/>
          </w:tcPr>
          <w:p>
            <w:pPr>
              <w:ind w:left="100"/>
              <w:spacing w:after="0"/>
              <w:rPr>
                <w:sz w:val="20"/>
                <w:szCs w:val="20"/>
                <w:color w:val="auto"/>
              </w:rPr>
            </w:pPr>
            <w:r>
              <w:rPr>
                <w:rFonts w:ascii="Arial" w:cs="Arial" w:eastAsia="Arial" w:hAnsi="Arial"/>
                <w:sz w:val="14"/>
                <w:szCs w:val="14"/>
                <w:color w:val="auto"/>
              </w:rPr>
              <w:t>Operational risk, major project</w:t>
            </w:r>
          </w:p>
        </w:tc>
        <w:tc>
          <w:tcPr>
            <w:tcW w:w="6360" w:type="dxa"/>
            <w:vAlign w:val="bottom"/>
          </w:tcPr>
          <w:p>
            <w:pPr>
              <w:ind w:left="100"/>
              <w:spacing w:after="0"/>
              <w:rPr>
                <w:sz w:val="20"/>
                <w:szCs w:val="20"/>
                <w:color w:val="auto"/>
              </w:rPr>
            </w:pPr>
            <w:r>
              <w:rPr>
                <w:rFonts w:ascii="Arial" w:cs="Arial" w:eastAsia="Arial" w:hAnsi="Arial"/>
                <w:sz w:val="14"/>
                <w:szCs w:val="14"/>
                <w:color w:val="auto"/>
              </w:rPr>
              <w:t>Monitors compliance with our health, safety, sustainability and environment corporate policies</w:t>
            </w:r>
          </w:p>
        </w:tc>
        <w:tc>
          <w:tcPr>
            <w:tcW w:w="0" w:type="dxa"/>
            <w:vAlign w:val="bottom"/>
          </w:tcPr>
          <w:p>
            <w:pPr>
              <w:spacing w:after="0"/>
              <w:rPr>
                <w:sz w:val="1"/>
                <w:szCs w:val="1"/>
                <w:color w:val="auto"/>
              </w:rPr>
            </w:pPr>
          </w:p>
        </w:tc>
      </w:tr>
      <w:tr>
        <w:trPr>
          <w:trHeight w:val="161"/>
        </w:trPr>
        <w:tc>
          <w:tcPr>
            <w:tcW w:w="1340" w:type="dxa"/>
            <w:vAlign w:val="bottom"/>
          </w:tcPr>
          <w:p>
            <w:pPr>
              <w:ind w:left="20"/>
              <w:spacing w:after="0"/>
              <w:rPr>
                <w:sz w:val="20"/>
                <w:szCs w:val="20"/>
                <w:color w:val="auto"/>
              </w:rPr>
            </w:pPr>
            <w:r>
              <w:rPr>
                <w:rFonts w:ascii="Arial" w:cs="Arial" w:eastAsia="Arial" w:hAnsi="Arial"/>
                <w:sz w:val="14"/>
                <w:szCs w:val="14"/>
                <w:color w:val="auto"/>
              </w:rPr>
              <w:t>Sustainability and</w:t>
            </w:r>
          </w:p>
        </w:tc>
        <w:tc>
          <w:tcPr>
            <w:tcW w:w="2260" w:type="dxa"/>
            <w:vAlign w:val="bottom"/>
          </w:tcPr>
          <w:p>
            <w:pPr>
              <w:ind w:left="100"/>
              <w:spacing w:after="0"/>
              <w:rPr>
                <w:sz w:val="20"/>
                <w:szCs w:val="20"/>
                <w:color w:val="auto"/>
              </w:rPr>
            </w:pPr>
            <w:r>
              <w:rPr>
                <w:rFonts w:ascii="Arial" w:cs="Arial" w:eastAsia="Arial" w:hAnsi="Arial"/>
                <w:sz w:val="14"/>
                <w:szCs w:val="14"/>
                <w:color w:val="auto"/>
              </w:rPr>
              <w:t>execution risk, occupational and</w:t>
            </w:r>
          </w:p>
        </w:tc>
        <w:tc>
          <w:tcPr>
            <w:tcW w:w="6360" w:type="dxa"/>
            <w:vAlign w:val="bottom"/>
          </w:tcPr>
          <w:p>
            <w:pPr>
              <w:ind w:left="100"/>
              <w:spacing w:after="0"/>
              <w:rPr>
                <w:sz w:val="20"/>
                <w:szCs w:val="20"/>
                <w:color w:val="auto"/>
              </w:rPr>
            </w:pPr>
            <w:r>
              <w:rPr>
                <w:rFonts w:ascii="Arial" w:cs="Arial" w:eastAsia="Arial" w:hAnsi="Arial"/>
                <w:sz w:val="14"/>
                <w:szCs w:val="14"/>
                <w:color w:val="auto"/>
              </w:rPr>
              <w:t>through regular reporting from management, within the framework of our integrated HSSE</w:t>
            </w:r>
          </w:p>
        </w:tc>
        <w:tc>
          <w:tcPr>
            <w:tcW w:w="0" w:type="dxa"/>
            <w:vAlign w:val="bottom"/>
          </w:tcPr>
          <w:p>
            <w:pPr>
              <w:spacing w:after="0"/>
              <w:rPr>
                <w:sz w:val="1"/>
                <w:szCs w:val="1"/>
                <w:color w:val="auto"/>
              </w:rPr>
            </w:pPr>
          </w:p>
        </w:tc>
      </w:tr>
      <w:tr>
        <w:trPr>
          <w:trHeight w:val="175"/>
        </w:trPr>
        <w:tc>
          <w:tcPr>
            <w:tcW w:w="1340" w:type="dxa"/>
            <w:vAlign w:val="bottom"/>
          </w:tcPr>
          <w:p>
            <w:pPr>
              <w:ind w:left="20"/>
              <w:spacing w:after="0"/>
              <w:rPr>
                <w:sz w:val="20"/>
                <w:szCs w:val="20"/>
                <w:color w:val="auto"/>
              </w:rPr>
            </w:pPr>
            <w:r>
              <w:rPr>
                <w:rFonts w:ascii="Arial" w:cs="Arial" w:eastAsia="Arial" w:hAnsi="Arial"/>
                <w:sz w:val="14"/>
                <w:szCs w:val="14"/>
                <w:color w:val="auto"/>
              </w:rPr>
              <w:t>Environment</w:t>
            </w:r>
          </w:p>
        </w:tc>
        <w:tc>
          <w:tcPr>
            <w:tcW w:w="2260" w:type="dxa"/>
            <w:vAlign w:val="bottom"/>
          </w:tcPr>
          <w:p>
            <w:pPr>
              <w:ind w:left="100"/>
              <w:spacing w:after="0"/>
              <w:rPr>
                <w:sz w:val="20"/>
                <w:szCs w:val="20"/>
                <w:color w:val="auto"/>
              </w:rPr>
            </w:pPr>
            <w:r>
              <w:rPr>
                <w:rFonts w:ascii="Arial" w:cs="Arial" w:eastAsia="Arial" w:hAnsi="Arial"/>
                <w:sz w:val="14"/>
                <w:szCs w:val="14"/>
                <w:color w:val="auto"/>
              </w:rPr>
              <w:t>process safety, sustainability,</w:t>
            </w:r>
          </w:p>
        </w:tc>
        <w:tc>
          <w:tcPr>
            <w:tcW w:w="6360" w:type="dxa"/>
            <w:vAlign w:val="bottom"/>
          </w:tcPr>
          <w:p>
            <w:pPr>
              <w:ind w:left="100"/>
              <w:spacing w:after="0"/>
              <w:rPr>
                <w:sz w:val="20"/>
                <w:szCs w:val="20"/>
                <w:color w:val="auto"/>
              </w:rPr>
            </w:pPr>
            <w:r>
              <w:rPr>
                <w:rFonts w:ascii="Arial" w:cs="Arial" w:eastAsia="Arial" w:hAnsi="Arial"/>
                <w:sz w:val="14"/>
                <w:szCs w:val="14"/>
                <w:color w:val="auto"/>
              </w:rPr>
              <w:t>management system that is used to capture, organize and document our related policies,</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rPr>
              <w:t>security of personnel,</w:t>
            </w:r>
          </w:p>
        </w:tc>
        <w:tc>
          <w:tcPr>
            <w:tcW w:w="6360" w:type="dxa"/>
            <w:vAlign w:val="bottom"/>
          </w:tcPr>
          <w:p>
            <w:pPr>
              <w:ind w:left="100"/>
              <w:spacing w:after="0"/>
              <w:rPr>
                <w:sz w:val="20"/>
                <w:szCs w:val="20"/>
                <w:color w:val="auto"/>
              </w:rPr>
            </w:pPr>
            <w:r>
              <w:rPr>
                <w:rFonts w:ascii="Arial" w:cs="Arial" w:eastAsia="Arial" w:hAnsi="Arial"/>
                <w:sz w:val="14"/>
                <w:szCs w:val="14"/>
                <w:color w:val="auto"/>
              </w:rPr>
              <w:t>programs and procedures. See the next section for more details.</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rPr>
              <w:t>environmental and climate</w:t>
            </w:r>
          </w:p>
        </w:tc>
        <w:tc>
          <w:tcPr>
            <w:tcW w:w="6360" w:type="dxa"/>
            <w:vAlign w:val="bottom"/>
            <w:vMerge w:val="restart"/>
          </w:tcPr>
          <w:p>
            <w:pPr>
              <w:ind w:left="100"/>
              <w:spacing w:after="0"/>
              <w:rPr>
                <w:sz w:val="20"/>
                <w:szCs w:val="20"/>
                <w:color w:val="auto"/>
              </w:rPr>
            </w:pPr>
            <w:r>
              <w:rPr>
                <w:rFonts w:ascii="Arial" w:cs="Arial" w:eastAsia="Arial" w:hAnsi="Arial"/>
                <w:sz w:val="14"/>
                <w:szCs w:val="14"/>
                <w:color w:val="auto"/>
              </w:rPr>
              <w:t>Monitors risk management for risks related to health, safety, sustainability and environment,</w:t>
            </w:r>
          </w:p>
        </w:tc>
        <w:tc>
          <w:tcPr>
            <w:tcW w:w="0" w:type="dxa"/>
            <w:vAlign w:val="bottom"/>
          </w:tcPr>
          <w:p>
            <w:pPr>
              <w:spacing w:after="0"/>
              <w:rPr>
                <w:sz w:val="1"/>
                <w:szCs w:val="1"/>
                <w:color w:val="auto"/>
              </w:rPr>
            </w:pPr>
          </w:p>
        </w:tc>
      </w:tr>
      <w:tr>
        <w:trPr>
          <w:trHeight w:val="94"/>
        </w:trPr>
        <w:tc>
          <w:tcPr>
            <w:tcW w:w="1340" w:type="dxa"/>
            <w:vAlign w:val="bottom"/>
          </w:tcPr>
          <w:p>
            <w:pPr>
              <w:spacing w:after="0"/>
              <w:rPr>
                <w:sz w:val="8"/>
                <w:szCs w:val="8"/>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change-related risks</w:t>
            </w:r>
          </w:p>
        </w:tc>
        <w:tc>
          <w:tcPr>
            <w:tcW w:w="6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34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6360" w:type="dxa"/>
            <w:vAlign w:val="bottom"/>
            <w:vMerge w:val="restart"/>
          </w:tcPr>
          <w:p>
            <w:pPr>
              <w:ind w:left="100"/>
              <w:spacing w:after="0"/>
              <w:rPr>
                <w:sz w:val="20"/>
                <w:szCs w:val="20"/>
                <w:color w:val="auto"/>
              </w:rPr>
            </w:pPr>
            <w:r>
              <w:rPr>
                <w:rFonts w:ascii="Arial" w:cs="Arial" w:eastAsia="Arial" w:hAnsi="Arial"/>
                <w:sz w:val="14"/>
                <w:szCs w:val="14"/>
                <w:color w:val="auto"/>
              </w:rPr>
              <w:t>including climate change related risks.</w:t>
            </w:r>
          </w:p>
        </w:tc>
        <w:tc>
          <w:tcPr>
            <w:tcW w:w="0" w:type="dxa"/>
            <w:vAlign w:val="bottom"/>
          </w:tcPr>
          <w:p>
            <w:pPr>
              <w:spacing w:after="0"/>
              <w:rPr>
                <w:sz w:val="1"/>
                <w:szCs w:val="1"/>
                <w:color w:val="auto"/>
              </w:rPr>
            </w:pPr>
          </w:p>
        </w:tc>
      </w:tr>
      <w:tr>
        <w:trPr>
          <w:trHeight w:val="94"/>
        </w:trPr>
        <w:tc>
          <w:tcPr>
            <w:tcW w:w="1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3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Outside of formal committee meetings, throughout 2025 the Committee received monthly updates</w:t>
            </w: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on significant and complex capital projects.</w:t>
            </w:r>
          </w:p>
        </w:tc>
        <w:tc>
          <w:tcPr>
            <w:tcW w:w="0" w:type="dxa"/>
            <w:vAlign w:val="bottom"/>
          </w:tcPr>
          <w:p>
            <w:pPr>
              <w:spacing w:after="0"/>
              <w:rPr>
                <w:sz w:val="1"/>
                <w:szCs w:val="1"/>
                <w:color w:val="auto"/>
              </w:rPr>
            </w:pPr>
          </w:p>
        </w:tc>
      </w:tr>
      <w:tr>
        <w:trPr>
          <w:trHeight w:val="115"/>
        </w:trPr>
        <w:tc>
          <w:tcPr>
            <w:tcW w:w="1340" w:type="dxa"/>
            <w:vAlign w:val="bottom"/>
            <w:tcBorders>
              <w:bottom w:val="single" w:sz="8" w:color="B2B2B2"/>
            </w:tcBorders>
          </w:tcPr>
          <w:p>
            <w:pPr>
              <w:spacing w:after="0"/>
              <w:rPr>
                <w:sz w:val="10"/>
                <w:szCs w:val="10"/>
                <w:color w:val="auto"/>
              </w:rPr>
            </w:pPr>
          </w:p>
        </w:tc>
        <w:tc>
          <w:tcPr>
            <w:tcW w:w="2260" w:type="dxa"/>
            <w:vAlign w:val="bottom"/>
            <w:tcBorders>
              <w:bottom w:val="single" w:sz="8" w:color="B2B2B2"/>
            </w:tcBorders>
          </w:tcPr>
          <w:p>
            <w:pPr>
              <w:spacing w:after="0"/>
              <w:rPr>
                <w:sz w:val="10"/>
                <w:szCs w:val="10"/>
                <w:color w:val="auto"/>
              </w:rPr>
            </w:pPr>
          </w:p>
        </w:tc>
        <w:tc>
          <w:tcPr>
            <w:tcW w:w="6360" w:type="dxa"/>
            <w:vAlign w:val="bottom"/>
            <w:tcBorders>
              <w:bottom w:val="single" w:sz="8" w:color="B2B2B2"/>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340" w:type="dxa"/>
            <w:vAlign w:val="bottom"/>
          </w:tcPr>
          <w:p>
            <w:pPr>
              <w:ind w:left="20"/>
              <w:spacing w:after="0" w:line="155" w:lineRule="exact"/>
              <w:rPr>
                <w:sz w:val="20"/>
                <w:szCs w:val="20"/>
                <w:color w:val="auto"/>
              </w:rPr>
            </w:pPr>
            <w:r>
              <w:rPr>
                <w:rFonts w:ascii="Arial" w:cs="Arial" w:eastAsia="Arial" w:hAnsi="Arial"/>
                <w:sz w:val="14"/>
                <w:szCs w:val="14"/>
                <w:color w:val="auto"/>
              </w:rPr>
              <w:t>Human Resources</w:t>
            </w:r>
          </w:p>
        </w:tc>
        <w:tc>
          <w:tcPr>
            <w:tcW w:w="2260" w:type="dxa"/>
            <w:vAlign w:val="bottom"/>
          </w:tcPr>
          <w:p>
            <w:pPr>
              <w:ind w:left="100"/>
              <w:spacing w:after="0" w:line="155" w:lineRule="exact"/>
              <w:rPr>
                <w:sz w:val="20"/>
                <w:szCs w:val="20"/>
                <w:color w:val="auto"/>
              </w:rPr>
            </w:pPr>
            <w:r>
              <w:rPr>
                <w:rFonts w:ascii="Arial" w:cs="Arial" w:eastAsia="Arial" w:hAnsi="Arial"/>
                <w:sz w:val="14"/>
                <w:szCs w:val="14"/>
                <w:color w:val="auto"/>
              </w:rPr>
              <w:t>Human resources and</w:t>
            </w:r>
          </w:p>
        </w:tc>
        <w:tc>
          <w:tcPr>
            <w:tcW w:w="6360" w:type="dxa"/>
            <w:vAlign w:val="bottom"/>
          </w:tcPr>
          <w:p>
            <w:pPr>
              <w:ind w:left="100"/>
              <w:spacing w:after="0" w:line="155" w:lineRule="exact"/>
              <w:rPr>
                <w:sz w:val="20"/>
                <w:szCs w:val="20"/>
                <w:color w:val="auto"/>
              </w:rPr>
            </w:pPr>
            <w:r>
              <w:rPr>
                <w:rFonts w:ascii="Arial" w:cs="Arial" w:eastAsia="Arial" w:hAnsi="Arial"/>
                <w:sz w:val="14"/>
                <w:szCs w:val="14"/>
                <w:color w:val="auto"/>
              </w:rPr>
              <w:t>Oversees the compensation policies and practices to effectively identify and mitigate</w:t>
            </w: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rPr>
              <w:t>compensation risk</w:t>
            </w:r>
          </w:p>
        </w:tc>
        <w:tc>
          <w:tcPr>
            <w:tcW w:w="6360" w:type="dxa"/>
            <w:vAlign w:val="bottom"/>
          </w:tcPr>
          <w:p>
            <w:pPr>
              <w:ind w:left="100"/>
              <w:spacing w:after="0"/>
              <w:rPr>
                <w:sz w:val="20"/>
                <w:szCs w:val="20"/>
                <w:color w:val="auto"/>
              </w:rPr>
            </w:pPr>
            <w:r>
              <w:rPr>
                <w:rFonts w:ascii="Arial" w:cs="Arial" w:eastAsia="Arial" w:hAnsi="Arial"/>
                <w:sz w:val="14"/>
                <w:szCs w:val="14"/>
                <w:color w:val="auto"/>
              </w:rPr>
              <w:t>compensation risks and discourage the CEO, executive vice-presidents or others from taking</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inappropriate or excessive risks and to ensure our compensation policies are not reasonably likely</w:t>
            </w: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to have a material adverse effect on TC Energy.</w:t>
            </w:r>
          </w:p>
        </w:tc>
        <w:tc>
          <w:tcPr>
            <w:tcW w:w="0" w:type="dxa"/>
            <w:vAlign w:val="bottom"/>
          </w:tcPr>
          <w:p>
            <w:pPr>
              <w:spacing w:after="0"/>
              <w:rPr>
                <w:sz w:val="1"/>
                <w:szCs w:val="1"/>
                <w:color w:val="auto"/>
              </w:rPr>
            </w:pPr>
          </w:p>
        </w:tc>
      </w:tr>
      <w:tr>
        <w:trPr>
          <w:trHeight w:val="254"/>
        </w:trPr>
        <w:tc>
          <w:tcPr>
            <w:tcW w:w="13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Compensation Governance</w:t>
            </w:r>
            <w:r>
              <w:rPr>
                <w:rFonts w:ascii="Arial" w:cs="Arial" w:eastAsia="Arial" w:hAnsi="Arial"/>
                <w:sz w:val="14"/>
                <w:szCs w:val="14"/>
                <w:color w:val="auto"/>
              </w:rPr>
              <w:t xml:space="preserve"> starting on page 71 for more information about how we manage</w:t>
            </w: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360" w:type="dxa"/>
            <w:vAlign w:val="bottom"/>
          </w:tcPr>
          <w:p>
            <w:pPr>
              <w:ind w:left="100"/>
              <w:spacing w:after="0"/>
              <w:rPr>
                <w:sz w:val="20"/>
                <w:szCs w:val="20"/>
                <w:color w:val="auto"/>
              </w:rPr>
            </w:pPr>
            <w:r>
              <w:rPr>
                <w:rFonts w:ascii="Arial" w:cs="Arial" w:eastAsia="Arial" w:hAnsi="Arial"/>
                <w:sz w:val="14"/>
                <w:szCs w:val="14"/>
                <w:color w:val="auto"/>
              </w:rPr>
              <w:t>our compensation risk.</w:t>
            </w:r>
          </w:p>
        </w:tc>
        <w:tc>
          <w:tcPr>
            <w:tcW w:w="0" w:type="dxa"/>
            <w:vAlign w:val="bottom"/>
          </w:tcPr>
          <w:p>
            <w:pPr>
              <w:spacing w:after="0"/>
              <w:rPr>
                <w:sz w:val="1"/>
                <w:szCs w:val="1"/>
                <w:color w:val="auto"/>
              </w:rPr>
            </w:pPr>
          </w:p>
        </w:tc>
      </w:tr>
      <w:tr>
        <w:trPr>
          <w:trHeight w:val="115"/>
        </w:trPr>
        <w:tc>
          <w:tcPr>
            <w:tcW w:w="1340" w:type="dxa"/>
            <w:vAlign w:val="bottom"/>
            <w:tcBorders>
              <w:bottom w:val="single" w:sz="8" w:color="0D64EF"/>
            </w:tcBorders>
          </w:tcPr>
          <w:p>
            <w:pPr>
              <w:spacing w:after="0"/>
              <w:rPr>
                <w:sz w:val="10"/>
                <w:szCs w:val="10"/>
                <w:color w:val="auto"/>
              </w:rPr>
            </w:pPr>
          </w:p>
        </w:tc>
        <w:tc>
          <w:tcPr>
            <w:tcW w:w="2260" w:type="dxa"/>
            <w:vAlign w:val="bottom"/>
            <w:tcBorders>
              <w:bottom w:val="single" w:sz="8" w:color="0D64EF"/>
            </w:tcBorders>
          </w:tcPr>
          <w:p>
            <w:pPr>
              <w:spacing w:after="0"/>
              <w:rPr>
                <w:sz w:val="10"/>
                <w:szCs w:val="10"/>
                <w:color w:val="auto"/>
              </w:rPr>
            </w:pPr>
          </w:p>
        </w:tc>
        <w:tc>
          <w:tcPr>
            <w:tcW w:w="6360" w:type="dxa"/>
            <w:vAlign w:val="bottom"/>
            <w:tcBorders>
              <w:bottom w:val="single" w:sz="8" w:color="0D64E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47</w:t>
      </w:r>
    </w:p>
    <w:p>
      <w:pPr>
        <w:sectPr>
          <w:pgSz w:w="11900" w:h="16838" w:orient="portrait"/>
          <w:cols w:equalWidth="0" w:num="1">
            <w:col w:w="11240"/>
          </w:cols>
          <w:pgMar w:left="320" w:top="1061"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HSSE risk management system</w:t>
      </w:r>
    </w:p>
    <w:p>
      <w:pPr>
        <w:spacing w:after="0" w:line="58"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The HSSE Committee of the Board oversees operational risk, major project execution risk, occupational and process safety, sustainability, security of personnel, environmental and climate change-related risks, as well as monitoring development and implementation of systems, programs and policies relating to HSSE matters through regular reporting from management. We use an integrated management system that establishes a framework for managing these risks and is used to capture, organize, document, monitor and improve our related policies, standards and procedures.</w:t>
      </w:r>
    </w:p>
    <w:p>
      <w:pPr>
        <w:spacing w:after="0" w:line="52"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TC Energy's Operational Management System, TOMS, leverages industry best practices and standards and incorporates applicable regulatory requirements. TOMS governs health, safety, environment and operational integrity matters at TC Energy. It is applicable across Canada, the U.S. and Mexico throughout the lifecycle of our assets and employs a continuous improvement cycle. The TOMS framework leverages continuous improvement through an annual management review process. This ensures the ongoing effectiveness of our overarching management system and supports a tiered assurance structure across all business units. The TC Energy assurance model is designed to provide effective management of health, safety, environmental and operational integrity risks. Lessons learned are consistently shared and applied across our system where applicable. Additionally, any findings or insights from periodic audits conducted by our external regulators are also shared across the elements of our management system to ensure continuous improvement.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The HSSE Committee reviews performance and operational risk management. It receives updates and reports on:</w:t>
      </w:r>
    </w:p>
    <w:p>
      <w:pPr>
        <w:spacing w:after="0" w:line="152" w:lineRule="exact"/>
        <w:rPr>
          <w:sz w:val="20"/>
          <w:szCs w:val="20"/>
          <w:color w:val="auto"/>
        </w:rPr>
      </w:pPr>
    </w:p>
    <w:p>
      <w:pPr>
        <w:ind w:left="140" w:hanging="133"/>
        <w:spacing w:after="0"/>
        <w:tabs>
          <w:tab w:leader="none" w:pos="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overall HSSE corporate governance,</w:t>
      </w:r>
    </w:p>
    <w:p>
      <w:pPr>
        <w:spacing w:after="0" w:line="138" w:lineRule="exact"/>
        <w:rPr>
          <w:rFonts w:ascii="Arial" w:cs="Arial" w:eastAsia="Arial" w:hAnsi="Arial"/>
          <w:sz w:val="16"/>
          <w:szCs w:val="16"/>
          <w:color w:val="auto"/>
        </w:rPr>
      </w:pPr>
    </w:p>
    <w:p>
      <w:pPr>
        <w:ind w:left="140" w:hanging="133"/>
        <w:spacing w:after="0"/>
        <w:tabs>
          <w:tab w:leader="none" w:pos="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operational performance,</w:t>
      </w:r>
    </w:p>
    <w:p>
      <w:pPr>
        <w:spacing w:after="0" w:line="151" w:lineRule="exact"/>
        <w:rPr>
          <w:rFonts w:ascii="Arial" w:cs="Arial" w:eastAsia="Arial" w:hAnsi="Arial"/>
          <w:sz w:val="16"/>
          <w:szCs w:val="16"/>
          <w:color w:val="auto"/>
        </w:rPr>
      </w:pPr>
    </w:p>
    <w:p>
      <w:pPr>
        <w:ind w:left="140" w:hanging="133"/>
        <w:spacing w:after="0"/>
        <w:tabs>
          <w:tab w:leader="none" w:pos="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asset integrity,</w:t>
      </w:r>
    </w:p>
    <w:p>
      <w:pPr>
        <w:spacing w:after="0" w:line="151" w:lineRule="exact"/>
        <w:rPr>
          <w:rFonts w:ascii="Arial" w:cs="Arial" w:eastAsia="Arial" w:hAnsi="Arial"/>
          <w:sz w:val="16"/>
          <w:szCs w:val="16"/>
          <w:color w:val="auto"/>
        </w:rPr>
      </w:pPr>
    </w:p>
    <w:p>
      <w:pPr>
        <w:ind w:left="140" w:hanging="133"/>
        <w:spacing w:after="0"/>
        <w:tabs>
          <w:tab w:leader="none" w:pos="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significant occupational safety and process safety incidents,</w:t>
      </w:r>
    </w:p>
    <w:p>
      <w:pPr>
        <w:spacing w:after="0" w:line="138" w:lineRule="exact"/>
        <w:rPr>
          <w:rFonts w:ascii="Arial" w:cs="Arial" w:eastAsia="Arial" w:hAnsi="Arial"/>
          <w:sz w:val="16"/>
          <w:szCs w:val="16"/>
          <w:color w:val="auto"/>
        </w:rPr>
      </w:pPr>
    </w:p>
    <w:p>
      <w:pPr>
        <w:ind w:left="140" w:hanging="133"/>
        <w:spacing w:after="0"/>
        <w:tabs>
          <w:tab w:leader="none" w:pos="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occupational and process safety performance metrics,</w:t>
      </w:r>
    </w:p>
    <w:p>
      <w:pPr>
        <w:spacing w:after="0" w:line="151" w:lineRule="exact"/>
        <w:rPr>
          <w:rFonts w:ascii="Arial" w:cs="Arial" w:eastAsia="Arial" w:hAnsi="Arial"/>
          <w:sz w:val="16"/>
          <w:szCs w:val="16"/>
          <w:color w:val="auto"/>
        </w:rPr>
      </w:pPr>
    </w:p>
    <w:p>
      <w:pPr>
        <w:ind w:left="160" w:right="3660" w:hanging="153"/>
        <w:spacing w:after="0" w:line="337" w:lineRule="auto"/>
        <w:tabs>
          <w:tab w:leader="none" w:pos="136" w:val="left"/>
        </w:tabs>
        <w:numPr>
          <w:ilvl w:val="0"/>
          <w:numId w:val="64"/>
        </w:numPr>
        <w:rPr>
          <w:rFonts w:ascii="Arial" w:cs="Arial" w:eastAsia="Arial" w:hAnsi="Arial"/>
          <w:sz w:val="16"/>
          <w:szCs w:val="16"/>
          <w:color w:val="auto"/>
        </w:rPr>
      </w:pPr>
      <w:r>
        <w:rPr>
          <w:rFonts w:ascii="Arial" w:cs="Arial" w:eastAsia="Arial" w:hAnsi="Arial"/>
          <w:sz w:val="16"/>
          <w:szCs w:val="16"/>
          <w:color w:val="auto"/>
        </w:rPr>
        <w:t>occupational health, safety and industrial hygiene, which includes physical and mental health, as well as psychological safety,</w:t>
      </w:r>
    </w:p>
    <w:p>
      <w:pPr>
        <w:spacing w:after="0" w:line="47" w:lineRule="exact"/>
        <w:rPr>
          <w:rFonts w:ascii="Arial" w:cs="Arial" w:eastAsia="Arial" w:hAnsi="Arial"/>
          <w:sz w:val="16"/>
          <w:szCs w:val="16"/>
          <w:color w:val="auto"/>
        </w:rPr>
      </w:pPr>
    </w:p>
    <w:p>
      <w:pPr>
        <w:ind w:left="140" w:hanging="133"/>
        <w:spacing w:after="0"/>
        <w:tabs>
          <w:tab w:leader="none" w:pos="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emergency preparedness, incident response and evaluation,</w:t>
      </w:r>
    </w:p>
    <w:p>
      <w:pPr>
        <w:spacing w:after="0" w:line="138" w:lineRule="exact"/>
        <w:rPr>
          <w:rFonts w:ascii="Arial" w:cs="Arial" w:eastAsia="Arial" w:hAnsi="Arial"/>
          <w:sz w:val="16"/>
          <w:szCs w:val="16"/>
          <w:color w:val="auto"/>
        </w:rPr>
      </w:pPr>
    </w:p>
    <w:p>
      <w:pPr>
        <w:ind w:left="140" w:hanging="133"/>
        <w:spacing w:after="0"/>
        <w:tabs>
          <w:tab w:leader="none" w:pos="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environment, including biodiversity and land reclamation,</w:t>
      </w:r>
    </w:p>
    <w:p>
      <w:pPr>
        <w:spacing w:after="0" w:line="151" w:lineRule="exact"/>
        <w:rPr>
          <w:rFonts w:ascii="Arial" w:cs="Arial" w:eastAsia="Arial" w:hAnsi="Arial"/>
          <w:sz w:val="16"/>
          <w:szCs w:val="16"/>
          <w:color w:val="auto"/>
        </w:rPr>
      </w:pPr>
    </w:p>
    <w:p>
      <w:pPr>
        <w:ind w:left="140" w:hanging="133"/>
        <w:spacing w:after="0"/>
        <w:tabs>
          <w:tab w:leader="none" w:pos="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developments in and compliance with applicable legislation and regulations, including those related to climate and the environment,</w:t>
      </w:r>
    </w:p>
    <w:p>
      <w:pPr>
        <w:spacing w:after="0" w:line="138" w:lineRule="exact"/>
        <w:rPr>
          <w:rFonts w:ascii="Arial" w:cs="Arial" w:eastAsia="Arial" w:hAnsi="Arial"/>
          <w:sz w:val="16"/>
          <w:szCs w:val="16"/>
          <w:color w:val="auto"/>
        </w:rPr>
      </w:pPr>
    </w:p>
    <w:p>
      <w:pPr>
        <w:ind w:left="160" w:right="100" w:hanging="153"/>
        <w:spacing w:after="0" w:line="354" w:lineRule="auto"/>
        <w:tabs>
          <w:tab w:leader="none" w:pos="136"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prevention, mitigation and management of risks related to HSSE matters, including climate policy or business interruption risks, such as pandemics, which may adversely impact TC Energy,</w:t>
      </w:r>
    </w:p>
    <w:p>
      <w:pPr>
        <w:spacing w:after="0" w:line="21" w:lineRule="exact"/>
        <w:rPr>
          <w:rFonts w:ascii="Arial" w:cs="Arial" w:eastAsia="Arial" w:hAnsi="Arial"/>
          <w:sz w:val="16"/>
          <w:szCs w:val="16"/>
          <w:color w:val="auto"/>
        </w:rPr>
      </w:pPr>
    </w:p>
    <w:p>
      <w:pPr>
        <w:ind w:left="140" w:hanging="133"/>
        <w:spacing w:after="0"/>
        <w:tabs>
          <w:tab w:leader="none" w:pos="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sustainability matters, including social, environmental and climate-related risks and opportunities, as well as related</w:t>
      </w:r>
    </w:p>
    <w:p>
      <w:pPr>
        <w:spacing w:after="0" w:line="58" w:lineRule="exact"/>
        <w:rPr>
          <w:sz w:val="20"/>
          <w:szCs w:val="20"/>
          <w:color w:val="auto"/>
        </w:rPr>
      </w:pPr>
    </w:p>
    <w:p>
      <w:pPr>
        <w:ind w:left="160" w:right="540"/>
        <w:spacing w:after="0" w:line="337" w:lineRule="auto"/>
        <w:rPr>
          <w:sz w:val="20"/>
          <w:szCs w:val="20"/>
          <w:color w:val="auto"/>
        </w:rPr>
      </w:pPr>
      <w:r>
        <w:rPr>
          <w:rFonts w:ascii="Arial" w:cs="Arial" w:eastAsia="Arial" w:hAnsi="Arial"/>
          <w:sz w:val="16"/>
          <w:szCs w:val="16"/>
          <w:color w:val="auto"/>
        </w:rPr>
        <w:t>non-regulatory public disclosures such as our annual Report on Sustainability, our Reconciliation Action Plan and updates on the progression of our commitments.</w:t>
      </w:r>
    </w:p>
    <w:p>
      <w:pPr>
        <w:spacing w:after="0" w:line="48" w:lineRule="exact"/>
        <w:rPr>
          <w:sz w:val="20"/>
          <w:szCs w:val="20"/>
          <w:color w:val="auto"/>
        </w:rPr>
      </w:pPr>
    </w:p>
    <w:p>
      <w:pPr>
        <w:ind w:right="120"/>
        <w:spacing w:after="0" w:line="326" w:lineRule="auto"/>
        <w:rPr>
          <w:sz w:val="20"/>
          <w:szCs w:val="20"/>
          <w:color w:val="auto"/>
        </w:rPr>
      </w:pPr>
      <w:r>
        <w:rPr>
          <w:rFonts w:ascii="Arial" w:cs="Arial" w:eastAsia="Arial" w:hAnsi="Arial"/>
          <w:sz w:val="16"/>
          <w:szCs w:val="16"/>
          <w:color w:val="auto"/>
        </w:rPr>
        <w:t>The HSSE Committee also maintains oversight of significant or complex capital projects, including the monitoring of prescribed performance criteria. This includes, when deemed necessary by the Committee, holding regular sessions outside formal meetings or receiving additional periodic written updates from management on certain material capital projects.</w:t>
      </w:r>
    </w:p>
    <w:p>
      <w:pPr>
        <w:spacing w:after="0" w:line="43"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The HSSE Committee also receives updates on any specific areas of operational and construction risk management review being conducted by management and the results and corrective action plans flowing from internal and third-party audits.</w:t>
      </w:r>
    </w:p>
    <w:p>
      <w:pPr>
        <w:spacing w:after="0" w:line="22" w:lineRule="exact"/>
        <w:rPr>
          <w:sz w:val="20"/>
          <w:szCs w:val="20"/>
          <w:color w:val="auto"/>
        </w:rPr>
      </w:pPr>
    </w:p>
    <w:p>
      <w:pPr>
        <w:ind w:right="540"/>
        <w:spacing w:after="0" w:line="337" w:lineRule="auto"/>
        <w:rPr>
          <w:sz w:val="20"/>
          <w:szCs w:val="20"/>
          <w:color w:val="auto"/>
        </w:rPr>
      </w:pPr>
      <w:r>
        <w:rPr>
          <w:rFonts w:ascii="Arial" w:cs="Arial" w:eastAsia="Arial" w:hAnsi="Arial"/>
          <w:sz w:val="16"/>
          <w:szCs w:val="16"/>
          <w:color w:val="auto"/>
        </w:rPr>
        <w:t>Generally, each year the HSSE Committee or the HSSE Committee Chair tours one of our existing assets or projects under development as part of its responsibility to monitor and review our HSSE practices. All Board members are invited to attend our site tours.</w:t>
      </w:r>
    </w:p>
    <w:p>
      <w:pPr>
        <w:spacing w:after="0" w:line="48" w:lineRule="exact"/>
        <w:rPr>
          <w:sz w:val="20"/>
          <w:szCs w:val="20"/>
          <w:color w:val="auto"/>
        </w:rPr>
      </w:pPr>
    </w:p>
    <w:p>
      <w:pPr>
        <w:jc w:val="both"/>
        <w:ind w:right="40"/>
        <w:spacing w:after="0" w:line="326" w:lineRule="auto"/>
        <w:rPr>
          <w:sz w:val="20"/>
          <w:szCs w:val="20"/>
          <w:color w:val="auto"/>
        </w:rPr>
      </w:pPr>
      <w:r>
        <w:rPr>
          <w:rFonts w:ascii="Arial" w:cs="Arial" w:eastAsia="Arial" w:hAnsi="Arial"/>
          <w:sz w:val="16"/>
          <w:szCs w:val="16"/>
          <w:color w:val="auto"/>
        </w:rPr>
        <w:t>The safety of our employees, contractors and the public, the integrity of our pipelines, and our power and energy solutions infrastructure, are a top priority. All assets are designed, constructed, commissioned, operated and maintained with full consideration given to safety and integrity, and are placed in service only after all necessary requirements, both regulatory and internal, have been satisfied.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39"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HSSE expertise</w:t>
      </w:r>
    </w:p>
    <w:p>
      <w:pPr>
        <w:spacing w:after="0" w:line="58"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The HSSE Committee consists of six independent directors who have a mix of skills and expertise in health, safety, sustainability, security and environmental matters, including oversight over operational risk, major project execution risk, occupational and process safety, sustainability, security of personnel, environmental and climate change-related risks. Four of the members currently are or have been members of HSSE Committees of other public companies. Four members have CEO or COO experience, which has provided them experience in oversight of operations.</w:t>
      </w:r>
    </w:p>
    <w:p>
      <w:pPr>
        <w:spacing w:after="0" w:line="52" w:lineRule="exact"/>
        <w:rPr>
          <w:sz w:val="20"/>
          <w:szCs w:val="20"/>
          <w:color w:val="auto"/>
        </w:rPr>
      </w:pPr>
    </w:p>
    <w:p>
      <w:pPr>
        <w:ind w:right="140"/>
        <w:spacing w:after="0" w:line="354" w:lineRule="auto"/>
        <w:rPr>
          <w:sz w:val="20"/>
          <w:szCs w:val="20"/>
          <w:color w:val="auto"/>
        </w:rPr>
      </w:pPr>
      <w:r>
        <w:rPr>
          <w:rFonts w:ascii="Arial" w:cs="Arial" w:eastAsia="Arial" w:hAnsi="Arial"/>
          <w:sz w:val="16"/>
          <w:szCs w:val="16"/>
          <w:color w:val="auto"/>
        </w:rPr>
        <w:t>You can find specific details about each director's background, skills and experience in the director profiles starting on page 20 and the skills matrix on page 57, and more information about the HSSE Committee's oversight and responsibilities on pages 47, 48 and 69.</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SUCCESSION PLANNING</w:t>
      </w:r>
    </w:p>
    <w:p>
      <w:pPr>
        <w:spacing w:after="0" w:line="48"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auto"/>
        </w:rPr>
        <w:t>The Board is responsible for succession planning at the executive level including the development of the CEO succession plan. Succession planning for the CEO position is an ongoing process that includes analysis of each potential candidate’s performance, skills and experience, assessment of the personal attributes and characteristics that the Board believes are necessary for the role and assessment of developmental opportunities to increase senior executive bench strength.</w:t>
      </w:r>
    </w:p>
    <w:p>
      <w:pPr>
        <w:spacing w:after="0" w:line="66" w:lineRule="exact"/>
        <w:rPr>
          <w:sz w:val="20"/>
          <w:szCs w:val="20"/>
          <w:color w:val="auto"/>
        </w:rPr>
      </w:pPr>
    </w:p>
    <w:p>
      <w:pPr>
        <w:ind w:right="160"/>
        <w:spacing w:after="0" w:line="326" w:lineRule="auto"/>
        <w:rPr>
          <w:sz w:val="20"/>
          <w:szCs w:val="20"/>
          <w:color w:val="auto"/>
        </w:rPr>
      </w:pPr>
      <w:r>
        <w:rPr>
          <w:rFonts w:ascii="Arial" w:cs="Arial" w:eastAsia="Arial" w:hAnsi="Arial"/>
          <w:sz w:val="16"/>
          <w:szCs w:val="16"/>
          <w:color w:val="auto"/>
        </w:rPr>
        <w:t>The CEO prepares an overview of the executive vice-president roles, noting the required skills and expertise for each position and the current executive's areas of strength. He also prepares development plans for each executive and presents them to the Board. The CEO meets formally with each executive at least twice a year, and more frequently as necessary, to discuss progress on their development plan.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CEO identifies potential future candidates for the executive vice-president positions and presents them to the Board</w:t>
      </w:r>
    </w:p>
    <w:p>
      <w:pPr>
        <w:spacing w:after="0" w:line="5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for discussion. Each candidate is assessed based on their skills and experience and the competencies that are required for promotion to the senior executive level. Development opportunities are also identified so each candidate can receive additional or varied management experience, training, development and educational opportunities. The Board reviews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each position and the performance assessment and competencies of potential successors at least once a year and makes decisions as appropriate.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ACCESS TO MANAGEMENT</w:t>
      </w:r>
    </w:p>
    <w:p>
      <w:pPr>
        <w:spacing w:after="0" w:line="48" w:lineRule="exact"/>
        <w:rPr>
          <w:sz w:val="20"/>
          <w:szCs w:val="20"/>
          <w:color w:val="auto"/>
        </w:rPr>
      </w:pPr>
    </w:p>
    <w:p>
      <w:pPr>
        <w:ind w:right="400"/>
        <w:spacing w:after="0" w:line="337" w:lineRule="auto"/>
        <w:rPr>
          <w:sz w:val="20"/>
          <w:szCs w:val="20"/>
          <w:color w:val="auto"/>
        </w:rPr>
      </w:pPr>
      <w:r>
        <w:rPr>
          <w:rFonts w:ascii="Arial" w:cs="Arial" w:eastAsia="Arial" w:hAnsi="Arial"/>
          <w:sz w:val="16"/>
          <w:szCs w:val="16"/>
          <w:color w:val="auto"/>
        </w:rPr>
        <w:t>The Board has complete access to management, but gives reasonable advance notice to avoid disrupting the business and operations. The Chair of the Board and Committee Chairs also connect with the CEO and relevant executives as needed.</w:t>
      </w:r>
    </w:p>
    <w:p>
      <w:pPr>
        <w:spacing w:after="0" w:line="48" w:lineRule="exact"/>
        <w:rPr>
          <w:sz w:val="20"/>
          <w:szCs w:val="20"/>
          <w:color w:val="auto"/>
        </w:rPr>
      </w:pPr>
    </w:p>
    <w:p>
      <w:pPr>
        <w:ind w:right="20"/>
        <w:spacing w:after="0" w:line="326" w:lineRule="auto"/>
        <w:rPr>
          <w:sz w:val="20"/>
          <w:szCs w:val="20"/>
          <w:color w:val="auto"/>
        </w:rPr>
      </w:pPr>
      <w:r>
        <w:rPr>
          <w:rFonts w:ascii="Arial" w:cs="Arial" w:eastAsia="Arial" w:hAnsi="Arial"/>
          <w:sz w:val="16"/>
          <w:szCs w:val="16"/>
          <w:color w:val="auto"/>
        </w:rPr>
        <w:t>The Board encourages the CEO and executives to include key managers in Board and Committee meetings so they can share their expertise on specific matters. This approach gives the Board an opportunity to meet individuals who have the potential to assume more senior positions in the future, and for these individuals to gain exposure to the Board.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49</w:t>
      </w:r>
    </w:p>
    <w:p>
      <w:pPr>
        <w:sectPr>
          <w:pgSz w:w="11900" w:h="16838" w:orient="portrait"/>
          <w:cols w:equalWidth="0" w:num="1">
            <w:col w:w="11240"/>
          </w:cols>
          <w:pgMar w:left="320" w:top="1039"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0D64EF"/>
        </w:rPr>
        <w:t>MANAGEMENT DIVERSITY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Our inclusion and belonging vision</w:t>
      </w:r>
    </w:p>
    <w:p>
      <w:pPr>
        <w:spacing w:after="0" w:line="40" w:lineRule="exact"/>
        <w:rPr>
          <w:sz w:val="20"/>
          <w:szCs w:val="20"/>
          <w:color w:val="auto"/>
        </w:rPr>
      </w:pPr>
    </w:p>
    <w:p>
      <w:pPr>
        <w:ind w:right="280"/>
        <w:spacing w:after="0" w:line="354" w:lineRule="auto"/>
        <w:rPr>
          <w:sz w:val="20"/>
          <w:szCs w:val="20"/>
          <w:color w:val="auto"/>
        </w:rPr>
      </w:pPr>
      <w:r>
        <w:rPr>
          <w:rFonts w:ascii="Arial" w:cs="Arial" w:eastAsia="Arial" w:hAnsi="Arial"/>
          <w:sz w:val="16"/>
          <w:szCs w:val="16"/>
          <w:color w:val="auto"/>
        </w:rPr>
        <w:t>At TC Energy, we are committed to fostering a culture of inclusion, where everyone is respected, valued, and has the opportunity to contribute to their full potential.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Our strategic intent</w:t>
      </w:r>
    </w:p>
    <w:p>
      <w:pPr>
        <w:spacing w:after="0" w:line="40"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We believe employees are most engaged in their work when they feel included, valued, and supported. Engaged employees drive performance and enhance corporate innovation and resilience.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Our foundation and approach</w:t>
      </w:r>
    </w:p>
    <w:p>
      <w:pPr>
        <w:spacing w:after="0" w:line="40"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Our Executive Leadership Team, which includes our CEO, five executive vice-presidents and one senior vice-president, annually evaluates progress against specific talent objectives including enterprise-wide inclusion goals. Based off these enterprise goals, our Inclusion Leadership Council and Inclusion and Belonging team, align their priorities and 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 be executed within the business units throughout the year.</w:t>
      </w:r>
    </w:p>
    <w:p>
      <w:pPr>
        <w:spacing w:after="0" w:line="138" w:lineRule="exact"/>
        <w:rPr>
          <w:sz w:val="20"/>
          <w:szCs w:val="20"/>
          <w:color w:val="auto"/>
        </w:rPr>
      </w:pPr>
    </w:p>
    <w:p>
      <w:pPr>
        <w:ind w:right="100"/>
        <w:spacing w:after="0" w:line="326" w:lineRule="auto"/>
        <w:rPr>
          <w:sz w:val="20"/>
          <w:szCs w:val="20"/>
          <w:color w:val="auto"/>
        </w:rPr>
      </w:pPr>
      <w:r>
        <w:rPr>
          <w:rFonts w:ascii="Arial" w:cs="Arial" w:eastAsia="Arial" w:hAnsi="Arial"/>
          <w:sz w:val="16"/>
          <w:szCs w:val="16"/>
          <w:color w:val="auto"/>
        </w:rPr>
        <w:t>Our Executive Leadership Team is actively engaged with succession assessment and planning to ensure we have the right diversity in our leadership group with the capability to develop and execute our corporate strategy. This is further shared with our Board to ensure we have a healthy and sustainable talent pipeline for the future.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To help advance our inclusion and belonging priorities, we have developed the following approach and actions:</w:t>
      </w:r>
    </w:p>
    <w:p>
      <w:pPr>
        <w:spacing w:after="0" w:line="138" w:lineRule="exact"/>
        <w:rPr>
          <w:sz w:val="20"/>
          <w:szCs w:val="20"/>
          <w:color w:val="auto"/>
        </w:rPr>
      </w:pPr>
    </w:p>
    <w:p>
      <w:pPr>
        <w:ind w:left="140" w:hanging="133"/>
        <w:spacing w:after="0"/>
        <w:tabs>
          <w:tab w:leader="none" w:pos="1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integrated approach which includes Board and executive oversight,</w:t>
      </w:r>
    </w:p>
    <w:p>
      <w:pPr>
        <w:spacing w:after="0" w:line="151" w:lineRule="exact"/>
        <w:rPr>
          <w:rFonts w:ascii="Arial" w:cs="Arial" w:eastAsia="Arial" w:hAnsi="Arial"/>
          <w:sz w:val="16"/>
          <w:szCs w:val="16"/>
          <w:color w:val="auto"/>
        </w:rPr>
      </w:pPr>
    </w:p>
    <w:p>
      <w:pPr>
        <w:ind w:left="140" w:hanging="133"/>
        <w:spacing w:after="0"/>
        <w:tabs>
          <w:tab w:leader="none" w:pos="1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executive sponsored Inclusion Leadership Council and Chief Inclusion Officer,</w:t>
      </w:r>
    </w:p>
    <w:p>
      <w:pPr>
        <w:spacing w:after="0" w:line="138" w:lineRule="exact"/>
        <w:rPr>
          <w:rFonts w:ascii="Arial" w:cs="Arial" w:eastAsia="Arial" w:hAnsi="Arial"/>
          <w:sz w:val="16"/>
          <w:szCs w:val="16"/>
          <w:color w:val="auto"/>
        </w:rPr>
      </w:pPr>
    </w:p>
    <w:p>
      <w:pPr>
        <w:ind w:left="140" w:hanging="133"/>
        <w:spacing w:after="0"/>
        <w:tabs>
          <w:tab w:leader="none" w:pos="1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Indigenous Advisory Council, comprised of leaders representing Indigenous interests across Canada,</w:t>
      </w:r>
    </w:p>
    <w:p>
      <w:pPr>
        <w:spacing w:after="0" w:line="151" w:lineRule="exact"/>
        <w:rPr>
          <w:rFonts w:ascii="Arial" w:cs="Arial" w:eastAsia="Arial" w:hAnsi="Arial"/>
          <w:sz w:val="16"/>
          <w:szCs w:val="16"/>
          <w:color w:val="auto"/>
        </w:rPr>
      </w:pPr>
    </w:p>
    <w:p>
      <w:pPr>
        <w:ind w:left="140" w:hanging="133"/>
        <w:spacing w:after="0"/>
        <w:tabs>
          <w:tab w:leader="none" w:pos="1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corporate policies and compliance programs to support consistent standards across TC Energy,</w:t>
      </w:r>
    </w:p>
    <w:p>
      <w:pPr>
        <w:spacing w:after="0" w:line="138" w:lineRule="exact"/>
        <w:rPr>
          <w:rFonts w:ascii="Arial" w:cs="Arial" w:eastAsia="Arial" w:hAnsi="Arial"/>
          <w:sz w:val="16"/>
          <w:szCs w:val="16"/>
          <w:color w:val="auto"/>
        </w:rPr>
      </w:pPr>
    </w:p>
    <w:p>
      <w:pPr>
        <w:ind w:left="180" w:hanging="173"/>
        <w:spacing w:after="0"/>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enterprise communications promoting inclusion and belonging priorities and rationale and highlighting diverse voices and stories from within our teams,</w:t>
      </w:r>
    </w:p>
    <w:p>
      <w:pPr>
        <w:spacing w:after="0" w:line="151" w:lineRule="exact"/>
        <w:rPr>
          <w:rFonts w:ascii="Arial" w:cs="Arial" w:eastAsia="Arial" w:hAnsi="Arial"/>
          <w:sz w:val="16"/>
          <w:szCs w:val="16"/>
          <w:color w:val="auto"/>
        </w:rPr>
      </w:pPr>
    </w:p>
    <w:p>
      <w:pPr>
        <w:ind w:left="140" w:hanging="133"/>
        <w:spacing w:after="0"/>
        <w:tabs>
          <w:tab w:leader="none" w:pos="1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mandatory Inclusion and Unconscious Bias training for all employees and mandatory psychological safety training for</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all people leaders,</w:t>
      </w:r>
    </w:p>
    <w:p>
      <w:pPr>
        <w:spacing w:after="0" w:line="152" w:lineRule="exact"/>
        <w:rPr>
          <w:sz w:val="20"/>
          <w:szCs w:val="20"/>
          <w:color w:val="auto"/>
        </w:rPr>
      </w:pPr>
    </w:p>
    <w:p>
      <w:pPr>
        <w:ind w:left="140" w:hanging="133"/>
        <w:spacing w:after="0"/>
        <w:tabs>
          <w:tab w:leader="none" w:pos="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 Inclusion and Belonging Champion program comprised of employees and supported by the Inclusion and Leadership Council,</w:t>
      </w:r>
    </w:p>
    <w:p>
      <w:pPr>
        <w:spacing w:after="0" w:line="151" w:lineRule="exact"/>
        <w:rPr>
          <w:rFonts w:ascii="Arial" w:cs="Arial" w:eastAsia="Arial" w:hAnsi="Arial"/>
          <w:sz w:val="16"/>
          <w:szCs w:val="16"/>
          <w:color w:val="auto"/>
        </w:rPr>
      </w:pPr>
    </w:p>
    <w:p>
      <w:pPr>
        <w:ind w:left="140" w:hanging="133"/>
        <w:spacing w:after="0"/>
        <w:tabs>
          <w:tab w:leader="none" w:pos="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Employee Inclusion Networks to create networking, education and development opportunities for underrepresented groups and allies,</w:t>
      </w:r>
    </w:p>
    <w:p>
      <w:pPr>
        <w:spacing w:after="0" w:line="138" w:lineRule="exact"/>
        <w:rPr>
          <w:rFonts w:ascii="Arial" w:cs="Arial" w:eastAsia="Arial" w:hAnsi="Arial"/>
          <w:sz w:val="16"/>
          <w:szCs w:val="16"/>
          <w:color w:val="auto"/>
        </w:rPr>
      </w:pPr>
    </w:p>
    <w:p>
      <w:pPr>
        <w:ind w:left="140" w:hanging="133"/>
        <w:spacing w:after="0"/>
        <w:tabs>
          <w:tab w:leader="none" w:pos="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talent development strategies aimed at attracting, retaining, and developing more diverse talent pools, and</w:t>
      </w:r>
    </w:p>
    <w:p>
      <w:pPr>
        <w:spacing w:after="0" w:line="151" w:lineRule="exact"/>
        <w:rPr>
          <w:rFonts w:ascii="Arial" w:cs="Arial" w:eastAsia="Arial" w:hAnsi="Arial"/>
          <w:sz w:val="16"/>
          <w:szCs w:val="16"/>
          <w:color w:val="auto"/>
        </w:rPr>
      </w:pPr>
    </w:p>
    <w:p>
      <w:pPr>
        <w:ind w:left="140" w:hanging="133"/>
        <w:spacing w:after="0"/>
        <w:tabs>
          <w:tab w:leader="none" w:pos="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aligned community partnerships and social impact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Our goals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In 2025, TC Energy transitioned from diversity targets for women and visible minorities towards a comprehensive approach to people and culture strategies.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By focusing on the overall wellbeing of employees, we recognize that true inclusivity encompasses the holistic wellness of our workforce.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Our key focus areas are:</w:t>
      </w:r>
    </w:p>
    <w:p>
      <w:pPr>
        <w:spacing w:after="0" w:line="152" w:lineRule="exact"/>
        <w:rPr>
          <w:sz w:val="20"/>
          <w:szCs w:val="20"/>
          <w:color w:val="auto"/>
        </w:rPr>
      </w:pPr>
    </w:p>
    <w:p>
      <w:pPr>
        <w:ind w:left="140" w:hanging="133"/>
        <w:spacing w:after="0"/>
        <w:tabs>
          <w:tab w:leader="none" w:pos="1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fostering an inclusive and equal-opportunity workplace,</w:t>
      </w:r>
    </w:p>
    <w:p>
      <w:pPr>
        <w:spacing w:after="0" w:line="151" w:lineRule="exact"/>
        <w:rPr>
          <w:rFonts w:ascii="Arial" w:cs="Arial" w:eastAsia="Arial" w:hAnsi="Arial"/>
          <w:sz w:val="16"/>
          <w:szCs w:val="16"/>
          <w:color w:val="auto"/>
        </w:rPr>
      </w:pPr>
    </w:p>
    <w:p>
      <w:pPr>
        <w:ind w:left="140" w:hanging="133"/>
        <w:spacing w:after="0"/>
        <w:tabs>
          <w:tab w:leader="none" w:pos="1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promoting employee wellbeing, and</w:t>
      </w:r>
    </w:p>
    <w:p>
      <w:pPr>
        <w:spacing w:after="0" w:line="138" w:lineRule="exact"/>
        <w:rPr>
          <w:rFonts w:ascii="Arial" w:cs="Arial" w:eastAsia="Arial" w:hAnsi="Arial"/>
          <w:sz w:val="16"/>
          <w:szCs w:val="16"/>
          <w:color w:val="auto"/>
        </w:rPr>
      </w:pPr>
    </w:p>
    <w:p>
      <w:pPr>
        <w:ind w:left="140" w:hanging="133"/>
        <w:spacing w:after="0"/>
        <w:tabs>
          <w:tab w:leader="none" w:pos="1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providing opportunities for personal and professional development.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Executive Leadership Team has established people and culture goals that align with our values and build an engaged and high-performing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180"/>
          </w:cols>
          <w:pgMar w:left="320" w:top="1097" w:right="39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Our objectives are to:</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develop a framework to assess TC Energy's Employee Value Proposition (EVP) that evaluates the effectiveness of</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current people and culture strategies for attraction and retention and their alignment with our corporate purpose, mission, vision and values, and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track the effectiveness of our comprehensive wellbeing plan and measure employee engagement by the end of 2026.</w:t>
      </w:r>
    </w:p>
    <w:p>
      <w:pPr>
        <w:spacing w:after="0" w:line="138" w:lineRule="exact"/>
        <w:rPr>
          <w:sz w:val="20"/>
          <w:szCs w:val="20"/>
          <w:color w:val="auto"/>
        </w:rPr>
      </w:pPr>
    </w:p>
    <w:p>
      <w:pPr>
        <w:ind w:right="2540"/>
        <w:spacing w:after="0" w:line="354" w:lineRule="auto"/>
        <w:rPr>
          <w:sz w:val="20"/>
          <w:szCs w:val="20"/>
          <w:color w:val="auto"/>
        </w:rPr>
      </w:pPr>
      <w:r>
        <w:rPr>
          <w:rFonts w:ascii="Arial" w:cs="Arial" w:eastAsia="Arial" w:hAnsi="Arial"/>
          <w:sz w:val="16"/>
          <w:szCs w:val="16"/>
          <w:color w:val="auto"/>
        </w:rPr>
        <w:t>While we do not have specific goals for designated groups under the CBCA at this time, we consider each of these groups an integral part of continuing to grow our culture of inclusion.</w:t>
      </w:r>
    </w:p>
    <w:p>
      <w:pPr>
        <w:spacing w:after="0" w:line="22" w:lineRule="exact"/>
        <w:rPr>
          <w:sz w:val="20"/>
          <w:szCs w:val="20"/>
          <w:color w:val="auto"/>
        </w:rPr>
      </w:pPr>
    </w:p>
    <w:p>
      <w:pPr>
        <w:ind w:left="140" w:hanging="133"/>
        <w:spacing w:after="0"/>
        <w:tabs>
          <w:tab w:leader="none" w:pos="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support women's and visible minority networking and development through our inclusion and leadership networks, offering mentorship, skill-building,</w:t>
      </w:r>
    </w:p>
    <w:p>
      <w:pPr>
        <w:spacing w:after="0" w:line="57" w:lineRule="exact"/>
        <w:rPr>
          <w:rFonts w:ascii="Arial" w:cs="Arial" w:eastAsia="Arial" w:hAnsi="Arial"/>
          <w:sz w:val="16"/>
          <w:szCs w:val="16"/>
          <w:color w:val="auto"/>
        </w:rPr>
      </w:pPr>
    </w:p>
    <w:p>
      <w:pPr>
        <w:jc w:val="both"/>
        <w:ind w:left="160" w:right="100"/>
        <w:spacing w:after="0" w:line="316" w:lineRule="auto"/>
        <w:rPr>
          <w:rFonts w:ascii="Arial" w:cs="Arial" w:eastAsia="Arial" w:hAnsi="Arial"/>
          <w:sz w:val="16"/>
          <w:szCs w:val="16"/>
          <w:color w:val="auto"/>
        </w:rPr>
      </w:pPr>
      <w:r>
        <w:rPr>
          <w:rFonts w:ascii="Arial" w:cs="Arial" w:eastAsia="Arial" w:hAnsi="Arial"/>
          <w:sz w:val="16"/>
          <w:szCs w:val="16"/>
          <w:color w:val="auto"/>
        </w:rPr>
        <w:t>access to senior leaders, and community events. By fostering diverse talent and a leadership pipeline, we promote equitable opportunities and continue to foster a culture of inclusion. Since 2018, we have increased the representation of women in leadership positions (i.e. manager and above) at our Calgary, Charleston, Houston and Mexico City corporate locations from 32 per cent to 39 per cent at the end of 2025. In the same timeframe, have also increased the representation of visible minorities holding leadership positions across our Canadian and U.S. workforce from 11 per cent to 18 per cent.</w:t>
      </w:r>
    </w:p>
    <w:p>
      <w:pPr>
        <w:spacing w:after="0" w:line="52" w:lineRule="exact"/>
        <w:rPr>
          <w:rFonts w:ascii="Arial" w:cs="Arial" w:eastAsia="Arial" w:hAnsi="Arial"/>
          <w:sz w:val="16"/>
          <w:szCs w:val="16"/>
          <w:color w:val="auto"/>
        </w:rPr>
      </w:pPr>
    </w:p>
    <w:p>
      <w:pPr>
        <w:ind w:left="140" w:hanging="133"/>
        <w:spacing w:after="0"/>
        <w:tabs>
          <w:tab w:leader="none" w:pos="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As part of our Reconciliation Action Plan commitments, we established an Indigenous Advisory Council to advise our Executive Leadership Team and</w:t>
      </w:r>
    </w:p>
    <w:p>
      <w:pPr>
        <w:spacing w:after="0" w:line="57"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advance our vision to build and sustain support for Indigenous Groups through early</w:t>
      </w:r>
    </w:p>
    <w:p>
      <w:pPr>
        <w:spacing w:after="0" w:line="44"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and honest communication, by mitigating impacts, and mutually beneficial partnerships. We are focused on improving attraction and retention of</w:t>
      </w:r>
    </w:p>
    <w:p>
      <w:pPr>
        <w:spacing w:after="0" w:line="57" w:lineRule="exact"/>
        <w:rPr>
          <w:rFonts w:ascii="Arial" w:cs="Arial" w:eastAsia="Arial" w:hAnsi="Arial"/>
          <w:sz w:val="16"/>
          <w:szCs w:val="16"/>
          <w:color w:val="auto"/>
        </w:rPr>
      </w:pPr>
    </w:p>
    <w:p>
      <w:pPr>
        <w:ind w:left="160" w:right="580"/>
        <w:spacing w:after="0" w:line="337" w:lineRule="auto"/>
        <w:rPr>
          <w:rFonts w:ascii="Arial" w:cs="Arial" w:eastAsia="Arial" w:hAnsi="Arial"/>
          <w:sz w:val="16"/>
          <w:szCs w:val="16"/>
          <w:color w:val="auto"/>
        </w:rPr>
      </w:pPr>
      <w:r>
        <w:rPr>
          <w:rFonts w:ascii="Arial" w:cs="Arial" w:eastAsia="Arial" w:hAnsi="Arial"/>
          <w:sz w:val="16"/>
          <w:szCs w:val="16"/>
          <w:color w:val="auto"/>
        </w:rPr>
        <w:t>Indigenous talent, development of stronger relationships and partnerships with Indigenous Groups, and expanding our hiring and contracting efforts through Indigenous participation and supply chain activities.</w:t>
      </w:r>
    </w:p>
    <w:p>
      <w:pPr>
        <w:spacing w:after="0" w:line="47" w:lineRule="exact"/>
        <w:rPr>
          <w:rFonts w:ascii="Arial" w:cs="Arial" w:eastAsia="Arial" w:hAnsi="Arial"/>
          <w:sz w:val="16"/>
          <w:szCs w:val="16"/>
          <w:color w:val="auto"/>
        </w:rPr>
      </w:pPr>
    </w:p>
    <w:p>
      <w:pPr>
        <w:ind w:left="140" w:hanging="133"/>
        <w:spacing w:after="0"/>
        <w:tabs>
          <w:tab w:leader="none" w:pos="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are also dedicated to engaging fully with our employees, applicants, and customers. Our Accessibility Plan ensures</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can identify, prevent and remove barriers for people with disabilities.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CBCA Disclosure</w:t>
      </w:r>
    </w:p>
    <w:p>
      <w:pPr>
        <w:spacing w:after="0" w:line="53"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auto"/>
        </w:rPr>
        <w:t>The CBCA requires diversity disclosure for our senior management team, which includes the Chair of our Board and our Executive Leadership Team, for four designated groups being women, members of visible minorities, Aboriginal peoples, and persons with disabilities.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38 per cent, or three of eight, of our senior management team are women. When we exclude the Chair of the Board,</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43 percent, or three of seven, of our senior management team are women.</w:t>
      </w:r>
    </w:p>
    <w:p>
      <w:pPr>
        <w:spacing w:after="0" w:line="152" w:lineRule="exact"/>
        <w:rPr>
          <w:sz w:val="20"/>
          <w:szCs w:val="20"/>
          <w:color w:val="auto"/>
        </w:rPr>
      </w:pPr>
    </w:p>
    <w:p>
      <w:pPr>
        <w:ind w:right="120"/>
        <w:spacing w:after="0" w:line="326" w:lineRule="auto"/>
        <w:rPr>
          <w:sz w:val="20"/>
          <w:szCs w:val="20"/>
          <w:color w:val="auto"/>
        </w:rPr>
      </w:pPr>
      <w:r>
        <w:rPr>
          <w:rFonts w:ascii="Arial" w:cs="Arial" w:eastAsia="Arial" w:hAnsi="Arial"/>
          <w:sz w:val="16"/>
          <w:szCs w:val="16"/>
          <w:color w:val="auto"/>
        </w:rPr>
        <w:t>Members of visible minorities hold 18 per cent of all leadership positions in the Canadian and U.S. workforce. Currently one out of eight or 13 per cent of the senior management team identify as members of visible minorities. When we exclude the Chair of the Board, 14 per cent, or one of seven, of our senior management team identify as members of visible minorities.</w:t>
      </w:r>
    </w:p>
    <w:p>
      <w:pPr>
        <w:spacing w:after="0" w:line="56" w:lineRule="exact"/>
        <w:rPr>
          <w:sz w:val="20"/>
          <w:szCs w:val="20"/>
          <w:color w:val="auto"/>
        </w:rPr>
      </w:pPr>
    </w:p>
    <w:p>
      <w:pPr>
        <w:ind w:right="180"/>
        <w:spacing w:after="0" w:line="354" w:lineRule="auto"/>
        <w:rPr>
          <w:sz w:val="20"/>
          <w:szCs w:val="20"/>
          <w:color w:val="auto"/>
        </w:rPr>
      </w:pPr>
      <w:r>
        <w:rPr>
          <w:rFonts w:ascii="Arial" w:cs="Arial" w:eastAsia="Arial" w:hAnsi="Arial"/>
          <w:sz w:val="16"/>
          <w:szCs w:val="16"/>
          <w:color w:val="auto"/>
        </w:rPr>
        <w:t>Persons with disabilities hold two per cent of all leadership positions in our Canadian and U.S. workforce. Currently zero out of eight, or zero per cent of the senior management team identify as persons with disabilities.</w:t>
      </w:r>
    </w:p>
    <w:p>
      <w:pPr>
        <w:spacing w:after="0" w:line="35" w:lineRule="exact"/>
        <w:rPr>
          <w:sz w:val="20"/>
          <w:szCs w:val="20"/>
          <w:color w:val="auto"/>
        </w:rPr>
      </w:pPr>
    </w:p>
    <w:p>
      <w:pPr>
        <w:ind w:right="400"/>
        <w:spacing w:after="0" w:line="354" w:lineRule="auto"/>
        <w:rPr>
          <w:sz w:val="20"/>
          <w:szCs w:val="20"/>
          <w:color w:val="auto"/>
        </w:rPr>
      </w:pPr>
      <w:r>
        <w:rPr>
          <w:rFonts w:ascii="Arial" w:cs="Arial" w:eastAsia="Arial" w:hAnsi="Arial"/>
          <w:sz w:val="16"/>
          <w:szCs w:val="16"/>
          <w:color w:val="auto"/>
        </w:rPr>
        <w:t>Aboriginal peoples hold three per cent of all leadership positions within the Canadian workforce. Currently zero out of eight members, or zero per cent of members of the senior management team identify as Aboriginal peoples.</w:t>
      </w:r>
    </w:p>
    <w:p>
      <w:pPr>
        <w:spacing w:after="0" w:line="22" w:lineRule="exact"/>
        <w:rPr>
          <w:sz w:val="20"/>
          <w:szCs w:val="20"/>
          <w:color w:val="auto"/>
        </w:rPr>
      </w:pPr>
    </w:p>
    <w:p>
      <w:pPr>
        <w:ind w:right="40"/>
        <w:spacing w:after="0" w:line="326" w:lineRule="auto"/>
        <w:rPr>
          <w:sz w:val="20"/>
          <w:szCs w:val="20"/>
          <w:color w:val="auto"/>
        </w:rPr>
      </w:pPr>
      <w:r>
        <w:rPr>
          <w:rFonts w:ascii="Arial" w:cs="Arial" w:eastAsia="Arial" w:hAnsi="Arial"/>
          <w:sz w:val="16"/>
          <w:szCs w:val="16"/>
          <w:color w:val="auto"/>
        </w:rPr>
        <w:t>Data requirements for the designated groups vary in the geographic areas in which TC Energy operates, as per the prescribed definitions and governing laws of such jurisdictions. Self-disclosure is voluntary for members of visible minorities, persons with disabilities and Aboriginal peoples and as a result, representation may be under-reported.</w:t>
      </w:r>
    </w:p>
    <w:p>
      <w:pPr>
        <w:spacing w:after="0" w:line="56"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auto"/>
        </w:rPr>
        <w:t>As at December 31, 2025, over 98 per cent of our workforce completed the Inclusion and Unconscious Bias training. We maintain an ongoing commitment to expanding education within this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51</w:t>
      </w:r>
    </w:p>
    <w:p>
      <w:pPr>
        <w:sectPr>
          <w:pgSz w:w="11900" w:h="16838" w:orient="portrait"/>
          <w:cols w:equalWidth="0" w:num="1">
            <w:col w:w="11240"/>
          </w:cols>
          <w:pgMar w:left="320" w:top="1039" w:right="339" w:bottom="1440" w:gutter="0" w:footer="0" w:header="0"/>
        </w:sectPr>
      </w:pPr>
    </w:p>
    <w:bookmarkStart w:id="57" w:name="page58"/>
    <w:bookmarkEnd w:id="57"/>
    <w:p>
      <w:pPr>
        <w:spacing w:after="0"/>
        <w:rPr>
          <w:sz w:val="20"/>
          <w:szCs w:val="20"/>
          <w:color w:val="auto"/>
        </w:rPr>
      </w:pPr>
      <w:r>
        <w:rPr>
          <w:rFonts w:ascii="Arial" w:cs="Arial" w:eastAsia="Arial" w:hAnsi="Arial"/>
          <w:sz w:val="29"/>
          <w:szCs w:val="29"/>
          <w:color w:val="0D64EF"/>
        </w:rPr>
        <w:t>Orientation and Education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New directors participate in an orientation program featuring sessions on corporate strategy, our main business issues</w:t>
      </w:r>
    </w:p>
    <w:p>
      <w:pPr>
        <w:spacing w:after="0" w:line="44"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auto"/>
        </w:rPr>
        <w:t>and historical and financial information about TC Energy. They also typically have an opportunity to visit and tour our facilities and project sites and meet with the CEO, executive vice-presidents and other directors.</w:t>
      </w:r>
    </w:p>
    <w:p>
      <w:pPr>
        <w:spacing w:after="0" w:line="2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tailor the sessions for each director based on individual needs and their specific areas of interest. New directors also meet one-on-one with the CEO and each executive vice-president for an overview of the different areas of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 operations and a discussion of key areas of interest. Briefing sessions are also held for new Board Committee members.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Directors receive a reference manual with:</w:t>
      </w:r>
    </w:p>
    <w:p>
      <w:pPr>
        <w:spacing w:after="0" w:line="152" w:lineRule="exact"/>
        <w:rPr>
          <w:sz w:val="20"/>
          <w:szCs w:val="20"/>
          <w:color w:val="auto"/>
        </w:rPr>
      </w:pPr>
    </w:p>
    <w:p>
      <w:pPr>
        <w:ind w:left="140" w:hanging="133"/>
        <w:spacing w:after="0"/>
        <w:tabs>
          <w:tab w:leader="none" w:pos="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details about their duties and obligations as a member of the Board,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information about our business and operations,</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copies of the Board and Committee charters,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copies of recent public disclosure filings,</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documents from recent Board meetings,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copy of the current year's strategic plan.</w:t>
      </w:r>
    </w:p>
    <w:p>
      <w:pPr>
        <w:spacing w:after="0" w:line="152" w:lineRule="exact"/>
        <w:rPr>
          <w:sz w:val="20"/>
          <w:szCs w:val="20"/>
          <w:color w:val="auto"/>
        </w:rPr>
      </w:pPr>
    </w:p>
    <w:p>
      <w:pPr>
        <w:ind w:right="2660"/>
        <w:spacing w:after="0" w:line="337" w:lineRule="auto"/>
        <w:rPr>
          <w:sz w:val="20"/>
          <w:szCs w:val="20"/>
          <w:color w:val="auto"/>
        </w:rPr>
      </w:pPr>
      <w:r>
        <w:rPr>
          <w:rFonts w:ascii="Arial" w:cs="Arial" w:eastAsia="Arial" w:hAnsi="Arial"/>
          <w:sz w:val="16"/>
          <w:szCs w:val="16"/>
          <w:color w:val="auto"/>
        </w:rPr>
        <w:t>The Governance Committee reviews the orientation program and reference manual every year so they continue to meet our needs and those of new directors.</w:t>
      </w:r>
    </w:p>
    <w:p>
      <w:pPr>
        <w:spacing w:after="0" w:line="48"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The Governance Committee also develops the continuing education program every year based on current and emerging issues, our corporate objectives and input from other directors. Our 2025 education program included a number of educational sessions covering topics such as natural gas pipeline fundamentals, AI implementation, new technologies, natural gas demand and data centers.</w:t>
      </w:r>
    </w:p>
    <w:p>
      <w:pPr>
        <w:spacing w:after="0" w:line="64" w:lineRule="exact"/>
        <w:rPr>
          <w:sz w:val="20"/>
          <w:szCs w:val="20"/>
          <w:color w:val="auto"/>
        </w:rPr>
      </w:pPr>
    </w:p>
    <w:p>
      <w:pPr>
        <w:ind w:right="260"/>
        <w:spacing w:after="0" w:line="316" w:lineRule="auto"/>
        <w:rPr>
          <w:sz w:val="20"/>
          <w:szCs w:val="20"/>
          <w:color w:val="auto"/>
        </w:rPr>
      </w:pPr>
      <w:r>
        <w:rPr>
          <w:rFonts w:ascii="Arial" w:cs="Arial" w:eastAsia="Arial" w:hAnsi="Arial"/>
          <w:sz w:val="16"/>
          <w:szCs w:val="16"/>
          <w:color w:val="auto"/>
        </w:rPr>
        <w:t>Continuing education helps strengthen a director’s knowledge and understanding of the business, industry, governance and other issues. Senior management and external experts make presentations to the Board and Committees from time to time on various topics related to the business, including changes to legal, regulatory and industry requirements. Continuing education is also conducted on an informal basis and our directors are provided with articles and publications of interest.</w:t>
      </w:r>
    </w:p>
    <w:p>
      <w:pPr>
        <w:spacing w:after="0" w:line="66" w:lineRule="exact"/>
        <w:rPr>
          <w:sz w:val="20"/>
          <w:szCs w:val="20"/>
          <w:color w:val="auto"/>
        </w:rPr>
      </w:pPr>
    </w:p>
    <w:p>
      <w:pPr>
        <w:ind w:right="240"/>
        <w:spacing w:after="0" w:line="317" w:lineRule="auto"/>
        <w:rPr>
          <w:sz w:val="20"/>
          <w:szCs w:val="20"/>
          <w:color w:val="auto"/>
        </w:rPr>
      </w:pPr>
      <w:r>
        <w:rPr>
          <w:rFonts w:ascii="Arial" w:cs="Arial" w:eastAsia="Arial" w:hAnsi="Arial"/>
          <w:sz w:val="16"/>
          <w:szCs w:val="16"/>
          <w:color w:val="auto"/>
        </w:rPr>
        <w:t>We suggest seminars and education programs for our directors that may be relevant, and pay the registration fee and travel expenses as appropriate. We also offer to pay annual fees for memberships with organizations that are appropriate and provide relevant publications and educational opportunities to our directors.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2025 DIRECTOR EDUCATION PROGRAM</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Date</w:t>
            </w:r>
          </w:p>
        </w:tc>
        <w:tc>
          <w:tcPr>
            <w:tcW w:w="3520" w:type="dxa"/>
            <w:vAlign w:val="bottom"/>
            <w:tcBorders>
              <w:top w:val="single" w:sz="8" w:color="0D64EF"/>
              <w:bottom w:val="single" w:sz="8" w:color="0D64EF"/>
            </w:tcBorders>
            <w:shd w:val="clear" w:color="auto" w:fill="D1D0CF"/>
          </w:tcPr>
          <w:p>
            <w:pPr>
              <w:ind w:left="320"/>
              <w:spacing w:after="0"/>
              <w:rPr>
                <w:sz w:val="20"/>
                <w:szCs w:val="20"/>
                <w:color w:val="auto"/>
              </w:rPr>
            </w:pPr>
            <w:r>
              <w:rPr>
                <w:rFonts w:ascii="Arial" w:cs="Arial" w:eastAsia="Arial" w:hAnsi="Arial"/>
                <w:sz w:val="14"/>
                <w:szCs w:val="14"/>
                <w:b w:val="1"/>
                <w:bCs w:val="1"/>
                <w:color w:val="auto"/>
              </w:rPr>
              <w:t>Topic</w:t>
            </w:r>
          </w:p>
        </w:tc>
        <w:tc>
          <w:tcPr>
            <w:tcW w:w="3160" w:type="dxa"/>
            <w:vAlign w:val="bottom"/>
            <w:tcBorders>
              <w:top w:val="single" w:sz="8" w:color="0D64EF"/>
              <w:bottom w:val="single" w:sz="8" w:color="0D64EF"/>
            </w:tcBorders>
            <w:shd w:val="clear" w:color="auto" w:fill="D1D0CF"/>
          </w:tcPr>
          <w:p>
            <w:pPr>
              <w:ind w:left="60"/>
              <w:spacing w:after="0"/>
              <w:rPr>
                <w:sz w:val="20"/>
                <w:szCs w:val="20"/>
                <w:color w:val="auto"/>
              </w:rPr>
            </w:pPr>
            <w:r>
              <w:rPr>
                <w:rFonts w:ascii="Arial" w:cs="Arial" w:eastAsia="Arial" w:hAnsi="Arial"/>
                <w:sz w:val="14"/>
                <w:szCs w:val="14"/>
                <w:b w:val="1"/>
                <w:bCs w:val="1"/>
                <w:color w:val="auto"/>
              </w:rPr>
              <w:t>Presented/hosted by</w:t>
            </w:r>
          </w:p>
        </w:tc>
        <w:tc>
          <w:tcPr>
            <w:tcW w:w="2000" w:type="dxa"/>
            <w:vAlign w:val="bottom"/>
            <w:tcBorders>
              <w:top w:val="single" w:sz="8" w:color="0D64EF"/>
              <w:bottom w:val="single" w:sz="8" w:color="0D64EF"/>
            </w:tcBorders>
            <w:shd w:val="clear" w:color="auto" w:fill="D1D0CF"/>
          </w:tcPr>
          <w:p>
            <w:pPr>
              <w:ind w:left="360"/>
              <w:spacing w:after="0"/>
              <w:rPr>
                <w:sz w:val="20"/>
                <w:szCs w:val="20"/>
                <w:color w:val="auto"/>
              </w:rPr>
            </w:pPr>
            <w:r>
              <w:rPr>
                <w:rFonts w:ascii="Arial" w:cs="Arial" w:eastAsia="Arial" w:hAnsi="Arial"/>
                <w:sz w:val="14"/>
                <w:szCs w:val="14"/>
                <w:b w:val="1"/>
                <w:bCs w:val="1"/>
                <w:color w:val="auto"/>
              </w:rPr>
              <w:t>Attended by</w:t>
            </w:r>
          </w:p>
        </w:tc>
      </w:tr>
      <w:tr>
        <w:trPr>
          <w:trHeight w:val="160"/>
        </w:trPr>
        <w:tc>
          <w:tcPr>
            <w:tcW w:w="1280" w:type="dxa"/>
            <w:vAlign w:val="bottom"/>
          </w:tcPr>
          <w:p>
            <w:pPr>
              <w:ind w:left="20"/>
              <w:spacing w:after="0" w:line="160" w:lineRule="exact"/>
              <w:rPr>
                <w:sz w:val="20"/>
                <w:szCs w:val="20"/>
                <w:color w:val="auto"/>
              </w:rPr>
            </w:pPr>
            <w:r>
              <w:rPr>
                <w:rFonts w:ascii="Arial" w:cs="Arial" w:eastAsia="Arial" w:hAnsi="Arial"/>
                <w:sz w:val="14"/>
                <w:szCs w:val="14"/>
                <w:color w:val="auto"/>
              </w:rPr>
              <w:t>January 9</w:t>
            </w:r>
          </w:p>
        </w:tc>
        <w:tc>
          <w:tcPr>
            <w:tcW w:w="3520" w:type="dxa"/>
            <w:vAlign w:val="bottom"/>
          </w:tcPr>
          <w:p>
            <w:pPr>
              <w:ind w:left="320"/>
              <w:spacing w:after="0" w:line="160" w:lineRule="exact"/>
              <w:rPr>
                <w:sz w:val="20"/>
                <w:szCs w:val="20"/>
                <w:color w:val="auto"/>
              </w:rPr>
            </w:pPr>
            <w:r>
              <w:rPr>
                <w:rFonts w:ascii="Arial" w:cs="Arial" w:eastAsia="Arial" w:hAnsi="Arial"/>
                <w:sz w:val="14"/>
                <w:szCs w:val="14"/>
                <w:color w:val="auto"/>
              </w:rPr>
              <w:t>AI and Cybersecurity in the Boardroom -</w:t>
            </w:r>
          </w:p>
        </w:tc>
        <w:tc>
          <w:tcPr>
            <w:tcW w:w="3160" w:type="dxa"/>
            <w:vAlign w:val="bottom"/>
          </w:tcPr>
          <w:p>
            <w:pPr>
              <w:ind w:left="60"/>
              <w:spacing w:after="0" w:line="160" w:lineRule="exact"/>
              <w:rPr>
                <w:sz w:val="20"/>
                <w:szCs w:val="20"/>
                <w:color w:val="auto"/>
              </w:rPr>
            </w:pPr>
            <w:r>
              <w:rPr>
                <w:rFonts w:ascii="Arial" w:cs="Arial" w:eastAsia="Arial" w:hAnsi="Arial"/>
                <w:sz w:val="14"/>
                <w:szCs w:val="14"/>
                <w:color w:val="auto"/>
              </w:rPr>
              <w:t>National Association of Corporate Directors</w:t>
            </w:r>
          </w:p>
        </w:tc>
        <w:tc>
          <w:tcPr>
            <w:tcW w:w="2000" w:type="dxa"/>
            <w:vAlign w:val="bottom"/>
          </w:tcPr>
          <w:p>
            <w:pPr>
              <w:ind w:left="360"/>
              <w:spacing w:after="0" w:line="160" w:lineRule="exact"/>
              <w:rPr>
                <w:sz w:val="20"/>
                <w:szCs w:val="20"/>
                <w:color w:val="auto"/>
              </w:rPr>
            </w:pPr>
            <w:r>
              <w:rPr>
                <w:rFonts w:ascii="Arial" w:cs="Arial" w:eastAsia="Arial" w:hAnsi="Arial"/>
                <w:sz w:val="14"/>
                <w:szCs w:val="14"/>
                <w:color w:val="auto"/>
              </w:rPr>
              <w:t>Cheryl F. Campbell</w:t>
            </w:r>
          </w:p>
        </w:tc>
      </w:tr>
      <w:tr>
        <w:trPr>
          <w:trHeight w:val="190"/>
        </w:trPr>
        <w:tc>
          <w:tcPr>
            <w:tcW w:w="1280" w:type="dxa"/>
            <w:vAlign w:val="bottom"/>
          </w:tcPr>
          <w:p>
            <w:pPr>
              <w:spacing w:after="0"/>
              <w:rPr>
                <w:sz w:val="16"/>
                <w:szCs w:val="16"/>
                <w:color w:val="auto"/>
              </w:rPr>
            </w:pPr>
          </w:p>
        </w:tc>
        <w:tc>
          <w:tcPr>
            <w:tcW w:w="3520" w:type="dxa"/>
            <w:vAlign w:val="bottom"/>
          </w:tcPr>
          <w:p>
            <w:pPr>
              <w:ind w:left="320"/>
              <w:spacing w:after="0"/>
              <w:rPr>
                <w:sz w:val="20"/>
                <w:szCs w:val="20"/>
                <w:color w:val="auto"/>
              </w:rPr>
            </w:pPr>
            <w:r>
              <w:rPr>
                <w:rFonts w:ascii="Arial" w:cs="Arial" w:eastAsia="Arial" w:hAnsi="Arial"/>
                <w:sz w:val="14"/>
                <w:szCs w:val="14"/>
                <w:color w:val="auto"/>
              </w:rPr>
              <w:t>A Strategic Imperative</w:t>
            </w:r>
          </w:p>
        </w:tc>
        <w:tc>
          <w:tcPr>
            <w:tcW w:w="316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
        </w:trPr>
        <w:tc>
          <w:tcPr>
            <w:tcW w:w="128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3160" w:type="dxa"/>
            <w:vAlign w:val="bottom"/>
            <w:tcBorders>
              <w:bottom w:val="single" w:sz="8" w:color="B2B2B2"/>
            </w:tcBorders>
          </w:tcPr>
          <w:p>
            <w:pPr>
              <w:spacing w:after="0" w:line="20" w:lineRule="exact"/>
              <w:rPr>
                <w:sz w:val="1"/>
                <w:szCs w:val="1"/>
                <w:color w:val="auto"/>
              </w:rPr>
            </w:pPr>
          </w:p>
        </w:tc>
        <w:tc>
          <w:tcPr>
            <w:tcW w:w="2000" w:type="dxa"/>
            <w:vAlign w:val="bottom"/>
            <w:tcBorders>
              <w:bottom w:val="single" w:sz="8" w:color="B2B2B2"/>
            </w:tcBorders>
          </w:tcPr>
          <w:p>
            <w:pPr>
              <w:spacing w:after="0" w:line="20" w:lineRule="exact"/>
              <w:rPr>
                <w:sz w:val="1"/>
                <w:szCs w:val="1"/>
                <w:color w:val="auto"/>
              </w:rPr>
            </w:pPr>
          </w:p>
        </w:tc>
      </w:tr>
      <w:tr>
        <w:trPr>
          <w:trHeight w:val="159"/>
        </w:trPr>
        <w:tc>
          <w:tcPr>
            <w:tcW w:w="1280" w:type="dxa"/>
            <w:vAlign w:val="bottom"/>
          </w:tcPr>
          <w:p>
            <w:pPr>
              <w:ind w:left="20"/>
              <w:spacing w:after="0" w:line="159" w:lineRule="exact"/>
              <w:rPr>
                <w:sz w:val="20"/>
                <w:szCs w:val="20"/>
                <w:color w:val="auto"/>
              </w:rPr>
            </w:pPr>
            <w:r>
              <w:rPr>
                <w:rFonts w:ascii="Arial" w:cs="Arial" w:eastAsia="Arial" w:hAnsi="Arial"/>
                <w:sz w:val="14"/>
                <w:szCs w:val="14"/>
                <w:color w:val="auto"/>
              </w:rPr>
              <w:t>January 14</w:t>
            </w:r>
          </w:p>
        </w:tc>
        <w:tc>
          <w:tcPr>
            <w:tcW w:w="3520" w:type="dxa"/>
            <w:vAlign w:val="bottom"/>
          </w:tcPr>
          <w:p>
            <w:pPr>
              <w:ind w:left="320"/>
              <w:spacing w:after="0" w:line="159" w:lineRule="exact"/>
              <w:rPr>
                <w:sz w:val="20"/>
                <w:szCs w:val="20"/>
                <w:color w:val="auto"/>
              </w:rPr>
            </w:pPr>
            <w:r>
              <w:rPr>
                <w:rFonts w:ascii="Arial" w:cs="Arial" w:eastAsia="Arial" w:hAnsi="Arial"/>
                <w:sz w:val="14"/>
                <w:szCs w:val="14"/>
                <w:color w:val="auto"/>
              </w:rPr>
              <w:t>Governance Outlook 2025 - Navigating Emerging</w:t>
            </w:r>
          </w:p>
        </w:tc>
        <w:tc>
          <w:tcPr>
            <w:tcW w:w="3160" w:type="dxa"/>
            <w:vAlign w:val="bottom"/>
          </w:tcPr>
          <w:p>
            <w:pPr>
              <w:ind w:left="60"/>
              <w:spacing w:after="0" w:line="159" w:lineRule="exact"/>
              <w:rPr>
                <w:sz w:val="20"/>
                <w:szCs w:val="20"/>
                <w:color w:val="auto"/>
              </w:rPr>
            </w:pPr>
            <w:r>
              <w:rPr>
                <w:rFonts w:ascii="Arial" w:cs="Arial" w:eastAsia="Arial" w:hAnsi="Arial"/>
                <w:sz w:val="14"/>
                <w:szCs w:val="14"/>
                <w:color w:val="auto"/>
              </w:rPr>
              <w:t>National Association of Corporate Directors</w:t>
            </w:r>
          </w:p>
        </w:tc>
        <w:tc>
          <w:tcPr>
            <w:tcW w:w="2000" w:type="dxa"/>
            <w:vAlign w:val="bottom"/>
          </w:tcPr>
          <w:p>
            <w:pPr>
              <w:ind w:left="360"/>
              <w:spacing w:after="0" w:line="159" w:lineRule="exact"/>
              <w:rPr>
                <w:sz w:val="20"/>
                <w:szCs w:val="20"/>
                <w:color w:val="auto"/>
              </w:rPr>
            </w:pPr>
            <w:r>
              <w:rPr>
                <w:rFonts w:ascii="Arial" w:cs="Arial" w:eastAsia="Arial" w:hAnsi="Arial"/>
                <w:sz w:val="14"/>
                <w:szCs w:val="14"/>
                <w:color w:val="auto"/>
              </w:rPr>
              <w:t>Cheryl F. Campbell</w:t>
            </w:r>
          </w:p>
        </w:tc>
      </w:tr>
      <w:tr>
        <w:trPr>
          <w:trHeight w:val="190"/>
        </w:trPr>
        <w:tc>
          <w:tcPr>
            <w:tcW w:w="1280" w:type="dxa"/>
            <w:vAlign w:val="bottom"/>
          </w:tcPr>
          <w:p>
            <w:pPr>
              <w:spacing w:after="0"/>
              <w:rPr>
                <w:sz w:val="16"/>
                <w:szCs w:val="16"/>
                <w:color w:val="auto"/>
              </w:rPr>
            </w:pPr>
          </w:p>
        </w:tc>
        <w:tc>
          <w:tcPr>
            <w:tcW w:w="3520" w:type="dxa"/>
            <w:vAlign w:val="bottom"/>
          </w:tcPr>
          <w:p>
            <w:pPr>
              <w:ind w:left="320"/>
              <w:spacing w:after="0"/>
              <w:rPr>
                <w:sz w:val="20"/>
                <w:szCs w:val="20"/>
                <w:color w:val="auto"/>
              </w:rPr>
            </w:pPr>
            <w:r>
              <w:rPr>
                <w:rFonts w:ascii="Arial" w:cs="Arial" w:eastAsia="Arial" w:hAnsi="Arial"/>
                <w:sz w:val="14"/>
                <w:szCs w:val="14"/>
                <w:color w:val="auto"/>
              </w:rPr>
              <w:t>Trends and Challenges</w:t>
            </w:r>
          </w:p>
        </w:tc>
        <w:tc>
          <w:tcPr>
            <w:tcW w:w="316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
        </w:trPr>
        <w:tc>
          <w:tcPr>
            <w:tcW w:w="128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3160" w:type="dxa"/>
            <w:vAlign w:val="bottom"/>
            <w:tcBorders>
              <w:bottom w:val="single" w:sz="8" w:color="B2B2B2"/>
            </w:tcBorders>
          </w:tcPr>
          <w:p>
            <w:pPr>
              <w:spacing w:after="0" w:line="20" w:lineRule="exact"/>
              <w:rPr>
                <w:sz w:val="1"/>
                <w:szCs w:val="1"/>
                <w:color w:val="auto"/>
              </w:rPr>
            </w:pPr>
          </w:p>
        </w:tc>
        <w:tc>
          <w:tcPr>
            <w:tcW w:w="2000" w:type="dxa"/>
            <w:vAlign w:val="bottom"/>
            <w:tcBorders>
              <w:bottom w:val="single" w:sz="8" w:color="B2B2B2"/>
            </w:tcBorders>
          </w:tcPr>
          <w:p>
            <w:pPr>
              <w:spacing w:after="0" w:line="20" w:lineRule="exact"/>
              <w:rPr>
                <w:sz w:val="1"/>
                <w:szCs w:val="1"/>
                <w:color w:val="auto"/>
              </w:rPr>
            </w:pPr>
          </w:p>
        </w:tc>
      </w:tr>
      <w:tr>
        <w:trPr>
          <w:trHeight w:val="187"/>
        </w:trPr>
        <w:tc>
          <w:tcPr>
            <w:tcW w:w="1280" w:type="dxa"/>
            <w:vAlign w:val="bottom"/>
          </w:tcPr>
          <w:p>
            <w:pPr>
              <w:ind w:left="20"/>
              <w:spacing w:after="0"/>
              <w:rPr>
                <w:sz w:val="20"/>
                <w:szCs w:val="20"/>
                <w:color w:val="auto"/>
              </w:rPr>
            </w:pPr>
            <w:r>
              <w:rPr>
                <w:rFonts w:ascii="Arial" w:cs="Arial" w:eastAsia="Arial" w:hAnsi="Arial"/>
                <w:sz w:val="14"/>
                <w:szCs w:val="14"/>
                <w:color w:val="auto"/>
              </w:rPr>
              <w:t>January 15</w:t>
            </w:r>
          </w:p>
        </w:tc>
        <w:tc>
          <w:tcPr>
            <w:tcW w:w="3520" w:type="dxa"/>
            <w:vAlign w:val="bottom"/>
          </w:tcPr>
          <w:p>
            <w:pPr>
              <w:ind w:left="320"/>
              <w:spacing w:after="0"/>
              <w:rPr>
                <w:sz w:val="20"/>
                <w:szCs w:val="20"/>
                <w:color w:val="auto"/>
              </w:rPr>
            </w:pPr>
            <w:r>
              <w:rPr>
                <w:rFonts w:ascii="Arial" w:cs="Arial" w:eastAsia="Arial" w:hAnsi="Arial"/>
                <w:sz w:val="14"/>
                <w:szCs w:val="14"/>
                <w:color w:val="auto"/>
              </w:rPr>
              <w:t>Considerations for CEO Succession</w:t>
            </w:r>
          </w:p>
        </w:tc>
        <w:tc>
          <w:tcPr>
            <w:tcW w:w="3160" w:type="dxa"/>
            <w:vAlign w:val="bottom"/>
          </w:tcPr>
          <w:p>
            <w:pPr>
              <w:ind w:left="60"/>
              <w:spacing w:after="0"/>
              <w:rPr>
                <w:sz w:val="20"/>
                <w:szCs w:val="20"/>
                <w:color w:val="auto"/>
              </w:rPr>
            </w:pPr>
            <w:r>
              <w:rPr>
                <w:rFonts w:ascii="Arial" w:cs="Arial" w:eastAsia="Arial" w:hAnsi="Arial"/>
                <w:sz w:val="14"/>
                <w:szCs w:val="14"/>
                <w:color w:val="auto"/>
              </w:rPr>
              <w:t>Women Corporate Directors</w:t>
            </w:r>
          </w:p>
        </w:tc>
        <w:tc>
          <w:tcPr>
            <w:tcW w:w="2000" w:type="dxa"/>
            <w:vAlign w:val="bottom"/>
          </w:tcPr>
          <w:p>
            <w:pPr>
              <w:ind w:left="360"/>
              <w:spacing w:after="0"/>
              <w:rPr>
                <w:sz w:val="20"/>
                <w:szCs w:val="20"/>
                <w:color w:val="auto"/>
              </w:rPr>
            </w:pPr>
            <w:r>
              <w:rPr>
                <w:rFonts w:ascii="Arial" w:cs="Arial" w:eastAsia="Arial" w:hAnsi="Arial"/>
                <w:sz w:val="14"/>
                <w:szCs w:val="14"/>
                <w:color w:val="auto"/>
              </w:rPr>
              <w:t>Cheryl F. Campbell</w:t>
            </w:r>
          </w:p>
        </w:tc>
      </w:tr>
      <w:tr>
        <w:trPr>
          <w:trHeight w:val="21"/>
        </w:trPr>
        <w:tc>
          <w:tcPr>
            <w:tcW w:w="128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3160" w:type="dxa"/>
            <w:vAlign w:val="bottom"/>
            <w:tcBorders>
              <w:bottom w:val="single" w:sz="8" w:color="B2B2B2"/>
            </w:tcBorders>
          </w:tcPr>
          <w:p>
            <w:pPr>
              <w:spacing w:after="0" w:line="20" w:lineRule="exact"/>
              <w:rPr>
                <w:sz w:val="1"/>
                <w:szCs w:val="1"/>
                <w:color w:val="auto"/>
              </w:rPr>
            </w:pPr>
          </w:p>
        </w:tc>
        <w:tc>
          <w:tcPr>
            <w:tcW w:w="2000" w:type="dxa"/>
            <w:vAlign w:val="bottom"/>
            <w:tcBorders>
              <w:bottom w:val="single" w:sz="8" w:color="B2B2B2"/>
            </w:tcBorders>
          </w:tcPr>
          <w:p>
            <w:pPr>
              <w:spacing w:after="0" w:line="20" w:lineRule="exact"/>
              <w:rPr>
                <w:sz w:val="1"/>
                <w:szCs w:val="1"/>
                <w:color w:val="auto"/>
              </w:rPr>
            </w:pPr>
          </w:p>
        </w:tc>
      </w:tr>
      <w:tr>
        <w:trPr>
          <w:trHeight w:val="187"/>
        </w:trPr>
        <w:tc>
          <w:tcPr>
            <w:tcW w:w="1280" w:type="dxa"/>
            <w:vAlign w:val="bottom"/>
          </w:tcPr>
          <w:p>
            <w:pPr>
              <w:ind w:left="20"/>
              <w:spacing w:after="0"/>
              <w:rPr>
                <w:sz w:val="20"/>
                <w:szCs w:val="20"/>
                <w:color w:val="auto"/>
              </w:rPr>
            </w:pPr>
            <w:r>
              <w:rPr>
                <w:rFonts w:ascii="Arial" w:cs="Arial" w:eastAsia="Arial" w:hAnsi="Arial"/>
                <w:sz w:val="14"/>
                <w:szCs w:val="14"/>
                <w:color w:val="auto"/>
              </w:rPr>
              <w:t>January 22</w:t>
            </w:r>
          </w:p>
        </w:tc>
        <w:tc>
          <w:tcPr>
            <w:tcW w:w="3520" w:type="dxa"/>
            <w:vAlign w:val="bottom"/>
          </w:tcPr>
          <w:p>
            <w:pPr>
              <w:ind w:left="320"/>
              <w:spacing w:after="0"/>
              <w:rPr>
                <w:sz w:val="20"/>
                <w:szCs w:val="20"/>
                <w:color w:val="auto"/>
              </w:rPr>
            </w:pPr>
            <w:r>
              <w:rPr>
                <w:rFonts w:ascii="Arial" w:cs="Arial" w:eastAsia="Arial" w:hAnsi="Arial"/>
                <w:sz w:val="14"/>
                <w:szCs w:val="14"/>
                <w:color w:val="auto"/>
              </w:rPr>
              <w:t>Energy Outlook, Oil &amp; Gas Markets in 2025</w:t>
            </w:r>
          </w:p>
        </w:tc>
        <w:tc>
          <w:tcPr>
            <w:tcW w:w="3160" w:type="dxa"/>
            <w:vAlign w:val="bottom"/>
          </w:tcPr>
          <w:p>
            <w:pPr>
              <w:ind w:left="60"/>
              <w:spacing w:after="0"/>
              <w:rPr>
                <w:sz w:val="20"/>
                <w:szCs w:val="20"/>
                <w:color w:val="auto"/>
              </w:rPr>
            </w:pPr>
            <w:r>
              <w:rPr>
                <w:rFonts w:ascii="Arial" w:cs="Arial" w:eastAsia="Arial" w:hAnsi="Arial"/>
                <w:sz w:val="14"/>
                <w:szCs w:val="14"/>
                <w:color w:val="auto"/>
              </w:rPr>
              <w:t>Scotiabank</w:t>
            </w:r>
          </w:p>
        </w:tc>
        <w:tc>
          <w:tcPr>
            <w:tcW w:w="2000" w:type="dxa"/>
            <w:vAlign w:val="bottom"/>
          </w:tcPr>
          <w:p>
            <w:pPr>
              <w:ind w:left="360"/>
              <w:spacing w:after="0"/>
              <w:rPr>
                <w:sz w:val="20"/>
                <w:szCs w:val="20"/>
                <w:color w:val="auto"/>
              </w:rPr>
            </w:pPr>
            <w:r>
              <w:rPr>
                <w:rFonts w:ascii="Arial" w:cs="Arial" w:eastAsia="Arial" w:hAnsi="Arial"/>
                <w:sz w:val="14"/>
                <w:szCs w:val="14"/>
                <w:color w:val="auto"/>
              </w:rPr>
              <w:t>Michael R. Culbert</w:t>
            </w:r>
          </w:p>
        </w:tc>
      </w:tr>
      <w:tr>
        <w:trPr>
          <w:trHeight w:val="21"/>
        </w:trPr>
        <w:tc>
          <w:tcPr>
            <w:tcW w:w="128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3160" w:type="dxa"/>
            <w:vAlign w:val="bottom"/>
            <w:tcBorders>
              <w:bottom w:val="single" w:sz="8" w:color="B2B2B2"/>
            </w:tcBorders>
          </w:tcPr>
          <w:p>
            <w:pPr>
              <w:spacing w:after="0" w:line="20" w:lineRule="exact"/>
              <w:rPr>
                <w:sz w:val="1"/>
                <w:szCs w:val="1"/>
                <w:color w:val="auto"/>
              </w:rPr>
            </w:pPr>
          </w:p>
        </w:tc>
        <w:tc>
          <w:tcPr>
            <w:tcW w:w="2000" w:type="dxa"/>
            <w:vAlign w:val="bottom"/>
            <w:tcBorders>
              <w:bottom w:val="single" w:sz="8" w:color="B2B2B2"/>
            </w:tcBorders>
          </w:tcPr>
          <w:p>
            <w:pPr>
              <w:spacing w:after="0" w:line="20" w:lineRule="exact"/>
              <w:rPr>
                <w:sz w:val="1"/>
                <w:szCs w:val="1"/>
                <w:color w:val="auto"/>
              </w:rPr>
            </w:pPr>
          </w:p>
        </w:tc>
      </w:tr>
      <w:tr>
        <w:trPr>
          <w:trHeight w:val="187"/>
        </w:trPr>
        <w:tc>
          <w:tcPr>
            <w:tcW w:w="1280" w:type="dxa"/>
            <w:vAlign w:val="bottom"/>
          </w:tcPr>
          <w:p>
            <w:pPr>
              <w:ind w:left="20"/>
              <w:spacing w:after="0"/>
              <w:rPr>
                <w:sz w:val="20"/>
                <w:szCs w:val="20"/>
                <w:color w:val="auto"/>
              </w:rPr>
            </w:pPr>
            <w:r>
              <w:rPr>
                <w:rFonts w:ascii="Arial" w:cs="Arial" w:eastAsia="Arial" w:hAnsi="Arial"/>
                <w:sz w:val="14"/>
                <w:szCs w:val="14"/>
                <w:color w:val="auto"/>
              </w:rPr>
              <w:t>January 28</w:t>
            </w:r>
          </w:p>
        </w:tc>
        <w:tc>
          <w:tcPr>
            <w:tcW w:w="3520" w:type="dxa"/>
            <w:vAlign w:val="bottom"/>
          </w:tcPr>
          <w:p>
            <w:pPr>
              <w:ind w:left="320"/>
              <w:spacing w:after="0"/>
              <w:rPr>
                <w:sz w:val="20"/>
                <w:szCs w:val="20"/>
                <w:color w:val="auto"/>
              </w:rPr>
            </w:pPr>
            <w:r>
              <w:rPr>
                <w:rFonts w:ascii="Arial" w:cs="Arial" w:eastAsia="Arial" w:hAnsi="Arial"/>
                <w:sz w:val="14"/>
                <w:szCs w:val="14"/>
                <w:color w:val="auto"/>
              </w:rPr>
              <w:t>A Discussion with Geopolitical Expert</w:t>
            </w:r>
          </w:p>
        </w:tc>
        <w:tc>
          <w:tcPr>
            <w:tcW w:w="3160" w:type="dxa"/>
            <w:vAlign w:val="bottom"/>
          </w:tcPr>
          <w:p>
            <w:pPr>
              <w:ind w:left="60"/>
              <w:spacing w:after="0"/>
              <w:rPr>
                <w:sz w:val="20"/>
                <w:szCs w:val="20"/>
                <w:color w:val="auto"/>
              </w:rPr>
            </w:pPr>
            <w:r>
              <w:rPr>
                <w:rFonts w:ascii="Arial" w:cs="Arial" w:eastAsia="Arial" w:hAnsi="Arial"/>
                <w:sz w:val="14"/>
                <w:szCs w:val="14"/>
                <w:color w:val="auto"/>
              </w:rPr>
              <w:t>Scotiabank</w:t>
            </w:r>
          </w:p>
        </w:tc>
        <w:tc>
          <w:tcPr>
            <w:tcW w:w="2000" w:type="dxa"/>
            <w:vAlign w:val="bottom"/>
          </w:tcPr>
          <w:p>
            <w:pPr>
              <w:ind w:left="360"/>
              <w:spacing w:after="0"/>
              <w:rPr>
                <w:sz w:val="20"/>
                <w:szCs w:val="20"/>
                <w:color w:val="auto"/>
              </w:rPr>
            </w:pPr>
            <w:r>
              <w:rPr>
                <w:rFonts w:ascii="Arial" w:cs="Arial" w:eastAsia="Arial" w:hAnsi="Arial"/>
                <w:sz w:val="14"/>
                <w:szCs w:val="14"/>
                <w:color w:val="auto"/>
              </w:rPr>
              <w:t>Michael R. Culbert</w:t>
            </w:r>
          </w:p>
        </w:tc>
      </w:tr>
      <w:tr>
        <w:trPr>
          <w:trHeight w:val="21"/>
        </w:trPr>
        <w:tc>
          <w:tcPr>
            <w:tcW w:w="128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3160" w:type="dxa"/>
            <w:vAlign w:val="bottom"/>
            <w:tcBorders>
              <w:bottom w:val="single" w:sz="8" w:color="B2B2B2"/>
            </w:tcBorders>
          </w:tcPr>
          <w:p>
            <w:pPr>
              <w:spacing w:after="0" w:line="20" w:lineRule="exact"/>
              <w:rPr>
                <w:sz w:val="1"/>
                <w:szCs w:val="1"/>
                <w:color w:val="auto"/>
              </w:rPr>
            </w:pPr>
          </w:p>
        </w:tc>
        <w:tc>
          <w:tcPr>
            <w:tcW w:w="2000" w:type="dxa"/>
            <w:vAlign w:val="bottom"/>
            <w:tcBorders>
              <w:bottom w:val="single" w:sz="8" w:color="B2B2B2"/>
            </w:tcBorders>
          </w:tcPr>
          <w:p>
            <w:pPr>
              <w:spacing w:after="0" w:line="20" w:lineRule="exact"/>
              <w:rPr>
                <w:sz w:val="1"/>
                <w:szCs w:val="1"/>
                <w:color w:val="auto"/>
              </w:rPr>
            </w:pPr>
          </w:p>
        </w:tc>
      </w:tr>
      <w:tr>
        <w:trPr>
          <w:trHeight w:val="159"/>
        </w:trPr>
        <w:tc>
          <w:tcPr>
            <w:tcW w:w="1280" w:type="dxa"/>
            <w:vAlign w:val="bottom"/>
          </w:tcPr>
          <w:p>
            <w:pPr>
              <w:ind w:left="20"/>
              <w:spacing w:after="0" w:line="159" w:lineRule="exact"/>
              <w:rPr>
                <w:sz w:val="20"/>
                <w:szCs w:val="20"/>
                <w:color w:val="auto"/>
              </w:rPr>
            </w:pPr>
            <w:r>
              <w:rPr>
                <w:rFonts w:ascii="Arial" w:cs="Arial" w:eastAsia="Arial" w:hAnsi="Arial"/>
                <w:sz w:val="14"/>
                <w:szCs w:val="14"/>
                <w:color w:val="auto"/>
              </w:rPr>
              <w:t>January 29</w:t>
            </w:r>
          </w:p>
        </w:tc>
        <w:tc>
          <w:tcPr>
            <w:tcW w:w="3520" w:type="dxa"/>
            <w:vAlign w:val="bottom"/>
          </w:tcPr>
          <w:p>
            <w:pPr>
              <w:ind w:left="320"/>
              <w:spacing w:after="0" w:line="159" w:lineRule="exact"/>
              <w:rPr>
                <w:sz w:val="20"/>
                <w:szCs w:val="20"/>
                <w:color w:val="auto"/>
              </w:rPr>
            </w:pPr>
            <w:r>
              <w:rPr>
                <w:rFonts w:ascii="Arial" w:cs="Arial" w:eastAsia="Arial" w:hAnsi="Arial"/>
                <w:sz w:val="14"/>
                <w:szCs w:val="14"/>
                <w:color w:val="auto"/>
              </w:rPr>
              <w:t>Board Oversight in Building a Resilient Corporate</w:t>
            </w:r>
          </w:p>
        </w:tc>
        <w:tc>
          <w:tcPr>
            <w:tcW w:w="3160" w:type="dxa"/>
            <w:vAlign w:val="bottom"/>
          </w:tcPr>
          <w:p>
            <w:pPr>
              <w:ind w:left="60"/>
              <w:spacing w:after="0" w:line="159" w:lineRule="exact"/>
              <w:rPr>
                <w:sz w:val="20"/>
                <w:szCs w:val="20"/>
                <w:color w:val="auto"/>
              </w:rPr>
            </w:pPr>
            <w:r>
              <w:rPr>
                <w:rFonts w:ascii="Arial" w:cs="Arial" w:eastAsia="Arial" w:hAnsi="Arial"/>
                <w:sz w:val="14"/>
                <w:szCs w:val="14"/>
                <w:color w:val="auto"/>
              </w:rPr>
              <w:t>National Association of Corporate Directors</w:t>
            </w:r>
          </w:p>
        </w:tc>
        <w:tc>
          <w:tcPr>
            <w:tcW w:w="2000" w:type="dxa"/>
            <w:vAlign w:val="bottom"/>
          </w:tcPr>
          <w:p>
            <w:pPr>
              <w:ind w:left="360"/>
              <w:spacing w:after="0" w:line="159" w:lineRule="exact"/>
              <w:rPr>
                <w:sz w:val="20"/>
                <w:szCs w:val="20"/>
                <w:color w:val="auto"/>
              </w:rPr>
            </w:pPr>
            <w:r>
              <w:rPr>
                <w:rFonts w:ascii="Arial" w:cs="Arial" w:eastAsia="Arial" w:hAnsi="Arial"/>
                <w:sz w:val="14"/>
                <w:szCs w:val="14"/>
                <w:color w:val="auto"/>
              </w:rPr>
              <w:t>Cheryl F. Campbell</w:t>
            </w:r>
          </w:p>
        </w:tc>
      </w:tr>
      <w:tr>
        <w:trPr>
          <w:trHeight w:val="190"/>
        </w:trPr>
        <w:tc>
          <w:tcPr>
            <w:tcW w:w="1280" w:type="dxa"/>
            <w:vAlign w:val="bottom"/>
          </w:tcPr>
          <w:p>
            <w:pPr>
              <w:spacing w:after="0"/>
              <w:rPr>
                <w:sz w:val="16"/>
                <w:szCs w:val="16"/>
                <w:color w:val="auto"/>
              </w:rPr>
            </w:pPr>
          </w:p>
        </w:tc>
        <w:tc>
          <w:tcPr>
            <w:tcW w:w="3520" w:type="dxa"/>
            <w:vAlign w:val="bottom"/>
          </w:tcPr>
          <w:p>
            <w:pPr>
              <w:ind w:left="320"/>
              <w:spacing w:after="0"/>
              <w:rPr>
                <w:sz w:val="20"/>
                <w:szCs w:val="20"/>
                <w:color w:val="auto"/>
              </w:rPr>
            </w:pPr>
            <w:r>
              <w:rPr>
                <w:rFonts w:ascii="Arial" w:cs="Arial" w:eastAsia="Arial" w:hAnsi="Arial"/>
                <w:sz w:val="14"/>
                <w:szCs w:val="14"/>
                <w:color w:val="auto"/>
              </w:rPr>
              <w:t>Culture</w:t>
            </w:r>
          </w:p>
        </w:tc>
        <w:tc>
          <w:tcPr>
            <w:tcW w:w="316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
        </w:trPr>
        <w:tc>
          <w:tcPr>
            <w:tcW w:w="128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3160" w:type="dxa"/>
            <w:vAlign w:val="bottom"/>
            <w:tcBorders>
              <w:bottom w:val="single" w:sz="8" w:color="B2B2B2"/>
            </w:tcBorders>
          </w:tcPr>
          <w:p>
            <w:pPr>
              <w:spacing w:after="0" w:line="20" w:lineRule="exact"/>
              <w:rPr>
                <w:sz w:val="1"/>
                <w:szCs w:val="1"/>
                <w:color w:val="auto"/>
              </w:rPr>
            </w:pPr>
          </w:p>
        </w:tc>
        <w:tc>
          <w:tcPr>
            <w:tcW w:w="2000" w:type="dxa"/>
            <w:vAlign w:val="bottom"/>
            <w:tcBorders>
              <w:bottom w:val="single" w:sz="8" w:color="B2B2B2"/>
            </w:tcBorders>
          </w:tcPr>
          <w:p>
            <w:pPr>
              <w:spacing w:after="0" w:line="20" w:lineRule="exact"/>
              <w:rPr>
                <w:sz w:val="1"/>
                <w:szCs w:val="1"/>
                <w:color w:val="auto"/>
              </w:rPr>
            </w:pPr>
          </w:p>
        </w:tc>
      </w:tr>
      <w:tr>
        <w:trPr>
          <w:trHeight w:val="159"/>
        </w:trPr>
        <w:tc>
          <w:tcPr>
            <w:tcW w:w="1280" w:type="dxa"/>
            <w:vAlign w:val="bottom"/>
          </w:tcPr>
          <w:p>
            <w:pPr>
              <w:ind w:left="20"/>
              <w:spacing w:after="0" w:line="159" w:lineRule="exact"/>
              <w:rPr>
                <w:sz w:val="20"/>
                <w:szCs w:val="20"/>
                <w:color w:val="auto"/>
              </w:rPr>
            </w:pPr>
            <w:r>
              <w:rPr>
                <w:rFonts w:ascii="Arial" w:cs="Arial" w:eastAsia="Arial" w:hAnsi="Arial"/>
                <w:sz w:val="14"/>
                <w:szCs w:val="14"/>
                <w:color w:val="auto"/>
              </w:rPr>
              <w:t>January 30</w:t>
            </w:r>
          </w:p>
        </w:tc>
        <w:tc>
          <w:tcPr>
            <w:tcW w:w="3520" w:type="dxa"/>
            <w:vAlign w:val="bottom"/>
          </w:tcPr>
          <w:p>
            <w:pPr>
              <w:ind w:left="320"/>
              <w:spacing w:after="0" w:line="159" w:lineRule="exact"/>
              <w:rPr>
                <w:sz w:val="20"/>
                <w:szCs w:val="20"/>
                <w:color w:val="auto"/>
              </w:rPr>
            </w:pPr>
            <w:r>
              <w:rPr>
                <w:rFonts w:ascii="Arial" w:cs="Arial" w:eastAsia="Arial" w:hAnsi="Arial"/>
                <w:sz w:val="14"/>
                <w:szCs w:val="14"/>
                <w:color w:val="auto"/>
              </w:rPr>
              <w:t>DeepSeek and Stargate: Implications Across the</w:t>
            </w:r>
          </w:p>
        </w:tc>
        <w:tc>
          <w:tcPr>
            <w:tcW w:w="3160" w:type="dxa"/>
            <w:vAlign w:val="bottom"/>
          </w:tcPr>
          <w:p>
            <w:pPr>
              <w:ind w:left="60"/>
              <w:spacing w:after="0" w:line="159" w:lineRule="exact"/>
              <w:rPr>
                <w:sz w:val="20"/>
                <w:szCs w:val="20"/>
                <w:color w:val="auto"/>
              </w:rPr>
            </w:pPr>
            <w:r>
              <w:rPr>
                <w:rFonts w:ascii="Arial" w:cs="Arial" w:eastAsia="Arial" w:hAnsi="Arial"/>
                <w:sz w:val="14"/>
                <w:szCs w:val="14"/>
                <w:color w:val="auto"/>
              </w:rPr>
              <w:t>Morgan Stanley</w:t>
            </w:r>
          </w:p>
        </w:tc>
        <w:tc>
          <w:tcPr>
            <w:tcW w:w="2000" w:type="dxa"/>
            <w:vAlign w:val="bottom"/>
          </w:tcPr>
          <w:p>
            <w:pPr>
              <w:ind w:left="360"/>
              <w:spacing w:after="0" w:line="159" w:lineRule="exact"/>
              <w:rPr>
                <w:sz w:val="20"/>
                <w:szCs w:val="20"/>
                <w:color w:val="auto"/>
              </w:rPr>
            </w:pPr>
            <w:r>
              <w:rPr>
                <w:rFonts w:ascii="Arial" w:cs="Arial" w:eastAsia="Arial" w:hAnsi="Arial"/>
                <w:sz w:val="14"/>
                <w:szCs w:val="14"/>
                <w:color w:val="auto"/>
              </w:rPr>
              <w:t>Cheryl F. Campbell</w:t>
            </w:r>
          </w:p>
        </w:tc>
      </w:tr>
      <w:tr>
        <w:trPr>
          <w:trHeight w:val="190"/>
        </w:trPr>
        <w:tc>
          <w:tcPr>
            <w:tcW w:w="1280" w:type="dxa"/>
            <w:vAlign w:val="bottom"/>
          </w:tcPr>
          <w:p>
            <w:pPr>
              <w:spacing w:after="0"/>
              <w:rPr>
                <w:sz w:val="16"/>
                <w:szCs w:val="16"/>
                <w:color w:val="auto"/>
              </w:rPr>
            </w:pPr>
          </w:p>
        </w:tc>
        <w:tc>
          <w:tcPr>
            <w:tcW w:w="3520" w:type="dxa"/>
            <w:vAlign w:val="bottom"/>
          </w:tcPr>
          <w:p>
            <w:pPr>
              <w:ind w:left="320"/>
              <w:spacing w:after="0"/>
              <w:rPr>
                <w:sz w:val="20"/>
                <w:szCs w:val="20"/>
                <w:color w:val="auto"/>
              </w:rPr>
            </w:pPr>
            <w:r>
              <w:rPr>
                <w:rFonts w:ascii="Arial" w:cs="Arial" w:eastAsia="Arial" w:hAnsi="Arial"/>
                <w:sz w:val="14"/>
                <w:szCs w:val="14"/>
                <w:color w:val="auto"/>
              </w:rPr>
              <w:t>Power Sector</w:t>
            </w:r>
          </w:p>
        </w:tc>
        <w:tc>
          <w:tcPr>
            <w:tcW w:w="316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
        </w:trPr>
        <w:tc>
          <w:tcPr>
            <w:tcW w:w="128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3160" w:type="dxa"/>
            <w:vAlign w:val="bottom"/>
            <w:tcBorders>
              <w:bottom w:val="single" w:sz="8" w:color="B2B2B2"/>
            </w:tcBorders>
          </w:tcPr>
          <w:p>
            <w:pPr>
              <w:spacing w:after="0" w:line="20" w:lineRule="exact"/>
              <w:rPr>
                <w:sz w:val="1"/>
                <w:szCs w:val="1"/>
                <w:color w:val="auto"/>
              </w:rPr>
            </w:pPr>
          </w:p>
        </w:tc>
        <w:tc>
          <w:tcPr>
            <w:tcW w:w="2000" w:type="dxa"/>
            <w:vAlign w:val="bottom"/>
            <w:tcBorders>
              <w:bottom w:val="single" w:sz="8" w:color="B2B2B2"/>
            </w:tcBorders>
          </w:tcPr>
          <w:p>
            <w:pPr>
              <w:spacing w:after="0" w:line="20" w:lineRule="exact"/>
              <w:rPr>
                <w:sz w:val="1"/>
                <w:szCs w:val="1"/>
                <w:color w:val="auto"/>
              </w:rPr>
            </w:pPr>
          </w:p>
        </w:tc>
      </w:tr>
      <w:tr>
        <w:trPr>
          <w:trHeight w:val="159"/>
        </w:trPr>
        <w:tc>
          <w:tcPr>
            <w:tcW w:w="1280" w:type="dxa"/>
            <w:vAlign w:val="bottom"/>
          </w:tcPr>
          <w:p>
            <w:pPr>
              <w:ind w:left="20"/>
              <w:spacing w:after="0" w:line="159" w:lineRule="exact"/>
              <w:rPr>
                <w:sz w:val="20"/>
                <w:szCs w:val="20"/>
                <w:color w:val="auto"/>
              </w:rPr>
            </w:pPr>
            <w:r>
              <w:rPr>
                <w:rFonts w:ascii="Arial" w:cs="Arial" w:eastAsia="Arial" w:hAnsi="Arial"/>
                <w:sz w:val="14"/>
                <w:szCs w:val="14"/>
                <w:color w:val="auto"/>
              </w:rPr>
              <w:t>February 6</w:t>
            </w:r>
          </w:p>
        </w:tc>
        <w:tc>
          <w:tcPr>
            <w:tcW w:w="3520" w:type="dxa"/>
            <w:vAlign w:val="bottom"/>
          </w:tcPr>
          <w:p>
            <w:pPr>
              <w:ind w:left="320"/>
              <w:spacing w:after="0" w:line="159" w:lineRule="exact"/>
              <w:rPr>
                <w:sz w:val="20"/>
                <w:szCs w:val="20"/>
                <w:color w:val="auto"/>
              </w:rPr>
            </w:pPr>
            <w:r>
              <w:rPr>
                <w:rFonts w:ascii="Arial" w:cs="Arial" w:eastAsia="Arial" w:hAnsi="Arial"/>
                <w:sz w:val="14"/>
                <w:szCs w:val="14"/>
                <w:color w:val="auto"/>
              </w:rPr>
              <w:t>Climate and Sustainability: Risks and</w:t>
            </w:r>
          </w:p>
        </w:tc>
        <w:tc>
          <w:tcPr>
            <w:tcW w:w="3160" w:type="dxa"/>
            <w:vAlign w:val="bottom"/>
          </w:tcPr>
          <w:p>
            <w:pPr>
              <w:ind w:left="60"/>
              <w:spacing w:after="0" w:line="159" w:lineRule="exact"/>
              <w:rPr>
                <w:sz w:val="20"/>
                <w:szCs w:val="20"/>
                <w:color w:val="auto"/>
              </w:rPr>
            </w:pPr>
            <w:r>
              <w:rPr>
                <w:rFonts w:ascii="Arial" w:cs="Arial" w:eastAsia="Arial" w:hAnsi="Arial"/>
                <w:sz w:val="14"/>
                <w:szCs w:val="14"/>
                <w:color w:val="auto"/>
              </w:rPr>
              <w:t>National Association of Corporate Directors</w:t>
            </w:r>
          </w:p>
        </w:tc>
        <w:tc>
          <w:tcPr>
            <w:tcW w:w="2000" w:type="dxa"/>
            <w:vAlign w:val="bottom"/>
          </w:tcPr>
          <w:p>
            <w:pPr>
              <w:ind w:left="360"/>
              <w:spacing w:after="0" w:line="159" w:lineRule="exact"/>
              <w:rPr>
                <w:sz w:val="20"/>
                <w:szCs w:val="20"/>
                <w:color w:val="auto"/>
              </w:rPr>
            </w:pPr>
            <w:r>
              <w:rPr>
                <w:rFonts w:ascii="Arial" w:cs="Arial" w:eastAsia="Arial" w:hAnsi="Arial"/>
                <w:sz w:val="14"/>
                <w:szCs w:val="14"/>
                <w:color w:val="auto"/>
              </w:rPr>
              <w:t>Cheryl F. Campbell</w:t>
            </w:r>
          </w:p>
        </w:tc>
      </w:tr>
      <w:tr>
        <w:trPr>
          <w:trHeight w:val="190"/>
        </w:trPr>
        <w:tc>
          <w:tcPr>
            <w:tcW w:w="1280" w:type="dxa"/>
            <w:vAlign w:val="bottom"/>
          </w:tcPr>
          <w:p>
            <w:pPr>
              <w:spacing w:after="0"/>
              <w:rPr>
                <w:sz w:val="16"/>
                <w:szCs w:val="16"/>
                <w:color w:val="auto"/>
              </w:rPr>
            </w:pPr>
          </w:p>
        </w:tc>
        <w:tc>
          <w:tcPr>
            <w:tcW w:w="3520" w:type="dxa"/>
            <w:vAlign w:val="bottom"/>
          </w:tcPr>
          <w:p>
            <w:pPr>
              <w:ind w:left="320"/>
              <w:spacing w:after="0"/>
              <w:rPr>
                <w:sz w:val="20"/>
                <w:szCs w:val="20"/>
                <w:color w:val="auto"/>
              </w:rPr>
            </w:pPr>
            <w:r>
              <w:rPr>
                <w:rFonts w:ascii="Arial" w:cs="Arial" w:eastAsia="Arial" w:hAnsi="Arial"/>
                <w:sz w:val="14"/>
                <w:szCs w:val="14"/>
                <w:color w:val="auto"/>
              </w:rPr>
              <w:t>Opportunities</w:t>
            </w:r>
          </w:p>
        </w:tc>
        <w:tc>
          <w:tcPr>
            <w:tcW w:w="316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
        </w:trPr>
        <w:tc>
          <w:tcPr>
            <w:tcW w:w="128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3160" w:type="dxa"/>
            <w:vAlign w:val="bottom"/>
            <w:tcBorders>
              <w:bottom w:val="single" w:sz="8" w:color="B2B2B2"/>
            </w:tcBorders>
          </w:tcPr>
          <w:p>
            <w:pPr>
              <w:spacing w:after="0" w:line="20" w:lineRule="exact"/>
              <w:rPr>
                <w:sz w:val="1"/>
                <w:szCs w:val="1"/>
                <w:color w:val="auto"/>
              </w:rPr>
            </w:pPr>
          </w:p>
        </w:tc>
        <w:tc>
          <w:tcPr>
            <w:tcW w:w="2000" w:type="dxa"/>
            <w:vAlign w:val="bottom"/>
            <w:tcBorders>
              <w:bottom w:val="single" w:sz="8" w:color="B2B2B2"/>
            </w:tcBorders>
          </w:tcPr>
          <w:p>
            <w:pPr>
              <w:spacing w:after="0" w:line="20" w:lineRule="exact"/>
              <w:rPr>
                <w:sz w:val="1"/>
                <w:szCs w:val="1"/>
                <w:color w:val="auto"/>
              </w:rPr>
            </w:pPr>
          </w:p>
        </w:tc>
      </w:tr>
      <w:tr>
        <w:trPr>
          <w:trHeight w:val="187"/>
        </w:trPr>
        <w:tc>
          <w:tcPr>
            <w:tcW w:w="1280" w:type="dxa"/>
            <w:vAlign w:val="bottom"/>
          </w:tcPr>
          <w:p>
            <w:pPr>
              <w:ind w:left="20"/>
              <w:spacing w:after="0"/>
              <w:rPr>
                <w:sz w:val="20"/>
                <w:szCs w:val="20"/>
                <w:color w:val="auto"/>
              </w:rPr>
            </w:pPr>
            <w:r>
              <w:rPr>
                <w:rFonts w:ascii="Arial" w:cs="Arial" w:eastAsia="Arial" w:hAnsi="Arial"/>
                <w:sz w:val="14"/>
                <w:szCs w:val="14"/>
                <w:color w:val="auto"/>
              </w:rPr>
              <w:t>February 27</w:t>
            </w:r>
          </w:p>
        </w:tc>
        <w:tc>
          <w:tcPr>
            <w:tcW w:w="3520" w:type="dxa"/>
            <w:vAlign w:val="bottom"/>
          </w:tcPr>
          <w:p>
            <w:pPr>
              <w:ind w:left="320"/>
              <w:spacing w:after="0"/>
              <w:rPr>
                <w:sz w:val="20"/>
                <w:szCs w:val="20"/>
                <w:color w:val="auto"/>
              </w:rPr>
            </w:pPr>
            <w:r>
              <w:rPr>
                <w:rFonts w:ascii="Arial" w:cs="Arial" w:eastAsia="Arial" w:hAnsi="Arial"/>
                <w:sz w:val="14"/>
                <w:szCs w:val="14"/>
                <w:color w:val="auto"/>
              </w:rPr>
              <w:t>Boardroom Financials Essentials</w:t>
            </w:r>
          </w:p>
        </w:tc>
        <w:tc>
          <w:tcPr>
            <w:tcW w:w="3160" w:type="dxa"/>
            <w:vAlign w:val="bottom"/>
          </w:tcPr>
          <w:p>
            <w:pPr>
              <w:ind w:left="60"/>
              <w:spacing w:after="0"/>
              <w:rPr>
                <w:sz w:val="20"/>
                <w:szCs w:val="20"/>
                <w:color w:val="auto"/>
              </w:rPr>
            </w:pPr>
            <w:r>
              <w:rPr>
                <w:rFonts w:ascii="Arial" w:cs="Arial" w:eastAsia="Arial" w:hAnsi="Arial"/>
                <w:sz w:val="14"/>
                <w:szCs w:val="14"/>
                <w:color w:val="auto"/>
              </w:rPr>
              <w:t>Institute of Corporate Directors</w:t>
            </w:r>
          </w:p>
        </w:tc>
        <w:tc>
          <w:tcPr>
            <w:tcW w:w="2000" w:type="dxa"/>
            <w:vAlign w:val="bottom"/>
          </w:tcPr>
          <w:p>
            <w:pPr>
              <w:ind w:left="360"/>
              <w:spacing w:after="0"/>
              <w:rPr>
                <w:sz w:val="20"/>
                <w:szCs w:val="20"/>
                <w:color w:val="auto"/>
              </w:rPr>
            </w:pPr>
            <w:r>
              <w:rPr>
                <w:rFonts w:ascii="Arial" w:cs="Arial" w:eastAsia="Arial" w:hAnsi="Arial"/>
                <w:sz w:val="14"/>
                <w:szCs w:val="14"/>
                <w:color w:val="auto"/>
              </w:rPr>
              <w:t>Susan C. Jones</w:t>
            </w:r>
          </w:p>
        </w:tc>
      </w:tr>
      <w:tr>
        <w:trPr>
          <w:trHeight w:val="21"/>
        </w:trPr>
        <w:tc>
          <w:tcPr>
            <w:tcW w:w="128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3160" w:type="dxa"/>
            <w:vAlign w:val="bottom"/>
            <w:tcBorders>
              <w:bottom w:val="single" w:sz="8" w:color="B2B2B2"/>
            </w:tcBorders>
          </w:tcPr>
          <w:p>
            <w:pPr>
              <w:spacing w:after="0" w:line="20" w:lineRule="exact"/>
              <w:rPr>
                <w:sz w:val="1"/>
                <w:szCs w:val="1"/>
                <w:color w:val="auto"/>
              </w:rPr>
            </w:pPr>
          </w:p>
        </w:tc>
        <w:tc>
          <w:tcPr>
            <w:tcW w:w="2000" w:type="dxa"/>
            <w:vAlign w:val="bottom"/>
            <w:tcBorders>
              <w:bottom w:val="single" w:sz="8" w:color="B2B2B2"/>
            </w:tcBorders>
          </w:tcPr>
          <w:p>
            <w:pPr>
              <w:spacing w:after="0" w:line="20" w:lineRule="exact"/>
              <w:rPr>
                <w:sz w:val="1"/>
                <w:szCs w:val="1"/>
                <w:color w:val="auto"/>
              </w:rPr>
            </w:pPr>
          </w:p>
        </w:tc>
      </w:tr>
      <w:tr>
        <w:trPr>
          <w:trHeight w:val="159"/>
        </w:trPr>
        <w:tc>
          <w:tcPr>
            <w:tcW w:w="1280" w:type="dxa"/>
            <w:vAlign w:val="bottom"/>
          </w:tcPr>
          <w:p>
            <w:pPr>
              <w:ind w:left="20"/>
              <w:spacing w:after="0" w:line="159" w:lineRule="exact"/>
              <w:rPr>
                <w:sz w:val="20"/>
                <w:szCs w:val="20"/>
                <w:color w:val="auto"/>
              </w:rPr>
            </w:pPr>
            <w:r>
              <w:rPr>
                <w:rFonts w:ascii="Arial" w:cs="Arial" w:eastAsia="Arial" w:hAnsi="Arial"/>
                <w:sz w:val="14"/>
                <w:szCs w:val="14"/>
                <w:color w:val="auto"/>
              </w:rPr>
              <w:t>April 10 and 11</w:t>
            </w:r>
          </w:p>
        </w:tc>
        <w:tc>
          <w:tcPr>
            <w:tcW w:w="3520" w:type="dxa"/>
            <w:vAlign w:val="bottom"/>
          </w:tcPr>
          <w:p>
            <w:pPr>
              <w:ind w:left="320"/>
              <w:spacing w:after="0" w:line="159" w:lineRule="exact"/>
              <w:rPr>
                <w:sz w:val="20"/>
                <w:szCs w:val="20"/>
                <w:color w:val="auto"/>
              </w:rPr>
            </w:pPr>
            <w:r>
              <w:rPr>
                <w:rFonts w:ascii="Arial" w:cs="Arial" w:eastAsia="Arial" w:hAnsi="Arial"/>
                <w:sz w:val="14"/>
                <w:szCs w:val="14"/>
                <w:color w:val="auto"/>
              </w:rPr>
              <w:t>Spring WEDNET (Women Energy Directors</w:t>
            </w:r>
          </w:p>
        </w:tc>
        <w:tc>
          <w:tcPr>
            <w:tcW w:w="3160" w:type="dxa"/>
            <w:vAlign w:val="bottom"/>
          </w:tcPr>
          <w:p>
            <w:pPr>
              <w:ind w:left="60"/>
              <w:spacing w:after="0" w:line="159" w:lineRule="exact"/>
              <w:rPr>
                <w:sz w:val="20"/>
                <w:szCs w:val="20"/>
                <w:color w:val="auto"/>
              </w:rPr>
            </w:pPr>
            <w:r>
              <w:rPr>
                <w:rFonts w:ascii="Arial" w:cs="Arial" w:eastAsia="Arial" w:hAnsi="Arial"/>
                <w:sz w:val="14"/>
                <w:szCs w:val="14"/>
                <w:color w:val="auto"/>
              </w:rPr>
              <w:t>Morgan Stanley</w:t>
            </w:r>
          </w:p>
        </w:tc>
        <w:tc>
          <w:tcPr>
            <w:tcW w:w="2000" w:type="dxa"/>
            <w:vAlign w:val="bottom"/>
          </w:tcPr>
          <w:p>
            <w:pPr>
              <w:ind w:left="360"/>
              <w:spacing w:after="0" w:line="159" w:lineRule="exact"/>
              <w:rPr>
                <w:sz w:val="20"/>
                <w:szCs w:val="20"/>
                <w:color w:val="auto"/>
              </w:rPr>
            </w:pPr>
            <w:r>
              <w:rPr>
                <w:rFonts w:ascii="Arial" w:cs="Arial" w:eastAsia="Arial" w:hAnsi="Arial"/>
                <w:sz w:val="14"/>
                <w:szCs w:val="14"/>
                <w:color w:val="auto"/>
              </w:rPr>
              <w:t>Cheryl F. Campbell</w:t>
            </w:r>
          </w:p>
        </w:tc>
      </w:tr>
      <w:tr>
        <w:trPr>
          <w:trHeight w:val="190"/>
        </w:trPr>
        <w:tc>
          <w:tcPr>
            <w:tcW w:w="1280" w:type="dxa"/>
            <w:vAlign w:val="bottom"/>
          </w:tcPr>
          <w:p>
            <w:pPr>
              <w:spacing w:after="0"/>
              <w:rPr>
                <w:sz w:val="16"/>
                <w:szCs w:val="16"/>
                <w:color w:val="auto"/>
              </w:rPr>
            </w:pPr>
          </w:p>
        </w:tc>
        <w:tc>
          <w:tcPr>
            <w:tcW w:w="3520" w:type="dxa"/>
            <w:vAlign w:val="bottom"/>
          </w:tcPr>
          <w:p>
            <w:pPr>
              <w:ind w:left="320"/>
              <w:spacing w:after="0"/>
              <w:rPr>
                <w:sz w:val="20"/>
                <w:szCs w:val="20"/>
                <w:color w:val="auto"/>
              </w:rPr>
            </w:pPr>
            <w:r>
              <w:rPr>
                <w:rFonts w:ascii="Arial" w:cs="Arial" w:eastAsia="Arial" w:hAnsi="Arial"/>
                <w:sz w:val="14"/>
                <w:szCs w:val="14"/>
                <w:color w:val="auto"/>
              </w:rPr>
              <w:t>Network) Meeting</w:t>
            </w:r>
          </w:p>
        </w:tc>
        <w:tc>
          <w:tcPr>
            <w:tcW w:w="316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
        </w:trPr>
        <w:tc>
          <w:tcPr>
            <w:tcW w:w="128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3160" w:type="dxa"/>
            <w:vAlign w:val="bottom"/>
            <w:tcBorders>
              <w:bottom w:val="single" w:sz="8" w:color="B2B2B2"/>
            </w:tcBorders>
          </w:tcPr>
          <w:p>
            <w:pPr>
              <w:spacing w:after="0" w:line="20" w:lineRule="exact"/>
              <w:rPr>
                <w:sz w:val="1"/>
                <w:szCs w:val="1"/>
                <w:color w:val="auto"/>
              </w:rPr>
            </w:pPr>
          </w:p>
        </w:tc>
        <w:tc>
          <w:tcPr>
            <w:tcW w:w="2000" w:type="dxa"/>
            <w:vAlign w:val="bottom"/>
            <w:tcBorders>
              <w:bottom w:val="single" w:sz="8" w:color="B2B2B2"/>
            </w:tcBorders>
          </w:tcPr>
          <w:p>
            <w:pPr>
              <w:spacing w:after="0" w:line="20" w:lineRule="exact"/>
              <w:rPr>
                <w:sz w:val="1"/>
                <w:szCs w:val="1"/>
                <w:color w:val="auto"/>
              </w:rPr>
            </w:pPr>
          </w:p>
        </w:tc>
      </w:tr>
      <w:tr>
        <w:trPr>
          <w:trHeight w:val="187"/>
        </w:trPr>
        <w:tc>
          <w:tcPr>
            <w:tcW w:w="1280" w:type="dxa"/>
            <w:vAlign w:val="bottom"/>
          </w:tcPr>
          <w:p>
            <w:pPr>
              <w:ind w:left="20"/>
              <w:spacing w:after="0"/>
              <w:rPr>
                <w:sz w:val="20"/>
                <w:szCs w:val="20"/>
                <w:color w:val="auto"/>
              </w:rPr>
            </w:pPr>
            <w:r>
              <w:rPr>
                <w:rFonts w:ascii="Arial" w:cs="Arial" w:eastAsia="Arial" w:hAnsi="Arial"/>
                <w:sz w:val="14"/>
                <w:szCs w:val="14"/>
                <w:color w:val="auto"/>
              </w:rPr>
              <w:t>April 15</w:t>
            </w:r>
          </w:p>
        </w:tc>
        <w:tc>
          <w:tcPr>
            <w:tcW w:w="3520" w:type="dxa"/>
            <w:vAlign w:val="bottom"/>
          </w:tcPr>
          <w:p>
            <w:pPr>
              <w:ind w:left="320"/>
              <w:spacing w:after="0"/>
              <w:rPr>
                <w:sz w:val="20"/>
                <w:szCs w:val="20"/>
                <w:color w:val="auto"/>
              </w:rPr>
            </w:pPr>
            <w:r>
              <w:rPr>
                <w:rFonts w:ascii="Arial" w:cs="Arial" w:eastAsia="Arial" w:hAnsi="Arial"/>
                <w:sz w:val="14"/>
                <w:szCs w:val="14"/>
                <w:color w:val="auto"/>
              </w:rPr>
              <w:t>Tariff War + OPEC Production Increase</w:t>
            </w:r>
          </w:p>
        </w:tc>
        <w:tc>
          <w:tcPr>
            <w:tcW w:w="3160" w:type="dxa"/>
            <w:vAlign w:val="bottom"/>
          </w:tcPr>
          <w:p>
            <w:pPr>
              <w:ind w:left="60"/>
              <w:spacing w:after="0"/>
              <w:rPr>
                <w:sz w:val="20"/>
                <w:szCs w:val="20"/>
                <w:color w:val="auto"/>
              </w:rPr>
            </w:pPr>
            <w:r>
              <w:rPr>
                <w:rFonts w:ascii="Arial" w:cs="Arial" w:eastAsia="Arial" w:hAnsi="Arial"/>
                <w:sz w:val="14"/>
                <w:szCs w:val="14"/>
                <w:color w:val="auto"/>
              </w:rPr>
              <w:t>Scotiabank</w:t>
            </w:r>
          </w:p>
        </w:tc>
        <w:tc>
          <w:tcPr>
            <w:tcW w:w="2000" w:type="dxa"/>
            <w:vAlign w:val="bottom"/>
          </w:tcPr>
          <w:p>
            <w:pPr>
              <w:ind w:left="360"/>
              <w:spacing w:after="0"/>
              <w:rPr>
                <w:sz w:val="20"/>
                <w:szCs w:val="20"/>
                <w:color w:val="auto"/>
              </w:rPr>
            </w:pPr>
            <w:r>
              <w:rPr>
                <w:rFonts w:ascii="Arial" w:cs="Arial" w:eastAsia="Arial" w:hAnsi="Arial"/>
                <w:sz w:val="14"/>
                <w:szCs w:val="14"/>
                <w:color w:val="auto"/>
              </w:rPr>
              <w:t>Michael R. Culbert</w:t>
            </w:r>
          </w:p>
        </w:tc>
      </w:tr>
      <w:tr>
        <w:trPr>
          <w:trHeight w:val="21"/>
        </w:trPr>
        <w:tc>
          <w:tcPr>
            <w:tcW w:w="1280" w:type="dxa"/>
            <w:vAlign w:val="bottom"/>
            <w:tcBorders>
              <w:bottom w:val="single" w:sz="8" w:color="0D64EF"/>
            </w:tcBorders>
          </w:tcPr>
          <w:p>
            <w:pPr>
              <w:spacing w:after="0" w:line="20" w:lineRule="exact"/>
              <w:rPr>
                <w:sz w:val="1"/>
                <w:szCs w:val="1"/>
                <w:color w:val="auto"/>
              </w:rPr>
            </w:pPr>
          </w:p>
        </w:tc>
        <w:tc>
          <w:tcPr>
            <w:tcW w:w="3520" w:type="dxa"/>
            <w:vAlign w:val="bottom"/>
            <w:tcBorders>
              <w:bottom w:val="single" w:sz="8" w:color="0D64EF"/>
            </w:tcBorders>
          </w:tcPr>
          <w:p>
            <w:pPr>
              <w:spacing w:after="0" w:line="20" w:lineRule="exact"/>
              <w:rPr>
                <w:sz w:val="1"/>
                <w:szCs w:val="1"/>
                <w:color w:val="auto"/>
              </w:rPr>
            </w:pPr>
          </w:p>
        </w:tc>
        <w:tc>
          <w:tcPr>
            <w:tcW w:w="3160" w:type="dxa"/>
            <w:vAlign w:val="bottom"/>
            <w:tcBorders>
              <w:bottom w:val="single" w:sz="8" w:color="0D64EF"/>
            </w:tcBorders>
          </w:tcPr>
          <w:p>
            <w:pPr>
              <w:spacing w:after="0" w:line="20" w:lineRule="exact"/>
              <w:rPr>
                <w:sz w:val="1"/>
                <w:szCs w:val="1"/>
                <w:color w:val="auto"/>
              </w:rPr>
            </w:pPr>
          </w:p>
        </w:tc>
        <w:tc>
          <w:tcPr>
            <w:tcW w:w="2000" w:type="dxa"/>
            <w:vAlign w:val="bottom"/>
            <w:tcBorders>
              <w:bottom w:val="single" w:sz="8" w:color="0D64E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00"/>
          </w:cols>
          <w:pgMar w:left="320" w:top="1048" w:right="3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4"/>
        </w:trPr>
        <w:tc>
          <w:tcPr>
            <w:tcW w:w="158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Date</w:t>
            </w:r>
          </w:p>
        </w:tc>
        <w:tc>
          <w:tcPr>
            <w:tcW w:w="320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Topic</w:t>
            </w:r>
          </w:p>
        </w:tc>
        <w:tc>
          <w:tcPr>
            <w:tcW w:w="3520" w:type="dxa"/>
            <w:vAlign w:val="bottom"/>
            <w:tcBorders>
              <w:top w:val="single" w:sz="8" w:color="0D64EF"/>
              <w:bottom w:val="single" w:sz="8" w:color="0D64EF"/>
            </w:tcBorders>
            <w:shd w:val="clear" w:color="auto" w:fill="D1D0CF"/>
          </w:tcPr>
          <w:p>
            <w:pPr>
              <w:ind w:left="80"/>
              <w:spacing w:after="0"/>
              <w:rPr>
                <w:sz w:val="20"/>
                <w:szCs w:val="20"/>
                <w:color w:val="auto"/>
              </w:rPr>
            </w:pPr>
            <w:r>
              <w:rPr>
                <w:rFonts w:ascii="Arial" w:cs="Arial" w:eastAsia="Arial" w:hAnsi="Arial"/>
                <w:sz w:val="14"/>
                <w:szCs w:val="14"/>
                <w:b w:val="1"/>
                <w:bCs w:val="1"/>
                <w:color w:val="auto"/>
              </w:rPr>
              <w:t>Presented/hosted by</w:t>
            </w:r>
          </w:p>
        </w:tc>
        <w:tc>
          <w:tcPr>
            <w:tcW w:w="166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Attended by</w:t>
            </w:r>
          </w:p>
        </w:tc>
      </w:tr>
      <w:tr>
        <w:trPr>
          <w:trHeight w:val="188"/>
        </w:trPr>
        <w:tc>
          <w:tcPr>
            <w:tcW w:w="1580" w:type="dxa"/>
            <w:vAlign w:val="bottom"/>
          </w:tcPr>
          <w:p>
            <w:pPr>
              <w:ind w:left="20"/>
              <w:spacing w:after="0"/>
              <w:rPr>
                <w:sz w:val="20"/>
                <w:szCs w:val="20"/>
                <w:color w:val="auto"/>
              </w:rPr>
            </w:pPr>
            <w:r>
              <w:rPr>
                <w:rFonts w:ascii="Arial" w:cs="Arial" w:eastAsia="Arial" w:hAnsi="Arial"/>
                <w:sz w:val="14"/>
                <w:szCs w:val="14"/>
                <w:color w:val="auto"/>
              </w:rPr>
              <w:t>April 22</w:t>
            </w:r>
          </w:p>
        </w:tc>
        <w:tc>
          <w:tcPr>
            <w:tcW w:w="3200" w:type="dxa"/>
            <w:vAlign w:val="bottom"/>
          </w:tcPr>
          <w:p>
            <w:pPr>
              <w:ind w:left="20"/>
              <w:spacing w:after="0"/>
              <w:rPr>
                <w:sz w:val="20"/>
                <w:szCs w:val="20"/>
                <w:color w:val="auto"/>
              </w:rPr>
            </w:pPr>
            <w:r>
              <w:rPr>
                <w:rFonts w:ascii="Arial" w:cs="Arial" w:eastAsia="Arial" w:hAnsi="Arial"/>
                <w:sz w:val="14"/>
                <w:szCs w:val="14"/>
                <w:color w:val="auto"/>
              </w:rPr>
              <w:t>Board Resolutions Series</w:t>
            </w:r>
          </w:p>
        </w:tc>
        <w:tc>
          <w:tcPr>
            <w:tcW w:w="3520" w:type="dxa"/>
            <w:vAlign w:val="bottom"/>
          </w:tcPr>
          <w:p>
            <w:pPr>
              <w:ind w:left="80"/>
              <w:spacing w:after="0"/>
              <w:rPr>
                <w:sz w:val="20"/>
                <w:szCs w:val="20"/>
                <w:color w:val="auto"/>
              </w:rPr>
            </w:pPr>
            <w:r>
              <w:rPr>
                <w:rFonts w:ascii="Arial" w:cs="Arial" w:eastAsia="Arial" w:hAnsi="Arial"/>
                <w:sz w:val="14"/>
                <w:szCs w:val="14"/>
                <w:color w:val="auto"/>
              </w:rPr>
              <w:t>Tudor, Pickering, Holt &amp; Co.</w:t>
            </w:r>
          </w:p>
        </w:tc>
        <w:tc>
          <w:tcPr>
            <w:tcW w:w="1660" w:type="dxa"/>
            <w:vAlign w:val="bottom"/>
          </w:tcPr>
          <w:p>
            <w:pPr>
              <w:ind w:left="20"/>
              <w:spacing w:after="0"/>
              <w:rPr>
                <w:sz w:val="20"/>
                <w:szCs w:val="20"/>
                <w:color w:val="auto"/>
              </w:rPr>
            </w:pPr>
            <w:r>
              <w:rPr>
                <w:rFonts w:ascii="Arial" w:cs="Arial" w:eastAsia="Arial" w:hAnsi="Arial"/>
                <w:sz w:val="14"/>
                <w:szCs w:val="14"/>
                <w:color w:val="auto"/>
              </w:rPr>
              <w:t>Michael R. Culbert</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April 24</w:t>
            </w:r>
          </w:p>
        </w:tc>
        <w:tc>
          <w:tcPr>
            <w:tcW w:w="3200" w:type="dxa"/>
            <w:vAlign w:val="bottom"/>
          </w:tcPr>
          <w:p>
            <w:pPr>
              <w:ind w:left="20"/>
              <w:spacing w:after="0"/>
              <w:rPr>
                <w:sz w:val="20"/>
                <w:szCs w:val="20"/>
                <w:color w:val="auto"/>
              </w:rPr>
            </w:pPr>
            <w:r>
              <w:rPr>
                <w:rFonts w:ascii="Arial" w:cs="Arial" w:eastAsia="Arial" w:hAnsi="Arial"/>
                <w:sz w:val="14"/>
                <w:szCs w:val="14"/>
                <w:color w:val="auto"/>
              </w:rPr>
              <w:t>Technology Leadership in the Boardroom</w:t>
            </w:r>
          </w:p>
        </w:tc>
        <w:tc>
          <w:tcPr>
            <w:tcW w:w="3520" w:type="dxa"/>
            <w:vAlign w:val="bottom"/>
          </w:tcPr>
          <w:p>
            <w:pPr>
              <w:ind w:left="80"/>
              <w:spacing w:after="0"/>
              <w:rPr>
                <w:sz w:val="20"/>
                <w:szCs w:val="20"/>
                <w:color w:val="auto"/>
              </w:rPr>
            </w:pPr>
            <w:r>
              <w:rPr>
                <w:rFonts w:ascii="Arial" w:cs="Arial" w:eastAsia="Arial" w:hAnsi="Arial"/>
                <w:sz w:val="14"/>
                <w:szCs w:val="14"/>
                <w:color w:val="auto"/>
              </w:rPr>
              <w:t>National Association of Corporate Directors</w:t>
            </w:r>
          </w:p>
        </w:tc>
        <w:tc>
          <w:tcPr>
            <w:tcW w:w="1660" w:type="dxa"/>
            <w:vAlign w:val="bottom"/>
          </w:tcPr>
          <w:p>
            <w:pPr>
              <w:ind w:left="20"/>
              <w:spacing w:after="0"/>
              <w:rPr>
                <w:sz w:val="20"/>
                <w:szCs w:val="20"/>
                <w:color w:val="auto"/>
              </w:rPr>
            </w:pPr>
            <w:r>
              <w:rPr>
                <w:rFonts w:ascii="Arial" w:cs="Arial" w:eastAsia="Arial" w:hAnsi="Arial"/>
                <w:sz w:val="14"/>
                <w:szCs w:val="14"/>
                <w:color w:val="auto"/>
              </w:rPr>
              <w:t>Cheryl F. Campbell</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May 8</w:t>
            </w:r>
          </w:p>
        </w:tc>
        <w:tc>
          <w:tcPr>
            <w:tcW w:w="3200" w:type="dxa"/>
            <w:vAlign w:val="bottom"/>
          </w:tcPr>
          <w:p>
            <w:pPr>
              <w:ind w:left="20"/>
              <w:spacing w:after="0"/>
              <w:rPr>
                <w:sz w:val="20"/>
                <w:szCs w:val="20"/>
                <w:color w:val="auto"/>
              </w:rPr>
            </w:pPr>
            <w:r>
              <w:rPr>
                <w:rFonts w:ascii="Arial" w:cs="Arial" w:eastAsia="Arial" w:hAnsi="Arial"/>
                <w:sz w:val="14"/>
                <w:szCs w:val="14"/>
                <w:color w:val="auto"/>
              </w:rPr>
              <w:t>Board Room Strategies - Evolving DE&amp;I</w:t>
            </w:r>
          </w:p>
        </w:tc>
        <w:tc>
          <w:tcPr>
            <w:tcW w:w="3520" w:type="dxa"/>
            <w:vAlign w:val="bottom"/>
          </w:tcPr>
          <w:p>
            <w:pPr>
              <w:ind w:left="80"/>
              <w:spacing w:after="0"/>
              <w:rPr>
                <w:sz w:val="20"/>
                <w:szCs w:val="20"/>
                <w:color w:val="auto"/>
              </w:rPr>
            </w:pPr>
            <w:r>
              <w:rPr>
                <w:rFonts w:ascii="Arial" w:cs="Arial" w:eastAsia="Arial" w:hAnsi="Arial"/>
                <w:sz w:val="14"/>
                <w:szCs w:val="14"/>
                <w:color w:val="auto"/>
              </w:rPr>
              <w:t>Board Ready Women</w:t>
            </w:r>
          </w:p>
        </w:tc>
        <w:tc>
          <w:tcPr>
            <w:tcW w:w="1660" w:type="dxa"/>
            <w:vAlign w:val="bottom"/>
          </w:tcPr>
          <w:p>
            <w:pPr>
              <w:ind w:left="20"/>
              <w:spacing w:after="0"/>
              <w:rPr>
                <w:sz w:val="20"/>
                <w:szCs w:val="20"/>
                <w:color w:val="auto"/>
              </w:rPr>
            </w:pPr>
            <w:r>
              <w:rPr>
                <w:rFonts w:ascii="Arial" w:cs="Arial" w:eastAsia="Arial" w:hAnsi="Arial"/>
                <w:sz w:val="14"/>
                <w:szCs w:val="14"/>
                <w:color w:val="auto"/>
              </w:rPr>
              <w:t>Michael R. Culbert</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May 22</w:t>
            </w:r>
          </w:p>
        </w:tc>
        <w:tc>
          <w:tcPr>
            <w:tcW w:w="3200" w:type="dxa"/>
            <w:vAlign w:val="bottom"/>
          </w:tcPr>
          <w:p>
            <w:pPr>
              <w:ind w:left="20"/>
              <w:spacing w:after="0"/>
              <w:rPr>
                <w:sz w:val="20"/>
                <w:szCs w:val="20"/>
                <w:color w:val="auto"/>
              </w:rPr>
            </w:pPr>
            <w:r>
              <w:rPr>
                <w:rFonts w:ascii="Arial" w:cs="Arial" w:eastAsia="Arial" w:hAnsi="Arial"/>
                <w:sz w:val="14"/>
                <w:szCs w:val="14"/>
                <w:color w:val="auto"/>
              </w:rPr>
              <w:t>Board Oversight of Artificial Intelligence</w:t>
            </w:r>
          </w:p>
        </w:tc>
        <w:tc>
          <w:tcPr>
            <w:tcW w:w="3520" w:type="dxa"/>
            <w:vAlign w:val="bottom"/>
          </w:tcPr>
          <w:p>
            <w:pPr>
              <w:ind w:left="80"/>
              <w:spacing w:after="0"/>
              <w:rPr>
                <w:sz w:val="20"/>
                <w:szCs w:val="20"/>
                <w:color w:val="auto"/>
              </w:rPr>
            </w:pPr>
            <w:r>
              <w:rPr>
                <w:rFonts w:ascii="Arial" w:cs="Arial" w:eastAsia="Arial" w:hAnsi="Arial"/>
                <w:sz w:val="14"/>
                <w:szCs w:val="14"/>
                <w:color w:val="auto"/>
              </w:rPr>
              <w:t>Institute of Corporate Directors</w:t>
            </w:r>
          </w:p>
        </w:tc>
        <w:tc>
          <w:tcPr>
            <w:tcW w:w="1660" w:type="dxa"/>
            <w:vAlign w:val="bottom"/>
          </w:tcPr>
          <w:p>
            <w:pPr>
              <w:ind w:left="20"/>
              <w:spacing w:after="0"/>
              <w:rPr>
                <w:sz w:val="20"/>
                <w:szCs w:val="20"/>
                <w:color w:val="auto"/>
              </w:rPr>
            </w:pPr>
            <w:r>
              <w:rPr>
                <w:rFonts w:ascii="Arial" w:cs="Arial" w:eastAsia="Arial" w:hAnsi="Arial"/>
                <w:sz w:val="14"/>
                <w:szCs w:val="14"/>
                <w:color w:val="auto"/>
              </w:rPr>
              <w:t>Susan C. Jones</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59"/>
        </w:trPr>
        <w:tc>
          <w:tcPr>
            <w:tcW w:w="1580" w:type="dxa"/>
            <w:vAlign w:val="bottom"/>
          </w:tcPr>
          <w:p>
            <w:pPr>
              <w:ind w:left="20"/>
              <w:spacing w:after="0" w:line="159" w:lineRule="exact"/>
              <w:rPr>
                <w:sz w:val="20"/>
                <w:szCs w:val="20"/>
                <w:color w:val="auto"/>
              </w:rPr>
            </w:pPr>
            <w:r>
              <w:rPr>
                <w:rFonts w:ascii="Arial" w:cs="Arial" w:eastAsia="Arial" w:hAnsi="Arial"/>
                <w:sz w:val="14"/>
                <w:szCs w:val="14"/>
                <w:color w:val="auto"/>
              </w:rPr>
              <w:t>May 27</w:t>
            </w:r>
          </w:p>
        </w:tc>
        <w:tc>
          <w:tcPr>
            <w:tcW w:w="3200" w:type="dxa"/>
            <w:vAlign w:val="bottom"/>
          </w:tcPr>
          <w:p>
            <w:pPr>
              <w:ind w:left="20"/>
              <w:spacing w:after="0" w:line="159" w:lineRule="exact"/>
              <w:rPr>
                <w:sz w:val="20"/>
                <w:szCs w:val="20"/>
                <w:color w:val="auto"/>
              </w:rPr>
            </w:pPr>
            <w:r>
              <w:rPr>
                <w:rFonts w:ascii="Arial" w:cs="Arial" w:eastAsia="Arial" w:hAnsi="Arial"/>
                <w:sz w:val="14"/>
                <w:szCs w:val="14"/>
                <w:color w:val="auto"/>
              </w:rPr>
              <w:t>Navigating US Policy Shifts - The Implications for</w:t>
            </w:r>
          </w:p>
        </w:tc>
        <w:tc>
          <w:tcPr>
            <w:tcW w:w="3520" w:type="dxa"/>
            <w:vAlign w:val="bottom"/>
          </w:tcPr>
          <w:p>
            <w:pPr>
              <w:ind w:left="80"/>
              <w:spacing w:after="0" w:line="159" w:lineRule="exact"/>
              <w:rPr>
                <w:sz w:val="20"/>
                <w:szCs w:val="20"/>
                <w:color w:val="auto"/>
              </w:rPr>
            </w:pPr>
            <w:r>
              <w:rPr>
                <w:rFonts w:ascii="Arial" w:cs="Arial" w:eastAsia="Arial" w:hAnsi="Arial"/>
                <w:sz w:val="14"/>
                <w:szCs w:val="14"/>
                <w:color w:val="auto"/>
              </w:rPr>
              <w:t>Institute of Corporate Directors</w:t>
            </w:r>
          </w:p>
        </w:tc>
        <w:tc>
          <w:tcPr>
            <w:tcW w:w="1660" w:type="dxa"/>
            <w:vAlign w:val="bottom"/>
          </w:tcPr>
          <w:p>
            <w:pPr>
              <w:ind w:left="20"/>
              <w:spacing w:after="0" w:line="159" w:lineRule="exact"/>
              <w:rPr>
                <w:sz w:val="20"/>
                <w:szCs w:val="20"/>
                <w:color w:val="auto"/>
              </w:rPr>
            </w:pPr>
            <w:r>
              <w:rPr>
                <w:rFonts w:ascii="Arial" w:cs="Arial" w:eastAsia="Arial" w:hAnsi="Arial"/>
                <w:sz w:val="14"/>
                <w:szCs w:val="14"/>
                <w:color w:val="auto"/>
              </w:rPr>
              <w:t>Susan C. Jones</w:t>
            </w:r>
          </w:p>
        </w:tc>
      </w:tr>
      <w:tr>
        <w:trPr>
          <w:trHeight w:val="190"/>
        </w:trPr>
        <w:tc>
          <w:tcPr>
            <w:tcW w:w="158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Canadian Boards</w:t>
            </w:r>
          </w:p>
        </w:tc>
        <w:tc>
          <w:tcPr>
            <w:tcW w:w="35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59"/>
        </w:trPr>
        <w:tc>
          <w:tcPr>
            <w:tcW w:w="1580" w:type="dxa"/>
            <w:vAlign w:val="bottom"/>
          </w:tcPr>
          <w:p>
            <w:pPr>
              <w:ind w:left="20"/>
              <w:spacing w:after="0" w:line="159" w:lineRule="exact"/>
              <w:rPr>
                <w:sz w:val="20"/>
                <w:szCs w:val="20"/>
                <w:color w:val="auto"/>
              </w:rPr>
            </w:pPr>
            <w:r>
              <w:rPr>
                <w:rFonts w:ascii="Arial" w:cs="Arial" w:eastAsia="Arial" w:hAnsi="Arial"/>
                <w:sz w:val="14"/>
                <w:szCs w:val="14"/>
                <w:color w:val="auto"/>
              </w:rPr>
              <w:t>May 28</w:t>
            </w:r>
          </w:p>
        </w:tc>
        <w:tc>
          <w:tcPr>
            <w:tcW w:w="3200" w:type="dxa"/>
            <w:vAlign w:val="bottom"/>
          </w:tcPr>
          <w:p>
            <w:pPr>
              <w:ind w:left="20"/>
              <w:spacing w:after="0" w:line="159" w:lineRule="exact"/>
              <w:rPr>
                <w:sz w:val="20"/>
                <w:szCs w:val="20"/>
                <w:color w:val="auto"/>
              </w:rPr>
            </w:pPr>
            <w:r>
              <w:rPr>
                <w:rFonts w:ascii="Arial" w:cs="Arial" w:eastAsia="Arial" w:hAnsi="Arial"/>
                <w:sz w:val="14"/>
                <w:szCs w:val="14"/>
                <w:color w:val="auto"/>
              </w:rPr>
              <w:t>Natural Gas Pipelines Fundamentals and TC's</w:t>
            </w:r>
          </w:p>
        </w:tc>
        <w:tc>
          <w:tcPr>
            <w:tcW w:w="3520" w:type="dxa"/>
            <w:vAlign w:val="bottom"/>
          </w:tcPr>
          <w:p>
            <w:pPr>
              <w:ind w:left="80"/>
              <w:spacing w:after="0" w:line="159" w:lineRule="exact"/>
              <w:rPr>
                <w:sz w:val="20"/>
                <w:szCs w:val="20"/>
                <w:color w:val="auto"/>
              </w:rPr>
            </w:pPr>
            <w:r>
              <w:rPr>
                <w:rFonts w:ascii="Arial" w:cs="Arial" w:eastAsia="Arial" w:hAnsi="Arial"/>
                <w:sz w:val="14"/>
                <w:szCs w:val="14"/>
                <w:color w:val="auto"/>
              </w:rPr>
              <w:t>TC Energy</w:t>
            </w:r>
          </w:p>
        </w:tc>
        <w:tc>
          <w:tcPr>
            <w:tcW w:w="1660" w:type="dxa"/>
            <w:vAlign w:val="bottom"/>
          </w:tcPr>
          <w:p>
            <w:pPr>
              <w:ind w:left="20"/>
              <w:spacing w:after="0" w:line="159" w:lineRule="exact"/>
              <w:rPr>
                <w:sz w:val="20"/>
                <w:szCs w:val="20"/>
                <w:color w:val="auto"/>
              </w:rPr>
            </w:pPr>
            <w:r>
              <w:rPr>
                <w:rFonts w:ascii="Arial" w:cs="Arial" w:eastAsia="Arial" w:hAnsi="Arial"/>
                <w:sz w:val="14"/>
                <w:szCs w:val="14"/>
                <w:color w:val="auto"/>
              </w:rPr>
              <w:t>All directors except Una</w:t>
            </w:r>
          </w:p>
        </w:tc>
      </w:tr>
      <w:tr>
        <w:trPr>
          <w:trHeight w:val="161"/>
        </w:trPr>
        <w:tc>
          <w:tcPr>
            <w:tcW w:w="1580" w:type="dxa"/>
            <w:vAlign w:val="bottom"/>
          </w:tcPr>
          <w:p>
            <w:pPr>
              <w:spacing w:after="0"/>
              <w:rPr>
                <w:sz w:val="14"/>
                <w:szCs w:val="14"/>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Strategic Position</w:t>
            </w:r>
          </w:p>
        </w:tc>
        <w:tc>
          <w:tcPr>
            <w:tcW w:w="3520" w:type="dxa"/>
            <w:vAlign w:val="bottom"/>
          </w:tcPr>
          <w:p>
            <w:pPr>
              <w:spacing w:after="0"/>
              <w:rPr>
                <w:sz w:val="14"/>
                <w:szCs w:val="14"/>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Power,</w:t>
            </w:r>
          </w:p>
        </w:tc>
      </w:tr>
      <w:tr>
        <w:trPr>
          <w:trHeight w:val="161"/>
        </w:trPr>
        <w:tc>
          <w:tcPr>
            <w:tcW w:w="1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Thierry Vandal, Dheeraj</w:t>
            </w:r>
          </w:p>
        </w:tc>
      </w:tr>
      <w:tr>
        <w:trPr>
          <w:trHeight w:val="190"/>
        </w:trPr>
        <w:tc>
          <w:tcPr>
            <w:tcW w:w="15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"D" Verma</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May 29</w:t>
            </w:r>
          </w:p>
        </w:tc>
        <w:tc>
          <w:tcPr>
            <w:tcW w:w="3200" w:type="dxa"/>
            <w:vAlign w:val="bottom"/>
          </w:tcPr>
          <w:p>
            <w:pPr>
              <w:ind w:left="20"/>
              <w:spacing w:after="0"/>
              <w:rPr>
                <w:sz w:val="20"/>
                <w:szCs w:val="20"/>
                <w:color w:val="auto"/>
              </w:rPr>
            </w:pPr>
            <w:r>
              <w:rPr>
                <w:rFonts w:ascii="Arial" w:cs="Arial" w:eastAsia="Arial" w:hAnsi="Arial"/>
                <w:sz w:val="14"/>
                <w:szCs w:val="14"/>
                <w:color w:val="auto"/>
              </w:rPr>
              <w:t>Is the US the new Energy Superpower?</w:t>
            </w:r>
          </w:p>
        </w:tc>
        <w:tc>
          <w:tcPr>
            <w:tcW w:w="3520" w:type="dxa"/>
            <w:vAlign w:val="bottom"/>
          </w:tcPr>
          <w:p>
            <w:pPr>
              <w:ind w:left="80"/>
              <w:spacing w:after="0"/>
              <w:rPr>
                <w:sz w:val="20"/>
                <w:szCs w:val="20"/>
                <w:color w:val="auto"/>
              </w:rPr>
            </w:pPr>
            <w:r>
              <w:rPr>
                <w:rFonts w:ascii="Arial" w:cs="Arial" w:eastAsia="Arial" w:hAnsi="Arial"/>
                <w:sz w:val="14"/>
                <w:szCs w:val="14"/>
                <w:color w:val="auto"/>
              </w:rPr>
              <w:t>NY Energy Forum</w:t>
            </w:r>
          </w:p>
        </w:tc>
        <w:tc>
          <w:tcPr>
            <w:tcW w:w="1660" w:type="dxa"/>
            <w:vAlign w:val="bottom"/>
          </w:tcPr>
          <w:p>
            <w:pPr>
              <w:ind w:left="20"/>
              <w:spacing w:after="0"/>
              <w:rPr>
                <w:sz w:val="20"/>
                <w:szCs w:val="20"/>
                <w:color w:val="auto"/>
              </w:rPr>
            </w:pPr>
            <w:r>
              <w:rPr>
                <w:rFonts w:ascii="Arial" w:cs="Arial" w:eastAsia="Arial" w:hAnsi="Arial"/>
                <w:sz w:val="14"/>
                <w:szCs w:val="14"/>
                <w:color w:val="auto"/>
              </w:rPr>
              <w:t>Michael R. Culbert</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June 3</w:t>
            </w:r>
          </w:p>
        </w:tc>
        <w:tc>
          <w:tcPr>
            <w:tcW w:w="3200" w:type="dxa"/>
            <w:vAlign w:val="bottom"/>
          </w:tcPr>
          <w:p>
            <w:pPr>
              <w:ind w:left="20"/>
              <w:spacing w:after="0"/>
              <w:rPr>
                <w:sz w:val="20"/>
                <w:szCs w:val="20"/>
                <w:color w:val="auto"/>
              </w:rPr>
            </w:pPr>
            <w:r>
              <w:rPr>
                <w:rFonts w:ascii="Arial" w:cs="Arial" w:eastAsia="Arial" w:hAnsi="Arial"/>
                <w:sz w:val="14"/>
                <w:szCs w:val="14"/>
                <w:color w:val="auto"/>
              </w:rPr>
              <w:t>How Business Governance is Changing</w:t>
            </w:r>
          </w:p>
        </w:tc>
        <w:tc>
          <w:tcPr>
            <w:tcW w:w="3520" w:type="dxa"/>
            <w:vAlign w:val="bottom"/>
          </w:tcPr>
          <w:p>
            <w:pPr>
              <w:ind w:left="80"/>
              <w:spacing w:after="0"/>
              <w:rPr>
                <w:sz w:val="20"/>
                <w:szCs w:val="20"/>
                <w:color w:val="auto"/>
              </w:rPr>
            </w:pPr>
            <w:r>
              <w:rPr>
                <w:rFonts w:ascii="Arial" w:cs="Arial" w:eastAsia="Arial" w:hAnsi="Arial"/>
                <w:sz w:val="14"/>
                <w:szCs w:val="14"/>
                <w:color w:val="auto"/>
              </w:rPr>
              <w:t>National Association of Corporate Directors</w:t>
            </w:r>
          </w:p>
        </w:tc>
        <w:tc>
          <w:tcPr>
            <w:tcW w:w="1660" w:type="dxa"/>
            <w:vAlign w:val="bottom"/>
          </w:tcPr>
          <w:p>
            <w:pPr>
              <w:ind w:left="20"/>
              <w:spacing w:after="0"/>
              <w:rPr>
                <w:sz w:val="20"/>
                <w:szCs w:val="20"/>
                <w:color w:val="auto"/>
              </w:rPr>
            </w:pPr>
            <w:r>
              <w:rPr>
                <w:rFonts w:ascii="Arial" w:cs="Arial" w:eastAsia="Arial" w:hAnsi="Arial"/>
                <w:sz w:val="14"/>
                <w:szCs w:val="14"/>
                <w:color w:val="auto"/>
              </w:rPr>
              <w:t>Mary Pat Salomone</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59"/>
        </w:trPr>
        <w:tc>
          <w:tcPr>
            <w:tcW w:w="1580" w:type="dxa"/>
            <w:vAlign w:val="bottom"/>
          </w:tcPr>
          <w:p>
            <w:pPr>
              <w:ind w:left="20"/>
              <w:spacing w:after="0" w:line="159" w:lineRule="exact"/>
              <w:rPr>
                <w:sz w:val="20"/>
                <w:szCs w:val="20"/>
                <w:color w:val="auto"/>
              </w:rPr>
            </w:pPr>
            <w:r>
              <w:rPr>
                <w:rFonts w:ascii="Arial" w:cs="Arial" w:eastAsia="Arial" w:hAnsi="Arial"/>
                <w:sz w:val="14"/>
                <w:szCs w:val="14"/>
                <w:color w:val="auto"/>
              </w:rPr>
              <w:t>June 4</w:t>
            </w:r>
          </w:p>
        </w:tc>
        <w:tc>
          <w:tcPr>
            <w:tcW w:w="3200" w:type="dxa"/>
            <w:vAlign w:val="bottom"/>
          </w:tcPr>
          <w:p>
            <w:pPr>
              <w:ind w:left="20"/>
              <w:spacing w:after="0" w:line="159" w:lineRule="exact"/>
              <w:rPr>
                <w:sz w:val="20"/>
                <w:szCs w:val="20"/>
                <w:color w:val="auto"/>
              </w:rPr>
            </w:pPr>
            <w:r>
              <w:rPr>
                <w:rFonts w:ascii="Arial" w:cs="Arial" w:eastAsia="Arial" w:hAnsi="Arial"/>
                <w:sz w:val="14"/>
                <w:szCs w:val="14"/>
                <w:color w:val="auto"/>
              </w:rPr>
              <w:t>Enhancing Board Performance - Key</w:t>
            </w:r>
          </w:p>
        </w:tc>
        <w:tc>
          <w:tcPr>
            <w:tcW w:w="3520" w:type="dxa"/>
            <w:vAlign w:val="bottom"/>
          </w:tcPr>
          <w:p>
            <w:pPr>
              <w:ind w:left="80"/>
              <w:spacing w:after="0" w:line="159" w:lineRule="exact"/>
              <w:rPr>
                <w:sz w:val="20"/>
                <w:szCs w:val="20"/>
                <w:color w:val="auto"/>
              </w:rPr>
            </w:pPr>
            <w:r>
              <w:rPr>
                <w:rFonts w:ascii="Arial" w:cs="Arial" w:eastAsia="Arial" w:hAnsi="Arial"/>
                <w:sz w:val="14"/>
                <w:szCs w:val="14"/>
                <w:color w:val="auto"/>
              </w:rPr>
              <w:t>Deloitte</w:t>
            </w:r>
          </w:p>
        </w:tc>
        <w:tc>
          <w:tcPr>
            <w:tcW w:w="1660" w:type="dxa"/>
            <w:vAlign w:val="bottom"/>
          </w:tcPr>
          <w:p>
            <w:pPr>
              <w:ind w:left="20"/>
              <w:spacing w:after="0" w:line="159" w:lineRule="exact"/>
              <w:rPr>
                <w:sz w:val="20"/>
                <w:szCs w:val="20"/>
                <w:color w:val="auto"/>
              </w:rPr>
            </w:pPr>
            <w:r>
              <w:rPr>
                <w:rFonts w:ascii="Arial" w:cs="Arial" w:eastAsia="Arial" w:hAnsi="Arial"/>
                <w:sz w:val="14"/>
                <w:szCs w:val="14"/>
                <w:color w:val="auto"/>
              </w:rPr>
              <w:t>Susan C. Jones</w:t>
            </w:r>
          </w:p>
        </w:tc>
      </w:tr>
      <w:tr>
        <w:trPr>
          <w:trHeight w:val="190"/>
        </w:trPr>
        <w:tc>
          <w:tcPr>
            <w:tcW w:w="158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Considerations</w:t>
            </w:r>
          </w:p>
        </w:tc>
        <w:tc>
          <w:tcPr>
            <w:tcW w:w="35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June 10</w:t>
            </w:r>
          </w:p>
        </w:tc>
        <w:tc>
          <w:tcPr>
            <w:tcW w:w="3200" w:type="dxa"/>
            <w:vAlign w:val="bottom"/>
          </w:tcPr>
          <w:p>
            <w:pPr>
              <w:ind w:left="20"/>
              <w:spacing w:after="0"/>
              <w:rPr>
                <w:sz w:val="20"/>
                <w:szCs w:val="20"/>
                <w:color w:val="auto"/>
              </w:rPr>
            </w:pPr>
            <w:r>
              <w:rPr>
                <w:rFonts w:ascii="Arial" w:cs="Arial" w:eastAsia="Arial" w:hAnsi="Arial"/>
                <w:sz w:val="14"/>
                <w:szCs w:val="14"/>
                <w:color w:val="auto"/>
              </w:rPr>
              <w:t>Integrated Utility</w:t>
            </w:r>
          </w:p>
        </w:tc>
        <w:tc>
          <w:tcPr>
            <w:tcW w:w="3520" w:type="dxa"/>
            <w:vAlign w:val="bottom"/>
          </w:tcPr>
          <w:p>
            <w:pPr>
              <w:ind w:left="80"/>
              <w:spacing w:after="0"/>
              <w:rPr>
                <w:sz w:val="20"/>
                <w:szCs w:val="20"/>
                <w:color w:val="auto"/>
              </w:rPr>
            </w:pPr>
            <w:r>
              <w:rPr>
                <w:rFonts w:ascii="Arial" w:cs="Arial" w:eastAsia="Arial" w:hAnsi="Arial"/>
                <w:sz w:val="14"/>
                <w:szCs w:val="14"/>
                <w:color w:val="auto"/>
              </w:rPr>
              <w:t>Emil Avram, Dominion Energy</w:t>
            </w:r>
          </w:p>
        </w:tc>
        <w:tc>
          <w:tcPr>
            <w:tcW w:w="1660" w:type="dxa"/>
            <w:vAlign w:val="bottom"/>
          </w:tcPr>
          <w:p>
            <w:pPr>
              <w:ind w:left="20"/>
              <w:spacing w:after="0"/>
              <w:rPr>
                <w:sz w:val="20"/>
                <w:szCs w:val="20"/>
                <w:color w:val="auto"/>
              </w:rPr>
            </w:pPr>
            <w:r>
              <w:rPr>
                <w:rFonts w:ascii="Arial" w:cs="Arial" w:eastAsia="Arial" w:hAnsi="Arial"/>
                <w:sz w:val="14"/>
                <w:szCs w:val="14"/>
                <w:color w:val="auto"/>
              </w:rPr>
              <w:t>All directors</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June 11</w:t>
            </w:r>
          </w:p>
        </w:tc>
        <w:tc>
          <w:tcPr>
            <w:tcW w:w="3200" w:type="dxa"/>
            <w:vAlign w:val="bottom"/>
          </w:tcPr>
          <w:p>
            <w:pPr>
              <w:ind w:left="20"/>
              <w:spacing w:after="0"/>
              <w:rPr>
                <w:sz w:val="20"/>
                <w:szCs w:val="20"/>
                <w:color w:val="auto"/>
              </w:rPr>
            </w:pPr>
            <w:r>
              <w:rPr>
                <w:rFonts w:ascii="Arial" w:cs="Arial" w:eastAsia="Arial" w:hAnsi="Arial"/>
                <w:sz w:val="14"/>
                <w:szCs w:val="14"/>
                <w:color w:val="auto"/>
              </w:rPr>
              <w:t>AI Implementation</w:t>
            </w:r>
          </w:p>
        </w:tc>
        <w:tc>
          <w:tcPr>
            <w:tcW w:w="3520" w:type="dxa"/>
            <w:vAlign w:val="bottom"/>
          </w:tcPr>
          <w:p>
            <w:pPr>
              <w:ind w:left="80"/>
              <w:spacing w:after="0"/>
              <w:rPr>
                <w:sz w:val="20"/>
                <w:szCs w:val="20"/>
                <w:color w:val="auto"/>
              </w:rPr>
            </w:pPr>
            <w:r>
              <w:rPr>
                <w:rFonts w:ascii="Arial" w:cs="Arial" w:eastAsia="Arial" w:hAnsi="Arial"/>
                <w:sz w:val="14"/>
                <w:szCs w:val="14"/>
                <w:color w:val="auto"/>
              </w:rPr>
              <w:t>Barak Turovsky, General Motors</w:t>
            </w:r>
          </w:p>
        </w:tc>
        <w:tc>
          <w:tcPr>
            <w:tcW w:w="1660" w:type="dxa"/>
            <w:vAlign w:val="bottom"/>
          </w:tcPr>
          <w:p>
            <w:pPr>
              <w:ind w:left="20"/>
              <w:spacing w:after="0"/>
              <w:rPr>
                <w:sz w:val="20"/>
                <w:szCs w:val="20"/>
                <w:color w:val="auto"/>
              </w:rPr>
            </w:pPr>
            <w:r>
              <w:rPr>
                <w:rFonts w:ascii="Arial" w:cs="Arial" w:eastAsia="Arial" w:hAnsi="Arial"/>
                <w:sz w:val="14"/>
                <w:szCs w:val="14"/>
                <w:color w:val="auto"/>
              </w:rPr>
              <w:t>All directors</w:t>
            </w:r>
          </w:p>
        </w:tc>
      </w:tr>
      <w:tr>
        <w:trPr>
          <w:trHeight w:val="21"/>
        </w:trPr>
        <w:tc>
          <w:tcPr>
            <w:tcW w:w="1580" w:type="dxa"/>
            <w:vAlign w:val="bottom"/>
          </w:tcPr>
          <w:p>
            <w:pPr>
              <w:spacing w:after="0" w:line="20" w:lineRule="exact"/>
              <w:rPr>
                <w:sz w:val="1"/>
                <w:szCs w:val="1"/>
                <w:color w:val="auto"/>
              </w:rPr>
            </w:pPr>
          </w:p>
        </w:tc>
        <w:tc>
          <w:tcPr>
            <w:tcW w:w="3200" w:type="dxa"/>
            <w:vAlign w:val="bottom"/>
            <w:tcBorders>
              <w:bottom w:val="single" w:sz="8" w:color="B6B6B6"/>
            </w:tcBorders>
          </w:tcPr>
          <w:p>
            <w:pPr>
              <w:spacing w:after="0" w:line="20" w:lineRule="exact"/>
              <w:rPr>
                <w:sz w:val="1"/>
                <w:szCs w:val="1"/>
                <w:color w:val="auto"/>
              </w:rPr>
            </w:pPr>
          </w:p>
        </w:tc>
        <w:tc>
          <w:tcPr>
            <w:tcW w:w="3520" w:type="dxa"/>
            <w:vAlign w:val="bottom"/>
            <w:tcBorders>
              <w:bottom w:val="single" w:sz="8" w:color="B6B6B6"/>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Technology Showcase</w:t>
            </w:r>
          </w:p>
        </w:tc>
        <w:tc>
          <w:tcPr>
            <w:tcW w:w="3520" w:type="dxa"/>
            <w:vAlign w:val="bottom"/>
          </w:tcPr>
          <w:p>
            <w:pPr>
              <w:ind w:left="80"/>
              <w:spacing w:after="0"/>
              <w:rPr>
                <w:sz w:val="20"/>
                <w:szCs w:val="20"/>
                <w:color w:val="auto"/>
              </w:rPr>
            </w:pPr>
            <w:r>
              <w:rPr>
                <w:rFonts w:ascii="Arial" w:cs="Arial" w:eastAsia="Arial" w:hAnsi="Arial"/>
                <w:sz w:val="14"/>
                <w:szCs w:val="14"/>
                <w:color w:val="auto"/>
              </w:rPr>
              <w:t>TC Energy</w:t>
            </w:r>
          </w:p>
        </w:tc>
        <w:tc>
          <w:tcPr>
            <w:tcW w:w="1660" w:type="dxa"/>
            <w:vAlign w:val="bottom"/>
          </w:tcPr>
          <w:p>
            <w:pPr>
              <w:ind w:left="20"/>
              <w:spacing w:after="0"/>
              <w:rPr>
                <w:sz w:val="20"/>
                <w:szCs w:val="20"/>
                <w:color w:val="auto"/>
              </w:rPr>
            </w:pPr>
            <w:r>
              <w:rPr>
                <w:rFonts w:ascii="Arial" w:cs="Arial" w:eastAsia="Arial" w:hAnsi="Arial"/>
                <w:sz w:val="14"/>
                <w:szCs w:val="14"/>
                <w:color w:val="auto"/>
              </w:rPr>
              <w:t>All directors</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59"/>
        </w:trPr>
        <w:tc>
          <w:tcPr>
            <w:tcW w:w="1580" w:type="dxa"/>
            <w:vAlign w:val="bottom"/>
          </w:tcPr>
          <w:p>
            <w:pPr>
              <w:ind w:left="20"/>
              <w:spacing w:after="0" w:line="159" w:lineRule="exact"/>
              <w:rPr>
                <w:sz w:val="20"/>
                <w:szCs w:val="20"/>
                <w:color w:val="auto"/>
              </w:rPr>
            </w:pPr>
            <w:r>
              <w:rPr>
                <w:rFonts w:ascii="Arial" w:cs="Arial" w:eastAsia="Arial" w:hAnsi="Arial"/>
                <w:sz w:val="14"/>
                <w:szCs w:val="14"/>
                <w:color w:val="auto"/>
              </w:rPr>
              <w:t>June 25</w:t>
            </w:r>
          </w:p>
        </w:tc>
        <w:tc>
          <w:tcPr>
            <w:tcW w:w="3200" w:type="dxa"/>
            <w:vAlign w:val="bottom"/>
          </w:tcPr>
          <w:p>
            <w:pPr>
              <w:ind w:left="20"/>
              <w:spacing w:after="0" w:line="159" w:lineRule="exact"/>
              <w:rPr>
                <w:sz w:val="20"/>
                <w:szCs w:val="20"/>
                <w:color w:val="auto"/>
              </w:rPr>
            </w:pPr>
            <w:r>
              <w:rPr>
                <w:rFonts w:ascii="Arial" w:cs="Arial" w:eastAsia="Arial" w:hAnsi="Arial"/>
                <w:sz w:val="14"/>
                <w:szCs w:val="14"/>
                <w:color w:val="auto"/>
              </w:rPr>
              <w:t>Impacts of the Iran-Israel Conflict with David</w:t>
            </w:r>
          </w:p>
        </w:tc>
        <w:tc>
          <w:tcPr>
            <w:tcW w:w="3520" w:type="dxa"/>
            <w:vAlign w:val="bottom"/>
          </w:tcPr>
          <w:p>
            <w:pPr>
              <w:ind w:left="80"/>
              <w:spacing w:after="0" w:line="159" w:lineRule="exact"/>
              <w:rPr>
                <w:sz w:val="20"/>
                <w:szCs w:val="20"/>
                <w:color w:val="auto"/>
              </w:rPr>
            </w:pPr>
            <w:r>
              <w:rPr>
                <w:rFonts w:ascii="Arial" w:cs="Arial" w:eastAsia="Arial" w:hAnsi="Arial"/>
                <w:sz w:val="14"/>
                <w:szCs w:val="14"/>
                <w:color w:val="auto"/>
              </w:rPr>
              <w:t>World 50</w:t>
            </w:r>
          </w:p>
        </w:tc>
        <w:tc>
          <w:tcPr>
            <w:tcW w:w="1660" w:type="dxa"/>
            <w:vAlign w:val="bottom"/>
          </w:tcPr>
          <w:p>
            <w:pPr>
              <w:ind w:left="20"/>
              <w:spacing w:after="0" w:line="159" w:lineRule="exact"/>
              <w:rPr>
                <w:sz w:val="20"/>
                <w:szCs w:val="20"/>
                <w:color w:val="auto"/>
              </w:rPr>
            </w:pPr>
            <w:r>
              <w:rPr>
                <w:rFonts w:ascii="Arial" w:cs="Arial" w:eastAsia="Arial" w:hAnsi="Arial"/>
                <w:sz w:val="14"/>
                <w:szCs w:val="14"/>
                <w:color w:val="auto"/>
              </w:rPr>
              <w:t>Cheryl F. Campbell</w:t>
            </w:r>
          </w:p>
        </w:tc>
      </w:tr>
      <w:tr>
        <w:trPr>
          <w:trHeight w:val="190"/>
        </w:trPr>
        <w:tc>
          <w:tcPr>
            <w:tcW w:w="158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Petraeus</w:t>
            </w:r>
          </w:p>
        </w:tc>
        <w:tc>
          <w:tcPr>
            <w:tcW w:w="35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59"/>
        </w:trPr>
        <w:tc>
          <w:tcPr>
            <w:tcW w:w="1580" w:type="dxa"/>
            <w:vAlign w:val="bottom"/>
          </w:tcPr>
          <w:p>
            <w:pPr>
              <w:ind w:left="20"/>
              <w:spacing w:after="0" w:line="159" w:lineRule="exact"/>
              <w:rPr>
                <w:sz w:val="20"/>
                <w:szCs w:val="20"/>
                <w:color w:val="auto"/>
              </w:rPr>
            </w:pPr>
            <w:r>
              <w:rPr>
                <w:rFonts w:ascii="Arial" w:cs="Arial" w:eastAsia="Arial" w:hAnsi="Arial"/>
                <w:sz w:val="14"/>
                <w:szCs w:val="14"/>
                <w:color w:val="auto"/>
              </w:rPr>
              <w:t>June 26</w:t>
            </w:r>
          </w:p>
        </w:tc>
        <w:tc>
          <w:tcPr>
            <w:tcW w:w="3200" w:type="dxa"/>
            <w:vAlign w:val="bottom"/>
          </w:tcPr>
          <w:p>
            <w:pPr>
              <w:ind w:left="20"/>
              <w:spacing w:after="0" w:line="159" w:lineRule="exact"/>
              <w:rPr>
                <w:sz w:val="20"/>
                <w:szCs w:val="20"/>
                <w:color w:val="auto"/>
              </w:rPr>
            </w:pPr>
            <w:r>
              <w:rPr>
                <w:rFonts w:ascii="Arial" w:cs="Arial" w:eastAsia="Arial" w:hAnsi="Arial"/>
                <w:sz w:val="14"/>
                <w:szCs w:val="14"/>
                <w:color w:val="auto"/>
              </w:rPr>
              <w:t>Financing Canada's Future - Growth &amp;</w:t>
            </w:r>
          </w:p>
        </w:tc>
        <w:tc>
          <w:tcPr>
            <w:tcW w:w="3520" w:type="dxa"/>
            <w:vAlign w:val="bottom"/>
          </w:tcPr>
          <w:p>
            <w:pPr>
              <w:ind w:left="80"/>
              <w:spacing w:after="0" w:line="159" w:lineRule="exact"/>
              <w:rPr>
                <w:sz w:val="20"/>
                <w:szCs w:val="20"/>
                <w:color w:val="auto"/>
              </w:rPr>
            </w:pPr>
            <w:r>
              <w:rPr>
                <w:rFonts w:ascii="Arial" w:cs="Arial" w:eastAsia="Arial" w:hAnsi="Arial"/>
                <w:sz w:val="14"/>
                <w:szCs w:val="14"/>
                <w:color w:val="auto"/>
              </w:rPr>
              <w:t>Scotiabank</w:t>
            </w:r>
          </w:p>
        </w:tc>
        <w:tc>
          <w:tcPr>
            <w:tcW w:w="1660" w:type="dxa"/>
            <w:vAlign w:val="bottom"/>
          </w:tcPr>
          <w:p>
            <w:pPr>
              <w:ind w:left="20"/>
              <w:spacing w:after="0" w:line="159" w:lineRule="exact"/>
              <w:rPr>
                <w:sz w:val="20"/>
                <w:szCs w:val="20"/>
                <w:color w:val="auto"/>
              </w:rPr>
            </w:pPr>
            <w:r>
              <w:rPr>
                <w:rFonts w:ascii="Arial" w:cs="Arial" w:eastAsia="Arial" w:hAnsi="Arial"/>
                <w:sz w:val="14"/>
                <w:szCs w:val="14"/>
                <w:color w:val="auto"/>
              </w:rPr>
              <w:t>Michael R. Culbert</w:t>
            </w:r>
          </w:p>
        </w:tc>
      </w:tr>
      <w:tr>
        <w:trPr>
          <w:trHeight w:val="190"/>
        </w:trPr>
        <w:tc>
          <w:tcPr>
            <w:tcW w:w="158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Infrastructure</w:t>
            </w:r>
          </w:p>
        </w:tc>
        <w:tc>
          <w:tcPr>
            <w:tcW w:w="35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July 23</w:t>
            </w:r>
          </w:p>
        </w:tc>
        <w:tc>
          <w:tcPr>
            <w:tcW w:w="3200" w:type="dxa"/>
            <w:vAlign w:val="bottom"/>
          </w:tcPr>
          <w:p>
            <w:pPr>
              <w:ind w:left="20"/>
              <w:spacing w:after="0"/>
              <w:rPr>
                <w:sz w:val="20"/>
                <w:szCs w:val="20"/>
                <w:color w:val="auto"/>
              </w:rPr>
            </w:pPr>
            <w:r>
              <w:rPr>
                <w:rFonts w:ascii="Arial" w:cs="Arial" w:eastAsia="Arial" w:hAnsi="Arial"/>
                <w:sz w:val="14"/>
                <w:szCs w:val="14"/>
                <w:color w:val="auto"/>
              </w:rPr>
              <w:t>Generative AI for Directors</w:t>
            </w:r>
          </w:p>
        </w:tc>
        <w:tc>
          <w:tcPr>
            <w:tcW w:w="3520" w:type="dxa"/>
            <w:vAlign w:val="bottom"/>
          </w:tcPr>
          <w:p>
            <w:pPr>
              <w:ind w:left="80"/>
              <w:spacing w:after="0"/>
              <w:rPr>
                <w:sz w:val="20"/>
                <w:szCs w:val="20"/>
                <w:color w:val="auto"/>
              </w:rPr>
            </w:pPr>
            <w:r>
              <w:rPr>
                <w:rFonts w:ascii="Arial" w:cs="Arial" w:eastAsia="Arial" w:hAnsi="Arial"/>
                <w:sz w:val="14"/>
                <w:szCs w:val="14"/>
                <w:color w:val="auto"/>
              </w:rPr>
              <w:t>National Association of Corporate Directors</w:t>
            </w:r>
          </w:p>
        </w:tc>
        <w:tc>
          <w:tcPr>
            <w:tcW w:w="1660" w:type="dxa"/>
            <w:vAlign w:val="bottom"/>
          </w:tcPr>
          <w:p>
            <w:pPr>
              <w:ind w:left="20"/>
              <w:spacing w:after="0"/>
              <w:rPr>
                <w:sz w:val="20"/>
                <w:szCs w:val="20"/>
                <w:color w:val="auto"/>
              </w:rPr>
            </w:pPr>
            <w:r>
              <w:rPr>
                <w:rFonts w:ascii="Arial" w:cs="Arial" w:eastAsia="Arial" w:hAnsi="Arial"/>
                <w:sz w:val="14"/>
                <w:szCs w:val="14"/>
                <w:color w:val="auto"/>
              </w:rPr>
              <w:t>Cheryl F. Campbell</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45"/>
        </w:trPr>
        <w:tc>
          <w:tcPr>
            <w:tcW w:w="1580" w:type="dxa"/>
            <w:vAlign w:val="bottom"/>
          </w:tcPr>
          <w:p>
            <w:pPr>
              <w:ind w:left="20"/>
              <w:spacing w:after="0" w:line="145" w:lineRule="exact"/>
              <w:rPr>
                <w:sz w:val="20"/>
                <w:szCs w:val="20"/>
                <w:color w:val="auto"/>
              </w:rPr>
            </w:pPr>
            <w:r>
              <w:rPr>
                <w:rFonts w:ascii="Arial" w:cs="Arial" w:eastAsia="Arial" w:hAnsi="Arial"/>
                <w:sz w:val="14"/>
                <w:szCs w:val="14"/>
                <w:color w:val="auto"/>
              </w:rPr>
              <w:t>August</w:t>
            </w:r>
          </w:p>
        </w:tc>
        <w:tc>
          <w:tcPr>
            <w:tcW w:w="3200" w:type="dxa"/>
            <w:vAlign w:val="bottom"/>
          </w:tcPr>
          <w:p>
            <w:pPr>
              <w:ind w:left="20"/>
              <w:spacing w:after="0" w:line="145" w:lineRule="exact"/>
              <w:rPr>
                <w:sz w:val="20"/>
                <w:szCs w:val="20"/>
                <w:color w:val="auto"/>
              </w:rPr>
            </w:pPr>
            <w:r>
              <w:rPr>
                <w:rFonts w:ascii="Arial" w:cs="Arial" w:eastAsia="Arial" w:hAnsi="Arial"/>
                <w:sz w:val="14"/>
                <w:szCs w:val="14"/>
                <w:color w:val="auto"/>
              </w:rPr>
              <w:t>A Director’s Guide to Artificial Intelligence:</w:t>
            </w:r>
          </w:p>
        </w:tc>
        <w:tc>
          <w:tcPr>
            <w:tcW w:w="3520" w:type="dxa"/>
            <w:vAlign w:val="bottom"/>
          </w:tcPr>
          <w:p>
            <w:pPr>
              <w:ind w:left="80"/>
              <w:spacing w:after="0" w:line="145" w:lineRule="exact"/>
              <w:rPr>
                <w:sz w:val="20"/>
                <w:szCs w:val="20"/>
                <w:color w:val="auto"/>
              </w:rPr>
            </w:pPr>
            <w:r>
              <w:rPr>
                <w:rFonts w:ascii="Arial" w:cs="Arial" w:eastAsia="Arial" w:hAnsi="Arial"/>
                <w:sz w:val="14"/>
                <w:szCs w:val="14"/>
                <w:color w:val="auto"/>
              </w:rPr>
              <w:t>National Association of Corporate Directors</w:t>
            </w:r>
          </w:p>
        </w:tc>
        <w:tc>
          <w:tcPr>
            <w:tcW w:w="1660" w:type="dxa"/>
            <w:vAlign w:val="bottom"/>
          </w:tcPr>
          <w:p>
            <w:pPr>
              <w:ind w:left="20"/>
              <w:spacing w:after="0" w:line="145" w:lineRule="exact"/>
              <w:rPr>
                <w:sz w:val="20"/>
                <w:szCs w:val="20"/>
                <w:color w:val="auto"/>
              </w:rPr>
            </w:pPr>
            <w:r>
              <w:rPr>
                <w:rFonts w:ascii="Arial" w:cs="Arial" w:eastAsia="Arial" w:hAnsi="Arial"/>
                <w:sz w:val="14"/>
                <w:szCs w:val="14"/>
                <w:color w:val="auto"/>
              </w:rPr>
              <w:t>Susan C. Jones</w:t>
            </w:r>
          </w:p>
        </w:tc>
      </w:tr>
      <w:tr>
        <w:trPr>
          <w:trHeight w:val="203"/>
        </w:trPr>
        <w:tc>
          <w:tcPr>
            <w:tcW w:w="1580" w:type="dxa"/>
            <w:vAlign w:val="bottom"/>
          </w:tcPr>
          <w:p>
            <w:pPr>
              <w:ind w:left="20"/>
              <w:spacing w:after="0"/>
              <w:rPr>
                <w:sz w:val="20"/>
                <w:szCs w:val="20"/>
                <w:color w:val="auto"/>
              </w:rPr>
            </w:pPr>
            <w:r>
              <w:rPr>
                <w:rFonts w:ascii="Arial" w:cs="Arial" w:eastAsia="Arial" w:hAnsi="Arial"/>
                <w:sz w:val="14"/>
                <w:szCs w:val="14"/>
                <w:color w:val="auto"/>
              </w:rPr>
              <w:t>(three part series)</w:t>
            </w:r>
          </w:p>
        </w:tc>
        <w:tc>
          <w:tcPr>
            <w:tcW w:w="3200" w:type="dxa"/>
            <w:vAlign w:val="bottom"/>
          </w:tcPr>
          <w:p>
            <w:pPr>
              <w:ind w:left="20"/>
              <w:spacing w:after="0"/>
              <w:rPr>
                <w:sz w:val="20"/>
                <w:szCs w:val="20"/>
                <w:color w:val="auto"/>
              </w:rPr>
            </w:pPr>
            <w:r>
              <w:rPr>
                <w:rFonts w:ascii="Arial" w:cs="Arial" w:eastAsia="Arial" w:hAnsi="Arial"/>
                <w:sz w:val="14"/>
                <w:szCs w:val="14"/>
                <w:color w:val="auto"/>
              </w:rPr>
              <w:t>Strategy, Governance &amp; Value Creation</w:t>
            </w:r>
          </w:p>
        </w:tc>
        <w:tc>
          <w:tcPr>
            <w:tcW w:w="3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45"/>
        </w:trPr>
        <w:tc>
          <w:tcPr>
            <w:tcW w:w="1580" w:type="dxa"/>
            <w:vAlign w:val="bottom"/>
          </w:tcPr>
          <w:p>
            <w:pPr>
              <w:ind w:left="20"/>
              <w:spacing w:after="0" w:line="145" w:lineRule="exact"/>
              <w:rPr>
                <w:sz w:val="20"/>
                <w:szCs w:val="20"/>
                <w:color w:val="auto"/>
              </w:rPr>
            </w:pPr>
            <w:r>
              <w:rPr>
                <w:rFonts w:ascii="Arial" w:cs="Arial" w:eastAsia="Arial" w:hAnsi="Arial"/>
                <w:sz w:val="14"/>
                <w:szCs w:val="14"/>
                <w:color w:val="auto"/>
              </w:rPr>
              <w:t>September 24</w:t>
            </w:r>
          </w:p>
        </w:tc>
        <w:tc>
          <w:tcPr>
            <w:tcW w:w="3200" w:type="dxa"/>
            <w:vAlign w:val="bottom"/>
          </w:tcPr>
          <w:p>
            <w:pPr>
              <w:ind w:left="20"/>
              <w:spacing w:after="0" w:line="145" w:lineRule="exact"/>
              <w:rPr>
                <w:sz w:val="20"/>
                <w:szCs w:val="20"/>
                <w:color w:val="auto"/>
              </w:rPr>
            </w:pPr>
            <w:r>
              <w:rPr>
                <w:rFonts w:ascii="Arial" w:cs="Arial" w:eastAsia="Arial" w:hAnsi="Arial"/>
                <w:sz w:val="14"/>
                <w:szCs w:val="14"/>
                <w:color w:val="auto"/>
              </w:rPr>
              <w:t>A discussion with Mary C. Daley, San Francisco</w:t>
            </w:r>
          </w:p>
        </w:tc>
        <w:tc>
          <w:tcPr>
            <w:tcW w:w="3520" w:type="dxa"/>
            <w:vAlign w:val="bottom"/>
          </w:tcPr>
          <w:p>
            <w:pPr>
              <w:ind w:left="80"/>
              <w:spacing w:after="0" w:line="145" w:lineRule="exact"/>
              <w:rPr>
                <w:sz w:val="20"/>
                <w:szCs w:val="20"/>
                <w:color w:val="auto"/>
              </w:rPr>
            </w:pPr>
            <w:r>
              <w:rPr>
                <w:rFonts w:ascii="Arial" w:cs="Arial" w:eastAsia="Arial" w:hAnsi="Arial"/>
                <w:sz w:val="14"/>
                <w:szCs w:val="14"/>
                <w:color w:val="auto"/>
              </w:rPr>
              <w:t>National Association of Corporate Directors</w:t>
            </w:r>
          </w:p>
        </w:tc>
        <w:tc>
          <w:tcPr>
            <w:tcW w:w="1660" w:type="dxa"/>
            <w:vAlign w:val="bottom"/>
          </w:tcPr>
          <w:p>
            <w:pPr>
              <w:ind w:left="20"/>
              <w:spacing w:after="0" w:line="145" w:lineRule="exact"/>
              <w:rPr>
                <w:sz w:val="20"/>
                <w:szCs w:val="20"/>
                <w:color w:val="auto"/>
              </w:rPr>
            </w:pPr>
            <w:r>
              <w:rPr>
                <w:rFonts w:ascii="Arial" w:cs="Arial" w:eastAsia="Arial" w:hAnsi="Arial"/>
                <w:sz w:val="14"/>
                <w:szCs w:val="14"/>
                <w:color w:val="auto"/>
              </w:rPr>
              <w:t>Cheryl F. Campbell</w:t>
            </w:r>
          </w:p>
        </w:tc>
      </w:tr>
      <w:tr>
        <w:trPr>
          <w:trHeight w:val="184"/>
        </w:trPr>
        <w:tc>
          <w:tcPr>
            <w:tcW w:w="1580" w:type="dxa"/>
            <w:vAlign w:val="bottom"/>
            <w:tcBorders>
              <w:bottom w:val="single" w:sz="8" w:color="B2B2B2"/>
            </w:tcBorders>
          </w:tcPr>
          <w:p>
            <w:pPr>
              <w:spacing w:after="0"/>
              <w:rPr>
                <w:sz w:val="15"/>
                <w:szCs w:val="15"/>
                <w:color w:val="auto"/>
              </w:rPr>
            </w:pPr>
          </w:p>
        </w:tc>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Federal Reserve</w:t>
            </w:r>
          </w:p>
        </w:tc>
        <w:tc>
          <w:tcPr>
            <w:tcW w:w="3520" w:type="dxa"/>
            <w:vAlign w:val="bottom"/>
            <w:tcBorders>
              <w:bottom w:val="single" w:sz="8" w:color="B2B2B2"/>
            </w:tcBorders>
          </w:tcPr>
          <w:p>
            <w:pPr>
              <w:spacing w:after="0"/>
              <w:rPr>
                <w:sz w:val="15"/>
                <w:szCs w:val="15"/>
                <w:color w:val="auto"/>
              </w:rPr>
            </w:pPr>
          </w:p>
        </w:tc>
        <w:tc>
          <w:tcPr>
            <w:tcW w:w="1660" w:type="dxa"/>
            <w:vAlign w:val="bottom"/>
            <w:tcBorders>
              <w:bottom w:val="single" w:sz="8" w:color="B2B2B2"/>
            </w:tcBorders>
          </w:tcPr>
          <w:p>
            <w:pPr>
              <w:spacing w:after="0"/>
              <w:rPr>
                <w:sz w:val="15"/>
                <w:szCs w:val="15"/>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September 25</w:t>
            </w:r>
          </w:p>
        </w:tc>
        <w:tc>
          <w:tcPr>
            <w:tcW w:w="3200" w:type="dxa"/>
            <w:vAlign w:val="bottom"/>
          </w:tcPr>
          <w:p>
            <w:pPr>
              <w:ind w:left="20"/>
              <w:spacing w:after="0"/>
              <w:rPr>
                <w:sz w:val="20"/>
                <w:szCs w:val="20"/>
                <w:color w:val="auto"/>
              </w:rPr>
            </w:pPr>
            <w:r>
              <w:rPr>
                <w:rFonts w:ascii="Arial" w:cs="Arial" w:eastAsia="Arial" w:hAnsi="Arial"/>
                <w:sz w:val="14"/>
                <w:szCs w:val="14"/>
                <w:color w:val="auto"/>
              </w:rPr>
              <w:t>Commodities Review</w:t>
            </w:r>
          </w:p>
        </w:tc>
        <w:tc>
          <w:tcPr>
            <w:tcW w:w="3520" w:type="dxa"/>
            <w:vAlign w:val="bottom"/>
          </w:tcPr>
          <w:p>
            <w:pPr>
              <w:ind w:left="80"/>
              <w:spacing w:after="0"/>
              <w:rPr>
                <w:sz w:val="20"/>
                <w:szCs w:val="20"/>
                <w:color w:val="auto"/>
              </w:rPr>
            </w:pPr>
            <w:r>
              <w:rPr>
                <w:rFonts w:ascii="Arial" w:cs="Arial" w:eastAsia="Arial" w:hAnsi="Arial"/>
                <w:sz w:val="14"/>
                <w:szCs w:val="14"/>
                <w:color w:val="auto"/>
              </w:rPr>
              <w:t>Tudor, Pickering, Holt &amp; Co.</w:t>
            </w:r>
          </w:p>
        </w:tc>
        <w:tc>
          <w:tcPr>
            <w:tcW w:w="1660" w:type="dxa"/>
            <w:vAlign w:val="bottom"/>
          </w:tcPr>
          <w:p>
            <w:pPr>
              <w:ind w:left="20"/>
              <w:spacing w:after="0"/>
              <w:rPr>
                <w:sz w:val="20"/>
                <w:szCs w:val="20"/>
                <w:color w:val="auto"/>
              </w:rPr>
            </w:pPr>
            <w:r>
              <w:rPr>
                <w:rFonts w:ascii="Arial" w:cs="Arial" w:eastAsia="Arial" w:hAnsi="Arial"/>
                <w:sz w:val="14"/>
                <w:szCs w:val="14"/>
                <w:color w:val="auto"/>
              </w:rPr>
              <w:t>Michael R. Culbert</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45"/>
        </w:trPr>
        <w:tc>
          <w:tcPr>
            <w:tcW w:w="1580" w:type="dxa"/>
            <w:vAlign w:val="bottom"/>
          </w:tcPr>
          <w:p>
            <w:pPr>
              <w:ind w:left="20"/>
              <w:spacing w:after="0" w:line="145" w:lineRule="exact"/>
              <w:rPr>
                <w:sz w:val="20"/>
                <w:szCs w:val="20"/>
                <w:color w:val="auto"/>
              </w:rPr>
            </w:pPr>
            <w:r>
              <w:rPr>
                <w:rFonts w:ascii="Arial" w:cs="Arial" w:eastAsia="Arial" w:hAnsi="Arial"/>
                <w:sz w:val="14"/>
                <w:szCs w:val="14"/>
                <w:color w:val="auto"/>
              </w:rPr>
              <w:t>October 15</w:t>
            </w:r>
          </w:p>
        </w:tc>
        <w:tc>
          <w:tcPr>
            <w:tcW w:w="3200" w:type="dxa"/>
            <w:vAlign w:val="bottom"/>
          </w:tcPr>
          <w:p>
            <w:pPr>
              <w:ind w:left="20"/>
              <w:spacing w:after="0" w:line="145" w:lineRule="exact"/>
              <w:rPr>
                <w:sz w:val="20"/>
                <w:szCs w:val="20"/>
                <w:color w:val="auto"/>
              </w:rPr>
            </w:pPr>
            <w:r>
              <w:rPr>
                <w:rFonts w:ascii="Arial" w:cs="Arial" w:eastAsia="Arial" w:hAnsi="Arial"/>
                <w:sz w:val="14"/>
                <w:szCs w:val="14"/>
                <w:color w:val="auto"/>
              </w:rPr>
              <w:t>How Boards and CEO's can impact business</w:t>
            </w:r>
          </w:p>
        </w:tc>
        <w:tc>
          <w:tcPr>
            <w:tcW w:w="3520" w:type="dxa"/>
            <w:vAlign w:val="bottom"/>
          </w:tcPr>
          <w:p>
            <w:pPr>
              <w:ind w:left="80"/>
              <w:spacing w:after="0" w:line="145" w:lineRule="exact"/>
              <w:rPr>
                <w:sz w:val="20"/>
                <w:szCs w:val="20"/>
                <w:color w:val="auto"/>
              </w:rPr>
            </w:pPr>
            <w:r>
              <w:rPr>
                <w:rFonts w:ascii="Arial" w:cs="Arial" w:eastAsia="Arial" w:hAnsi="Arial"/>
                <w:sz w:val="14"/>
                <w:szCs w:val="14"/>
                <w:color w:val="auto"/>
              </w:rPr>
              <w:t>Women Corporate Directors</w:t>
            </w:r>
          </w:p>
        </w:tc>
        <w:tc>
          <w:tcPr>
            <w:tcW w:w="1660" w:type="dxa"/>
            <w:vAlign w:val="bottom"/>
          </w:tcPr>
          <w:p>
            <w:pPr>
              <w:ind w:left="20"/>
              <w:spacing w:after="0" w:line="145" w:lineRule="exact"/>
              <w:rPr>
                <w:sz w:val="20"/>
                <w:szCs w:val="20"/>
                <w:color w:val="auto"/>
              </w:rPr>
            </w:pPr>
            <w:r>
              <w:rPr>
                <w:rFonts w:ascii="Arial" w:cs="Arial" w:eastAsia="Arial" w:hAnsi="Arial"/>
                <w:sz w:val="14"/>
                <w:szCs w:val="14"/>
                <w:color w:val="auto"/>
              </w:rPr>
              <w:t>Cheryl F. Campbell</w:t>
            </w:r>
          </w:p>
        </w:tc>
      </w:tr>
      <w:tr>
        <w:trPr>
          <w:trHeight w:val="184"/>
        </w:trPr>
        <w:tc>
          <w:tcPr>
            <w:tcW w:w="1580" w:type="dxa"/>
            <w:vAlign w:val="bottom"/>
            <w:tcBorders>
              <w:bottom w:val="single" w:sz="8" w:color="B2B2B2"/>
            </w:tcBorders>
          </w:tcPr>
          <w:p>
            <w:pPr>
              <w:spacing w:after="0"/>
              <w:rPr>
                <w:sz w:val="15"/>
                <w:szCs w:val="15"/>
                <w:color w:val="auto"/>
              </w:rPr>
            </w:pPr>
          </w:p>
        </w:tc>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transformation</w:t>
            </w:r>
          </w:p>
        </w:tc>
        <w:tc>
          <w:tcPr>
            <w:tcW w:w="3520" w:type="dxa"/>
            <w:vAlign w:val="bottom"/>
            <w:tcBorders>
              <w:bottom w:val="single" w:sz="8" w:color="B2B2B2"/>
            </w:tcBorders>
          </w:tcPr>
          <w:p>
            <w:pPr>
              <w:spacing w:after="0"/>
              <w:rPr>
                <w:sz w:val="15"/>
                <w:szCs w:val="15"/>
                <w:color w:val="auto"/>
              </w:rPr>
            </w:pPr>
          </w:p>
        </w:tc>
        <w:tc>
          <w:tcPr>
            <w:tcW w:w="1660" w:type="dxa"/>
            <w:vAlign w:val="bottom"/>
            <w:tcBorders>
              <w:bottom w:val="single" w:sz="8" w:color="B2B2B2"/>
            </w:tcBorders>
          </w:tcPr>
          <w:p>
            <w:pPr>
              <w:spacing w:after="0"/>
              <w:rPr>
                <w:sz w:val="15"/>
                <w:szCs w:val="15"/>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October 25</w:t>
            </w:r>
          </w:p>
        </w:tc>
        <w:tc>
          <w:tcPr>
            <w:tcW w:w="3200" w:type="dxa"/>
            <w:vAlign w:val="bottom"/>
          </w:tcPr>
          <w:p>
            <w:pPr>
              <w:ind w:left="20"/>
              <w:spacing w:after="0"/>
              <w:rPr>
                <w:sz w:val="20"/>
                <w:szCs w:val="20"/>
                <w:color w:val="auto"/>
              </w:rPr>
            </w:pPr>
            <w:r>
              <w:rPr>
                <w:rFonts w:ascii="Arial" w:cs="Arial" w:eastAsia="Arial" w:hAnsi="Arial"/>
                <w:sz w:val="14"/>
                <w:szCs w:val="14"/>
                <w:color w:val="auto"/>
              </w:rPr>
              <w:t>Short &amp; Medium Term Outlooks</w:t>
            </w:r>
          </w:p>
        </w:tc>
        <w:tc>
          <w:tcPr>
            <w:tcW w:w="3520" w:type="dxa"/>
            <w:vAlign w:val="bottom"/>
          </w:tcPr>
          <w:p>
            <w:pPr>
              <w:ind w:left="80"/>
              <w:spacing w:after="0"/>
              <w:rPr>
                <w:sz w:val="20"/>
                <w:szCs w:val="20"/>
                <w:color w:val="auto"/>
              </w:rPr>
            </w:pPr>
            <w:r>
              <w:rPr>
                <w:rFonts w:ascii="Arial" w:cs="Arial" w:eastAsia="Arial" w:hAnsi="Arial"/>
                <w:sz w:val="14"/>
                <w:szCs w:val="14"/>
                <w:color w:val="auto"/>
              </w:rPr>
              <w:t>Scotiabank</w:t>
            </w:r>
          </w:p>
        </w:tc>
        <w:tc>
          <w:tcPr>
            <w:tcW w:w="1660" w:type="dxa"/>
            <w:vAlign w:val="bottom"/>
          </w:tcPr>
          <w:p>
            <w:pPr>
              <w:ind w:left="20"/>
              <w:spacing w:after="0"/>
              <w:rPr>
                <w:sz w:val="20"/>
                <w:szCs w:val="20"/>
                <w:color w:val="auto"/>
              </w:rPr>
            </w:pPr>
            <w:r>
              <w:rPr>
                <w:rFonts w:ascii="Arial" w:cs="Arial" w:eastAsia="Arial" w:hAnsi="Arial"/>
                <w:sz w:val="14"/>
                <w:szCs w:val="14"/>
                <w:color w:val="auto"/>
              </w:rPr>
              <w:t>Michael R. Culbert</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October 29</w:t>
            </w:r>
          </w:p>
        </w:tc>
        <w:tc>
          <w:tcPr>
            <w:tcW w:w="3200" w:type="dxa"/>
            <w:vAlign w:val="bottom"/>
          </w:tcPr>
          <w:p>
            <w:pPr>
              <w:ind w:left="20"/>
              <w:spacing w:after="0"/>
              <w:rPr>
                <w:sz w:val="20"/>
                <w:szCs w:val="20"/>
                <w:color w:val="auto"/>
              </w:rPr>
            </w:pPr>
            <w:r>
              <w:rPr>
                <w:rFonts w:ascii="Arial" w:cs="Arial" w:eastAsia="Arial" w:hAnsi="Arial"/>
                <w:sz w:val="14"/>
                <w:szCs w:val="14"/>
                <w:color w:val="auto"/>
              </w:rPr>
              <w:t>Aligning Succession Planning and Executive Pay</w:t>
            </w:r>
          </w:p>
        </w:tc>
        <w:tc>
          <w:tcPr>
            <w:tcW w:w="3520" w:type="dxa"/>
            <w:vAlign w:val="bottom"/>
          </w:tcPr>
          <w:p>
            <w:pPr>
              <w:ind w:left="80"/>
              <w:spacing w:after="0"/>
              <w:rPr>
                <w:sz w:val="20"/>
                <w:szCs w:val="20"/>
                <w:color w:val="auto"/>
              </w:rPr>
            </w:pPr>
            <w:r>
              <w:rPr>
                <w:rFonts w:ascii="Arial" w:cs="Arial" w:eastAsia="Arial" w:hAnsi="Arial"/>
                <w:sz w:val="14"/>
                <w:szCs w:val="14"/>
                <w:color w:val="auto"/>
              </w:rPr>
              <w:t>National Association of Corporate Directors</w:t>
            </w:r>
          </w:p>
        </w:tc>
        <w:tc>
          <w:tcPr>
            <w:tcW w:w="1660" w:type="dxa"/>
            <w:vAlign w:val="bottom"/>
          </w:tcPr>
          <w:p>
            <w:pPr>
              <w:ind w:left="20"/>
              <w:spacing w:after="0"/>
              <w:rPr>
                <w:sz w:val="20"/>
                <w:szCs w:val="20"/>
                <w:color w:val="auto"/>
              </w:rPr>
            </w:pPr>
            <w:r>
              <w:rPr>
                <w:rFonts w:ascii="Arial" w:cs="Arial" w:eastAsia="Arial" w:hAnsi="Arial"/>
                <w:sz w:val="14"/>
                <w:szCs w:val="14"/>
                <w:color w:val="auto"/>
              </w:rPr>
              <w:t>Cheryl F. Campbell</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November 13</w:t>
            </w:r>
          </w:p>
        </w:tc>
        <w:tc>
          <w:tcPr>
            <w:tcW w:w="3200" w:type="dxa"/>
            <w:vAlign w:val="bottom"/>
          </w:tcPr>
          <w:p>
            <w:pPr>
              <w:ind w:left="20"/>
              <w:spacing w:after="0"/>
              <w:rPr>
                <w:sz w:val="20"/>
                <w:szCs w:val="20"/>
                <w:color w:val="auto"/>
              </w:rPr>
            </w:pPr>
            <w:r>
              <w:rPr>
                <w:rFonts w:ascii="Arial" w:cs="Arial" w:eastAsia="Arial" w:hAnsi="Arial"/>
                <w:sz w:val="14"/>
                <w:szCs w:val="14"/>
                <w:color w:val="auto"/>
              </w:rPr>
              <w:t>Demystifying Upstream Scope 3 Emissions</w:t>
            </w:r>
          </w:p>
        </w:tc>
        <w:tc>
          <w:tcPr>
            <w:tcW w:w="3520" w:type="dxa"/>
            <w:vAlign w:val="bottom"/>
          </w:tcPr>
          <w:p>
            <w:pPr>
              <w:ind w:left="80"/>
              <w:spacing w:after="0"/>
              <w:rPr>
                <w:sz w:val="20"/>
                <w:szCs w:val="20"/>
                <w:color w:val="auto"/>
              </w:rPr>
            </w:pPr>
            <w:r>
              <w:rPr>
                <w:rFonts w:ascii="Arial" w:cs="Arial" w:eastAsia="Arial" w:hAnsi="Arial"/>
                <w:sz w:val="14"/>
                <w:szCs w:val="14"/>
                <w:color w:val="auto"/>
              </w:rPr>
              <w:t>Wood Mackenzie</w:t>
            </w:r>
          </w:p>
        </w:tc>
        <w:tc>
          <w:tcPr>
            <w:tcW w:w="1660" w:type="dxa"/>
            <w:vAlign w:val="bottom"/>
          </w:tcPr>
          <w:p>
            <w:pPr>
              <w:ind w:left="20"/>
              <w:spacing w:after="0"/>
              <w:rPr>
                <w:sz w:val="20"/>
                <w:szCs w:val="20"/>
                <w:color w:val="auto"/>
              </w:rPr>
            </w:pPr>
            <w:r>
              <w:rPr>
                <w:rFonts w:ascii="Arial" w:cs="Arial" w:eastAsia="Arial" w:hAnsi="Arial"/>
                <w:sz w:val="14"/>
                <w:szCs w:val="14"/>
                <w:color w:val="auto"/>
              </w:rPr>
              <w:t>Michael R. Culbert</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November 17</w:t>
            </w:r>
          </w:p>
        </w:tc>
        <w:tc>
          <w:tcPr>
            <w:tcW w:w="3200" w:type="dxa"/>
            <w:vAlign w:val="bottom"/>
          </w:tcPr>
          <w:p>
            <w:pPr>
              <w:ind w:left="20"/>
              <w:spacing w:after="0"/>
              <w:rPr>
                <w:sz w:val="20"/>
                <w:szCs w:val="20"/>
                <w:color w:val="auto"/>
              </w:rPr>
            </w:pPr>
            <w:r>
              <w:rPr>
                <w:rFonts w:ascii="Arial" w:cs="Arial" w:eastAsia="Arial" w:hAnsi="Arial"/>
                <w:sz w:val="14"/>
                <w:szCs w:val="14"/>
                <w:color w:val="auto"/>
              </w:rPr>
              <w:t>Chairing the Board - Vision, Strategy &amp; Culture</w:t>
            </w:r>
          </w:p>
        </w:tc>
        <w:tc>
          <w:tcPr>
            <w:tcW w:w="3520" w:type="dxa"/>
            <w:vAlign w:val="bottom"/>
          </w:tcPr>
          <w:p>
            <w:pPr>
              <w:ind w:left="80"/>
              <w:spacing w:after="0"/>
              <w:rPr>
                <w:sz w:val="20"/>
                <w:szCs w:val="20"/>
                <w:color w:val="auto"/>
              </w:rPr>
            </w:pPr>
            <w:r>
              <w:rPr>
                <w:rFonts w:ascii="Arial" w:cs="Arial" w:eastAsia="Arial" w:hAnsi="Arial"/>
                <w:sz w:val="14"/>
                <w:szCs w:val="14"/>
                <w:color w:val="auto"/>
              </w:rPr>
              <w:t>Board Ready Women</w:t>
            </w:r>
          </w:p>
        </w:tc>
        <w:tc>
          <w:tcPr>
            <w:tcW w:w="1660" w:type="dxa"/>
            <w:vAlign w:val="bottom"/>
          </w:tcPr>
          <w:p>
            <w:pPr>
              <w:ind w:left="20"/>
              <w:spacing w:after="0"/>
              <w:rPr>
                <w:sz w:val="20"/>
                <w:szCs w:val="20"/>
                <w:color w:val="auto"/>
              </w:rPr>
            </w:pPr>
            <w:r>
              <w:rPr>
                <w:rFonts w:ascii="Arial" w:cs="Arial" w:eastAsia="Arial" w:hAnsi="Arial"/>
                <w:sz w:val="14"/>
                <w:szCs w:val="14"/>
                <w:color w:val="auto"/>
              </w:rPr>
              <w:t>Michael R. Culbert</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November 24</w:t>
            </w:r>
          </w:p>
        </w:tc>
        <w:tc>
          <w:tcPr>
            <w:tcW w:w="3200" w:type="dxa"/>
            <w:vAlign w:val="bottom"/>
          </w:tcPr>
          <w:p>
            <w:pPr>
              <w:ind w:left="20"/>
              <w:spacing w:after="0"/>
              <w:rPr>
                <w:sz w:val="20"/>
                <w:szCs w:val="20"/>
                <w:color w:val="auto"/>
              </w:rPr>
            </w:pPr>
            <w:r>
              <w:rPr>
                <w:rFonts w:ascii="Arial" w:cs="Arial" w:eastAsia="Arial" w:hAnsi="Arial"/>
                <w:sz w:val="14"/>
                <w:szCs w:val="14"/>
                <w:color w:val="auto"/>
              </w:rPr>
              <w:t>Western Canadian Energy - The Grand Bargain</w:t>
            </w:r>
          </w:p>
        </w:tc>
        <w:tc>
          <w:tcPr>
            <w:tcW w:w="3520" w:type="dxa"/>
            <w:vAlign w:val="bottom"/>
          </w:tcPr>
          <w:p>
            <w:pPr>
              <w:ind w:left="80"/>
              <w:spacing w:after="0"/>
              <w:rPr>
                <w:sz w:val="20"/>
                <w:szCs w:val="20"/>
                <w:color w:val="auto"/>
              </w:rPr>
            </w:pPr>
            <w:r>
              <w:rPr>
                <w:rFonts w:ascii="Arial" w:cs="Arial" w:eastAsia="Arial" w:hAnsi="Arial"/>
                <w:sz w:val="14"/>
                <w:szCs w:val="14"/>
                <w:color w:val="auto"/>
              </w:rPr>
              <w:t>Scotiabank</w:t>
            </w:r>
          </w:p>
        </w:tc>
        <w:tc>
          <w:tcPr>
            <w:tcW w:w="1660" w:type="dxa"/>
            <w:vAlign w:val="bottom"/>
          </w:tcPr>
          <w:p>
            <w:pPr>
              <w:ind w:left="20"/>
              <w:spacing w:after="0"/>
              <w:rPr>
                <w:sz w:val="20"/>
                <w:szCs w:val="20"/>
                <w:color w:val="auto"/>
              </w:rPr>
            </w:pPr>
            <w:r>
              <w:rPr>
                <w:rFonts w:ascii="Arial" w:cs="Arial" w:eastAsia="Arial" w:hAnsi="Arial"/>
                <w:sz w:val="14"/>
                <w:szCs w:val="14"/>
                <w:color w:val="auto"/>
              </w:rPr>
              <w:t>Michael R. Culbert</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87"/>
        </w:trPr>
        <w:tc>
          <w:tcPr>
            <w:tcW w:w="1580" w:type="dxa"/>
            <w:vAlign w:val="bottom"/>
          </w:tcPr>
          <w:p>
            <w:pPr>
              <w:ind w:left="20"/>
              <w:spacing w:after="0"/>
              <w:rPr>
                <w:sz w:val="20"/>
                <w:szCs w:val="20"/>
                <w:color w:val="auto"/>
              </w:rPr>
            </w:pPr>
            <w:r>
              <w:rPr>
                <w:rFonts w:ascii="Arial" w:cs="Arial" w:eastAsia="Arial" w:hAnsi="Arial"/>
                <w:sz w:val="14"/>
                <w:szCs w:val="14"/>
                <w:color w:val="auto"/>
              </w:rPr>
              <w:t>December 3</w:t>
            </w:r>
          </w:p>
        </w:tc>
        <w:tc>
          <w:tcPr>
            <w:tcW w:w="3200" w:type="dxa"/>
            <w:vAlign w:val="bottom"/>
          </w:tcPr>
          <w:p>
            <w:pPr>
              <w:ind w:left="20"/>
              <w:spacing w:after="0"/>
              <w:rPr>
                <w:sz w:val="20"/>
                <w:szCs w:val="20"/>
                <w:color w:val="auto"/>
              </w:rPr>
            </w:pPr>
            <w:r>
              <w:rPr>
                <w:rFonts w:ascii="Arial" w:cs="Arial" w:eastAsia="Arial" w:hAnsi="Arial"/>
                <w:sz w:val="14"/>
                <w:szCs w:val="14"/>
                <w:color w:val="auto"/>
              </w:rPr>
              <w:t>Proxy Season - Trends/Preparing for 2026</w:t>
            </w:r>
          </w:p>
        </w:tc>
        <w:tc>
          <w:tcPr>
            <w:tcW w:w="3520" w:type="dxa"/>
            <w:vAlign w:val="bottom"/>
          </w:tcPr>
          <w:p>
            <w:pPr>
              <w:ind w:left="80"/>
              <w:spacing w:after="0"/>
              <w:rPr>
                <w:sz w:val="20"/>
                <w:szCs w:val="20"/>
                <w:color w:val="auto"/>
              </w:rPr>
            </w:pPr>
            <w:r>
              <w:rPr>
                <w:rFonts w:ascii="Arial" w:cs="Arial" w:eastAsia="Arial" w:hAnsi="Arial"/>
                <w:sz w:val="14"/>
                <w:szCs w:val="14"/>
                <w:color w:val="auto"/>
              </w:rPr>
              <w:t>Women Corporate Directors</w:t>
            </w:r>
          </w:p>
        </w:tc>
        <w:tc>
          <w:tcPr>
            <w:tcW w:w="1660" w:type="dxa"/>
            <w:vAlign w:val="bottom"/>
          </w:tcPr>
          <w:p>
            <w:pPr>
              <w:ind w:left="20"/>
              <w:spacing w:after="0"/>
              <w:rPr>
                <w:sz w:val="20"/>
                <w:szCs w:val="20"/>
                <w:color w:val="auto"/>
              </w:rPr>
            </w:pPr>
            <w:r>
              <w:rPr>
                <w:rFonts w:ascii="Arial" w:cs="Arial" w:eastAsia="Arial" w:hAnsi="Arial"/>
                <w:sz w:val="14"/>
                <w:szCs w:val="14"/>
                <w:color w:val="auto"/>
              </w:rPr>
              <w:t>Mary Pat Salomone</w:t>
            </w:r>
          </w:p>
        </w:tc>
      </w:tr>
      <w:tr>
        <w:trPr>
          <w:trHeight w:val="21"/>
        </w:trPr>
        <w:tc>
          <w:tcPr>
            <w:tcW w:w="1580" w:type="dxa"/>
            <w:vAlign w:val="bottom"/>
            <w:tcBorders>
              <w:bottom w:val="single" w:sz="8" w:color="B2B2B2"/>
            </w:tcBorders>
          </w:tcPr>
          <w:p>
            <w:pPr>
              <w:spacing w:after="0" w:line="20" w:lineRule="exact"/>
              <w:rPr>
                <w:sz w:val="1"/>
                <w:szCs w:val="1"/>
                <w:color w:val="auto"/>
              </w:rPr>
            </w:pPr>
          </w:p>
        </w:tc>
        <w:tc>
          <w:tcPr>
            <w:tcW w:w="3200" w:type="dxa"/>
            <w:vAlign w:val="bottom"/>
            <w:tcBorders>
              <w:bottom w:val="single" w:sz="8" w:color="B2B2B2"/>
            </w:tcBorders>
          </w:tcPr>
          <w:p>
            <w:pPr>
              <w:spacing w:after="0" w:line="20" w:lineRule="exact"/>
              <w:rPr>
                <w:sz w:val="1"/>
                <w:szCs w:val="1"/>
                <w:color w:val="auto"/>
              </w:rPr>
            </w:pPr>
          </w:p>
        </w:tc>
        <w:tc>
          <w:tcPr>
            <w:tcW w:w="3520" w:type="dxa"/>
            <w:vAlign w:val="bottom"/>
            <w:tcBorders>
              <w:bottom w:val="single" w:sz="8" w:color="B2B2B2"/>
            </w:tcBorders>
          </w:tcPr>
          <w:p>
            <w:pPr>
              <w:spacing w:after="0" w:line="20" w:lineRule="exact"/>
              <w:rPr>
                <w:sz w:val="1"/>
                <w:szCs w:val="1"/>
                <w:color w:val="auto"/>
              </w:rPr>
            </w:pPr>
          </w:p>
        </w:tc>
        <w:tc>
          <w:tcPr>
            <w:tcW w:w="1660" w:type="dxa"/>
            <w:vAlign w:val="bottom"/>
            <w:tcBorders>
              <w:bottom w:val="single" w:sz="8" w:color="B2B2B2"/>
            </w:tcBorders>
          </w:tcPr>
          <w:p>
            <w:pPr>
              <w:spacing w:after="0" w:line="20" w:lineRule="exact"/>
              <w:rPr>
                <w:sz w:val="1"/>
                <w:szCs w:val="1"/>
                <w:color w:val="auto"/>
              </w:rPr>
            </w:pPr>
          </w:p>
        </w:tc>
      </w:tr>
      <w:tr>
        <w:trPr>
          <w:trHeight w:val="145"/>
        </w:trPr>
        <w:tc>
          <w:tcPr>
            <w:tcW w:w="1580" w:type="dxa"/>
            <w:vAlign w:val="bottom"/>
          </w:tcPr>
          <w:p>
            <w:pPr>
              <w:ind w:left="20"/>
              <w:spacing w:after="0" w:line="145" w:lineRule="exact"/>
              <w:rPr>
                <w:sz w:val="20"/>
                <w:szCs w:val="20"/>
                <w:color w:val="auto"/>
              </w:rPr>
            </w:pPr>
            <w:r>
              <w:rPr>
                <w:rFonts w:ascii="Arial" w:cs="Arial" w:eastAsia="Arial" w:hAnsi="Arial"/>
                <w:sz w:val="14"/>
                <w:szCs w:val="14"/>
                <w:color w:val="auto"/>
              </w:rPr>
              <w:t>December 4</w:t>
            </w:r>
          </w:p>
        </w:tc>
        <w:tc>
          <w:tcPr>
            <w:tcW w:w="3200" w:type="dxa"/>
            <w:vAlign w:val="bottom"/>
          </w:tcPr>
          <w:p>
            <w:pPr>
              <w:ind w:left="20"/>
              <w:spacing w:after="0" w:line="145" w:lineRule="exact"/>
              <w:rPr>
                <w:sz w:val="20"/>
                <w:szCs w:val="20"/>
                <w:color w:val="auto"/>
              </w:rPr>
            </w:pPr>
            <w:r>
              <w:rPr>
                <w:rFonts w:ascii="Arial" w:cs="Arial" w:eastAsia="Arial" w:hAnsi="Arial"/>
                <w:sz w:val="14"/>
                <w:szCs w:val="14"/>
                <w:color w:val="auto"/>
              </w:rPr>
              <w:t>Technology Governance and the AI Savvy</w:t>
            </w:r>
          </w:p>
        </w:tc>
        <w:tc>
          <w:tcPr>
            <w:tcW w:w="3520" w:type="dxa"/>
            <w:vAlign w:val="bottom"/>
          </w:tcPr>
          <w:p>
            <w:pPr>
              <w:ind w:left="80"/>
              <w:spacing w:after="0" w:line="145" w:lineRule="exact"/>
              <w:rPr>
                <w:sz w:val="20"/>
                <w:szCs w:val="20"/>
                <w:color w:val="auto"/>
              </w:rPr>
            </w:pPr>
            <w:r>
              <w:rPr>
                <w:rFonts w:ascii="Arial" w:cs="Arial" w:eastAsia="Arial" w:hAnsi="Arial"/>
                <w:sz w:val="14"/>
                <w:szCs w:val="14"/>
                <w:color w:val="auto"/>
              </w:rPr>
              <w:t>National Association of Corporate Directors</w:t>
            </w:r>
          </w:p>
        </w:tc>
        <w:tc>
          <w:tcPr>
            <w:tcW w:w="1660" w:type="dxa"/>
            <w:vAlign w:val="bottom"/>
          </w:tcPr>
          <w:p>
            <w:pPr>
              <w:ind w:left="20"/>
              <w:spacing w:after="0" w:line="145" w:lineRule="exact"/>
              <w:rPr>
                <w:sz w:val="20"/>
                <w:szCs w:val="20"/>
                <w:color w:val="auto"/>
              </w:rPr>
            </w:pPr>
            <w:r>
              <w:rPr>
                <w:rFonts w:ascii="Arial" w:cs="Arial" w:eastAsia="Arial" w:hAnsi="Arial"/>
                <w:sz w:val="14"/>
                <w:szCs w:val="14"/>
                <w:color w:val="auto"/>
              </w:rPr>
              <w:t>Cheryl F. Campbell</w:t>
            </w:r>
          </w:p>
        </w:tc>
      </w:tr>
      <w:tr>
        <w:trPr>
          <w:trHeight w:val="184"/>
        </w:trPr>
        <w:tc>
          <w:tcPr>
            <w:tcW w:w="1580" w:type="dxa"/>
            <w:vAlign w:val="bottom"/>
          </w:tcPr>
          <w:p>
            <w:pPr>
              <w:spacing w:after="0"/>
              <w:rPr>
                <w:sz w:val="15"/>
                <w:szCs w:val="15"/>
                <w:color w:val="auto"/>
              </w:rPr>
            </w:pPr>
          </w:p>
        </w:tc>
        <w:tc>
          <w:tcPr>
            <w:tcW w:w="32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Boardroom</w:t>
            </w:r>
          </w:p>
        </w:tc>
        <w:tc>
          <w:tcPr>
            <w:tcW w:w="3520" w:type="dxa"/>
            <w:vAlign w:val="bottom"/>
            <w:tcBorders>
              <w:bottom w:val="single" w:sz="8" w:color="B2B2B2"/>
            </w:tcBorders>
          </w:tcPr>
          <w:p>
            <w:pPr>
              <w:spacing w:after="0"/>
              <w:rPr>
                <w:sz w:val="15"/>
                <w:szCs w:val="15"/>
                <w:color w:val="auto"/>
              </w:rPr>
            </w:pPr>
          </w:p>
        </w:tc>
        <w:tc>
          <w:tcPr>
            <w:tcW w:w="1660" w:type="dxa"/>
            <w:vAlign w:val="bottom"/>
            <w:tcBorders>
              <w:bottom w:val="single" w:sz="8" w:color="B2B2B2"/>
            </w:tcBorders>
          </w:tcPr>
          <w:p>
            <w:pPr>
              <w:spacing w:after="0"/>
              <w:rPr>
                <w:sz w:val="15"/>
                <w:szCs w:val="15"/>
                <w:color w:val="auto"/>
              </w:rPr>
            </w:pPr>
          </w:p>
        </w:tc>
      </w:tr>
      <w:tr>
        <w:trPr>
          <w:trHeight w:val="187"/>
        </w:trPr>
        <w:tc>
          <w:tcPr>
            <w:tcW w:w="158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Board Oversight in the Age of AI</w:t>
            </w:r>
          </w:p>
        </w:tc>
        <w:tc>
          <w:tcPr>
            <w:tcW w:w="3520" w:type="dxa"/>
            <w:vAlign w:val="bottom"/>
          </w:tcPr>
          <w:p>
            <w:pPr>
              <w:ind w:left="80"/>
              <w:spacing w:after="0"/>
              <w:rPr>
                <w:sz w:val="20"/>
                <w:szCs w:val="20"/>
                <w:color w:val="auto"/>
              </w:rPr>
            </w:pPr>
            <w:r>
              <w:rPr>
                <w:rFonts w:ascii="Arial" w:cs="Arial" w:eastAsia="Arial" w:hAnsi="Arial"/>
                <w:sz w:val="14"/>
                <w:szCs w:val="14"/>
                <w:color w:val="auto"/>
              </w:rPr>
              <w:t>National Association of Corporate Directors</w:t>
            </w:r>
          </w:p>
        </w:tc>
        <w:tc>
          <w:tcPr>
            <w:tcW w:w="1660" w:type="dxa"/>
            <w:vAlign w:val="bottom"/>
          </w:tcPr>
          <w:p>
            <w:pPr>
              <w:ind w:left="20"/>
              <w:spacing w:after="0"/>
              <w:rPr>
                <w:sz w:val="20"/>
                <w:szCs w:val="20"/>
                <w:color w:val="auto"/>
              </w:rPr>
            </w:pPr>
            <w:r>
              <w:rPr>
                <w:rFonts w:ascii="Arial" w:cs="Arial" w:eastAsia="Arial" w:hAnsi="Arial"/>
                <w:sz w:val="14"/>
                <w:szCs w:val="14"/>
                <w:color w:val="auto"/>
              </w:rPr>
              <w:t>Mary Pat Salomone</w:t>
            </w:r>
          </w:p>
        </w:tc>
      </w:tr>
      <w:tr>
        <w:trPr>
          <w:trHeight w:val="21"/>
        </w:trPr>
        <w:tc>
          <w:tcPr>
            <w:tcW w:w="1580" w:type="dxa"/>
            <w:vAlign w:val="bottom"/>
            <w:tcBorders>
              <w:bottom w:val="single" w:sz="8" w:color="0D64EF"/>
            </w:tcBorders>
          </w:tcPr>
          <w:p>
            <w:pPr>
              <w:spacing w:after="0" w:line="20" w:lineRule="exact"/>
              <w:rPr>
                <w:sz w:val="1"/>
                <w:szCs w:val="1"/>
                <w:color w:val="auto"/>
              </w:rPr>
            </w:pPr>
          </w:p>
        </w:tc>
        <w:tc>
          <w:tcPr>
            <w:tcW w:w="3200" w:type="dxa"/>
            <w:vAlign w:val="bottom"/>
            <w:tcBorders>
              <w:bottom w:val="single" w:sz="8" w:color="0D64EF"/>
            </w:tcBorders>
          </w:tcPr>
          <w:p>
            <w:pPr>
              <w:spacing w:after="0" w:line="20" w:lineRule="exact"/>
              <w:rPr>
                <w:sz w:val="1"/>
                <w:szCs w:val="1"/>
                <w:color w:val="auto"/>
              </w:rPr>
            </w:pPr>
          </w:p>
        </w:tc>
        <w:tc>
          <w:tcPr>
            <w:tcW w:w="3520" w:type="dxa"/>
            <w:vAlign w:val="bottom"/>
            <w:tcBorders>
              <w:bottom w:val="single" w:sz="8" w:color="0D64EF"/>
            </w:tcBorders>
          </w:tcPr>
          <w:p>
            <w:pPr>
              <w:spacing w:after="0" w:line="20" w:lineRule="exact"/>
              <w:rPr>
                <w:sz w:val="1"/>
                <w:szCs w:val="1"/>
                <w:color w:val="auto"/>
              </w:rPr>
            </w:pPr>
          </w:p>
        </w:tc>
        <w:tc>
          <w:tcPr>
            <w:tcW w:w="1660" w:type="dxa"/>
            <w:vAlign w:val="bottom"/>
            <w:tcBorders>
              <w:bottom w:val="single" w:sz="8" w:color="0D64E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53</w:t>
      </w:r>
    </w:p>
    <w:p>
      <w:pPr>
        <w:sectPr>
          <w:pgSz w:w="11900" w:h="16838" w:orient="portrait"/>
          <w:cols w:equalWidth="0" w:num="1">
            <w:col w:w="11240"/>
          </w:cols>
          <w:pgMar w:left="320" w:top="1047" w:right="339" w:bottom="1440" w:gutter="0" w:footer="0" w:header="0"/>
        </w:sectPr>
      </w:pPr>
    </w:p>
    <w:bookmarkStart w:id="59" w:name="page60"/>
    <w:bookmarkEnd w:id="59"/>
    <w:p>
      <w:pPr>
        <w:spacing w:after="0"/>
        <w:rPr>
          <w:sz w:val="20"/>
          <w:szCs w:val="20"/>
          <w:color w:val="auto"/>
        </w:rPr>
      </w:pPr>
      <w:r>
        <w:rPr>
          <w:rFonts w:ascii="Arial" w:cs="Arial" w:eastAsia="Arial" w:hAnsi="Arial"/>
          <w:sz w:val="29"/>
          <w:szCs w:val="29"/>
          <w:color w:val="0D64EF"/>
        </w:rPr>
        <w:t>Board Effectiveness and Director Assessment</w:t>
      </w:r>
    </w:p>
    <w:p>
      <w:pPr>
        <w:spacing w:after="0" w:line="168" w:lineRule="exact"/>
        <w:rPr>
          <w:sz w:val="20"/>
          <w:szCs w:val="20"/>
          <w:color w:val="auto"/>
        </w:rPr>
      </w:pPr>
    </w:p>
    <w:p>
      <w:pPr>
        <w:ind w:right="220"/>
        <w:spacing w:after="0" w:line="337" w:lineRule="auto"/>
        <w:rPr>
          <w:sz w:val="20"/>
          <w:szCs w:val="20"/>
          <w:color w:val="auto"/>
        </w:rPr>
      </w:pPr>
      <w:r>
        <w:rPr>
          <w:rFonts w:ascii="Arial" w:cs="Arial" w:eastAsia="Arial" w:hAnsi="Arial"/>
          <w:sz w:val="16"/>
          <w:szCs w:val="16"/>
          <w:color w:val="auto"/>
        </w:rPr>
        <w:t>The Governance Committee oversees an assessment of the performance of the Board, the Chair, Board Committees and individual directors annually and reports the results to the Board.</w:t>
      </w:r>
    </w:p>
    <w:p>
      <w:pPr>
        <w:spacing w:after="0" w:line="48" w:lineRule="exact"/>
        <w:rPr>
          <w:sz w:val="20"/>
          <w:szCs w:val="20"/>
          <w:color w:val="auto"/>
        </w:rPr>
      </w:pPr>
    </w:p>
    <w:p>
      <w:pPr>
        <w:ind w:right="100"/>
        <w:spacing w:after="0" w:line="326" w:lineRule="auto"/>
        <w:rPr>
          <w:sz w:val="20"/>
          <w:szCs w:val="20"/>
          <w:color w:val="auto"/>
        </w:rPr>
      </w:pPr>
      <w:r>
        <w:rPr>
          <w:rFonts w:ascii="Arial" w:cs="Arial" w:eastAsia="Arial" w:hAnsi="Arial"/>
          <w:sz w:val="16"/>
          <w:szCs w:val="16"/>
          <w:color w:val="auto"/>
        </w:rPr>
        <w:t>The assessment process involves both the Chair of the Board and Chair of the Governance Committee meeting separately with each director individually for the individual director assessment. The individual director assessment also includes a discussion of expectations for directors serving on our Board, and providing specific feedback to each director on their performance as a member of the Board.</w:t>
      </w:r>
    </w:p>
    <w:p>
      <w:pPr>
        <w:spacing w:after="0" w:line="43" w:lineRule="exact"/>
        <w:rPr>
          <w:sz w:val="20"/>
          <w:szCs w:val="20"/>
          <w:color w:val="auto"/>
        </w:rPr>
      </w:pPr>
    </w:p>
    <w:p>
      <w:pPr>
        <w:spacing w:after="0" w:line="326" w:lineRule="auto"/>
        <w:rPr>
          <w:sz w:val="20"/>
          <w:szCs w:val="20"/>
          <w:color w:val="auto"/>
        </w:rPr>
      </w:pPr>
      <w:r>
        <w:rPr>
          <w:rFonts w:ascii="Arial" w:cs="Arial" w:eastAsia="Arial" w:hAnsi="Arial"/>
          <w:sz w:val="16"/>
          <w:szCs w:val="16"/>
          <w:color w:val="auto"/>
        </w:rPr>
        <w:t>Interviews include questions about effectiveness, communication, personal and individual peer performance and soliciting input from directors about areas for potential improvement. The interviews are open-ended to encourage discussion and seek specific input on topics such as risk, strategy and governance. To supplement these interviews, directors also complete evaluation questionnaires on committee performance.</w:t>
      </w:r>
    </w:p>
    <w:p>
      <w:pPr>
        <w:spacing w:after="0" w:line="43" w:lineRule="exact"/>
        <w:rPr>
          <w:sz w:val="20"/>
          <w:szCs w:val="20"/>
          <w:color w:val="auto"/>
        </w:rPr>
      </w:pPr>
    </w:p>
    <w:p>
      <w:pPr>
        <w:ind w:right="320"/>
        <w:spacing w:after="0" w:line="354" w:lineRule="auto"/>
        <w:rPr>
          <w:sz w:val="20"/>
          <w:szCs w:val="20"/>
          <w:color w:val="auto"/>
        </w:rPr>
      </w:pPr>
      <w:r>
        <w:rPr>
          <w:rFonts w:ascii="Arial" w:cs="Arial" w:eastAsia="Arial" w:hAnsi="Arial"/>
          <w:sz w:val="16"/>
          <w:szCs w:val="16"/>
          <w:color w:val="auto"/>
        </w:rPr>
        <w:t>The Governance Committee believes this approach is the most effective way for directors to give feedback that can be reviewed by the entire Board. The Governance Committee also monitors developments in board governance and evolving best practices in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48260</wp:posOffset>
            </wp:positionV>
            <wp:extent cx="4709795" cy="2244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09795" cy="224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auto"/>
        </w:rPr>
        <w:t>In 2025, the assessment process showed that the Chair of the Board, each director, and all Committees are functioning effectively and fulfilling the mandates set out in the Board and Committee charters.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FINANCIAL LITERACY</w:t>
      </w:r>
    </w:p>
    <w:p>
      <w:pPr>
        <w:spacing w:after="0" w:line="48"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 xml:space="preserve">The Board has determined that all members of the Audit Committee are </w:t>
      </w:r>
      <w:r>
        <w:rPr>
          <w:rFonts w:ascii="Arial" w:cs="Arial" w:eastAsia="Arial" w:hAnsi="Arial"/>
          <w:sz w:val="16"/>
          <w:szCs w:val="16"/>
          <w:i w:val="1"/>
          <w:iCs w:val="1"/>
          <w:color w:val="auto"/>
        </w:rPr>
        <w:t>financially literate</w:t>
      </w:r>
      <w:r>
        <w:rPr>
          <w:rFonts w:ascii="Arial" w:cs="Arial" w:eastAsia="Arial" w:hAnsi="Arial"/>
          <w:sz w:val="16"/>
          <w:szCs w:val="16"/>
          <w:color w:val="auto"/>
        </w:rPr>
        <w:t>, which means each member can read and understand a set of financial statements that are generally comparable to ours in terms of breadth and complexity of accounting issues. You can find more information about their education and financial experience in the director profiles starting on page 20, in the Audit Committee report on page 67 and in the AIF which is available on our website (www.tcenergy.com) and on SEDAR+ (www.sedarplus.ca).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48" w:right="359" w:bottom="1440"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color w:val="0D64EF"/>
        </w:rPr>
        <w:t>BOARD RENEWAL</w:t>
      </w:r>
    </w:p>
    <w:p>
      <w:pPr>
        <w:spacing w:after="0" w:line="48" w:lineRule="exact"/>
        <w:rPr>
          <w:sz w:val="20"/>
          <w:szCs w:val="20"/>
          <w:color w:val="auto"/>
        </w:rPr>
      </w:pPr>
    </w:p>
    <w:p>
      <w:pPr>
        <w:ind w:right="260"/>
        <w:spacing w:after="0" w:line="326" w:lineRule="auto"/>
        <w:rPr>
          <w:sz w:val="20"/>
          <w:szCs w:val="20"/>
          <w:color w:val="auto"/>
        </w:rPr>
      </w:pPr>
      <w:r>
        <w:rPr>
          <w:rFonts w:ascii="Arial" w:cs="Arial" w:eastAsia="Arial" w:hAnsi="Arial"/>
          <w:sz w:val="16"/>
          <w:szCs w:val="16"/>
          <w:color w:val="auto"/>
        </w:rPr>
        <w:t>The Governance Committee regularly assesses the skill set of each director, and reviews it against the director retirement schedule, their ages and the composition of each Committee. The review also takes into account the desirability of maintaining a reasonable variety of backgrounds, and character and behavioural qualities.</w:t>
      </w:r>
    </w:p>
    <w:p>
      <w:pPr>
        <w:spacing w:after="0" w:line="43" w:lineRule="exact"/>
        <w:rPr>
          <w:sz w:val="20"/>
          <w:szCs w:val="20"/>
          <w:color w:val="auto"/>
        </w:rPr>
      </w:pPr>
    </w:p>
    <w:p>
      <w:pPr>
        <w:ind w:right="240"/>
        <w:spacing w:after="0" w:line="316" w:lineRule="auto"/>
        <w:rPr>
          <w:sz w:val="20"/>
          <w:szCs w:val="20"/>
          <w:color w:val="auto"/>
        </w:rPr>
      </w:pPr>
      <w:r>
        <w:rPr>
          <w:rFonts w:ascii="Arial" w:cs="Arial" w:eastAsia="Arial" w:hAnsi="Arial"/>
          <w:sz w:val="16"/>
          <w:szCs w:val="16"/>
          <w:color w:val="auto"/>
        </w:rPr>
        <w:t>The Governance Committee, with input from the Chair of the Board and the CEO, is responsible for identifying suitable director candidates and canvasses the entire Board for potential nominees. From time to time, the Governance Committee uses a third party recruitment specialist to identify potential director candidates. The Governance Committee is responsible for assessing the individuals and proposing the strongest candidates for nomination. An evolving roster of suitable director candidates is maintained by the Governance Committee.</w:t>
      </w:r>
    </w:p>
    <w:p>
      <w:pPr>
        <w:spacing w:after="0" w:line="66" w:lineRule="exact"/>
        <w:rPr>
          <w:sz w:val="20"/>
          <w:szCs w:val="20"/>
          <w:color w:val="auto"/>
        </w:rPr>
      </w:pPr>
    </w:p>
    <w:p>
      <w:pPr>
        <w:jc w:val="both"/>
        <w:ind w:right="300"/>
        <w:spacing w:after="0" w:line="303" w:lineRule="auto"/>
        <w:rPr>
          <w:sz w:val="20"/>
          <w:szCs w:val="20"/>
          <w:color w:val="auto"/>
        </w:rPr>
      </w:pPr>
      <w:r>
        <w:rPr>
          <w:rFonts w:ascii="Arial" w:cs="Arial" w:eastAsia="Arial" w:hAnsi="Arial"/>
          <w:sz w:val="16"/>
          <w:szCs w:val="16"/>
          <w:color w:val="auto"/>
        </w:rPr>
        <w:t>The Governance Committee looks for a mix of skills and experience required for overseeing our business and affairs. While candidates are nominated as directors based on their background and ability to contribute to the Board and Committee meetings, the Board also specifically considers diversity factors. The Board considers personal characteristics such as gender, ethnic background, geographic residence and other distinctions when looking at diversity.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Board diversity is discussed under the section </w:t>
      </w:r>
      <w:r>
        <w:rPr>
          <w:rFonts w:ascii="Arial" w:cs="Arial" w:eastAsia="Arial" w:hAnsi="Arial"/>
          <w:sz w:val="16"/>
          <w:szCs w:val="16"/>
          <w:i w:val="1"/>
          <w:iCs w:val="1"/>
          <w:color w:val="auto"/>
        </w:rPr>
        <w:t>Governance - Board Characteristics - Board Diversity</w:t>
      </w:r>
      <w:r>
        <w:rPr>
          <w:rFonts w:ascii="Arial" w:cs="Arial" w:eastAsia="Arial" w:hAnsi="Arial"/>
          <w:sz w:val="16"/>
          <w:szCs w:val="16"/>
          <w:color w:val="auto"/>
        </w:rPr>
        <w:t xml:space="preserve"> on pages 35 and 36.</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Candidates who are being nominated for the first time must have experience in industries similar to ours or experience</w:t>
      </w:r>
    </w:p>
    <w:p>
      <w:pPr>
        <w:spacing w:after="0" w:line="44" w:lineRule="exact"/>
        <w:rPr>
          <w:sz w:val="20"/>
          <w:szCs w:val="20"/>
          <w:color w:val="auto"/>
        </w:rPr>
      </w:pPr>
    </w:p>
    <w:p>
      <w:pPr>
        <w:ind w:right="360"/>
        <w:spacing w:after="0" w:line="354" w:lineRule="auto"/>
        <w:rPr>
          <w:sz w:val="20"/>
          <w:szCs w:val="20"/>
          <w:color w:val="auto"/>
        </w:rPr>
      </w:pPr>
      <w:r>
        <w:rPr>
          <w:rFonts w:ascii="Arial" w:cs="Arial" w:eastAsia="Arial" w:hAnsi="Arial"/>
          <w:sz w:val="16"/>
          <w:szCs w:val="16"/>
          <w:color w:val="auto"/>
        </w:rPr>
        <w:t>in general business management or with corporations or organizations that are similar in size and scope. Candidates must also be willing to serve on the Board and able to devote the necessary time to fulfill their duties and responsibilities.</w:t>
      </w:r>
    </w:p>
    <w:p>
      <w:pPr>
        <w:spacing w:after="0" w:line="22" w:lineRule="exact"/>
        <w:rPr>
          <w:sz w:val="20"/>
          <w:szCs w:val="20"/>
          <w:color w:val="auto"/>
        </w:rPr>
      </w:pPr>
    </w:p>
    <w:p>
      <w:pPr>
        <w:jc w:val="both"/>
        <w:ind w:right="80"/>
        <w:spacing w:after="0" w:line="303" w:lineRule="auto"/>
        <w:rPr>
          <w:sz w:val="20"/>
          <w:szCs w:val="20"/>
          <w:color w:val="auto"/>
        </w:rPr>
      </w:pPr>
      <w:r>
        <w:rPr>
          <w:rFonts w:ascii="Arial" w:cs="Arial" w:eastAsia="Arial" w:hAnsi="Arial"/>
          <w:sz w:val="16"/>
          <w:szCs w:val="16"/>
          <w:color w:val="auto"/>
        </w:rPr>
        <w:t>The Governance Committee recommends potential candidates based on their qualifications and independence and how these qualities balance with the skill set of the current Board, the structure and composition of the Committees and the director retirement schedule. This assessment helps the Board determine the best mix of skills and experience to guide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our business operations and our long-term strategy.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Committee ensures that the Board seeks expertise in the following key areas: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6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Area of expertise</w:t>
            </w:r>
          </w:p>
        </w:tc>
        <w:tc>
          <w:tcPr>
            <w:tcW w:w="6700" w:type="dxa"/>
            <w:vAlign w:val="bottom"/>
            <w:tcBorders>
              <w:top w:val="single" w:sz="8" w:color="0D64EF"/>
              <w:bottom w:val="single" w:sz="8" w:color="0D64EF"/>
            </w:tcBorders>
            <w:shd w:val="clear" w:color="auto" w:fill="D1D0CF"/>
          </w:tcPr>
          <w:p>
            <w:pPr>
              <w:ind w:left="280"/>
              <w:spacing w:after="0"/>
              <w:rPr>
                <w:sz w:val="20"/>
                <w:szCs w:val="20"/>
                <w:color w:val="auto"/>
              </w:rPr>
            </w:pPr>
            <w:r>
              <w:rPr>
                <w:rFonts w:ascii="Arial" w:cs="Arial" w:eastAsia="Arial" w:hAnsi="Arial"/>
                <w:sz w:val="14"/>
                <w:szCs w:val="14"/>
                <w:b w:val="1"/>
                <w:bCs w:val="1"/>
                <w:color w:val="auto"/>
              </w:rPr>
              <w:t>Definition</w:t>
            </w:r>
          </w:p>
        </w:tc>
      </w:tr>
      <w:tr>
        <w:trPr>
          <w:trHeight w:val="146"/>
        </w:trPr>
        <w:tc>
          <w:tcPr>
            <w:tcW w:w="32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Accounting/Audit</w:t>
            </w:r>
          </w:p>
        </w:tc>
        <w:tc>
          <w:tcPr>
            <w:tcW w:w="6700" w:type="dxa"/>
            <w:vAlign w:val="bottom"/>
          </w:tcPr>
          <w:p>
            <w:pPr>
              <w:ind w:left="280"/>
              <w:spacing w:after="0" w:line="147" w:lineRule="exact"/>
              <w:rPr>
                <w:sz w:val="20"/>
                <w:szCs w:val="20"/>
                <w:color w:val="auto"/>
              </w:rPr>
            </w:pPr>
            <w:r>
              <w:rPr>
                <w:rFonts w:ascii="Arial" w:cs="Arial" w:eastAsia="Arial" w:hAnsi="Arial"/>
                <w:sz w:val="14"/>
                <w:szCs w:val="14"/>
                <w:color w:val="auto"/>
              </w:rPr>
              <w:t>Expertise with financial statements and financial reporting matters, and an understanding of critical</w:t>
            </w:r>
          </w:p>
        </w:tc>
      </w:tr>
      <w:tr>
        <w:trPr>
          <w:trHeight w:val="184"/>
        </w:trPr>
        <w:tc>
          <w:tcPr>
            <w:tcW w:w="3260" w:type="dxa"/>
            <w:vAlign w:val="bottom"/>
            <w:tcBorders>
              <w:bottom w:val="single" w:sz="8" w:color="B2B2B2"/>
            </w:tcBorders>
          </w:tcPr>
          <w:p>
            <w:pPr>
              <w:spacing w:after="0"/>
              <w:rPr>
                <w:sz w:val="15"/>
                <w:szCs w:val="15"/>
                <w:color w:val="auto"/>
              </w:rPr>
            </w:pPr>
          </w:p>
        </w:tc>
        <w:tc>
          <w:tcPr>
            <w:tcW w:w="67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accounting policies and issues relevant to internal and external audit.</w:t>
            </w:r>
          </w:p>
        </w:tc>
      </w:tr>
      <w:tr>
        <w:trPr>
          <w:trHeight w:val="145"/>
        </w:trPr>
        <w:tc>
          <w:tcPr>
            <w:tcW w:w="32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Capital Markets/Mergers &amp; Acquisitions</w:t>
            </w:r>
          </w:p>
        </w:tc>
        <w:tc>
          <w:tcPr>
            <w:tcW w:w="6700" w:type="dxa"/>
            <w:vAlign w:val="bottom"/>
          </w:tcPr>
          <w:p>
            <w:pPr>
              <w:ind w:left="280"/>
              <w:spacing w:after="0" w:line="145" w:lineRule="exact"/>
              <w:rPr>
                <w:sz w:val="20"/>
                <w:szCs w:val="20"/>
                <w:color w:val="auto"/>
              </w:rPr>
            </w:pPr>
            <w:r>
              <w:rPr>
                <w:rFonts w:ascii="Arial" w:cs="Arial" w:eastAsia="Arial" w:hAnsi="Arial"/>
                <w:sz w:val="14"/>
                <w:szCs w:val="14"/>
                <w:color w:val="auto"/>
              </w:rPr>
              <w:t>Expertise in debt and equity markets, banking and investor relations. Expertise with complex M&amp;A</w:t>
            </w:r>
          </w:p>
        </w:tc>
      </w:tr>
      <w:tr>
        <w:trPr>
          <w:trHeight w:val="184"/>
        </w:trPr>
        <w:tc>
          <w:tcPr>
            <w:tcW w:w="3260" w:type="dxa"/>
            <w:vAlign w:val="bottom"/>
            <w:tcBorders>
              <w:bottom w:val="single" w:sz="8" w:color="B2B2B2"/>
            </w:tcBorders>
          </w:tcPr>
          <w:p>
            <w:pPr>
              <w:spacing w:after="0"/>
              <w:rPr>
                <w:sz w:val="15"/>
                <w:szCs w:val="15"/>
                <w:color w:val="auto"/>
              </w:rPr>
            </w:pPr>
          </w:p>
        </w:tc>
        <w:tc>
          <w:tcPr>
            <w:tcW w:w="67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transactions.</w:t>
            </w:r>
          </w:p>
        </w:tc>
      </w:tr>
      <w:tr>
        <w:trPr>
          <w:trHeight w:val="194"/>
        </w:trPr>
        <w:tc>
          <w:tcPr>
            <w:tcW w:w="32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CEO</w:t>
            </w:r>
          </w:p>
        </w:tc>
        <w:tc>
          <w:tcPr>
            <w:tcW w:w="67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CEO of a large public company or a large, complex organization.</w:t>
            </w:r>
          </w:p>
        </w:tc>
      </w:tr>
      <w:tr>
        <w:trPr>
          <w:trHeight w:val="146"/>
        </w:trPr>
        <w:tc>
          <w:tcPr>
            <w:tcW w:w="32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Electric Power &amp; Electrification Value Chain</w:t>
            </w:r>
          </w:p>
        </w:tc>
        <w:tc>
          <w:tcPr>
            <w:tcW w:w="6700" w:type="dxa"/>
            <w:vAlign w:val="bottom"/>
          </w:tcPr>
          <w:p>
            <w:pPr>
              <w:ind w:left="280"/>
              <w:spacing w:after="0" w:line="147" w:lineRule="exact"/>
              <w:rPr>
                <w:sz w:val="20"/>
                <w:szCs w:val="20"/>
                <w:color w:val="auto"/>
              </w:rPr>
            </w:pPr>
            <w:r>
              <w:rPr>
                <w:rFonts w:ascii="Arial" w:cs="Arial" w:eastAsia="Arial" w:hAnsi="Arial"/>
                <w:sz w:val="14"/>
                <w:szCs w:val="14"/>
                <w:color w:val="auto"/>
              </w:rPr>
              <w:t>Expertise in the electric power generation, transmission and distribution space including nuclear,</w:t>
            </w:r>
          </w:p>
        </w:tc>
      </w:tr>
      <w:tr>
        <w:trPr>
          <w:trHeight w:val="148"/>
        </w:trPr>
        <w:tc>
          <w:tcPr>
            <w:tcW w:w="3260" w:type="dxa"/>
            <w:vAlign w:val="bottom"/>
          </w:tcPr>
          <w:p>
            <w:pPr>
              <w:spacing w:after="0"/>
              <w:rPr>
                <w:sz w:val="12"/>
                <w:szCs w:val="12"/>
                <w:color w:val="auto"/>
              </w:rPr>
            </w:pPr>
          </w:p>
        </w:tc>
        <w:tc>
          <w:tcPr>
            <w:tcW w:w="6700" w:type="dxa"/>
            <w:vAlign w:val="bottom"/>
          </w:tcPr>
          <w:p>
            <w:pPr>
              <w:ind w:left="280"/>
              <w:spacing w:after="0" w:line="148" w:lineRule="exact"/>
              <w:rPr>
                <w:sz w:val="20"/>
                <w:szCs w:val="20"/>
                <w:color w:val="auto"/>
              </w:rPr>
            </w:pPr>
            <w:r>
              <w:rPr>
                <w:rFonts w:ascii="Arial" w:cs="Arial" w:eastAsia="Arial" w:hAnsi="Arial"/>
                <w:sz w:val="14"/>
                <w:szCs w:val="14"/>
                <w:color w:val="auto"/>
              </w:rPr>
              <w:t>hydro, wind, solar and natural gas-fired generation; emerging power generation and storage</w:t>
            </w:r>
          </w:p>
        </w:tc>
      </w:tr>
      <w:tr>
        <w:trPr>
          <w:trHeight w:val="184"/>
        </w:trPr>
        <w:tc>
          <w:tcPr>
            <w:tcW w:w="3260" w:type="dxa"/>
            <w:vAlign w:val="bottom"/>
            <w:tcBorders>
              <w:bottom w:val="single" w:sz="8" w:color="B2B2B2"/>
            </w:tcBorders>
          </w:tcPr>
          <w:p>
            <w:pPr>
              <w:spacing w:after="0"/>
              <w:rPr>
                <w:sz w:val="15"/>
                <w:szCs w:val="15"/>
                <w:color w:val="auto"/>
              </w:rPr>
            </w:pPr>
          </w:p>
        </w:tc>
        <w:tc>
          <w:tcPr>
            <w:tcW w:w="67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technologies; and the North American electric utilities sector and electric power markets.</w:t>
            </w:r>
          </w:p>
        </w:tc>
      </w:tr>
      <w:tr>
        <w:trPr>
          <w:trHeight w:val="145"/>
        </w:trPr>
        <w:tc>
          <w:tcPr>
            <w:tcW w:w="32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Energy, Pipelines &amp; Midstream</w:t>
            </w:r>
          </w:p>
        </w:tc>
        <w:tc>
          <w:tcPr>
            <w:tcW w:w="6700" w:type="dxa"/>
            <w:vAlign w:val="bottom"/>
          </w:tcPr>
          <w:p>
            <w:pPr>
              <w:ind w:left="280"/>
              <w:spacing w:after="0" w:line="145" w:lineRule="exact"/>
              <w:rPr>
                <w:sz w:val="20"/>
                <w:szCs w:val="20"/>
                <w:color w:val="auto"/>
              </w:rPr>
            </w:pPr>
            <w:r>
              <w:rPr>
                <w:rFonts w:ascii="Arial" w:cs="Arial" w:eastAsia="Arial" w:hAnsi="Arial"/>
                <w:sz w:val="14"/>
                <w:szCs w:val="14"/>
                <w:color w:val="auto"/>
              </w:rPr>
              <w:t>Expertise in midstream energy infrastructure including natural gas pipelines, natural gas storage,</w:t>
            </w:r>
          </w:p>
        </w:tc>
      </w:tr>
      <w:tr>
        <w:trPr>
          <w:trHeight w:val="184"/>
        </w:trPr>
        <w:tc>
          <w:tcPr>
            <w:tcW w:w="3260" w:type="dxa"/>
            <w:vAlign w:val="bottom"/>
            <w:tcBorders>
              <w:bottom w:val="single" w:sz="8" w:color="B2B2B2"/>
            </w:tcBorders>
          </w:tcPr>
          <w:p>
            <w:pPr>
              <w:spacing w:after="0"/>
              <w:rPr>
                <w:sz w:val="15"/>
                <w:szCs w:val="15"/>
                <w:color w:val="auto"/>
              </w:rPr>
            </w:pPr>
          </w:p>
        </w:tc>
        <w:tc>
          <w:tcPr>
            <w:tcW w:w="67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LNG and natural gas markets.</w:t>
            </w:r>
          </w:p>
        </w:tc>
      </w:tr>
      <w:tr>
        <w:trPr>
          <w:trHeight w:val="145"/>
        </w:trPr>
        <w:tc>
          <w:tcPr>
            <w:tcW w:w="32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Enterprise Risk Management</w:t>
            </w:r>
          </w:p>
        </w:tc>
        <w:tc>
          <w:tcPr>
            <w:tcW w:w="6700" w:type="dxa"/>
            <w:vAlign w:val="bottom"/>
          </w:tcPr>
          <w:p>
            <w:pPr>
              <w:ind w:left="280"/>
              <w:spacing w:after="0" w:line="145" w:lineRule="exact"/>
              <w:rPr>
                <w:sz w:val="20"/>
                <w:szCs w:val="20"/>
                <w:color w:val="auto"/>
              </w:rPr>
            </w:pPr>
            <w:r>
              <w:rPr>
                <w:rFonts w:ascii="Arial" w:cs="Arial" w:eastAsia="Arial" w:hAnsi="Arial"/>
                <w:sz w:val="14"/>
                <w:szCs w:val="14"/>
                <w:color w:val="auto"/>
              </w:rPr>
              <w:t>Expertise in enterprise risk management frameworks, systems, processes and tools used to identify,</w:t>
            </w:r>
          </w:p>
        </w:tc>
      </w:tr>
      <w:tr>
        <w:trPr>
          <w:trHeight w:val="148"/>
        </w:trPr>
        <w:tc>
          <w:tcPr>
            <w:tcW w:w="3260" w:type="dxa"/>
            <w:vAlign w:val="bottom"/>
          </w:tcPr>
          <w:p>
            <w:pPr>
              <w:spacing w:after="0"/>
              <w:rPr>
                <w:sz w:val="12"/>
                <w:szCs w:val="12"/>
                <w:color w:val="auto"/>
              </w:rPr>
            </w:pPr>
          </w:p>
        </w:tc>
        <w:tc>
          <w:tcPr>
            <w:tcW w:w="6700" w:type="dxa"/>
            <w:vAlign w:val="bottom"/>
          </w:tcPr>
          <w:p>
            <w:pPr>
              <w:ind w:left="280"/>
              <w:spacing w:after="0" w:line="148" w:lineRule="exact"/>
              <w:rPr>
                <w:sz w:val="20"/>
                <w:szCs w:val="20"/>
                <w:color w:val="auto"/>
              </w:rPr>
            </w:pPr>
            <w:r>
              <w:rPr>
                <w:rFonts w:ascii="Arial" w:cs="Arial" w:eastAsia="Arial" w:hAnsi="Arial"/>
                <w:sz w:val="14"/>
                <w:szCs w:val="14"/>
                <w:color w:val="auto"/>
              </w:rPr>
              <w:t>assess and manage enterprise risks and opportunities; includes cyber security, artificial intelligence</w:t>
            </w:r>
          </w:p>
        </w:tc>
      </w:tr>
      <w:tr>
        <w:trPr>
          <w:trHeight w:val="184"/>
        </w:trPr>
        <w:tc>
          <w:tcPr>
            <w:tcW w:w="3260" w:type="dxa"/>
            <w:vAlign w:val="bottom"/>
            <w:tcBorders>
              <w:bottom w:val="single" w:sz="8" w:color="B2B2B2"/>
            </w:tcBorders>
          </w:tcPr>
          <w:p>
            <w:pPr>
              <w:spacing w:after="0"/>
              <w:rPr>
                <w:sz w:val="15"/>
                <w:szCs w:val="15"/>
                <w:color w:val="auto"/>
              </w:rPr>
            </w:pPr>
          </w:p>
        </w:tc>
        <w:tc>
          <w:tcPr>
            <w:tcW w:w="67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and other technology risk oversight.</w:t>
            </w:r>
          </w:p>
        </w:tc>
      </w:tr>
      <w:tr>
        <w:trPr>
          <w:trHeight w:val="194"/>
        </w:trPr>
        <w:tc>
          <w:tcPr>
            <w:tcW w:w="32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Governance</w:t>
            </w:r>
          </w:p>
        </w:tc>
        <w:tc>
          <w:tcPr>
            <w:tcW w:w="67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In-depth understanding of corporate governance best practices.</w:t>
            </w:r>
          </w:p>
        </w:tc>
      </w:tr>
      <w:tr>
        <w:trPr>
          <w:trHeight w:val="146"/>
        </w:trPr>
        <w:tc>
          <w:tcPr>
            <w:tcW w:w="32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Government, Regulatory &amp; Stakeholder</w:t>
            </w:r>
          </w:p>
        </w:tc>
        <w:tc>
          <w:tcPr>
            <w:tcW w:w="6700" w:type="dxa"/>
            <w:vAlign w:val="bottom"/>
          </w:tcPr>
          <w:p>
            <w:pPr>
              <w:ind w:left="280"/>
              <w:spacing w:after="0" w:line="147" w:lineRule="exact"/>
              <w:rPr>
                <w:sz w:val="20"/>
                <w:szCs w:val="20"/>
                <w:color w:val="auto"/>
              </w:rPr>
            </w:pPr>
            <w:r>
              <w:rPr>
                <w:rFonts w:ascii="Arial" w:cs="Arial" w:eastAsia="Arial" w:hAnsi="Arial"/>
                <w:sz w:val="14"/>
                <w:szCs w:val="14"/>
                <w:color w:val="auto"/>
              </w:rPr>
              <w:t>Government and Public Policy acumen, including the legal and regulatory environments in North</w:t>
            </w:r>
          </w:p>
        </w:tc>
      </w:tr>
      <w:tr>
        <w:trPr>
          <w:trHeight w:val="184"/>
        </w:trPr>
        <w:tc>
          <w:tcPr>
            <w:tcW w:w="32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Relations</w:t>
            </w:r>
          </w:p>
        </w:tc>
        <w:tc>
          <w:tcPr>
            <w:tcW w:w="67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America. Experience with stakeholder management and engagement.</w:t>
            </w:r>
          </w:p>
        </w:tc>
      </w:tr>
      <w:tr>
        <w:trPr>
          <w:trHeight w:val="145"/>
        </w:trPr>
        <w:tc>
          <w:tcPr>
            <w:tcW w:w="32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Human Resources &amp; Compensation</w:t>
            </w:r>
          </w:p>
        </w:tc>
        <w:tc>
          <w:tcPr>
            <w:tcW w:w="6700" w:type="dxa"/>
            <w:vAlign w:val="bottom"/>
          </w:tcPr>
          <w:p>
            <w:pPr>
              <w:ind w:left="280"/>
              <w:spacing w:after="0" w:line="145" w:lineRule="exact"/>
              <w:rPr>
                <w:sz w:val="20"/>
                <w:szCs w:val="20"/>
                <w:color w:val="auto"/>
              </w:rPr>
            </w:pPr>
            <w:r>
              <w:rPr>
                <w:rFonts w:ascii="Arial" w:cs="Arial" w:eastAsia="Arial" w:hAnsi="Arial"/>
                <w:sz w:val="14"/>
                <w:szCs w:val="14"/>
                <w:color w:val="auto"/>
              </w:rPr>
              <w:t>A thorough understanding of succession planning, talent management, organizational development</w:t>
            </w:r>
          </w:p>
        </w:tc>
      </w:tr>
      <w:tr>
        <w:trPr>
          <w:trHeight w:val="148"/>
        </w:trPr>
        <w:tc>
          <w:tcPr>
            <w:tcW w:w="3260" w:type="dxa"/>
            <w:vAlign w:val="bottom"/>
          </w:tcPr>
          <w:p>
            <w:pPr>
              <w:spacing w:after="0"/>
              <w:rPr>
                <w:sz w:val="12"/>
                <w:szCs w:val="12"/>
                <w:color w:val="auto"/>
              </w:rPr>
            </w:pPr>
          </w:p>
        </w:tc>
        <w:tc>
          <w:tcPr>
            <w:tcW w:w="6700" w:type="dxa"/>
            <w:vAlign w:val="bottom"/>
          </w:tcPr>
          <w:p>
            <w:pPr>
              <w:ind w:left="280"/>
              <w:spacing w:after="0" w:line="148" w:lineRule="exact"/>
              <w:rPr>
                <w:sz w:val="20"/>
                <w:szCs w:val="20"/>
                <w:color w:val="auto"/>
              </w:rPr>
            </w:pPr>
            <w:r>
              <w:rPr>
                <w:rFonts w:ascii="Arial" w:cs="Arial" w:eastAsia="Arial" w:hAnsi="Arial"/>
                <w:sz w:val="14"/>
                <w:szCs w:val="14"/>
                <w:color w:val="auto"/>
              </w:rPr>
              <w:t>and compensation programs, including experience with implementing inclusion and diversity</w:t>
            </w:r>
          </w:p>
        </w:tc>
      </w:tr>
      <w:tr>
        <w:trPr>
          <w:trHeight w:val="184"/>
        </w:trPr>
        <w:tc>
          <w:tcPr>
            <w:tcW w:w="3260" w:type="dxa"/>
            <w:vAlign w:val="bottom"/>
            <w:tcBorders>
              <w:bottom w:val="single" w:sz="8" w:color="B2B2B2"/>
            </w:tcBorders>
          </w:tcPr>
          <w:p>
            <w:pPr>
              <w:spacing w:after="0"/>
              <w:rPr>
                <w:sz w:val="15"/>
                <w:szCs w:val="15"/>
                <w:color w:val="auto"/>
              </w:rPr>
            </w:pPr>
          </w:p>
        </w:tc>
        <w:tc>
          <w:tcPr>
            <w:tcW w:w="67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initiatives.</w:t>
            </w:r>
          </w:p>
        </w:tc>
      </w:tr>
      <w:tr>
        <w:trPr>
          <w:trHeight w:val="194"/>
        </w:trPr>
        <w:tc>
          <w:tcPr>
            <w:tcW w:w="32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Major Projects</w:t>
            </w:r>
          </w:p>
        </w:tc>
        <w:tc>
          <w:tcPr>
            <w:tcW w:w="67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Expertise in managing large, complex projects.</w:t>
            </w:r>
          </w:p>
        </w:tc>
      </w:tr>
      <w:tr>
        <w:trPr>
          <w:trHeight w:val="146"/>
        </w:trPr>
        <w:tc>
          <w:tcPr>
            <w:tcW w:w="32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Operations/Health, Safety, Sustainability &amp;</w:t>
            </w:r>
          </w:p>
        </w:tc>
        <w:tc>
          <w:tcPr>
            <w:tcW w:w="6700" w:type="dxa"/>
            <w:vAlign w:val="bottom"/>
          </w:tcPr>
          <w:p>
            <w:pPr>
              <w:ind w:left="280"/>
              <w:spacing w:after="0" w:line="147" w:lineRule="exact"/>
              <w:rPr>
                <w:sz w:val="20"/>
                <w:szCs w:val="20"/>
                <w:color w:val="auto"/>
              </w:rPr>
            </w:pPr>
            <w:r>
              <w:rPr>
                <w:rFonts w:ascii="Arial" w:cs="Arial" w:eastAsia="Arial" w:hAnsi="Arial"/>
                <w:sz w:val="14"/>
                <w:szCs w:val="14"/>
                <w:color w:val="auto"/>
              </w:rPr>
              <w:t>Expertise with operating assets in a cost effective, reliable and efficient manner with a mindset of</w:t>
            </w:r>
          </w:p>
        </w:tc>
      </w:tr>
      <w:tr>
        <w:trPr>
          <w:trHeight w:val="148"/>
        </w:trPr>
        <w:tc>
          <w:tcPr>
            <w:tcW w:w="326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Environment</w:t>
            </w:r>
          </w:p>
        </w:tc>
        <w:tc>
          <w:tcPr>
            <w:tcW w:w="6700" w:type="dxa"/>
            <w:vAlign w:val="bottom"/>
          </w:tcPr>
          <w:p>
            <w:pPr>
              <w:ind w:left="280"/>
              <w:spacing w:after="0" w:line="148" w:lineRule="exact"/>
              <w:rPr>
                <w:sz w:val="20"/>
                <w:szCs w:val="20"/>
                <w:color w:val="auto"/>
              </w:rPr>
            </w:pPr>
            <w:r>
              <w:rPr>
                <w:rFonts w:ascii="Arial" w:cs="Arial" w:eastAsia="Arial" w:hAnsi="Arial"/>
                <w:sz w:val="14"/>
                <w:szCs w:val="14"/>
                <w:color w:val="auto"/>
              </w:rPr>
              <w:t>continuous improvement, including expertise in assessing and managing health, safety and</w:t>
            </w:r>
          </w:p>
        </w:tc>
      </w:tr>
      <w:tr>
        <w:trPr>
          <w:trHeight w:val="184"/>
        </w:trPr>
        <w:tc>
          <w:tcPr>
            <w:tcW w:w="3260" w:type="dxa"/>
            <w:vAlign w:val="bottom"/>
            <w:tcBorders>
              <w:bottom w:val="single" w:sz="8" w:color="B2B2B2"/>
            </w:tcBorders>
          </w:tcPr>
          <w:p>
            <w:pPr>
              <w:spacing w:after="0"/>
              <w:rPr>
                <w:sz w:val="15"/>
                <w:szCs w:val="15"/>
                <w:color w:val="auto"/>
              </w:rPr>
            </w:pPr>
          </w:p>
        </w:tc>
        <w:tc>
          <w:tcPr>
            <w:tcW w:w="67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environmental compliance obligations. Experience in overseeing sustainability in operations.</w:t>
            </w:r>
          </w:p>
        </w:tc>
      </w:tr>
      <w:tr>
        <w:trPr>
          <w:trHeight w:val="145"/>
        </w:trPr>
        <w:tc>
          <w:tcPr>
            <w:tcW w:w="32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Strategy &amp; Leading Growth</w:t>
            </w:r>
          </w:p>
        </w:tc>
        <w:tc>
          <w:tcPr>
            <w:tcW w:w="6700" w:type="dxa"/>
            <w:vAlign w:val="bottom"/>
          </w:tcPr>
          <w:p>
            <w:pPr>
              <w:ind w:left="280"/>
              <w:spacing w:after="0" w:line="145" w:lineRule="exact"/>
              <w:rPr>
                <w:sz w:val="20"/>
                <w:szCs w:val="20"/>
                <w:color w:val="auto"/>
              </w:rPr>
            </w:pPr>
            <w:r>
              <w:rPr>
                <w:rFonts w:ascii="Arial" w:cs="Arial" w:eastAsia="Arial" w:hAnsi="Arial"/>
                <w:sz w:val="14"/>
                <w:szCs w:val="14"/>
                <w:color w:val="auto"/>
              </w:rPr>
              <w:t>Expertise in driving strategic insight and direction, encouraging innovation and conceptualizing</w:t>
            </w:r>
          </w:p>
        </w:tc>
      </w:tr>
      <w:tr>
        <w:trPr>
          <w:trHeight w:val="148"/>
        </w:trPr>
        <w:tc>
          <w:tcPr>
            <w:tcW w:w="3260" w:type="dxa"/>
            <w:vAlign w:val="bottom"/>
          </w:tcPr>
          <w:p>
            <w:pPr>
              <w:spacing w:after="0"/>
              <w:rPr>
                <w:sz w:val="12"/>
                <w:szCs w:val="12"/>
                <w:color w:val="auto"/>
              </w:rPr>
            </w:pPr>
          </w:p>
        </w:tc>
        <w:tc>
          <w:tcPr>
            <w:tcW w:w="6700" w:type="dxa"/>
            <w:vAlign w:val="bottom"/>
          </w:tcPr>
          <w:p>
            <w:pPr>
              <w:ind w:left="280"/>
              <w:spacing w:after="0" w:line="148" w:lineRule="exact"/>
              <w:rPr>
                <w:sz w:val="20"/>
                <w:szCs w:val="20"/>
                <w:color w:val="auto"/>
              </w:rPr>
            </w:pPr>
            <w:r>
              <w:rPr>
                <w:rFonts w:ascii="Arial" w:cs="Arial" w:eastAsia="Arial" w:hAnsi="Arial"/>
                <w:sz w:val="14"/>
                <w:szCs w:val="14"/>
                <w:color w:val="auto"/>
              </w:rPr>
              <w:t>strategic risks, including the ability to assess emerging technologies and related potential for</w:t>
            </w:r>
          </w:p>
        </w:tc>
      </w:tr>
      <w:tr>
        <w:trPr>
          <w:trHeight w:val="184"/>
        </w:trPr>
        <w:tc>
          <w:tcPr>
            <w:tcW w:w="3260" w:type="dxa"/>
            <w:vAlign w:val="bottom"/>
            <w:tcBorders>
              <w:bottom w:val="single" w:sz="8" w:color="0D64EF"/>
            </w:tcBorders>
          </w:tcPr>
          <w:p>
            <w:pPr>
              <w:spacing w:after="0"/>
              <w:rPr>
                <w:sz w:val="15"/>
                <w:szCs w:val="15"/>
                <w:color w:val="auto"/>
              </w:rPr>
            </w:pPr>
          </w:p>
        </w:tc>
        <w:tc>
          <w:tcPr>
            <w:tcW w:w="6700" w:type="dxa"/>
            <w:vAlign w:val="bottom"/>
            <w:tcBorders>
              <w:bottom w:val="single" w:sz="8" w:color="0D64EF"/>
            </w:tcBorders>
          </w:tcPr>
          <w:p>
            <w:pPr>
              <w:ind w:left="280"/>
              <w:spacing w:after="0"/>
              <w:rPr>
                <w:sz w:val="20"/>
                <w:szCs w:val="20"/>
                <w:color w:val="auto"/>
              </w:rPr>
            </w:pPr>
            <w:r>
              <w:rPr>
                <w:rFonts w:ascii="Arial" w:cs="Arial" w:eastAsia="Arial" w:hAnsi="Arial"/>
                <w:sz w:val="14"/>
                <w:szCs w:val="14"/>
                <w:color w:val="auto"/>
              </w:rPr>
              <w:t>innovation.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6318885</wp:posOffset>
            </wp:positionH>
            <wp:positionV relativeFrom="paragraph">
              <wp:posOffset>-3020060</wp:posOffset>
            </wp:positionV>
            <wp:extent cx="8255" cy="30206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302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55</w:t>
      </w:r>
    </w:p>
    <w:p>
      <w:pPr>
        <w:sectPr>
          <w:pgSz w:w="11900" w:h="16838" w:orient="portrait"/>
          <w:cols w:equalWidth="0" w:num="1">
            <w:col w:w="11240"/>
          </w:cols>
          <w:pgMar w:left="320" w:top="1097" w:right="339" w:bottom="1440" w:gutter="0" w:footer="0" w:header="0"/>
        </w:sectPr>
      </w:pPr>
    </w:p>
    <w:bookmarkStart w:id="61" w:name="page62"/>
    <w:bookmarkEnd w:id="61"/>
    <w:p>
      <w:pPr>
        <w:spacing w:after="0"/>
        <w:rPr>
          <w:sz w:val="20"/>
          <w:szCs w:val="20"/>
          <w:color w:val="auto"/>
        </w:rPr>
      </w:pPr>
      <w:r>
        <w:rPr>
          <w:rFonts w:ascii="Arial" w:cs="Arial" w:eastAsia="Arial" w:hAnsi="Arial"/>
          <w:sz w:val="20"/>
          <w:szCs w:val="20"/>
          <w:b w:val="1"/>
          <w:bCs w:val="1"/>
          <w:color w:val="0D64EF"/>
        </w:rPr>
        <w:t>SKILLS ANALYSIS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While all of our directors possess an extensive list of skills and experience, the Governance Committee has determined</w:t>
      </w:r>
    </w:p>
    <w:p>
      <w:pPr>
        <w:spacing w:after="0" w:line="44" w:lineRule="exact"/>
        <w:rPr>
          <w:sz w:val="20"/>
          <w:szCs w:val="20"/>
          <w:color w:val="auto"/>
        </w:rPr>
      </w:pPr>
    </w:p>
    <w:p>
      <w:pPr>
        <w:ind w:right="460"/>
        <w:spacing w:after="0" w:line="354" w:lineRule="auto"/>
        <w:rPr>
          <w:sz w:val="20"/>
          <w:szCs w:val="20"/>
          <w:color w:val="auto"/>
        </w:rPr>
      </w:pPr>
      <w:r>
        <w:rPr>
          <w:rFonts w:ascii="Arial" w:cs="Arial" w:eastAsia="Arial" w:hAnsi="Arial"/>
          <w:sz w:val="16"/>
          <w:szCs w:val="16"/>
          <w:color w:val="auto"/>
        </w:rPr>
        <w:t>that focusing on each director's top key expertise areas is a more effective way to assess director candidates and to ensure that our Board has a deep knowledge base available in each key expertise area.</w:t>
      </w:r>
    </w:p>
    <w:p>
      <w:pPr>
        <w:spacing w:after="0" w:line="2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Based on a review of the current and nominated board composition, and as informed by interviews conducted by an independent third party recruitment specialist, each of our directors have been assessed to have expertise in the skills areas of Governance and Strategy &amp; Leading Growth. In addition to these two areas, the image on the next page shows the top five to six key expertise areas in addition to Governance and Strategy &amp; Leading Growth of each of our director nominees and current directors.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Committee considers these factors and others when discussing Board renewal.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160"/>
          </w:cols>
          <w:pgMar w:left="320" w:top="1097" w:right="41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600710</wp:posOffset>
            </wp:positionH>
            <wp:positionV relativeFrom="page">
              <wp:posOffset>677545</wp:posOffset>
            </wp:positionV>
            <wp:extent cx="5528945" cy="7261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528945" cy="7261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57</w:t>
      </w:r>
    </w:p>
    <w:p>
      <w:pPr>
        <w:sectPr>
          <w:pgSz w:w="11900" w:h="16838" w:orient="portrait"/>
          <w:cols w:equalWidth="0" w:num="1">
            <w:col w:w="10120"/>
          </w:cols>
          <w:pgMar w:left="1440" w:top="1440" w:right="339" w:bottom="1440" w:gutter="0" w:footer="0" w:header="0"/>
        </w:sectPr>
      </w:pPr>
    </w:p>
    <w:bookmarkStart w:id="63" w:name="page64"/>
    <w:bookmarkEnd w:id="63"/>
    <w:p>
      <w:pPr>
        <w:spacing w:after="0"/>
        <w:rPr>
          <w:sz w:val="20"/>
          <w:szCs w:val="20"/>
          <w:color w:val="auto"/>
        </w:rPr>
      </w:pPr>
      <w:r>
        <w:rPr>
          <w:rFonts w:ascii="Arial" w:cs="Arial" w:eastAsia="Arial" w:hAnsi="Arial"/>
          <w:sz w:val="20"/>
          <w:szCs w:val="20"/>
          <w:b w:val="1"/>
          <w:bCs w:val="1"/>
          <w:color w:val="0D64EF"/>
        </w:rPr>
        <w:t>EXPECTED RETIREMENT YEARS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the expected retirement year for each of the current 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32955" cy="136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director(s) expected to retire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2028</w:t>
            </w:r>
          </w:p>
        </w:tc>
        <w:tc>
          <w:tcPr>
            <w:tcW w:w="3920" w:type="dxa"/>
            <w:vAlign w:val="bottom"/>
          </w:tcPr>
          <w:p>
            <w:pPr>
              <w:ind w:left="180"/>
              <w:spacing w:after="0"/>
              <w:rPr>
                <w:sz w:val="20"/>
                <w:szCs w:val="20"/>
                <w:color w:val="auto"/>
              </w:rPr>
            </w:pPr>
            <w:r>
              <w:rPr>
                <w:rFonts w:ascii="Arial" w:cs="Arial" w:eastAsia="Arial" w:hAnsi="Arial"/>
                <w:sz w:val="14"/>
                <w:szCs w:val="14"/>
                <w:color w:val="auto"/>
              </w:rPr>
              <w:t>Mary Pat Salomone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2033</w:t>
            </w:r>
          </w:p>
        </w:tc>
        <w:tc>
          <w:tcPr>
            <w:tcW w:w="4720" w:type="dxa"/>
            <w:vAlign w:val="bottom"/>
          </w:tcPr>
          <w:p>
            <w:pPr>
              <w:ind w:left="180"/>
              <w:spacing w:after="0"/>
              <w:rPr>
                <w:sz w:val="20"/>
                <w:szCs w:val="20"/>
                <w:color w:val="auto"/>
              </w:rPr>
            </w:pPr>
            <w:r>
              <w:rPr>
                <w:rFonts w:ascii="Arial" w:cs="Arial" w:eastAsia="Arial" w:hAnsi="Arial"/>
                <w:sz w:val="14"/>
                <w:szCs w:val="14"/>
                <w:color w:val="auto"/>
              </w:rPr>
              <w:t>Michael R. Culbert, Dawn Madahbee Leach</w:t>
            </w:r>
          </w:p>
        </w:tc>
      </w:tr>
      <w:tr>
        <w:trPr>
          <w:trHeight w:val="29"/>
        </w:trPr>
        <w:tc>
          <w:tcPr>
            <w:tcW w:w="520" w:type="dxa"/>
            <w:vAlign w:val="bottom"/>
            <w:tcBorders>
              <w:bottom w:val="single" w:sz="8" w:color="B2B2B2"/>
            </w:tcBorders>
          </w:tcPr>
          <w:p>
            <w:pPr>
              <w:spacing w:after="0"/>
              <w:rPr>
                <w:sz w:val="2"/>
                <w:szCs w:val="2"/>
                <w:color w:val="auto"/>
              </w:rPr>
            </w:pPr>
          </w:p>
        </w:tc>
        <w:tc>
          <w:tcPr>
            <w:tcW w:w="3920" w:type="dxa"/>
            <w:vAlign w:val="bottom"/>
            <w:tcBorders>
              <w:bottom w:val="single" w:sz="8" w:color="B2B2B2"/>
            </w:tcBorders>
          </w:tcPr>
          <w:p>
            <w:pPr>
              <w:spacing w:after="0"/>
              <w:rPr>
                <w:sz w:val="2"/>
                <w:szCs w:val="2"/>
                <w:color w:val="auto"/>
              </w:rPr>
            </w:pPr>
          </w:p>
        </w:tc>
        <w:tc>
          <w:tcPr>
            <w:tcW w:w="2080" w:type="dxa"/>
            <w:vAlign w:val="bottom"/>
            <w:tcBorders>
              <w:bottom w:val="single" w:sz="8" w:color="B2B2B2"/>
            </w:tcBorders>
          </w:tcPr>
          <w:p>
            <w:pPr>
              <w:spacing w:after="0"/>
              <w:rPr>
                <w:sz w:val="2"/>
                <w:szCs w:val="2"/>
                <w:color w:val="auto"/>
              </w:rPr>
            </w:pPr>
          </w:p>
        </w:tc>
        <w:tc>
          <w:tcPr>
            <w:tcW w:w="4720" w:type="dxa"/>
            <w:vAlign w:val="bottom"/>
            <w:tcBorders>
              <w:bottom w:val="single" w:sz="8" w:color="B2B2B2"/>
            </w:tcBorders>
          </w:tcPr>
          <w:p>
            <w:pPr>
              <w:spacing w:after="0"/>
              <w:rPr>
                <w:sz w:val="2"/>
                <w:szCs w:val="2"/>
                <w:color w:val="auto"/>
              </w:rPr>
            </w:pPr>
          </w:p>
        </w:tc>
      </w:tr>
      <w:tr>
        <w:trPr>
          <w:trHeight w:val="207"/>
        </w:trPr>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2029</w:t>
            </w:r>
          </w:p>
        </w:tc>
        <w:tc>
          <w:tcPr>
            <w:tcW w:w="3920" w:type="dxa"/>
            <w:vAlign w:val="bottom"/>
          </w:tcPr>
          <w:p>
            <w:pPr>
              <w:ind w:left="180"/>
              <w:spacing w:after="0"/>
              <w:rPr>
                <w:sz w:val="20"/>
                <w:szCs w:val="20"/>
                <w:color w:val="auto"/>
              </w:rPr>
            </w:pPr>
            <w:r>
              <w:rPr>
                <w:rFonts w:ascii="Arial" w:cs="Arial" w:eastAsia="Arial" w:hAnsi="Arial"/>
                <w:sz w:val="14"/>
                <w:szCs w:val="14"/>
                <w:color w:val="auto"/>
              </w:rPr>
              <w:t>Siim A. Vanaselja</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2034</w:t>
            </w:r>
          </w:p>
        </w:tc>
        <w:tc>
          <w:tcPr>
            <w:tcW w:w="4720" w:type="dxa"/>
            <w:vAlign w:val="bottom"/>
          </w:tcPr>
          <w:p>
            <w:pPr>
              <w:ind w:left="180"/>
              <w:spacing w:after="0"/>
              <w:rPr>
                <w:sz w:val="20"/>
                <w:szCs w:val="20"/>
                <w:color w:val="auto"/>
              </w:rPr>
            </w:pPr>
            <w:r>
              <w:rPr>
                <w:rFonts w:ascii="Arial" w:cs="Arial" w:eastAsia="Arial" w:hAnsi="Arial"/>
                <w:sz w:val="14"/>
                <w:szCs w:val="14"/>
                <w:color w:val="auto"/>
              </w:rPr>
              <w:t>Una Power</w:t>
            </w:r>
          </w:p>
        </w:tc>
      </w:tr>
      <w:tr>
        <w:trPr>
          <w:trHeight w:val="29"/>
        </w:trPr>
        <w:tc>
          <w:tcPr>
            <w:tcW w:w="520" w:type="dxa"/>
            <w:vAlign w:val="bottom"/>
            <w:tcBorders>
              <w:bottom w:val="single" w:sz="8" w:color="B2B2B2"/>
            </w:tcBorders>
          </w:tcPr>
          <w:p>
            <w:pPr>
              <w:spacing w:after="0"/>
              <w:rPr>
                <w:sz w:val="2"/>
                <w:szCs w:val="2"/>
                <w:color w:val="auto"/>
              </w:rPr>
            </w:pPr>
          </w:p>
        </w:tc>
        <w:tc>
          <w:tcPr>
            <w:tcW w:w="3920" w:type="dxa"/>
            <w:vAlign w:val="bottom"/>
            <w:tcBorders>
              <w:bottom w:val="single" w:sz="8" w:color="B2B2B2"/>
            </w:tcBorders>
          </w:tcPr>
          <w:p>
            <w:pPr>
              <w:spacing w:after="0"/>
              <w:rPr>
                <w:sz w:val="2"/>
                <w:szCs w:val="2"/>
                <w:color w:val="auto"/>
              </w:rPr>
            </w:pPr>
          </w:p>
        </w:tc>
        <w:tc>
          <w:tcPr>
            <w:tcW w:w="2080" w:type="dxa"/>
            <w:vAlign w:val="bottom"/>
            <w:tcBorders>
              <w:bottom w:val="single" w:sz="8" w:color="B2B2B2"/>
            </w:tcBorders>
          </w:tcPr>
          <w:p>
            <w:pPr>
              <w:spacing w:after="0"/>
              <w:rPr>
                <w:sz w:val="2"/>
                <w:szCs w:val="2"/>
                <w:color w:val="auto"/>
              </w:rPr>
            </w:pPr>
          </w:p>
        </w:tc>
        <w:tc>
          <w:tcPr>
            <w:tcW w:w="4720" w:type="dxa"/>
            <w:vAlign w:val="bottom"/>
            <w:tcBorders>
              <w:bottom w:val="single" w:sz="8" w:color="B2B2B2"/>
            </w:tcBorders>
          </w:tcPr>
          <w:p>
            <w:pPr>
              <w:spacing w:after="0"/>
              <w:rPr>
                <w:sz w:val="2"/>
                <w:szCs w:val="2"/>
                <w:color w:val="auto"/>
              </w:rPr>
            </w:pPr>
          </w:p>
        </w:tc>
      </w:tr>
      <w:tr>
        <w:trPr>
          <w:trHeight w:val="207"/>
        </w:trPr>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2030</w:t>
            </w:r>
          </w:p>
        </w:tc>
        <w:tc>
          <w:tcPr>
            <w:tcW w:w="3920" w:type="dxa"/>
            <w:vAlign w:val="bottom"/>
          </w:tcPr>
          <w:p>
            <w:pPr>
              <w:ind w:left="180"/>
              <w:spacing w:after="0"/>
              <w:rPr>
                <w:sz w:val="20"/>
                <w:szCs w:val="20"/>
                <w:color w:val="auto"/>
              </w:rPr>
            </w:pPr>
            <w:r>
              <w:rPr>
                <w:rFonts w:ascii="Arial" w:cs="Arial" w:eastAsia="Arial" w:hAnsi="Arial"/>
                <w:sz w:val="14"/>
                <w:szCs w:val="14"/>
                <w:color w:val="auto"/>
              </w:rPr>
              <w:t>William D. Johnson, John E. Lowe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2035</w:t>
            </w:r>
          </w:p>
        </w:tc>
        <w:tc>
          <w:tcPr>
            <w:tcW w:w="4720" w:type="dxa"/>
            <w:vAlign w:val="bottom"/>
          </w:tcPr>
          <w:p>
            <w:pPr>
              <w:ind w:left="180"/>
              <w:spacing w:after="0"/>
              <w:rPr>
                <w:sz w:val="20"/>
                <w:szCs w:val="20"/>
                <w:color w:val="auto"/>
              </w:rPr>
            </w:pPr>
            <w:r>
              <w:rPr>
                <w:rFonts w:ascii="Arial" w:cs="Arial" w:eastAsia="Arial" w:hAnsi="Arial"/>
                <w:sz w:val="14"/>
                <w:szCs w:val="14"/>
                <w:color w:val="auto"/>
              </w:rPr>
              <w:t>Cheryl F. Campbell, Susan C. Jones</w:t>
            </w:r>
          </w:p>
        </w:tc>
      </w:tr>
      <w:tr>
        <w:trPr>
          <w:trHeight w:val="29"/>
        </w:trPr>
        <w:tc>
          <w:tcPr>
            <w:tcW w:w="520" w:type="dxa"/>
            <w:vAlign w:val="bottom"/>
            <w:tcBorders>
              <w:bottom w:val="single" w:sz="8" w:color="B2B2B2"/>
            </w:tcBorders>
          </w:tcPr>
          <w:p>
            <w:pPr>
              <w:spacing w:after="0"/>
              <w:rPr>
                <w:sz w:val="2"/>
                <w:szCs w:val="2"/>
                <w:color w:val="auto"/>
              </w:rPr>
            </w:pPr>
          </w:p>
        </w:tc>
        <w:tc>
          <w:tcPr>
            <w:tcW w:w="3920" w:type="dxa"/>
            <w:vAlign w:val="bottom"/>
            <w:tcBorders>
              <w:bottom w:val="single" w:sz="8" w:color="B2B2B2"/>
            </w:tcBorders>
          </w:tcPr>
          <w:p>
            <w:pPr>
              <w:spacing w:after="0"/>
              <w:rPr>
                <w:sz w:val="2"/>
                <w:szCs w:val="2"/>
                <w:color w:val="auto"/>
              </w:rPr>
            </w:pPr>
          </w:p>
        </w:tc>
        <w:tc>
          <w:tcPr>
            <w:tcW w:w="2080" w:type="dxa"/>
            <w:vAlign w:val="bottom"/>
            <w:tcBorders>
              <w:bottom w:val="single" w:sz="8" w:color="B2B2B2"/>
            </w:tcBorders>
          </w:tcPr>
          <w:p>
            <w:pPr>
              <w:spacing w:after="0"/>
              <w:rPr>
                <w:sz w:val="2"/>
                <w:szCs w:val="2"/>
                <w:color w:val="auto"/>
              </w:rPr>
            </w:pPr>
          </w:p>
        </w:tc>
        <w:tc>
          <w:tcPr>
            <w:tcW w:w="4720" w:type="dxa"/>
            <w:vAlign w:val="bottom"/>
            <w:tcBorders>
              <w:bottom w:val="single" w:sz="8" w:color="B2B2B2"/>
            </w:tcBorders>
          </w:tcPr>
          <w:p>
            <w:pPr>
              <w:spacing w:after="0"/>
              <w:rPr>
                <w:sz w:val="2"/>
                <w:szCs w:val="2"/>
                <w:color w:val="auto"/>
              </w:rPr>
            </w:pPr>
          </w:p>
        </w:tc>
      </w:tr>
      <w:tr>
        <w:trPr>
          <w:trHeight w:val="207"/>
        </w:trPr>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2032</w:t>
            </w:r>
          </w:p>
        </w:tc>
        <w:tc>
          <w:tcPr>
            <w:tcW w:w="3920" w:type="dxa"/>
            <w:vAlign w:val="bottom"/>
          </w:tcPr>
          <w:p>
            <w:pPr>
              <w:ind w:left="180"/>
              <w:spacing w:after="0"/>
              <w:rPr>
                <w:sz w:val="20"/>
                <w:szCs w:val="20"/>
                <w:color w:val="auto"/>
              </w:rPr>
            </w:pPr>
            <w:r>
              <w:rPr>
                <w:rFonts w:ascii="Arial" w:cs="Arial" w:eastAsia="Arial" w:hAnsi="Arial"/>
                <w:sz w:val="14"/>
                <w:szCs w:val="14"/>
                <w:color w:val="auto"/>
              </w:rPr>
              <w:t>Thierry Vandal</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2037</w:t>
            </w:r>
          </w:p>
        </w:tc>
        <w:tc>
          <w:tcPr>
            <w:tcW w:w="4720" w:type="dxa"/>
            <w:vAlign w:val="bottom"/>
          </w:tcPr>
          <w:p>
            <w:pPr>
              <w:ind w:left="180"/>
              <w:spacing w:after="0"/>
              <w:rPr>
                <w:sz w:val="20"/>
                <w:szCs w:val="20"/>
                <w:color w:val="auto"/>
              </w:rPr>
            </w:pPr>
            <w:r>
              <w:rPr>
                <w:rFonts w:ascii="Arial" w:cs="Arial" w:eastAsia="Arial" w:hAnsi="Arial"/>
                <w:sz w:val="14"/>
                <w:szCs w:val="14"/>
                <w:color w:val="auto"/>
              </w:rPr>
              <w:t>Scott Bonham, Dheeraj "D" Verma</w:t>
            </w:r>
          </w:p>
        </w:tc>
      </w:tr>
      <w:tr>
        <w:trPr>
          <w:trHeight w:val="29"/>
        </w:trPr>
        <w:tc>
          <w:tcPr>
            <w:tcW w:w="520" w:type="dxa"/>
            <w:vAlign w:val="bottom"/>
            <w:tcBorders>
              <w:bottom w:val="single" w:sz="8" w:color="0D64EF"/>
            </w:tcBorders>
          </w:tcPr>
          <w:p>
            <w:pPr>
              <w:spacing w:after="0"/>
              <w:rPr>
                <w:sz w:val="2"/>
                <w:szCs w:val="2"/>
                <w:color w:val="auto"/>
              </w:rPr>
            </w:pPr>
          </w:p>
        </w:tc>
        <w:tc>
          <w:tcPr>
            <w:tcW w:w="3920" w:type="dxa"/>
            <w:vAlign w:val="bottom"/>
            <w:tcBorders>
              <w:bottom w:val="single" w:sz="8" w:color="0D64EF"/>
            </w:tcBorders>
          </w:tcPr>
          <w:p>
            <w:pPr>
              <w:spacing w:after="0"/>
              <w:rPr>
                <w:sz w:val="2"/>
                <w:szCs w:val="2"/>
                <w:color w:val="auto"/>
              </w:rPr>
            </w:pPr>
          </w:p>
        </w:tc>
        <w:tc>
          <w:tcPr>
            <w:tcW w:w="2080" w:type="dxa"/>
            <w:vAlign w:val="bottom"/>
            <w:tcBorders>
              <w:bottom w:val="single" w:sz="8" w:color="0D64EF"/>
            </w:tcBorders>
          </w:tcPr>
          <w:p>
            <w:pPr>
              <w:spacing w:after="0"/>
              <w:rPr>
                <w:sz w:val="2"/>
                <w:szCs w:val="2"/>
                <w:color w:val="auto"/>
              </w:rPr>
            </w:pPr>
          </w:p>
        </w:tc>
        <w:tc>
          <w:tcPr>
            <w:tcW w:w="4720" w:type="dxa"/>
            <w:vAlign w:val="bottom"/>
            <w:tcBorders>
              <w:bottom w:val="single" w:sz="8" w:color="0D64EF"/>
            </w:tcBorders>
          </w:tcPr>
          <w:p>
            <w:pPr>
              <w:spacing w:after="0"/>
              <w:rPr>
                <w:sz w:val="2"/>
                <w:szCs w:val="2"/>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DIRECTOR TENURE</w:t>
      </w:r>
    </w:p>
    <w:p>
      <w:pPr>
        <w:spacing w:after="0" w:line="48"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Throughout 2025, the Governance committee reviewed best practices, conducted a peer review and engaged with shareholders on the topic of director tenure and appropriate term and/or age limits. As a result of this review, in November 2025, the Board revised its age and term limits contained with TC Energy's Corporate Governance Guidelines. These changes to director retirement age and term limits were made in order to facilitate future Board succession planning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encourage Board renewal into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Under TC Energy's amended Corporate Governance Guidelines, once a director turns 75 or has served more than 15 years</w:t>
      </w:r>
    </w:p>
    <w:p>
      <w:pPr>
        <w:spacing w:after="0" w:line="58" w:lineRule="exact"/>
        <w:rPr>
          <w:sz w:val="20"/>
          <w:szCs w:val="20"/>
          <w:color w:val="auto"/>
        </w:rPr>
      </w:pPr>
    </w:p>
    <w:p>
      <w:pPr>
        <w:ind w:right="480"/>
        <w:spacing w:after="0" w:line="303" w:lineRule="auto"/>
        <w:rPr>
          <w:sz w:val="20"/>
          <w:szCs w:val="20"/>
          <w:color w:val="auto"/>
        </w:rPr>
      </w:pPr>
      <w:r>
        <w:rPr>
          <w:rFonts w:ascii="Arial" w:cs="Arial" w:eastAsia="Arial" w:hAnsi="Arial"/>
          <w:sz w:val="16"/>
          <w:szCs w:val="16"/>
          <w:color w:val="auto"/>
        </w:rPr>
        <w:t>on the Board, whichever comes first, such director will not stand for re-election at the next annual meeting. Notwithstanding age limits, a director will be eligible to serve on the Board for at least eight years in order to ensure a robust level of Board continuity and to permit onboarded directors to serve a sufficient term to meaningfully contribute</w:t>
      </w:r>
    </w:p>
    <w:p>
      <w:pPr>
        <w:spacing w:after="0" w:line="2" w:lineRule="exact"/>
        <w:rPr>
          <w:sz w:val="20"/>
          <w:szCs w:val="20"/>
          <w:color w:val="auto"/>
        </w:rPr>
      </w:pPr>
    </w:p>
    <w:p>
      <w:pPr>
        <w:ind w:right="740"/>
        <w:spacing w:after="0" w:line="306" w:lineRule="auto"/>
        <w:rPr>
          <w:sz w:val="20"/>
          <w:szCs w:val="20"/>
          <w:color w:val="auto"/>
        </w:rPr>
      </w:pPr>
      <w:r>
        <w:rPr>
          <w:rFonts w:ascii="Arial" w:cs="Arial" w:eastAsia="Arial" w:hAnsi="Arial"/>
          <w:sz w:val="16"/>
          <w:szCs w:val="16"/>
          <w:color w:val="auto"/>
        </w:rPr>
        <w:t>to the Board. In addition, to ensure continuity of leadership, the Board may permit the Chair to complete a full Chair term (whether initial or renewal) regardless of age or term limits, provided that the Governance Committee annually reviews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 recommends such chair continuation to the Board.</w:t>
      </w:r>
    </w:p>
    <w:p>
      <w:pPr>
        <w:spacing w:after="0" w:line="13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Board, upon recommendation of the Governance Committee, may apply discretion to permit a director or director nominee to stand for election outside of the terms of our retirement age or term limit if it is in the best interests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the company.</w:t>
      </w:r>
    </w:p>
    <w:p>
      <w:pPr>
        <w:spacing w:after="0" w:line="152" w:lineRule="exact"/>
        <w:rPr>
          <w:sz w:val="20"/>
          <w:szCs w:val="20"/>
          <w:color w:val="auto"/>
        </w:rPr>
      </w:pPr>
    </w:p>
    <w:p>
      <w:pPr>
        <w:ind w:right="660"/>
        <w:spacing w:after="0" w:line="337" w:lineRule="auto"/>
        <w:rPr>
          <w:sz w:val="20"/>
          <w:szCs w:val="20"/>
          <w:color w:val="auto"/>
        </w:rPr>
      </w:pPr>
      <w:r>
        <w:rPr>
          <w:rFonts w:ascii="Arial" w:cs="Arial" w:eastAsia="Arial" w:hAnsi="Arial"/>
          <w:sz w:val="16"/>
          <w:szCs w:val="16"/>
          <w:color w:val="auto"/>
        </w:rPr>
        <w:t>The Governance Committee continues to review factors like changes in principal occupation, consistently poor attendance, poor performance, board interlocks and other relevant circumstances that may trigger the resignation or retirement of a director.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There has been substantial Board refreshment over the past few years, with three new non-executive directors joining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2020, one new non-executive director joining in 2021, two new non-executive directors joining in 2022 and two new non-executive directors joining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43" w:right="339" w:bottom="1440" w:gutter="0" w:footer="0" w:header="0"/>
        </w:sectPr>
      </w:pPr>
    </w:p>
    <w:bookmarkStart w:id="64" w:name="page65"/>
    <w:bookmarkEnd w:id="64"/>
    <w:p>
      <w:pPr>
        <w:ind w:right="400"/>
        <w:spacing w:after="0" w:line="354" w:lineRule="auto"/>
        <w:rPr>
          <w:sz w:val="20"/>
          <w:szCs w:val="20"/>
          <w:color w:val="auto"/>
        </w:rPr>
      </w:pPr>
      <w:r>
        <w:rPr>
          <w:rFonts w:ascii="Arial" w:cs="Arial" w:eastAsia="Arial" w:hAnsi="Arial"/>
          <w:sz w:val="16"/>
          <w:szCs w:val="16"/>
          <w:color w:val="auto"/>
        </w:rPr>
        <w:t>The graphs below show the composition of our Board by years of service as of the date of this Circular and after the annual meeting, assuming all of the nominated directors are elected.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lines below the tenure chart depict the shortest and longest tenured directors, and the average tenure of the directors.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lines below the director age chart depict the age range of the directors and the average age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121285</wp:posOffset>
            </wp:positionV>
            <wp:extent cx="4095750" cy="3387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95750" cy="338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59</w:t>
      </w:r>
    </w:p>
    <w:p>
      <w:pPr>
        <w:sectPr>
          <w:pgSz w:w="11900" w:h="16838" w:orient="portrait"/>
          <w:cols w:equalWidth="0" w:num="1">
            <w:col w:w="11240"/>
          </w:cols>
          <w:pgMar w:left="320" w:top="1039" w:right="339"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0D64EF"/>
        </w:rPr>
        <w:t>ENGAGEMENT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We believe it is important to engage with our stakeholders.</w:t>
      </w:r>
    </w:p>
    <w:p>
      <w:pPr>
        <w:spacing w:after="0" w:line="152"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auto"/>
        </w:rPr>
        <w:t>TC Energy has comprehensive programs, policies and guidelines with executive oversight to regularly engage with Indigenous Groups and other stakeholders, including landowners, community groups, employees and shareholders. TC Energy participates in an open and transparent political process and supports public policies that promote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safe and environmentally responsible development of North American energy infrastructure.</w:t>
      </w:r>
    </w:p>
    <w:p>
      <w:pPr>
        <w:spacing w:after="0" w:line="138" w:lineRule="exact"/>
        <w:rPr>
          <w:sz w:val="20"/>
          <w:szCs w:val="20"/>
          <w:color w:val="auto"/>
        </w:rPr>
      </w:pPr>
    </w:p>
    <w:p>
      <w:pPr>
        <w:ind w:right="2860"/>
        <w:spacing w:after="0" w:line="354" w:lineRule="auto"/>
        <w:rPr>
          <w:sz w:val="20"/>
          <w:szCs w:val="20"/>
          <w:color w:val="auto"/>
        </w:rPr>
      </w:pPr>
      <w:r>
        <w:rPr>
          <w:rFonts w:ascii="Arial" w:cs="Arial" w:eastAsia="Arial" w:hAnsi="Arial"/>
          <w:sz w:val="16"/>
          <w:szCs w:val="16"/>
          <w:color w:val="auto"/>
        </w:rPr>
        <w:t>Members of our Board engage with governance organizations and shareholder advocacy groups to discuss emerging best practices and provide commentary on how we maintain our high standard of corporate governance.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Some of the ways we engage with shareholders include:</w:t>
      </w:r>
    </w:p>
    <w:p>
      <w:pPr>
        <w:spacing w:after="0" w:line="152" w:lineRule="exact"/>
        <w:rPr>
          <w:sz w:val="20"/>
          <w:szCs w:val="20"/>
          <w:color w:val="auto"/>
        </w:rPr>
      </w:pPr>
    </w:p>
    <w:p>
      <w:pPr>
        <w:ind w:left="160" w:right="3120" w:hanging="153"/>
        <w:spacing w:after="0" w:line="337" w:lineRule="auto"/>
        <w:tabs>
          <w:tab w:leader="none" w:pos="1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annual meeting offers shareholders the opportunity to receive an update on our business and vote on items of business.</w:t>
      </w:r>
    </w:p>
    <w:p>
      <w:pPr>
        <w:spacing w:after="0" w:line="47" w:lineRule="exact"/>
        <w:rPr>
          <w:rFonts w:ascii="Arial" w:cs="Arial" w:eastAsia="Arial" w:hAnsi="Arial"/>
          <w:sz w:val="16"/>
          <w:szCs w:val="16"/>
          <w:color w:val="auto"/>
        </w:rPr>
      </w:pPr>
    </w:p>
    <w:p>
      <w:pPr>
        <w:ind w:left="140" w:hanging="133"/>
        <w:spacing w:after="0"/>
        <w:tabs>
          <w:tab w:leader="none" w:pos="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issue news releases to announce material company developments and to report our quarterly financial results.</w:t>
      </w:r>
    </w:p>
    <w:p>
      <w:pPr>
        <w:spacing w:after="0" w:line="138" w:lineRule="exact"/>
        <w:rPr>
          <w:rFonts w:ascii="Arial" w:cs="Arial" w:eastAsia="Arial" w:hAnsi="Arial"/>
          <w:sz w:val="16"/>
          <w:szCs w:val="16"/>
          <w:color w:val="auto"/>
        </w:rPr>
      </w:pPr>
    </w:p>
    <w:p>
      <w:pPr>
        <w:ind w:left="160" w:right="2900" w:hanging="153"/>
        <w:spacing w:after="0" w:line="354" w:lineRule="auto"/>
        <w:tabs>
          <w:tab w:leader="none" w:pos="1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CEO, CFO and executive vice-presidents host teleconferences and webcasts to discuss our quarterly financial and operating results, as well as significant company developments.</w:t>
      </w:r>
    </w:p>
    <w:p>
      <w:pPr>
        <w:spacing w:after="0" w:line="21" w:lineRule="exact"/>
        <w:rPr>
          <w:rFonts w:ascii="Arial" w:cs="Arial" w:eastAsia="Arial" w:hAnsi="Arial"/>
          <w:sz w:val="16"/>
          <w:szCs w:val="16"/>
          <w:color w:val="auto"/>
        </w:rPr>
      </w:pPr>
    </w:p>
    <w:p>
      <w:pPr>
        <w:ind w:left="160" w:right="3080" w:hanging="153"/>
        <w:spacing w:after="0" w:line="354" w:lineRule="auto"/>
        <w:tabs>
          <w:tab w:leader="none" w:pos="1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CEO, CFO and executive vice-presidents host an annual update to share our strategy, recent developments and the longer-term outlook for the business.</w:t>
      </w:r>
    </w:p>
    <w:p>
      <w:pPr>
        <w:spacing w:after="0" w:line="21" w:lineRule="exact"/>
        <w:rPr>
          <w:rFonts w:ascii="Arial" w:cs="Arial" w:eastAsia="Arial" w:hAnsi="Arial"/>
          <w:sz w:val="16"/>
          <w:szCs w:val="16"/>
          <w:color w:val="auto"/>
        </w:rPr>
      </w:pPr>
    </w:p>
    <w:p>
      <w:pPr>
        <w:ind w:left="160" w:right="3000" w:hanging="153"/>
        <w:spacing w:after="0" w:line="354" w:lineRule="auto"/>
        <w:tabs>
          <w:tab w:leader="none" w:pos="1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teleconferences and annual investor day are webcast and available to analysts, shareholders, media and the general public on our website.</w:t>
      </w:r>
    </w:p>
    <w:p>
      <w:pPr>
        <w:spacing w:after="0" w:line="21" w:lineRule="exact"/>
        <w:rPr>
          <w:rFonts w:ascii="Arial" w:cs="Arial" w:eastAsia="Arial" w:hAnsi="Arial"/>
          <w:sz w:val="16"/>
          <w:szCs w:val="16"/>
          <w:color w:val="auto"/>
        </w:rPr>
      </w:pPr>
    </w:p>
    <w:p>
      <w:pPr>
        <w:ind w:left="160" w:right="3060" w:hanging="153"/>
        <w:spacing w:after="0" w:line="354" w:lineRule="auto"/>
        <w:tabs>
          <w:tab w:leader="none" w:pos="1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CEO, executive vice-presidents and senior management participate in investor and industry conferences. The company also meets with investors in one-on-one meetings as part of our regular shareholder engagement.</w:t>
      </w:r>
    </w:p>
    <w:p>
      <w:pPr>
        <w:spacing w:after="0" w:line="21" w:lineRule="exact"/>
        <w:rPr>
          <w:rFonts w:ascii="Arial" w:cs="Arial" w:eastAsia="Arial" w:hAnsi="Arial"/>
          <w:sz w:val="16"/>
          <w:szCs w:val="16"/>
          <w:color w:val="auto"/>
        </w:rPr>
      </w:pPr>
    </w:p>
    <w:p>
      <w:pPr>
        <w:ind w:left="140" w:hanging="133"/>
        <w:spacing w:after="0"/>
        <w:tabs>
          <w:tab w:leader="none" w:pos="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Board Chair and members of the Board meet and speak with shareholders.</w:t>
      </w:r>
    </w:p>
    <w:p>
      <w:pPr>
        <w:spacing w:after="0" w:line="151" w:lineRule="exact"/>
        <w:rPr>
          <w:rFonts w:ascii="Arial" w:cs="Arial" w:eastAsia="Arial" w:hAnsi="Arial"/>
          <w:sz w:val="16"/>
          <w:szCs w:val="16"/>
          <w:color w:val="auto"/>
        </w:rPr>
      </w:pPr>
    </w:p>
    <w:p>
      <w:pPr>
        <w:ind w:left="160" w:right="2660" w:hanging="153"/>
        <w:spacing w:after="0" w:line="337" w:lineRule="auto"/>
        <w:tabs>
          <w:tab w:leader="none" w:pos="1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Investor Relations department is available for meetings and calls to address shareholder questions and concerns, and to provide public information on TC Energy in a timely and responsive manner.</w:t>
      </w:r>
    </w:p>
    <w:p>
      <w:pPr>
        <w:spacing w:after="0" w:line="47" w:lineRule="exact"/>
        <w:rPr>
          <w:rFonts w:ascii="Arial" w:cs="Arial" w:eastAsia="Arial" w:hAnsi="Arial"/>
          <w:sz w:val="16"/>
          <w:szCs w:val="16"/>
          <w:color w:val="auto"/>
        </w:rPr>
      </w:pPr>
    </w:p>
    <w:p>
      <w:pPr>
        <w:ind w:left="160" w:right="2780" w:hanging="153"/>
        <w:spacing w:after="0" w:line="337" w:lineRule="auto"/>
        <w:tabs>
          <w:tab w:leader="none" w:pos="1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conduct proactive shareholder outreach to share ESG-related company developments and we engage with ESG ratings agencies.</w:t>
      </w:r>
    </w:p>
    <w:p>
      <w:pPr>
        <w:spacing w:after="0" w:line="48" w:lineRule="exact"/>
        <w:rPr>
          <w:sz w:val="20"/>
          <w:szCs w:val="20"/>
          <w:color w:val="auto"/>
        </w:rPr>
      </w:pPr>
    </w:p>
    <w:p>
      <w:pPr>
        <w:ind w:right="180"/>
        <w:spacing w:after="0" w:line="326" w:lineRule="auto"/>
        <w:rPr>
          <w:sz w:val="20"/>
          <w:szCs w:val="20"/>
          <w:color w:val="auto"/>
        </w:rPr>
      </w:pPr>
      <w:r>
        <w:rPr>
          <w:rFonts w:ascii="Arial" w:cs="Arial" w:eastAsia="Arial" w:hAnsi="Arial"/>
          <w:sz w:val="16"/>
          <w:szCs w:val="16"/>
          <w:color w:val="auto"/>
        </w:rPr>
        <w:t>In 2025, TC Energy's CEO, CFO, other members of management and Investor Relations participated in over 500 meetings with shareholders and bondholders, including over 40 meetings on ESG-specific topics. TC Energy's Board Chair and members of the Board also participated in 11 meetings with shareholders.</w:t>
      </w:r>
    </w:p>
    <w:p>
      <w:pPr>
        <w:spacing w:after="0" w:line="43" w:lineRule="exact"/>
        <w:rPr>
          <w:sz w:val="20"/>
          <w:szCs w:val="20"/>
          <w:color w:val="auto"/>
        </w:rPr>
      </w:pPr>
    </w:p>
    <w:p>
      <w:pPr>
        <w:ind w:right="2640"/>
        <w:spacing w:after="0" w:line="337" w:lineRule="auto"/>
        <w:rPr>
          <w:sz w:val="20"/>
          <w:szCs w:val="20"/>
          <w:color w:val="auto"/>
        </w:rPr>
      </w:pPr>
      <w:r>
        <w:rPr>
          <w:rFonts w:ascii="Arial" w:cs="Arial" w:eastAsia="Arial" w:hAnsi="Arial"/>
          <w:sz w:val="16"/>
          <w:szCs w:val="16"/>
          <w:color w:val="auto"/>
        </w:rPr>
        <w:t>In addition, TC Energy's Investor Relations Team engages and responds to any shareholder inquiries received regarding the virtual only format of our annual meeting.</w:t>
      </w:r>
    </w:p>
    <w:p>
      <w:pPr>
        <w:spacing w:after="0" w:line="48"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News releases, corporate information, frequently asked questions, our ESG reporting and details of past and upcoming investor events and presentations are available on our website (www.tcenergy.com).</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welcomes opportunities to engage with our shareholders, potential investors and other stakeholders.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You may contact our Investor Relations department directly by phone, email or regular mail at: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TC Energy Corporation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450 - 1 Street S.W. Calgary, AB</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Canada T2P 5H1</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investor_relations@tcenergy.com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1-800-361-6522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97" w:right="359"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0D64EF"/>
        </w:rPr>
        <w:t>COMMUNICATING WITH THE BOARD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Shareholder engagement allows us to hear directly from shareholders and other important stakeholders about any issues or concerns.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Shareholders can contact the Board directly by writing to:</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Chair of the Board of Directors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 Corporate Secretary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TC Energy Corporation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450 - 1 Street S.W. Calgary, AB</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Canada T2P 5H1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SHAREHOLDER PROPOSALS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Under Canadian law, shareholder proposals can only be considered for the annual meeting of common shareholders</w:t>
      </w:r>
    </w:p>
    <w:p>
      <w:pPr>
        <w:spacing w:after="0" w:line="44" w:lineRule="exact"/>
        <w:rPr>
          <w:sz w:val="20"/>
          <w:szCs w:val="20"/>
          <w:color w:val="auto"/>
        </w:rPr>
      </w:pPr>
    </w:p>
    <w:p>
      <w:pPr>
        <w:ind w:right="2680"/>
        <w:spacing w:after="0" w:line="306" w:lineRule="auto"/>
        <w:rPr>
          <w:sz w:val="20"/>
          <w:szCs w:val="20"/>
          <w:color w:val="auto"/>
        </w:rPr>
      </w:pPr>
      <w:r>
        <w:rPr>
          <w:rFonts w:ascii="Arial" w:cs="Arial" w:eastAsia="Arial" w:hAnsi="Arial"/>
          <w:sz w:val="16"/>
          <w:szCs w:val="16"/>
          <w:color w:val="auto"/>
        </w:rPr>
        <w:t xml:space="preserve">if they are submitted by a specific date. Pursuant to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shareholder proposals must be submitted to the corporation between 90 and 150 days before the anniversary date of the previous annual meeting.</w:t>
      </w:r>
    </w:p>
    <w:p>
      <w:pPr>
        <w:spacing w:after="0" w:line="1" w:lineRule="exact"/>
        <w:rPr>
          <w:sz w:val="20"/>
          <w:szCs w:val="20"/>
          <w:color w:val="auto"/>
        </w:rPr>
      </w:pPr>
    </w:p>
    <w:p>
      <w:pPr>
        <w:ind w:right="160"/>
        <w:spacing w:after="0" w:line="364" w:lineRule="auto"/>
        <w:rPr>
          <w:sz w:val="20"/>
          <w:szCs w:val="20"/>
          <w:color w:val="auto"/>
        </w:rPr>
      </w:pPr>
      <w:r>
        <w:rPr>
          <w:rFonts w:ascii="Arial" w:cs="Arial" w:eastAsia="Arial" w:hAnsi="Arial"/>
          <w:sz w:val="16"/>
          <w:szCs w:val="16"/>
          <w:color w:val="auto"/>
        </w:rPr>
        <w:t xml:space="preserve">As such, the period during which our Corporate Secretary must receive shareholder proposals in order for them to be considered for inclusion in the circular for the 2027 annual meeting of common shareholders is </w:t>
      </w:r>
      <w:r>
        <w:rPr>
          <w:rFonts w:ascii="Arial" w:cs="Arial" w:eastAsia="Arial" w:hAnsi="Arial"/>
          <w:sz w:val="16"/>
          <w:szCs w:val="16"/>
          <w:b w:val="1"/>
          <w:bCs w:val="1"/>
          <w:color w:val="auto"/>
        </w:rPr>
        <w:t>Tuesday, December 8, 2026</w:t>
      </w:r>
      <w:r>
        <w:rPr>
          <w:rFonts w:ascii="Arial" w:cs="Arial" w:eastAsia="Arial" w:hAnsi="Arial"/>
          <w:sz w:val="16"/>
          <w:szCs w:val="16"/>
          <w:color w:val="auto"/>
        </w:rPr>
        <w:t xml:space="preserve"> to </w:t>
      </w:r>
      <w:r>
        <w:rPr>
          <w:rFonts w:ascii="Arial" w:cs="Arial" w:eastAsia="Arial" w:hAnsi="Arial"/>
          <w:sz w:val="16"/>
          <w:szCs w:val="16"/>
          <w:b w:val="1"/>
          <w:bCs w:val="1"/>
          <w:color w:val="auto"/>
        </w:rPr>
        <w:t>Monday, February 8, 2027</w:t>
      </w:r>
      <w:r>
        <w:rPr>
          <w:rFonts w:ascii="Arial" w:cs="Arial" w:eastAsia="Arial" w:hAnsi="Arial"/>
          <w:sz w:val="16"/>
          <w:szCs w:val="16"/>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ADVANCE NOTICE BYLAW</w:t>
      </w:r>
    </w:p>
    <w:p>
      <w:pPr>
        <w:spacing w:after="0" w:line="48" w:lineRule="exact"/>
        <w:rPr>
          <w:sz w:val="20"/>
          <w:szCs w:val="20"/>
          <w:color w:val="auto"/>
        </w:rPr>
      </w:pPr>
    </w:p>
    <w:p>
      <w:pPr>
        <w:ind w:right="3060"/>
        <w:spacing w:after="0" w:line="337" w:lineRule="auto"/>
        <w:rPr>
          <w:sz w:val="20"/>
          <w:szCs w:val="20"/>
          <w:color w:val="auto"/>
        </w:rPr>
      </w:pPr>
      <w:r>
        <w:rPr>
          <w:rFonts w:ascii="Arial" w:cs="Arial" w:eastAsia="Arial" w:hAnsi="Arial"/>
          <w:sz w:val="16"/>
          <w:szCs w:val="16"/>
          <w:color w:val="auto"/>
        </w:rPr>
        <w:t>Shareholders who wish to nominate a director for the 2026 annual meeting of common shareholders, other than by a shareholder proposal, must:</w:t>
      </w:r>
    </w:p>
    <w:p>
      <w:pPr>
        <w:spacing w:after="0" w:line="34" w:lineRule="exact"/>
        <w:rPr>
          <w:sz w:val="20"/>
          <w:szCs w:val="20"/>
          <w:color w:val="auto"/>
        </w:rPr>
      </w:pPr>
    </w:p>
    <w:p>
      <w:pPr>
        <w:ind w:left="140" w:hanging="133"/>
        <w:spacing w:after="0"/>
        <w:tabs>
          <w:tab w:leader="none" w:pos="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notify the Corporate Secretary in writing, and</w:t>
      </w:r>
    </w:p>
    <w:p>
      <w:pPr>
        <w:spacing w:after="0" w:line="31" w:lineRule="exact"/>
        <w:rPr>
          <w:rFonts w:ascii="Arial" w:cs="Arial" w:eastAsia="Arial" w:hAnsi="Arial"/>
          <w:sz w:val="16"/>
          <w:szCs w:val="16"/>
          <w:color w:val="auto"/>
        </w:rPr>
      </w:pPr>
    </w:p>
    <w:p>
      <w:pPr>
        <w:ind w:left="140" w:hanging="133"/>
        <w:spacing w:after="0"/>
        <w:tabs>
          <w:tab w:leader="none" w:pos="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provide the information required in our By-law Number 1, which can be found on our website (www.tcenergy.com)</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or on SEDAR+ (www.sedarplus.ca).</w:t>
      </w:r>
    </w:p>
    <w:p>
      <w:pPr>
        <w:spacing w:after="0" w:line="138"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auto"/>
        </w:rPr>
        <w:t xml:space="preserve">Any notices of director nominees must be received by our Corporate Secretary before </w:t>
      </w:r>
      <w:r>
        <w:rPr>
          <w:rFonts w:ascii="Arial" w:cs="Arial" w:eastAsia="Arial" w:hAnsi="Arial"/>
          <w:sz w:val="16"/>
          <w:szCs w:val="16"/>
          <w:b w:val="1"/>
          <w:bCs w:val="1"/>
          <w:color w:val="auto"/>
        </w:rPr>
        <w:t>5 p.m. MDT on Friday, March 27, 2026</w:t>
      </w:r>
      <w:r>
        <w:rPr>
          <w:rFonts w:ascii="Arial" w:cs="Arial" w:eastAsia="Arial" w:hAnsi="Arial"/>
          <w:sz w:val="16"/>
          <w:szCs w:val="16"/>
          <w:color w:val="auto"/>
        </w:rPr>
        <w:t xml:space="preserve"> to be considered valid and for an individual to be included in our list of director nominees for our 2026 annual meeting of common shareholders.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explains when advance notice of director nominations is required for annual meetings and 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6313805" cy="136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13805" cy="136525"/>
                    </a:xfrm>
                    <a:prstGeom prst="rect">
                      <a:avLst/>
                    </a:prstGeom>
                    <a:noFill/>
                  </pic:spPr>
                </pic:pic>
              </a:graphicData>
            </a:graphic>
          </wp:anchor>
        </w:drawing>
      </w:r>
    </w:p>
    <w:p>
      <w:pPr>
        <w:spacing w:after="0" w:line="177" w:lineRule="exact"/>
        <w:rPr>
          <w:sz w:val="20"/>
          <w:szCs w:val="20"/>
          <w:color w:val="auto"/>
        </w:rPr>
      </w:pPr>
    </w:p>
    <w:p>
      <w:pPr>
        <w:ind w:left="20"/>
        <w:spacing w:after="0"/>
        <w:tabs>
          <w:tab w:leader="none" w:pos="2560" w:val="left"/>
          <w:tab w:leader="none" w:pos="6860" w:val="left"/>
        </w:tabs>
        <w:rPr>
          <w:sz w:val="20"/>
          <w:szCs w:val="20"/>
          <w:color w:val="auto"/>
        </w:rPr>
      </w:pPr>
      <w:r>
        <w:rPr>
          <w:rFonts w:ascii="Arial" w:cs="Arial" w:eastAsia="Arial" w:hAnsi="Arial"/>
          <w:sz w:val="14"/>
          <w:szCs w:val="14"/>
          <w:b w:val="1"/>
          <w:bCs w:val="1"/>
          <w:color w:val="auto"/>
        </w:rPr>
        <w:t>Type of meeting</w:t>
      </w:r>
      <w:r>
        <w:rPr>
          <w:sz w:val="20"/>
          <w:szCs w:val="20"/>
          <w:color w:val="auto"/>
        </w:rPr>
        <w:tab/>
      </w:r>
      <w:r>
        <w:rPr>
          <w:rFonts w:ascii="Arial" w:cs="Arial" w:eastAsia="Arial" w:hAnsi="Arial"/>
          <w:sz w:val="14"/>
          <w:szCs w:val="14"/>
          <w:b w:val="1"/>
          <w:bCs w:val="1"/>
          <w:color w:val="auto"/>
        </w:rPr>
        <w:t>Announcement timing</w:t>
      </w:r>
      <w:r>
        <w:rPr>
          <w:sz w:val="20"/>
          <w:szCs w:val="20"/>
          <w:color w:val="auto"/>
        </w:rPr>
        <w:tab/>
      </w:r>
      <w:r>
        <w:rPr>
          <w:rFonts w:ascii="Arial" w:cs="Arial" w:eastAsia="Arial" w:hAnsi="Arial"/>
          <w:sz w:val="14"/>
          <w:szCs w:val="14"/>
          <w:b w:val="1"/>
          <w:bCs w:val="1"/>
          <w:color w:val="auto"/>
        </w:rPr>
        <w:t>Advance notice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63138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13805"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p>
      <w:pPr>
        <w:spacing w:after="0" w:line="215" w:lineRule="exact"/>
        <w:rPr>
          <w:sz w:val="20"/>
          <w:szCs w:val="20"/>
          <w:color w:val="auto"/>
        </w:rPr>
      </w:pPr>
    </w:p>
    <w:p>
      <w:pPr>
        <w:ind w:left="20" w:right="20"/>
        <w:spacing w:after="0" w:line="263" w:lineRule="auto"/>
        <w:rPr>
          <w:sz w:val="20"/>
          <w:szCs w:val="20"/>
          <w:color w:val="auto"/>
        </w:rPr>
      </w:pPr>
      <w:r>
        <w:rPr>
          <w:rFonts w:ascii="Arial" w:cs="Arial" w:eastAsia="Arial" w:hAnsi="Arial"/>
          <w:sz w:val="14"/>
          <w:szCs w:val="14"/>
          <w:color w:val="auto"/>
        </w:rPr>
        <w:t>Annual meeting to elect directors (using notice and access)</w:t>
      </w:r>
    </w:p>
    <w:p>
      <w:pPr>
        <w:spacing w:after="0" w:line="332" w:lineRule="exact"/>
        <w:rPr>
          <w:sz w:val="20"/>
          <w:szCs w:val="20"/>
          <w:color w:val="auto"/>
        </w:rPr>
      </w:pPr>
    </w:p>
    <w:p>
      <w:pPr>
        <w:ind w:left="20"/>
        <w:spacing w:after="0" w:line="263" w:lineRule="auto"/>
        <w:rPr>
          <w:sz w:val="20"/>
          <w:szCs w:val="20"/>
          <w:color w:val="auto"/>
        </w:rPr>
      </w:pPr>
      <w:r>
        <w:rPr>
          <w:rFonts w:ascii="Arial" w:cs="Arial" w:eastAsia="Arial" w:hAnsi="Arial"/>
          <w:sz w:val="14"/>
          <w:szCs w:val="14"/>
          <w:color w:val="auto"/>
        </w:rPr>
        <w:t>Special meeting to elect directors (using notice and access)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ind w:left="20"/>
              <w:spacing w:after="0"/>
              <w:rPr>
                <w:sz w:val="20"/>
                <w:szCs w:val="20"/>
                <w:color w:val="auto"/>
              </w:rPr>
            </w:pPr>
            <w:r>
              <w:rPr>
                <w:rFonts w:ascii="Arial" w:cs="Arial" w:eastAsia="Arial" w:hAnsi="Arial"/>
                <w:sz w:val="14"/>
                <w:szCs w:val="14"/>
                <w:color w:val="auto"/>
              </w:rPr>
              <w:t>Public announcement more than 50 days before meeting</w:t>
            </w:r>
          </w:p>
        </w:tc>
        <w:tc>
          <w:tcPr>
            <w:tcW w:w="3440" w:type="dxa"/>
            <w:vAlign w:val="bottom"/>
          </w:tcPr>
          <w:p>
            <w:pPr>
              <w:ind w:left="360"/>
              <w:spacing w:after="0"/>
              <w:rPr>
                <w:sz w:val="20"/>
                <w:szCs w:val="20"/>
                <w:color w:val="auto"/>
              </w:rPr>
            </w:pPr>
            <w:r>
              <w:rPr>
                <w:rFonts w:ascii="Arial" w:cs="Arial" w:eastAsia="Arial" w:hAnsi="Arial"/>
                <w:sz w:val="14"/>
                <w:szCs w:val="14"/>
                <w:color w:val="auto"/>
              </w:rPr>
              <w:t>Not less than 40 days before meeting</w:t>
            </w:r>
          </w:p>
        </w:tc>
      </w:tr>
      <w:tr>
        <w:trPr>
          <w:trHeight w:val="61"/>
        </w:trPr>
        <w:tc>
          <w:tcPr>
            <w:tcW w:w="3960" w:type="dxa"/>
            <w:vAlign w:val="bottom"/>
            <w:tcBorders>
              <w:bottom w:val="single" w:sz="8" w:color="B2B2B2"/>
            </w:tcBorders>
          </w:tcPr>
          <w:p>
            <w:pPr>
              <w:spacing w:after="0"/>
              <w:rPr>
                <w:sz w:val="5"/>
                <w:szCs w:val="5"/>
                <w:color w:val="auto"/>
              </w:rPr>
            </w:pPr>
          </w:p>
        </w:tc>
        <w:tc>
          <w:tcPr>
            <w:tcW w:w="3440" w:type="dxa"/>
            <w:vAlign w:val="bottom"/>
            <w:tcBorders>
              <w:bottom w:val="single" w:sz="8" w:color="B2B2B2"/>
            </w:tcBorders>
          </w:tcPr>
          <w:p>
            <w:pPr>
              <w:spacing w:after="0"/>
              <w:rPr>
                <w:sz w:val="5"/>
                <w:szCs w:val="5"/>
                <w:color w:val="auto"/>
              </w:rPr>
            </w:pPr>
          </w:p>
        </w:tc>
      </w:tr>
      <w:tr>
        <w:trPr>
          <w:trHeight w:val="145"/>
        </w:trPr>
        <w:tc>
          <w:tcPr>
            <w:tcW w:w="3960" w:type="dxa"/>
            <w:vAlign w:val="bottom"/>
          </w:tcPr>
          <w:p>
            <w:pPr>
              <w:ind w:left="20"/>
              <w:spacing w:after="0" w:line="145" w:lineRule="exact"/>
              <w:rPr>
                <w:sz w:val="20"/>
                <w:szCs w:val="20"/>
                <w:color w:val="auto"/>
              </w:rPr>
            </w:pPr>
            <w:r>
              <w:rPr>
                <w:rFonts w:ascii="Arial" w:cs="Arial" w:eastAsia="Arial" w:hAnsi="Arial"/>
                <w:sz w:val="14"/>
                <w:szCs w:val="14"/>
                <w:color w:val="auto"/>
              </w:rPr>
              <w:t>Public announcement 50 days or less before meeting</w:t>
            </w:r>
          </w:p>
        </w:tc>
        <w:tc>
          <w:tcPr>
            <w:tcW w:w="3440" w:type="dxa"/>
            <w:vAlign w:val="bottom"/>
          </w:tcPr>
          <w:p>
            <w:pPr>
              <w:ind w:left="360"/>
              <w:spacing w:after="0" w:line="145" w:lineRule="exact"/>
              <w:rPr>
                <w:sz w:val="20"/>
                <w:szCs w:val="20"/>
                <w:color w:val="auto"/>
              </w:rPr>
            </w:pPr>
            <w:r>
              <w:rPr>
                <w:rFonts w:ascii="Arial" w:cs="Arial" w:eastAsia="Arial" w:hAnsi="Arial"/>
                <w:sz w:val="14"/>
                <w:szCs w:val="14"/>
                <w:color w:val="auto"/>
              </w:rPr>
              <w:t>Not less than ten days following the first public</w:t>
            </w:r>
          </w:p>
        </w:tc>
      </w:tr>
      <w:tr>
        <w:trPr>
          <w:trHeight w:val="190"/>
        </w:trPr>
        <w:tc>
          <w:tcPr>
            <w:tcW w:w="3960" w:type="dxa"/>
            <w:vAlign w:val="bottom"/>
          </w:tcPr>
          <w:p>
            <w:pPr>
              <w:spacing w:after="0"/>
              <w:rPr>
                <w:sz w:val="16"/>
                <w:szCs w:val="16"/>
                <w:color w:val="auto"/>
              </w:rPr>
            </w:pPr>
          </w:p>
        </w:tc>
        <w:tc>
          <w:tcPr>
            <w:tcW w:w="3440" w:type="dxa"/>
            <w:vAlign w:val="bottom"/>
          </w:tcPr>
          <w:p>
            <w:pPr>
              <w:ind w:left="360"/>
              <w:spacing w:after="0"/>
              <w:rPr>
                <w:sz w:val="20"/>
                <w:szCs w:val="20"/>
                <w:color w:val="auto"/>
              </w:rPr>
            </w:pPr>
            <w:r>
              <w:rPr>
                <w:rFonts w:ascii="Arial" w:cs="Arial" w:eastAsia="Arial" w:hAnsi="Arial"/>
                <w:sz w:val="14"/>
                <w:szCs w:val="14"/>
                <w:color w:val="auto"/>
              </w:rPr>
              <w:t>announcement of the meeting</w:t>
            </w:r>
          </w:p>
        </w:tc>
      </w:tr>
      <w:tr>
        <w:trPr>
          <w:trHeight w:val="61"/>
        </w:trPr>
        <w:tc>
          <w:tcPr>
            <w:tcW w:w="3960" w:type="dxa"/>
            <w:vAlign w:val="bottom"/>
            <w:tcBorders>
              <w:bottom w:val="single" w:sz="8" w:color="B2B2B2"/>
            </w:tcBorders>
          </w:tcPr>
          <w:p>
            <w:pPr>
              <w:spacing w:after="0"/>
              <w:rPr>
                <w:sz w:val="5"/>
                <w:szCs w:val="5"/>
                <w:color w:val="auto"/>
              </w:rPr>
            </w:pPr>
          </w:p>
        </w:tc>
        <w:tc>
          <w:tcPr>
            <w:tcW w:w="3440" w:type="dxa"/>
            <w:vAlign w:val="bottom"/>
            <w:tcBorders>
              <w:bottom w:val="single" w:sz="8" w:color="B2B2B2"/>
            </w:tcBorders>
          </w:tcPr>
          <w:p>
            <w:pPr>
              <w:spacing w:after="0"/>
              <w:rPr>
                <w:sz w:val="5"/>
                <w:szCs w:val="5"/>
                <w:color w:val="auto"/>
              </w:rPr>
            </w:pPr>
          </w:p>
        </w:tc>
      </w:tr>
      <w:tr>
        <w:trPr>
          <w:trHeight w:val="187"/>
        </w:trPr>
        <w:tc>
          <w:tcPr>
            <w:tcW w:w="3960" w:type="dxa"/>
            <w:vAlign w:val="bottom"/>
          </w:tcPr>
          <w:p>
            <w:pPr>
              <w:ind w:left="20"/>
              <w:spacing w:after="0"/>
              <w:rPr>
                <w:sz w:val="20"/>
                <w:szCs w:val="20"/>
                <w:color w:val="auto"/>
              </w:rPr>
            </w:pPr>
            <w:r>
              <w:rPr>
                <w:rFonts w:ascii="Arial" w:cs="Arial" w:eastAsia="Arial" w:hAnsi="Arial"/>
                <w:sz w:val="14"/>
                <w:szCs w:val="14"/>
                <w:color w:val="auto"/>
              </w:rPr>
              <w:t>Public announcement more than 50 days before meeting</w:t>
            </w:r>
          </w:p>
        </w:tc>
        <w:tc>
          <w:tcPr>
            <w:tcW w:w="3440" w:type="dxa"/>
            <w:vAlign w:val="bottom"/>
          </w:tcPr>
          <w:p>
            <w:pPr>
              <w:ind w:left="360"/>
              <w:spacing w:after="0"/>
              <w:rPr>
                <w:sz w:val="20"/>
                <w:szCs w:val="20"/>
                <w:color w:val="auto"/>
              </w:rPr>
            </w:pPr>
            <w:r>
              <w:rPr>
                <w:rFonts w:ascii="Arial" w:cs="Arial" w:eastAsia="Arial" w:hAnsi="Arial"/>
                <w:sz w:val="14"/>
                <w:szCs w:val="14"/>
                <w:color w:val="auto"/>
              </w:rPr>
              <w:t>Not less than 40 days before meeting</w:t>
            </w:r>
          </w:p>
        </w:tc>
      </w:tr>
      <w:tr>
        <w:trPr>
          <w:trHeight w:val="61"/>
        </w:trPr>
        <w:tc>
          <w:tcPr>
            <w:tcW w:w="3960" w:type="dxa"/>
            <w:vAlign w:val="bottom"/>
            <w:tcBorders>
              <w:bottom w:val="single" w:sz="8" w:color="B2B2B2"/>
            </w:tcBorders>
          </w:tcPr>
          <w:p>
            <w:pPr>
              <w:spacing w:after="0"/>
              <w:rPr>
                <w:sz w:val="5"/>
                <w:szCs w:val="5"/>
                <w:color w:val="auto"/>
              </w:rPr>
            </w:pPr>
          </w:p>
        </w:tc>
        <w:tc>
          <w:tcPr>
            <w:tcW w:w="3440" w:type="dxa"/>
            <w:vAlign w:val="bottom"/>
            <w:tcBorders>
              <w:bottom w:val="single" w:sz="8" w:color="B2B2B2"/>
            </w:tcBorders>
          </w:tcPr>
          <w:p>
            <w:pPr>
              <w:spacing w:after="0"/>
              <w:rPr>
                <w:sz w:val="5"/>
                <w:szCs w:val="5"/>
                <w:color w:val="auto"/>
              </w:rPr>
            </w:pPr>
          </w:p>
        </w:tc>
      </w:tr>
      <w:tr>
        <w:trPr>
          <w:trHeight w:val="145"/>
        </w:trPr>
        <w:tc>
          <w:tcPr>
            <w:tcW w:w="3960" w:type="dxa"/>
            <w:vAlign w:val="bottom"/>
          </w:tcPr>
          <w:p>
            <w:pPr>
              <w:ind w:left="20"/>
              <w:spacing w:after="0" w:line="145" w:lineRule="exact"/>
              <w:rPr>
                <w:sz w:val="20"/>
                <w:szCs w:val="20"/>
                <w:color w:val="auto"/>
              </w:rPr>
            </w:pPr>
            <w:r>
              <w:rPr>
                <w:rFonts w:ascii="Arial" w:cs="Arial" w:eastAsia="Arial" w:hAnsi="Arial"/>
                <w:sz w:val="14"/>
                <w:szCs w:val="14"/>
                <w:color w:val="auto"/>
              </w:rPr>
              <w:t>Public announcement 50 days or less before meeting</w:t>
            </w:r>
          </w:p>
        </w:tc>
        <w:tc>
          <w:tcPr>
            <w:tcW w:w="3440" w:type="dxa"/>
            <w:vAlign w:val="bottom"/>
          </w:tcPr>
          <w:p>
            <w:pPr>
              <w:ind w:left="360"/>
              <w:spacing w:after="0" w:line="145" w:lineRule="exact"/>
              <w:rPr>
                <w:sz w:val="20"/>
                <w:szCs w:val="20"/>
                <w:color w:val="auto"/>
              </w:rPr>
            </w:pPr>
            <w:r>
              <w:rPr>
                <w:rFonts w:ascii="Arial" w:cs="Arial" w:eastAsia="Arial" w:hAnsi="Arial"/>
                <w:sz w:val="14"/>
                <w:szCs w:val="14"/>
                <w:color w:val="auto"/>
              </w:rPr>
              <w:t>Not less than 15 days following the first</w:t>
            </w:r>
          </w:p>
        </w:tc>
      </w:tr>
      <w:tr>
        <w:trPr>
          <w:trHeight w:val="190"/>
        </w:trPr>
        <w:tc>
          <w:tcPr>
            <w:tcW w:w="3960" w:type="dxa"/>
            <w:vAlign w:val="bottom"/>
          </w:tcPr>
          <w:p>
            <w:pPr>
              <w:spacing w:after="0"/>
              <w:rPr>
                <w:sz w:val="16"/>
                <w:szCs w:val="16"/>
                <w:color w:val="auto"/>
              </w:rPr>
            </w:pPr>
          </w:p>
        </w:tc>
        <w:tc>
          <w:tcPr>
            <w:tcW w:w="3440" w:type="dxa"/>
            <w:vAlign w:val="bottom"/>
          </w:tcPr>
          <w:p>
            <w:pPr>
              <w:ind w:left="360"/>
              <w:spacing w:after="0"/>
              <w:rPr>
                <w:sz w:val="20"/>
                <w:szCs w:val="20"/>
                <w:color w:val="auto"/>
              </w:rPr>
            </w:pPr>
            <w:r>
              <w:rPr>
                <w:rFonts w:ascii="Arial" w:cs="Arial" w:eastAsia="Arial" w:hAnsi="Arial"/>
                <w:sz w:val="14"/>
                <w:szCs w:val="14"/>
                <w:color w:val="auto"/>
              </w:rPr>
              <w:t>public announcement of the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38735</wp:posOffset>
            </wp:positionV>
            <wp:extent cx="63138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138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420"/>
            <w:col w:w="8680"/>
          </w:cols>
          <w:pgMar w:left="320" w:top="10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61</w:t>
      </w:r>
    </w:p>
    <w:p>
      <w:pPr>
        <w:sectPr>
          <w:pgSz w:w="11900" w:h="16838" w:orient="portrait"/>
          <w:cols w:equalWidth="0" w:num="1">
            <w:col w:w="11240"/>
          </w:cols>
          <w:pgMar w:left="320" w:top="1097"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9"/>
          <w:szCs w:val="29"/>
          <w:color w:val="0D64EF"/>
        </w:rPr>
        <w:t>Sustainability and Environmental, Social and Governance Matters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SUSTAINABILITY STRATEGY,COMMITMENTS AND REPORTING</w:t>
      </w:r>
    </w:p>
    <w:p>
      <w:pPr>
        <w:spacing w:after="0" w:line="48"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TC Energy continues to meet the growing demand for safe, reliable and affordable energy with a focus on operational excellence and a commitment to health, safety, sustainability and the environment . Our approach to sustainability is integral to our strategic priorities. In alignment with the UN Sustainable Development Goals (SDGs), we have established eight sustainability commitments that form the foundation of our sustainability strategy. These commitments are based on our material sustainability topics and supported by tangible metrics and targets to track and measure performance. Each year, we provide balanced and transparent disclosure of our progress against these targets in our Report on Sustainability.</w:t>
      </w:r>
    </w:p>
    <w:p>
      <w:pPr>
        <w:sectPr>
          <w:pgSz w:w="11900" w:h="16838" w:orient="portrait"/>
          <w:cols w:equalWidth="0" w:num="1">
            <w:col w:w="11240"/>
          </w:cols>
          <w:pgMar w:left="320" w:top="1048" w:right="339" w:bottom="1440" w:gutter="0" w:footer="0" w:header="0"/>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TC Energy’s Sustainability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119380</wp:posOffset>
            </wp:positionV>
            <wp:extent cx="571500" cy="563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00" cy="563245"/>
                    </a:xfrm>
                    <a:prstGeom prst="rect">
                      <a:avLst/>
                    </a:prstGeom>
                    <a:noFill/>
                  </pic:spPr>
                </pic:pic>
              </a:graphicData>
            </a:graphic>
          </wp:anchor>
        </w:drawing>
      </w:r>
    </w:p>
    <w:p>
      <w:pPr>
        <w:spacing w:after="0" w:line="29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Enable the energy transition</w:t>
      </w:r>
    </w:p>
    <w:p>
      <w:pPr>
        <w:spacing w:after="0" w:line="5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Contribute to global efforts to address climate change and</w:t>
      </w:r>
    </w:p>
    <w:p>
      <w:pPr>
        <w:spacing w:after="0" w:line="14" w:lineRule="exact"/>
        <w:rPr>
          <w:sz w:val="20"/>
          <w:szCs w:val="20"/>
          <w:color w:val="auto"/>
        </w:rPr>
      </w:pPr>
    </w:p>
    <w:p>
      <w:pPr>
        <w:ind w:left="1360" w:right="1140"/>
        <w:spacing w:after="0" w:line="242" w:lineRule="auto"/>
        <w:rPr>
          <w:sz w:val="20"/>
          <w:szCs w:val="20"/>
          <w:color w:val="auto"/>
        </w:rPr>
      </w:pPr>
      <w:r>
        <w:rPr>
          <w:rFonts w:ascii="Arial" w:cs="Arial" w:eastAsia="Arial" w:hAnsi="Arial"/>
          <w:sz w:val="14"/>
          <w:szCs w:val="14"/>
          <w:color w:val="auto"/>
        </w:rPr>
        <w:t>manage the risks and opportunities of a shift to a lower carbon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191770</wp:posOffset>
            </wp:positionV>
            <wp:extent cx="571500" cy="571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Committed to safe, reliable, sustainable operations</w:t>
      </w:r>
    </w:p>
    <w:p>
      <w:pPr>
        <w:spacing w:after="0" w:line="54" w:lineRule="exact"/>
        <w:rPr>
          <w:sz w:val="20"/>
          <w:szCs w:val="20"/>
          <w:color w:val="auto"/>
        </w:rPr>
      </w:pPr>
    </w:p>
    <w:p>
      <w:pPr>
        <w:ind w:left="1360" w:right="1020"/>
        <w:spacing w:after="0" w:line="283" w:lineRule="auto"/>
        <w:rPr>
          <w:sz w:val="20"/>
          <w:szCs w:val="20"/>
          <w:color w:val="auto"/>
        </w:rPr>
      </w:pPr>
      <w:r>
        <w:rPr>
          <w:rFonts w:ascii="Arial" w:cs="Arial" w:eastAsia="Arial" w:hAnsi="Arial"/>
          <w:sz w:val="14"/>
          <w:szCs w:val="14"/>
          <w:color w:val="auto"/>
        </w:rPr>
        <w:t>Systematically manage risk to continuously improve the integrity and safety of our assets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217170</wp:posOffset>
            </wp:positionV>
            <wp:extent cx="571500" cy="571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Advancing an empowered workplace</w:t>
      </w:r>
    </w:p>
    <w:p>
      <w:pPr>
        <w:spacing w:after="0" w:line="5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Deliver people and culture workplace strategies that reflect our</w:t>
      </w:r>
    </w:p>
    <w:p>
      <w:pPr>
        <w:spacing w:after="0" w:line="14" w:lineRule="exact"/>
        <w:rPr>
          <w:sz w:val="20"/>
          <w:szCs w:val="20"/>
          <w:color w:val="auto"/>
        </w:rPr>
      </w:pPr>
    </w:p>
    <w:p>
      <w:pPr>
        <w:ind w:left="1360" w:right="1400"/>
        <w:spacing w:after="0" w:line="242" w:lineRule="auto"/>
        <w:rPr>
          <w:sz w:val="20"/>
          <w:szCs w:val="20"/>
          <w:color w:val="auto"/>
        </w:rPr>
      </w:pPr>
      <w:r>
        <w:rPr>
          <w:rFonts w:ascii="Arial" w:cs="Arial" w:eastAsia="Arial" w:hAnsi="Arial"/>
          <w:sz w:val="14"/>
          <w:szCs w:val="14"/>
          <w:color w:val="auto"/>
        </w:rPr>
        <w:t>values and emphasize wellbeing, inclusion, belonging and respectful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191770</wp:posOffset>
            </wp:positionV>
            <wp:extent cx="571500" cy="571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360" w:right="1160"/>
        <w:spacing w:after="0" w:line="280" w:lineRule="auto"/>
        <w:rPr>
          <w:sz w:val="20"/>
          <w:szCs w:val="20"/>
          <w:color w:val="auto"/>
        </w:rPr>
      </w:pPr>
      <w:r>
        <w:rPr>
          <w:rFonts w:ascii="Arial" w:cs="Arial" w:eastAsia="Arial" w:hAnsi="Arial"/>
          <w:sz w:val="14"/>
          <w:szCs w:val="14"/>
          <w:b w:val="1"/>
          <w:bCs w:val="1"/>
          <w:color w:val="auto"/>
        </w:rPr>
        <w:t>Fostering enduring, mutually beneficial relationships with Indigenous Groups</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Be the partner of choice for Indigenous Groups.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Leaving the environment as we found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-180975</wp:posOffset>
            </wp:positionV>
            <wp:extent cx="571500" cy="571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Safeguard habitat and biodiversity and minimize land use</w:t>
      </w:r>
    </w:p>
    <w:p>
      <w:pPr>
        <w:spacing w:after="0" w:line="14" w:lineRule="exact"/>
        <w:rPr>
          <w:sz w:val="20"/>
          <w:szCs w:val="20"/>
          <w:color w:val="auto"/>
        </w:rPr>
      </w:pPr>
    </w:p>
    <w:p>
      <w:pPr>
        <w:ind w:right="380"/>
        <w:spacing w:after="0" w:line="242" w:lineRule="auto"/>
        <w:rPr>
          <w:sz w:val="20"/>
          <w:szCs w:val="20"/>
          <w:color w:val="auto"/>
        </w:rPr>
      </w:pPr>
      <w:r>
        <w:rPr>
          <w:rFonts w:ascii="Arial" w:cs="Arial" w:eastAsia="Arial" w:hAnsi="Arial"/>
          <w:sz w:val="14"/>
          <w:szCs w:val="14"/>
          <w:color w:val="auto"/>
        </w:rPr>
        <w:t>impacts, including restoring the environment to a condition equal to or better than we found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191770</wp:posOffset>
            </wp:positionV>
            <wp:extent cx="571500" cy="571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Continuous safety improvement</w:t>
      </w:r>
    </w:p>
    <w:p>
      <w:pPr>
        <w:spacing w:after="0" w:line="54"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Continuously improve our systems to protect people and consistently demonstrate safety as our number one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217170</wp:posOffset>
            </wp:positionV>
            <wp:extent cx="571500" cy="563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1500" cy="56324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Fostering mutually beneficial relationships</w:t>
      </w:r>
    </w:p>
    <w:p>
      <w:pPr>
        <w:spacing w:after="0" w:line="54"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Promote wellbeing for our communities and maintain mutually beneficial external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217170</wp:posOffset>
            </wp:positionV>
            <wp:extent cx="571500" cy="571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Further integrate and contribute to sustainability</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Advance sustainability and innovation across our business and</w:t>
      </w:r>
    </w:p>
    <w:p>
      <w:pPr>
        <w:spacing w:after="0" w:line="14" w:lineRule="exact"/>
        <w:rPr>
          <w:sz w:val="20"/>
          <w:szCs w:val="20"/>
          <w:color w:val="auto"/>
        </w:rPr>
      </w:pPr>
    </w:p>
    <w:p>
      <w:pPr>
        <w:ind w:right="420"/>
        <w:spacing w:after="0" w:line="242" w:lineRule="auto"/>
        <w:rPr>
          <w:sz w:val="20"/>
          <w:szCs w:val="20"/>
          <w:color w:val="auto"/>
        </w:rPr>
      </w:pPr>
      <w:r>
        <w:rPr>
          <w:rFonts w:ascii="Arial" w:cs="Arial" w:eastAsia="Arial" w:hAnsi="Arial"/>
          <w:sz w:val="14"/>
          <w:szCs w:val="14"/>
          <w:color w:val="auto"/>
        </w:rPr>
        <w:t>value chain, including our strategic planning and decision-making.</w:t>
      </w:r>
    </w:p>
    <w:p>
      <w:pPr>
        <w:spacing w:after="0" w:line="200" w:lineRule="exact"/>
        <w:rPr>
          <w:sz w:val="20"/>
          <w:szCs w:val="20"/>
          <w:color w:val="auto"/>
        </w:rPr>
      </w:pPr>
    </w:p>
    <w:p>
      <w:pPr>
        <w:sectPr>
          <w:pgSz w:w="11900" w:h="16838" w:orient="portrait"/>
          <w:cols w:equalWidth="0" w:num="2">
            <w:col w:w="6440" w:space="720"/>
            <w:col w:w="4080"/>
          </w:cols>
          <w:pgMar w:left="320" w:top="1048" w:right="339" w:bottom="1440" w:gutter="0" w:footer="0" w:header="0"/>
          <w:type w:val="continuous"/>
        </w:sectPr>
      </w:pPr>
    </w:p>
    <w:p>
      <w:pPr>
        <w:spacing w:after="0" w:line="182" w:lineRule="exact"/>
        <w:rPr>
          <w:sz w:val="20"/>
          <w:szCs w:val="20"/>
          <w:color w:val="auto"/>
        </w:rPr>
      </w:pPr>
    </w:p>
    <w:p>
      <w:pPr>
        <w:ind w:right="280"/>
        <w:spacing w:after="0" w:line="316" w:lineRule="auto"/>
        <w:rPr>
          <w:sz w:val="20"/>
          <w:szCs w:val="20"/>
          <w:color w:val="auto"/>
        </w:rPr>
      </w:pPr>
      <w:r>
        <w:rPr>
          <w:rFonts w:ascii="Arial" w:cs="Arial" w:eastAsia="Arial" w:hAnsi="Arial"/>
          <w:sz w:val="16"/>
          <w:szCs w:val="16"/>
          <w:color w:val="auto"/>
        </w:rPr>
        <w:t>To better align with the evolving priorities of rights holders and stakeholders, we continue to refresh and refine our sustainability strategy. This may involve introducing or refining definitions, metrics, targets, sustainability commitments, policies and initiatives. These updates are guided by jurisdictional priorities and informed by assessments of both the current performance and emerging trends of each topic. We aim to conduct a comprehensive sustainability materiality assessment every two to three years, supplemented by annual internal updates. This allows us to improve our approach and identify the sustainability topics that matter most to our rights holders, stakeholders and our business.</w:t>
      </w:r>
    </w:p>
    <w:p>
      <w:pPr>
        <w:spacing w:after="0" w:line="52"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auto"/>
        </w:rPr>
        <w:t>To hold ourselves accountable, we link sustainability performance to our corporate scorecard and executive compensation. Our 2025 corporate scorecard includes a 50 per cent weighting to achieving safety and operational excellence. TC Energy’s 2024 and 2025 grant of three-year vesting performance share units (PSUs) also includes a 10 per cent weighted methane intensity reduction metric, which aligns with our corporate interim goal of reducing methane intensity by 40-55 per cent reduction from 2019 levels by 2035.</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commitment to transparent and reliable sustainability reporting, TC Energy publishes annually our Report</w:t>
      </w:r>
    </w:p>
    <w:p>
      <w:pPr>
        <w:spacing w:after="0" w:line="44"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on Sustainability which details our progress towards achieving our sustainability commitments and targets. Our Report on Sustainability includes performance data tables and alignment tables to internationally recognized sustainability reporting frameworks, standards and recommendations such as the UN SDGs, the Global Reporting Initiative (GRI) Standards, the IFRS S2 Climate-related Disclosures Standard (which integrates the Taskforce on Climate-related Financial Disclosures (TCFD) recommendations), the Taskforce on Nature-related Financial Disclosures (TNFD), and the Sustainability Accounting Standards Board (SASB) Standards. The Report on Sustainability is available at TCEnergy.com/ReportOnSustainability.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48" w:right="339" w:bottom="1440" w:gutter="0" w:footer="0" w:header="0"/>
          <w:type w:val="continuous"/>
        </w:sectPr>
      </w:pPr>
    </w:p>
    <w:bookmarkStart w:id="68" w:name="page69"/>
    <w:bookmarkEnd w:id="68"/>
    <w:p>
      <w:pPr>
        <w:ind w:right="3400"/>
        <w:spacing w:after="0" w:line="344" w:lineRule="auto"/>
        <w:rPr>
          <w:sz w:val="20"/>
          <w:szCs w:val="20"/>
          <w:color w:val="auto"/>
        </w:rPr>
      </w:pPr>
      <w:r>
        <w:rPr>
          <w:rFonts w:ascii="Arial" w:cs="Arial" w:eastAsia="Arial" w:hAnsi="Arial"/>
          <w:sz w:val="16"/>
          <w:szCs w:val="16"/>
          <w:color w:val="auto"/>
        </w:rPr>
        <w:t>TC Energy’s sustainability publications and website content are not incorporated by reference and are not part of this Circular.</w:t>
      </w:r>
    </w:p>
    <w:p>
      <w:pPr>
        <w:spacing w:after="0" w:line="1" w:lineRule="exact"/>
        <w:rPr>
          <w:sz w:val="20"/>
          <w:szCs w:val="20"/>
          <w:color w:val="auto"/>
        </w:rPr>
      </w:pPr>
    </w:p>
    <w:p>
      <w:pPr>
        <w:ind w:right="200"/>
        <w:spacing w:after="0" w:line="246" w:lineRule="exact"/>
        <w:rPr>
          <w:sz w:val="20"/>
          <w:szCs w:val="20"/>
          <w:color w:val="auto"/>
        </w:rPr>
      </w:pPr>
      <w:r>
        <w:rPr>
          <w:rFonts w:ascii="Arial" w:cs="Arial" w:eastAsia="Arial" w:hAnsi="Arial"/>
          <w:sz w:val="16"/>
          <w:szCs w:val="16"/>
          <w:color w:val="auto"/>
        </w:rPr>
        <w:t>We actively monitor for new sustainability-related disclosure requirements, including those related to climate</w:t>
      </w:r>
      <w:r>
        <w:rPr>
          <w:rFonts w:ascii="MS PGothic" w:cs="MS PGothic" w:eastAsia="MS PGothic" w:hAnsi="MS PGothic"/>
          <w:sz w:val="16"/>
          <w:szCs w:val="16"/>
          <w:color w:val="auto"/>
        </w:rPr>
        <w:t>‑</w:t>
      </w:r>
      <w:r>
        <w:rPr>
          <w:rFonts w:ascii="Arial" w:cs="Arial" w:eastAsia="Arial" w:hAnsi="Arial"/>
          <w:sz w:val="16"/>
          <w:szCs w:val="16"/>
          <w:color w:val="auto"/>
        </w:rPr>
        <w:t>related risks and opportunities and continue to progress our sustainability disclosure in alignment with any such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MANAGING CLIMATE-RELATED RISKS AND OPPORTUNITIES</w:t>
      </w:r>
    </w:p>
    <w:p>
      <w:pPr>
        <w:spacing w:after="0" w:line="48"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TC Energy remains committed to supporting global efforts to address climate change and managing the risks and opportunities associated with the transition to a lower-carbon economy. Our approach aims to strike a balance between meeting global energy demand and addressing rising global emissions through focusing on three areas: reducing operational emissions, investing in lower-carbon energy solutions, and supporting broader decarbonization efforts.</w:t>
      </w:r>
    </w:p>
    <w:p>
      <w:pPr>
        <w:spacing w:after="0" w:line="2" w:lineRule="exact"/>
        <w:rPr>
          <w:sz w:val="20"/>
          <w:szCs w:val="20"/>
          <w:color w:val="auto"/>
        </w:rPr>
      </w:pPr>
    </w:p>
    <w:p>
      <w:pPr>
        <w:ind w:right="200"/>
        <w:spacing w:after="0" w:line="337" w:lineRule="auto"/>
        <w:rPr>
          <w:sz w:val="20"/>
          <w:szCs w:val="20"/>
          <w:color w:val="auto"/>
        </w:rPr>
      </w:pPr>
      <w:r>
        <w:rPr>
          <w:rFonts w:ascii="Arial" w:cs="Arial" w:eastAsia="Arial" w:hAnsi="Arial"/>
          <w:sz w:val="16"/>
          <w:szCs w:val="16"/>
          <w:color w:val="auto"/>
        </w:rPr>
        <w:t>Our annual Report on Sustainability provides details on our approach to managing the potential physical risks and transition risks and opportunities created by climate change, as well as a summary of our recent climate scenario analysis.</w:t>
      </w:r>
    </w:p>
    <w:p>
      <w:pPr>
        <w:spacing w:after="0" w:line="4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2025, we introduced a methane intensity reduction target of 40 to 55 per cent reduction below our 2019 baseline by 2035 and incorporated this metric into our long-term incentive for executive compensation. While we remain committed</w:t>
      </w:r>
    </w:p>
    <w:p>
      <w:pPr>
        <w:spacing w:after="0" w:line="1"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to our long-term objective of positioning to achieve net-zero emissions from our operations, we have adjusted our pace to align with technological readiness, policy frameworks and market conditions necessary to deliver a pragmatic and financially disciplined path toward a lower-carbon energy system. We continue to evaluate decarbonization pathways in light of these evolving external drivers, and expect to provide additional details on our assessments, including progress on our methane target implementation plan in our 2026 Report on Sustainability.</w:t>
      </w:r>
    </w:p>
    <w:p>
      <w:pPr>
        <w:spacing w:after="0" w:line="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aim to continually improve the accuracy and reliability of our GHG emissions data. In 2025, for the fourth consecutive year, we voluntarily obtained limited assurance on 100 per cent of our corporate GHG emissions inventory. In addition,</w:t>
      </w:r>
    </w:p>
    <w:p>
      <w:pPr>
        <w:spacing w:after="0" w:line="1"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auto"/>
        </w:rPr>
        <w:t>we published a Roadmap to Reasonable Assurance on GHG Emissions report that outlines TC Energy’s current capabilities and planned enhancements to strengthen GHG emissions data quality. We also published an OGMP (Oil &amp; Gas Methane Partnership) 2.0 Reassessment Report that outlines our methane measurement and quantification practices and reinforces our ability to pursue cost-effective methane management while preserving commercial competitiveness. While we support OGMP's guiding principles that promote accuracy and transparency of methane emissions data, we have decided not to join OGMP 2.0 at this time. Additional information can be found in our OGMP 2.0 Reassessment Report.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INDIGENOUS RELATIONS</w:t>
      </w:r>
    </w:p>
    <w:p>
      <w:pPr>
        <w:spacing w:after="0" w:line="48" w:lineRule="exact"/>
        <w:rPr>
          <w:sz w:val="20"/>
          <w:szCs w:val="20"/>
          <w:color w:val="auto"/>
        </w:rPr>
      </w:pPr>
    </w:p>
    <w:p>
      <w:pPr>
        <w:ind w:right="460"/>
        <w:spacing w:after="0" w:line="337" w:lineRule="auto"/>
        <w:rPr>
          <w:sz w:val="20"/>
          <w:szCs w:val="20"/>
          <w:color w:val="auto"/>
        </w:rPr>
      </w:pPr>
      <w:r>
        <w:rPr>
          <w:rFonts w:ascii="Arial" w:cs="Arial" w:eastAsia="Arial" w:hAnsi="Arial"/>
          <w:sz w:val="16"/>
          <w:szCs w:val="16"/>
          <w:color w:val="auto"/>
        </w:rPr>
        <w:t>For more than 40 years, TC Energy has been engaging with Indigenous Groups. We recognize Indigenous Groups as rightsholders who have a distinct relationship to the land and we understand that our business activities have the potential to affect these groups in tangible ways.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Accordingly, key components of our Indigenous relations governance and strategy include: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Board Oversight of Indigenous Relations</w:t>
      </w:r>
    </w:p>
    <w:p>
      <w:pPr>
        <w:spacing w:after="0" w:line="40"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TC Energy's Board recognizes the vital role Indigenous relationships and partnerships have to our business. The HSSE Committee receives verbal and written reports from management on various significant matters relating to Indigenous rights and relationships. In addition, the Board maintains oversight of Indigenous rights and relationship matters that</w:t>
      </w:r>
    </w:p>
    <w:p>
      <w:pPr>
        <w:spacing w:after="0" w:line="2" w:lineRule="exact"/>
        <w:rPr>
          <w:sz w:val="20"/>
          <w:szCs w:val="20"/>
          <w:color w:val="auto"/>
        </w:rPr>
      </w:pPr>
    </w:p>
    <w:p>
      <w:pPr>
        <w:ind w:right="2960"/>
        <w:spacing w:after="0" w:line="354" w:lineRule="auto"/>
        <w:rPr>
          <w:sz w:val="20"/>
          <w:szCs w:val="20"/>
          <w:color w:val="auto"/>
        </w:rPr>
      </w:pPr>
      <w:r>
        <w:rPr>
          <w:rFonts w:ascii="Arial" w:cs="Arial" w:eastAsia="Arial" w:hAnsi="Arial"/>
          <w:sz w:val="16"/>
          <w:szCs w:val="16"/>
          <w:color w:val="auto"/>
        </w:rPr>
        <w:t>may be material to TC Energy's operations or the development and construction of projects across all business lines and jurisdictions.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Indigenous Relations Policy &amp; Training</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TC Energy maintains an Indigenous Relations Policy, which was reviewed in October 2025. The Policy sets expectations</w:t>
      </w:r>
    </w:p>
    <w:p>
      <w:pPr>
        <w:spacing w:after="0" w:line="58"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and guides the Company's collaborative approach to relationships with Indigenous Groups aimed at achieving regulatory certainty and maintaining access to land, while supporting Indigenous Group's capacity building initiatives and participation in economic opportunities. The policy supports the spirit and intent of the United Nations Declaration of the Rights of Indigenous Peoples and its guiding principles, including Free, Prior and Informed Consent (FPIC). The Indigenous Relations team reviews project plans to ensure we adhere to our Indigenous Relations Policy.</w:t>
      </w:r>
    </w:p>
    <w:p>
      <w:pPr>
        <w:spacing w:after="0" w:line="52" w:lineRule="exact"/>
        <w:rPr>
          <w:sz w:val="20"/>
          <w:szCs w:val="20"/>
          <w:color w:val="auto"/>
        </w:rPr>
      </w:pPr>
    </w:p>
    <w:p>
      <w:pPr>
        <w:ind w:right="160"/>
        <w:spacing w:after="0" w:line="354" w:lineRule="auto"/>
        <w:rPr>
          <w:sz w:val="20"/>
          <w:szCs w:val="20"/>
          <w:color w:val="auto"/>
        </w:rPr>
      </w:pPr>
      <w:r>
        <w:rPr>
          <w:rFonts w:ascii="Arial" w:cs="Arial" w:eastAsia="Arial" w:hAnsi="Arial"/>
          <w:sz w:val="16"/>
          <w:szCs w:val="16"/>
          <w:color w:val="auto"/>
        </w:rPr>
        <w:t>In addition, TC Energy has implemented corporate-wide mandatory Indigenous Awareness Training for employees and contractors in Canada and the U.S., with a view to increasing understanding of Indigenous history and culture.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63</w:t>
      </w:r>
    </w:p>
    <w:p>
      <w:pPr>
        <w:sectPr>
          <w:pgSz w:w="11900" w:h="16838" w:orient="portrait"/>
          <w:cols w:equalWidth="0" w:num="1">
            <w:col w:w="11240"/>
          </w:cols>
          <w:pgMar w:left="320" w:top="126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0D64EF"/>
        </w:rPr>
        <w:t>Meaningful Engagement and Consultation</w:t>
      </w:r>
    </w:p>
    <w:p>
      <w:pPr>
        <w:spacing w:after="0" w:line="40" w:lineRule="exact"/>
        <w:rPr>
          <w:sz w:val="20"/>
          <w:szCs w:val="20"/>
          <w:color w:val="auto"/>
        </w:rPr>
      </w:pPr>
    </w:p>
    <w:p>
      <w:pPr>
        <w:ind w:right="60"/>
        <w:spacing w:after="0" w:line="316" w:lineRule="auto"/>
        <w:rPr>
          <w:sz w:val="20"/>
          <w:szCs w:val="20"/>
          <w:color w:val="auto"/>
        </w:rPr>
      </w:pPr>
      <w:r>
        <w:rPr>
          <w:rFonts w:ascii="Arial" w:cs="Arial" w:eastAsia="Arial" w:hAnsi="Arial"/>
          <w:sz w:val="16"/>
          <w:szCs w:val="16"/>
          <w:color w:val="auto"/>
        </w:rPr>
        <w:t>We are committed to respecting Indigenous peoples' rights and the principles of FPIC, striving to achieve consent among Indigenous Groups potentially affected by our work. We have built strong relationships and gained support from most communities we work with; however, to achieve unanimous alignment and support from every constituent across any long, linear infrastructure project is not reasonable nor feasible. We strive for consensus by identifying and resolving issues collaboratively and sharing benefits.</w:t>
      </w:r>
    </w:p>
    <w:p>
      <w:pPr>
        <w:spacing w:after="0" w:line="66" w:lineRule="exact"/>
        <w:rPr>
          <w:sz w:val="20"/>
          <w:szCs w:val="20"/>
          <w:color w:val="auto"/>
        </w:rPr>
      </w:pPr>
    </w:p>
    <w:p>
      <w:pPr>
        <w:ind w:right="380"/>
        <w:spacing w:after="0" w:line="337" w:lineRule="auto"/>
        <w:rPr>
          <w:sz w:val="20"/>
          <w:szCs w:val="20"/>
          <w:color w:val="auto"/>
        </w:rPr>
      </w:pPr>
      <w:r>
        <w:rPr>
          <w:rFonts w:ascii="Arial" w:cs="Arial" w:eastAsia="Arial" w:hAnsi="Arial"/>
          <w:sz w:val="16"/>
          <w:szCs w:val="16"/>
          <w:color w:val="auto"/>
        </w:rPr>
        <w:t>We adhere to the engagement and consultation processes in the jurisdictions where we work and seek to meet or exceed requirements while prioritizing respectful engagement and building relationships and partnerships.</w:t>
      </w:r>
    </w:p>
    <w:p>
      <w:pPr>
        <w:spacing w:after="0" w:line="48"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In Canada, where the Crown has a duty to consult Indigenous Peoples on projects that impact their treaty and Indigenous rights and delegates aspects of the duty to consult to companies, we engage early and often on new projects. We offer capacity funding to support participation in the regulatory process, as well as funding for traditional knowledge and land use studies. Additionally, we have created construction and post-construction monitoring programs to increase Indigenous participation and enhance knowledge in the planning and execution of our work.</w:t>
      </w:r>
    </w:p>
    <w:p>
      <w:pPr>
        <w:spacing w:after="0" w:line="66" w:lineRule="exact"/>
        <w:rPr>
          <w:sz w:val="20"/>
          <w:szCs w:val="20"/>
          <w:color w:val="auto"/>
        </w:rPr>
      </w:pPr>
    </w:p>
    <w:p>
      <w:pPr>
        <w:ind w:right="320"/>
        <w:spacing w:after="0" w:line="337" w:lineRule="auto"/>
        <w:rPr>
          <w:sz w:val="20"/>
          <w:szCs w:val="20"/>
          <w:color w:val="auto"/>
        </w:rPr>
      </w:pPr>
      <w:r>
        <w:rPr>
          <w:rFonts w:ascii="Arial" w:cs="Arial" w:eastAsia="Arial" w:hAnsi="Arial"/>
          <w:sz w:val="16"/>
          <w:szCs w:val="16"/>
          <w:color w:val="auto"/>
        </w:rPr>
        <w:t>In the U.S. and Mexico, where Indigenous consultation is led by the federal governments, we work with government bodies to comply with effective Indigenous consultation processes, both structurally and in practice, and to foster community relationships through various social responsibility initiatives.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 2025, we engaged with over 300 Indigenous communities across North America, focusing on building relationships and identifying areas for improvement.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Indigenous Advisory Council</w:t>
      </w:r>
    </w:p>
    <w:p>
      <w:pPr>
        <w:spacing w:after="0" w:line="40"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As part of our commitment to reconciliation, TC Energy established an Indigenous Advisory Council (IAC) in 2021. As of January 2026, the IAC is comprised of four Indigenous leaders. The IAC meets in-person with the Executive Leadership Team twice annually to discuss TC Energy’s efforts to advance reconciliation both internally and within the organization’s purview externally. Additionally, the Council meets with leaders across TC Energy whose responsibilities directly or indirectly affect TC Energy’s commitment to reconciliation. The Council’s advice has been considered and incorporated into the development of internal and external reconciliation efforts. For example, we have implemented changes to our approach</w:t>
      </w:r>
    </w:p>
    <w:p>
      <w:pPr>
        <w:spacing w:after="0" w:line="4" w:lineRule="exact"/>
        <w:rPr>
          <w:sz w:val="20"/>
          <w:szCs w:val="20"/>
          <w:color w:val="auto"/>
        </w:rPr>
      </w:pPr>
    </w:p>
    <w:p>
      <w:pPr>
        <w:jc w:val="both"/>
        <w:ind w:right="700"/>
        <w:spacing w:after="0" w:line="303" w:lineRule="auto"/>
        <w:rPr>
          <w:sz w:val="20"/>
          <w:szCs w:val="20"/>
          <w:color w:val="auto"/>
        </w:rPr>
      </w:pPr>
      <w:r>
        <w:rPr>
          <w:rFonts w:ascii="Arial" w:cs="Arial" w:eastAsia="Arial" w:hAnsi="Arial"/>
          <w:sz w:val="16"/>
          <w:szCs w:val="16"/>
          <w:color w:val="auto"/>
        </w:rPr>
        <w:t>to Indigenous and local hiring and contracting, launched an Indigenous Business Advisory Forum, expanded and adjusted the use of co-developed Relationship Agreements to provide clarity for how we work with communities in support of mutually beneficial goals, and developed a purpose-built Indigenous cultural space at our head office to build a sense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of belonging for Indigenous members of our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61" w:right="35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color w:val="0D64EF"/>
        </w:rPr>
        <w:t>BOARD OVERSIGHT OF ESG INITIATIVES</w:t>
      </w:r>
    </w:p>
    <w:p>
      <w:pPr>
        <w:spacing w:after="0" w:line="40"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 xml:space="preserve">TC Energy has established a clear governance structure to communicate and respond to existing and emerging sustainability-related risks and opportunities. The full Board maintains ultimate oversight over TC Energy's sustainability matters, including climate-related risks and opportunities, political and regulatory uncertainty, material capital project decisions and reputation and relationships with Indigenous communities. For more information on the responsibility and oversight provided by the HSSE Committee, see </w:t>
      </w:r>
      <w:r>
        <w:rPr>
          <w:rFonts w:ascii="Arial" w:cs="Arial" w:eastAsia="Arial" w:hAnsi="Arial"/>
          <w:sz w:val="16"/>
          <w:szCs w:val="16"/>
          <w:i w:val="1"/>
          <w:iCs w:val="1"/>
          <w:color w:val="auto"/>
        </w:rPr>
        <w:t>Roles and Responsibilities of the Board – Risk Oversight and Enterprise Risk Management – HSSE 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management system </w:t>
      </w:r>
      <w:r>
        <w:rPr>
          <w:rFonts w:ascii="Arial" w:cs="Arial" w:eastAsia="Arial" w:hAnsi="Arial"/>
          <w:sz w:val="16"/>
          <w:szCs w:val="16"/>
          <w:color w:val="auto"/>
        </w:rPr>
        <w:t>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313805" cy="144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13805" cy="144780"/>
                    </a:xfrm>
                    <a:prstGeom prst="rect">
                      <a:avLst/>
                    </a:prstGeom>
                    <a:noFill/>
                  </pic:spPr>
                </pic:pic>
              </a:graphicData>
            </a:graphic>
          </wp:anchor>
        </w:drawing>
      </w:r>
    </w:p>
    <w:p>
      <w:pPr>
        <w:spacing w:after="0" w:line="5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63138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13805" cy="8255"/>
                    </a:xfrm>
                    <a:prstGeom prst="rect">
                      <a:avLst/>
                    </a:prstGeom>
                    <a:noFill/>
                  </pic:spPr>
                </pic:pic>
              </a:graphicData>
            </a:graphic>
          </wp:anchor>
        </w:drawing>
      </w:r>
    </w:p>
    <w:p>
      <w:pPr>
        <w:spacing w:after="0" w:line="61" w:lineRule="exact"/>
        <w:rPr>
          <w:sz w:val="20"/>
          <w:szCs w:val="20"/>
          <w:color w:val="auto"/>
        </w:rPr>
      </w:pPr>
    </w:p>
    <w:p>
      <w:pPr>
        <w:ind w:left="20" w:right="1900"/>
        <w:spacing w:after="0" w:line="283" w:lineRule="auto"/>
        <w:rPr>
          <w:sz w:val="20"/>
          <w:szCs w:val="20"/>
          <w:color w:val="auto"/>
        </w:rPr>
      </w:pPr>
      <w:r>
        <w:rPr>
          <w:rFonts w:ascii="Arial" w:cs="Arial" w:eastAsia="Arial" w:hAnsi="Arial"/>
          <w:sz w:val="14"/>
          <w:szCs w:val="14"/>
          <w:color w:val="auto"/>
        </w:rPr>
        <w:t>Maintains oversight of business strategy alignment, progress against our most significant sustainability objectives and commitments and our overall sustainability communications strategy.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On approvals for material projects, the Board receives reports on climate risks and impacts from the project, including expected GHG emission impacts.</w:t>
      </w:r>
    </w:p>
    <w:p>
      <w:pPr>
        <w:spacing w:after="0" w:line="67" w:lineRule="exact"/>
        <w:rPr>
          <w:sz w:val="20"/>
          <w:szCs w:val="20"/>
          <w:color w:val="auto"/>
        </w:rPr>
      </w:pPr>
    </w:p>
    <w:p>
      <w:pPr>
        <w:ind w:left="20" w:right="2020"/>
        <w:spacing w:after="0" w:line="303" w:lineRule="auto"/>
        <w:rPr>
          <w:sz w:val="20"/>
          <w:szCs w:val="20"/>
          <w:color w:val="auto"/>
        </w:rPr>
      </w:pPr>
      <w:r>
        <w:rPr>
          <w:rFonts w:ascii="Arial" w:cs="Arial" w:eastAsia="Arial" w:hAnsi="Arial"/>
          <w:sz w:val="14"/>
          <w:szCs w:val="14"/>
          <w:color w:val="auto"/>
        </w:rPr>
        <w:t>Maintains oversight of Indigenous engagement strategy and risks and opportunities associated with material projects, including Indigenous equity opportunities.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Maintains oversight of TC Energy’s AI strategy, risk management, and implementation, including receiving updates on AI risk and governance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313805" cy="144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13805" cy="144780"/>
                    </a:xfrm>
                    <a:prstGeom prst="rect">
                      <a:avLst/>
                    </a:prstGeom>
                    <a:noFill/>
                  </pic:spPr>
                </pic:pic>
              </a:graphicData>
            </a:graphic>
          </wp:anchor>
        </w:drawing>
      </w:r>
    </w:p>
    <w:p>
      <w:pPr>
        <w:spacing w:after="0" w:line="141" w:lineRule="exact"/>
        <w:rPr>
          <w:sz w:val="20"/>
          <w:szCs w:val="20"/>
          <w:color w:val="auto"/>
        </w:rPr>
      </w:pPr>
    </w:p>
    <w:p>
      <w:pPr>
        <w:ind w:left="20"/>
        <w:spacing w:after="0"/>
        <w:tabs>
          <w:tab w:leader="none" w:pos="2500" w:val="left"/>
          <w:tab w:leader="none" w:pos="4980" w:val="left"/>
          <w:tab w:leader="none" w:pos="7460" w:val="left"/>
        </w:tabs>
        <w:rPr>
          <w:sz w:val="20"/>
          <w:szCs w:val="20"/>
          <w:color w:val="auto"/>
        </w:rPr>
      </w:pPr>
      <w:r>
        <w:rPr>
          <w:rFonts w:ascii="Arial" w:cs="Arial" w:eastAsia="Arial" w:hAnsi="Arial"/>
          <w:sz w:val="14"/>
          <w:szCs w:val="14"/>
          <w:b w:val="1"/>
          <w:bCs w:val="1"/>
          <w:color w:val="auto"/>
        </w:rPr>
        <w:t>HSSE Committee</w:t>
      </w:r>
      <w:r>
        <w:rPr>
          <w:sz w:val="20"/>
          <w:szCs w:val="20"/>
          <w:color w:val="auto"/>
        </w:rPr>
        <w:tab/>
      </w:r>
      <w:r>
        <w:rPr>
          <w:rFonts w:ascii="Arial" w:cs="Arial" w:eastAsia="Arial" w:hAnsi="Arial"/>
          <w:sz w:val="14"/>
          <w:szCs w:val="14"/>
          <w:b w:val="1"/>
          <w:bCs w:val="1"/>
          <w:color w:val="auto"/>
        </w:rPr>
        <w:t>Audit Committee</w:t>
      </w:r>
      <w:r>
        <w:rPr>
          <w:sz w:val="20"/>
          <w:szCs w:val="20"/>
          <w:color w:val="auto"/>
        </w:rPr>
        <w:tab/>
      </w:r>
      <w:r>
        <w:rPr>
          <w:rFonts w:ascii="Arial" w:cs="Arial" w:eastAsia="Arial" w:hAnsi="Arial"/>
          <w:sz w:val="14"/>
          <w:szCs w:val="14"/>
          <w:b w:val="1"/>
          <w:bCs w:val="1"/>
          <w:color w:val="auto"/>
        </w:rPr>
        <w:t>Governance Committee</w:t>
      </w:r>
      <w:r>
        <w:rPr>
          <w:sz w:val="20"/>
          <w:szCs w:val="20"/>
          <w:color w:val="auto"/>
        </w:rPr>
        <w:tab/>
      </w:r>
      <w:r>
        <w:rPr>
          <w:rFonts w:ascii="Arial" w:cs="Arial" w:eastAsia="Arial" w:hAnsi="Arial"/>
          <w:sz w:val="14"/>
          <w:szCs w:val="14"/>
          <w:b w:val="1"/>
          <w:bCs w:val="1"/>
          <w:color w:val="auto"/>
        </w:rPr>
        <w:t>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63138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13805"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p>
      <w:pPr>
        <w:spacing w:after="0" w:line="81" w:lineRule="exact"/>
        <w:rPr>
          <w:sz w:val="20"/>
          <w:szCs w:val="20"/>
          <w:color w:val="auto"/>
        </w:rPr>
      </w:pPr>
    </w:p>
    <w:p>
      <w:pPr>
        <w:ind w:left="20"/>
        <w:spacing w:after="0" w:line="264" w:lineRule="auto"/>
        <w:rPr>
          <w:sz w:val="20"/>
          <w:szCs w:val="20"/>
          <w:color w:val="auto"/>
        </w:rPr>
      </w:pPr>
      <w:r>
        <w:rPr>
          <w:rFonts w:ascii="Arial" w:cs="Arial" w:eastAsia="Arial" w:hAnsi="Arial"/>
          <w:sz w:val="14"/>
          <w:szCs w:val="14"/>
          <w:color w:val="auto"/>
        </w:rPr>
        <w:t>Receives updates to TC Energy's environmental management program, including biodiversity and land management, climate- related risks and opportunities and GHG emission targets.</w:t>
      </w:r>
    </w:p>
    <w:p>
      <w:pPr>
        <w:spacing w:after="0" w:line="66" w:lineRule="exact"/>
        <w:rPr>
          <w:sz w:val="20"/>
          <w:szCs w:val="20"/>
          <w:color w:val="auto"/>
        </w:rPr>
      </w:pPr>
    </w:p>
    <w:p>
      <w:pPr>
        <w:ind w:left="20" w:right="20"/>
        <w:spacing w:after="0" w:line="264" w:lineRule="auto"/>
        <w:rPr>
          <w:sz w:val="20"/>
          <w:szCs w:val="20"/>
          <w:color w:val="auto"/>
        </w:rPr>
      </w:pPr>
      <w:r>
        <w:rPr>
          <w:rFonts w:ascii="Arial" w:cs="Arial" w:eastAsia="Arial" w:hAnsi="Arial"/>
          <w:sz w:val="14"/>
          <w:szCs w:val="14"/>
          <w:color w:val="auto"/>
        </w:rPr>
        <w:t>Reviews TC Energy's implementation of a safety conscious culture, including emergency preparedness plans, landowner and community relationships, mental health and psychological safety initiatives.</w:t>
      </w:r>
    </w:p>
    <w:p>
      <w:pPr>
        <w:spacing w:after="0" w:line="66" w:lineRule="exact"/>
        <w:rPr>
          <w:sz w:val="20"/>
          <w:szCs w:val="20"/>
          <w:color w:val="auto"/>
        </w:rPr>
      </w:pPr>
    </w:p>
    <w:p>
      <w:pPr>
        <w:ind w:left="20" w:right="320"/>
        <w:spacing w:after="0" w:line="271" w:lineRule="auto"/>
        <w:rPr>
          <w:sz w:val="20"/>
          <w:szCs w:val="20"/>
          <w:color w:val="auto"/>
        </w:rPr>
      </w:pPr>
      <w:r>
        <w:rPr>
          <w:rFonts w:ascii="Arial" w:cs="Arial" w:eastAsia="Arial" w:hAnsi="Arial"/>
          <w:sz w:val="14"/>
          <w:szCs w:val="14"/>
          <w:color w:val="auto"/>
        </w:rPr>
        <w:t>Reviews and receives reports on Indigenous engagement and relationships.</w:t>
      </w:r>
    </w:p>
    <w:p>
      <w:pPr>
        <w:spacing w:after="0" w:line="59" w:lineRule="exact"/>
        <w:rPr>
          <w:sz w:val="20"/>
          <w:szCs w:val="20"/>
          <w:color w:val="auto"/>
        </w:rPr>
      </w:pPr>
    </w:p>
    <w:p>
      <w:pPr>
        <w:ind w:left="20" w:right="220"/>
        <w:spacing w:after="0" w:line="274" w:lineRule="auto"/>
        <w:rPr>
          <w:sz w:val="20"/>
          <w:szCs w:val="20"/>
          <w:color w:val="auto"/>
        </w:rPr>
      </w:pPr>
      <w:r>
        <w:rPr>
          <w:rFonts w:ascii="Arial" w:cs="Arial" w:eastAsia="Arial" w:hAnsi="Arial"/>
          <w:sz w:val="14"/>
          <w:szCs w:val="14"/>
          <w:color w:val="auto"/>
        </w:rPr>
        <w:t>Reviews the operational risk management matrix and voluntary ESG reporting and disclosure and corporate security updates.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60"/>
        <w:spacing w:after="0" w:line="266" w:lineRule="auto"/>
        <w:rPr>
          <w:sz w:val="20"/>
          <w:szCs w:val="20"/>
          <w:color w:val="auto"/>
        </w:rPr>
      </w:pPr>
      <w:r>
        <w:rPr>
          <w:rFonts w:ascii="Arial" w:cs="Arial" w:eastAsia="Arial" w:hAnsi="Arial"/>
          <w:sz w:val="14"/>
          <w:szCs w:val="14"/>
          <w:color w:val="auto"/>
        </w:rPr>
        <w:t>Reviews sustainability-related disclosures in financial disclosure documents and monitors regulatory developments affecting the financial disclosure landscape.</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Oversees financial risk management, financial reporting, auditor independence and the implementation of internal and external audits.</w:t>
      </w:r>
    </w:p>
    <w:p>
      <w:pPr>
        <w:spacing w:after="0" w:line="63"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Reviews cybersecurity related risks and the effectiveness of the corporate compliance program, including reviews of the internal audit charter.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2460" w:val="left"/>
        </w:tabs>
        <w:rPr>
          <w:sz w:val="20"/>
          <w:szCs w:val="20"/>
          <w:color w:val="auto"/>
        </w:rPr>
      </w:pPr>
      <w:r>
        <w:rPr>
          <w:rFonts w:ascii="Arial" w:cs="Arial" w:eastAsia="Arial" w:hAnsi="Arial"/>
          <w:sz w:val="14"/>
          <w:szCs w:val="14"/>
          <w:color w:val="auto"/>
        </w:rPr>
        <w:t>Monitors TC Energy's Board diversity</w:t>
        <w:tab/>
        <w:t>Oversees TC Energy's Inclusion and</w:t>
      </w:r>
    </w:p>
    <w:p>
      <w:pPr>
        <w:spacing w:after="0" w:line="14" w:lineRule="exact"/>
        <w:rPr>
          <w:sz w:val="20"/>
          <w:szCs w:val="20"/>
          <w:color w:val="auto"/>
        </w:rPr>
      </w:pPr>
    </w:p>
    <w:p>
      <w:pPr>
        <w:spacing w:after="0"/>
        <w:tabs>
          <w:tab w:leader="none" w:pos="2460" w:val="left"/>
        </w:tabs>
        <w:rPr>
          <w:sz w:val="20"/>
          <w:szCs w:val="20"/>
          <w:color w:val="auto"/>
        </w:rPr>
      </w:pPr>
      <w:r>
        <w:rPr>
          <w:rFonts w:ascii="Arial" w:cs="Arial" w:eastAsia="Arial" w:hAnsi="Arial"/>
          <w:sz w:val="14"/>
          <w:szCs w:val="14"/>
          <w:color w:val="auto"/>
        </w:rPr>
        <w:t>targets and policy, oversees our</w:t>
      </w:r>
      <w:r>
        <w:rPr>
          <w:sz w:val="20"/>
          <w:szCs w:val="20"/>
          <w:color w:val="auto"/>
        </w:rPr>
        <w:tab/>
      </w:r>
      <w:r>
        <w:rPr>
          <w:rFonts w:ascii="Arial" w:cs="Arial" w:eastAsia="Arial" w:hAnsi="Arial"/>
          <w:sz w:val="14"/>
          <w:szCs w:val="14"/>
          <w:color w:val="auto"/>
        </w:rPr>
        <w:t>Belonging targets and action plan and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forced labour in supply chain risks and employee engagement levels.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20" w:type="dxa"/>
            <w:vAlign w:val="bottom"/>
          </w:tcPr>
          <w:p>
            <w:pPr>
              <w:spacing w:after="0"/>
              <w:rPr>
                <w:sz w:val="20"/>
                <w:szCs w:val="20"/>
                <w:color w:val="auto"/>
              </w:rPr>
            </w:pPr>
            <w:r>
              <w:rPr>
                <w:rFonts w:ascii="Arial" w:cs="Arial" w:eastAsia="Arial" w:hAnsi="Arial"/>
                <w:sz w:val="14"/>
                <w:szCs w:val="14"/>
                <w:color w:val="auto"/>
              </w:rPr>
              <w:t>related disclosures, lobbying policies,</w:t>
            </w:r>
          </w:p>
        </w:tc>
        <w:tc>
          <w:tcPr>
            <w:tcW w:w="2500" w:type="dxa"/>
            <w:vAlign w:val="bottom"/>
          </w:tcPr>
          <w:p>
            <w:pPr>
              <w:ind w:left="60"/>
              <w:spacing w:after="0"/>
              <w:rPr>
                <w:sz w:val="20"/>
                <w:szCs w:val="20"/>
                <w:color w:val="auto"/>
              </w:rPr>
            </w:pPr>
            <w:r>
              <w:rPr>
                <w:rFonts w:ascii="Arial" w:cs="Arial" w:eastAsia="Arial" w:hAnsi="Arial"/>
                <w:sz w:val="14"/>
                <w:szCs w:val="14"/>
                <w:color w:val="auto"/>
              </w:rPr>
              <w:t>Reviews executive compensation</w:t>
            </w:r>
          </w:p>
        </w:tc>
        <w:tc>
          <w:tcPr>
            <w:tcW w:w="0" w:type="dxa"/>
            <w:vAlign w:val="bottom"/>
          </w:tcPr>
          <w:p>
            <w:pPr>
              <w:spacing w:after="0"/>
              <w:rPr>
                <w:sz w:val="1"/>
                <w:szCs w:val="1"/>
                <w:color w:val="auto"/>
              </w:rPr>
            </w:pPr>
          </w:p>
        </w:tc>
      </w:tr>
      <w:tr>
        <w:trPr>
          <w:trHeight w:val="112"/>
        </w:trPr>
        <w:tc>
          <w:tcPr>
            <w:tcW w:w="2420" w:type="dxa"/>
            <w:vAlign w:val="bottom"/>
          </w:tcPr>
          <w:p>
            <w:pPr>
              <w:spacing w:after="0" w:line="112" w:lineRule="exact"/>
              <w:rPr>
                <w:sz w:val="20"/>
                <w:szCs w:val="20"/>
                <w:color w:val="auto"/>
              </w:rPr>
            </w:pPr>
            <w:r>
              <w:rPr>
                <w:rFonts w:ascii="Arial" w:cs="Arial" w:eastAsia="Arial" w:hAnsi="Arial"/>
                <w:sz w:val="12"/>
                <w:szCs w:val="12"/>
                <w:color w:val="auto"/>
              </w:rPr>
              <w:t>activities and expenditures,</w:t>
            </w:r>
          </w:p>
        </w:tc>
        <w:tc>
          <w:tcPr>
            <w:tcW w:w="2500" w:type="dxa"/>
            <w:vAlign w:val="bottom"/>
            <w:vMerge w:val="restart"/>
          </w:tcPr>
          <w:p>
            <w:pPr>
              <w:ind w:left="60"/>
              <w:spacing w:after="0"/>
              <w:rPr>
                <w:sz w:val="20"/>
                <w:szCs w:val="20"/>
                <w:color w:val="auto"/>
              </w:rPr>
            </w:pPr>
            <w:r>
              <w:rPr>
                <w:rFonts w:ascii="Arial" w:cs="Arial" w:eastAsia="Arial" w:hAnsi="Arial"/>
                <w:sz w:val="14"/>
                <w:szCs w:val="14"/>
                <w:color w:val="auto"/>
              </w:rPr>
              <w:t>levels, employee compensation and</w:t>
            </w:r>
          </w:p>
        </w:tc>
        <w:tc>
          <w:tcPr>
            <w:tcW w:w="0" w:type="dxa"/>
            <w:vAlign w:val="bottom"/>
          </w:tcPr>
          <w:p>
            <w:pPr>
              <w:spacing w:after="0"/>
              <w:rPr>
                <w:sz w:val="1"/>
                <w:szCs w:val="1"/>
                <w:color w:val="auto"/>
              </w:rPr>
            </w:pPr>
          </w:p>
        </w:tc>
      </w:tr>
      <w:tr>
        <w:trPr>
          <w:trHeight w:val="94"/>
        </w:trPr>
        <w:tc>
          <w:tcPr>
            <w:tcW w:w="2420" w:type="dxa"/>
            <w:vAlign w:val="bottom"/>
            <w:vMerge w:val="restart"/>
          </w:tcPr>
          <w:p>
            <w:pPr>
              <w:spacing w:after="0"/>
              <w:rPr>
                <w:sz w:val="20"/>
                <w:szCs w:val="20"/>
                <w:color w:val="auto"/>
              </w:rPr>
            </w:pPr>
            <w:r>
              <w:rPr>
                <w:rFonts w:ascii="Arial" w:cs="Arial" w:eastAsia="Arial" w:hAnsi="Arial"/>
                <w:sz w:val="14"/>
                <w:szCs w:val="14"/>
                <w:color w:val="auto"/>
              </w:rPr>
              <w:t>shareholder proposals, external</w:t>
            </w:r>
          </w:p>
        </w:tc>
        <w:tc>
          <w:tcPr>
            <w:tcW w:w="2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vMerge w:val="continue"/>
          </w:tcPr>
          <w:p>
            <w:pPr>
              <w:spacing w:after="0"/>
              <w:rPr>
                <w:sz w:val="5"/>
                <w:szCs w:val="5"/>
                <w:color w:val="auto"/>
              </w:rPr>
            </w:pPr>
          </w:p>
        </w:tc>
        <w:tc>
          <w:tcPr>
            <w:tcW w:w="2500" w:type="dxa"/>
            <w:vAlign w:val="bottom"/>
            <w:vMerge w:val="restart"/>
          </w:tcPr>
          <w:p>
            <w:pPr>
              <w:ind w:left="60"/>
              <w:spacing w:after="0"/>
              <w:rPr>
                <w:sz w:val="20"/>
                <w:szCs w:val="20"/>
                <w:color w:val="auto"/>
              </w:rPr>
            </w:pPr>
            <w:r>
              <w:rPr>
                <w:rFonts w:ascii="Arial" w:cs="Arial" w:eastAsia="Arial" w:hAnsi="Arial"/>
                <w:sz w:val="14"/>
                <w:szCs w:val="14"/>
                <w:color w:val="auto"/>
              </w:rPr>
              <w:t>benefits programs, leadership</w:t>
            </w:r>
          </w:p>
        </w:tc>
        <w:tc>
          <w:tcPr>
            <w:tcW w:w="0" w:type="dxa"/>
            <w:vAlign w:val="bottom"/>
          </w:tcPr>
          <w:p>
            <w:pPr>
              <w:spacing w:after="0"/>
              <w:rPr>
                <w:sz w:val="1"/>
                <w:szCs w:val="1"/>
                <w:color w:val="auto"/>
              </w:rPr>
            </w:pPr>
          </w:p>
        </w:tc>
      </w:tr>
      <w:tr>
        <w:trPr>
          <w:trHeight w:val="144"/>
        </w:trPr>
        <w:tc>
          <w:tcPr>
            <w:tcW w:w="2420" w:type="dxa"/>
            <w:vAlign w:val="bottom"/>
          </w:tcPr>
          <w:p>
            <w:pPr>
              <w:spacing w:after="0" w:line="144" w:lineRule="exact"/>
              <w:rPr>
                <w:sz w:val="20"/>
                <w:szCs w:val="20"/>
                <w:color w:val="auto"/>
              </w:rPr>
            </w:pPr>
            <w:r>
              <w:rPr>
                <w:rFonts w:ascii="Arial" w:cs="Arial" w:eastAsia="Arial" w:hAnsi="Arial"/>
                <w:sz w:val="14"/>
                <w:szCs w:val="14"/>
                <w:color w:val="auto"/>
              </w:rPr>
              <w:t>governance assessments, and voting</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420" w:type="dxa"/>
            <w:vAlign w:val="bottom"/>
            <w:vMerge w:val="restart"/>
          </w:tcPr>
          <w:p>
            <w:pPr>
              <w:spacing w:after="0"/>
              <w:rPr>
                <w:sz w:val="20"/>
                <w:szCs w:val="20"/>
                <w:color w:val="auto"/>
              </w:rPr>
            </w:pPr>
            <w:r>
              <w:rPr>
                <w:rFonts w:ascii="Arial" w:cs="Arial" w:eastAsia="Arial" w:hAnsi="Arial"/>
                <w:sz w:val="14"/>
                <w:szCs w:val="14"/>
                <w:color w:val="auto"/>
              </w:rPr>
              <w:t>trends.</w:t>
            </w:r>
          </w:p>
        </w:tc>
        <w:tc>
          <w:tcPr>
            <w:tcW w:w="2500" w:type="dxa"/>
            <w:vAlign w:val="bottom"/>
          </w:tcPr>
          <w:p>
            <w:pPr>
              <w:ind w:left="60"/>
              <w:spacing w:after="0" w:line="125" w:lineRule="exact"/>
              <w:rPr>
                <w:sz w:val="20"/>
                <w:szCs w:val="20"/>
                <w:color w:val="auto"/>
              </w:rPr>
            </w:pPr>
            <w:r>
              <w:rPr>
                <w:rFonts w:ascii="Arial" w:cs="Arial" w:eastAsia="Arial" w:hAnsi="Arial"/>
                <w:sz w:val="14"/>
                <w:szCs w:val="14"/>
                <w:color w:val="auto"/>
              </w:rPr>
              <w:t>development and succession planning</w:t>
            </w:r>
          </w:p>
        </w:tc>
        <w:tc>
          <w:tcPr>
            <w:tcW w:w="0" w:type="dxa"/>
            <w:vAlign w:val="bottom"/>
          </w:tcPr>
          <w:p>
            <w:pPr>
              <w:spacing w:after="0"/>
              <w:rPr>
                <w:sz w:val="1"/>
                <w:szCs w:val="1"/>
                <w:color w:val="auto"/>
              </w:rPr>
            </w:pPr>
          </w:p>
        </w:tc>
      </w:tr>
      <w:tr>
        <w:trPr>
          <w:trHeight w:val="96"/>
        </w:trPr>
        <w:tc>
          <w:tcPr>
            <w:tcW w:w="2420" w:type="dxa"/>
            <w:vAlign w:val="bottom"/>
            <w:vMerge w:val="continue"/>
          </w:tcPr>
          <w:p>
            <w:pPr>
              <w:spacing w:after="0"/>
              <w:rPr>
                <w:sz w:val="8"/>
                <w:szCs w:val="8"/>
                <w:color w:val="auto"/>
              </w:rPr>
            </w:pPr>
          </w:p>
        </w:tc>
        <w:tc>
          <w:tcPr>
            <w:tcW w:w="2500" w:type="dxa"/>
            <w:vAlign w:val="bottom"/>
            <w:vMerge w:val="restart"/>
          </w:tcPr>
          <w:p>
            <w:pPr>
              <w:ind w:left="60"/>
              <w:spacing w:after="0"/>
              <w:rPr>
                <w:sz w:val="20"/>
                <w:szCs w:val="20"/>
                <w:color w:val="auto"/>
              </w:rPr>
            </w:pPr>
            <w:r>
              <w:rPr>
                <w:rFonts w:ascii="Arial" w:cs="Arial" w:eastAsia="Arial" w:hAnsi="Arial"/>
                <w:sz w:val="14"/>
                <w:szCs w:val="14"/>
                <w:color w:val="auto"/>
              </w:rPr>
              <w:t>programs, clawback policies and</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right="1440"/>
        <w:spacing w:after="0" w:line="280" w:lineRule="auto"/>
        <w:rPr>
          <w:sz w:val="20"/>
          <w:szCs w:val="20"/>
          <w:color w:val="auto"/>
        </w:rPr>
      </w:pPr>
      <w:r>
        <w:rPr>
          <w:rFonts w:ascii="Arial" w:cs="Arial" w:eastAsia="Arial" w:hAnsi="Arial"/>
          <w:sz w:val="14"/>
          <w:szCs w:val="14"/>
          <w:color w:val="auto"/>
        </w:rPr>
        <w:t>Monitors updates to securities law and reviews the targets under the annual proxy advisor policies, reviews Board scorecard. skills matrices and Board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effectiveness and ERM program and</w:t>
      </w:r>
    </w:p>
    <w:p>
      <w:pPr>
        <w:spacing w:after="0"/>
        <w:rPr>
          <w:sz w:val="20"/>
          <w:szCs w:val="20"/>
          <w:color w:val="auto"/>
        </w:rPr>
      </w:pPr>
      <w:r>
        <w:rPr>
          <w:rFonts w:ascii="Arial" w:cs="Arial" w:eastAsia="Arial" w:hAnsi="Arial"/>
          <w:sz w:val="14"/>
          <w:szCs w:val="14"/>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867410</wp:posOffset>
            </wp:positionV>
            <wp:extent cx="63138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13805" cy="8255"/>
                    </a:xfrm>
                    <a:prstGeom prst="rect">
                      <a:avLst/>
                    </a:prstGeom>
                    <a:noFill/>
                  </pic:spPr>
                </pic:pic>
              </a:graphicData>
            </a:graphic>
          </wp:anchor>
        </w:drawing>
      </w:r>
    </w:p>
    <w:p>
      <w:pPr>
        <w:spacing w:after="0" w:line="1472" w:lineRule="exact"/>
        <w:rPr>
          <w:sz w:val="20"/>
          <w:szCs w:val="20"/>
          <w:color w:val="auto"/>
        </w:rPr>
      </w:pPr>
    </w:p>
    <w:p>
      <w:pPr>
        <w:sectPr>
          <w:pgSz w:w="11900" w:h="16838" w:orient="portrait"/>
          <w:cols w:equalWidth="0" w:num="3">
            <w:col w:w="2420" w:space="100"/>
            <w:col w:w="2420" w:space="60"/>
            <w:col w:w="6240"/>
          </w:cols>
          <w:pgMar w:left="320" w:top="10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65</w:t>
      </w:r>
    </w:p>
    <w:p>
      <w:pPr>
        <w:sectPr>
          <w:pgSz w:w="11900" w:h="16838" w:orient="portrait"/>
          <w:cols w:equalWidth="0" w:num="1">
            <w:col w:w="11240"/>
          </w:cols>
          <w:pgMar w:left="320" w:top="1097"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29"/>
          <w:szCs w:val="29"/>
          <w:color w:val="0D64EF"/>
        </w:rPr>
        <w:t>Board Committees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Board has four standing committees:</w:t>
      </w:r>
    </w:p>
    <w:p>
      <w:pPr>
        <w:spacing w:after="0" w:line="138" w:lineRule="exact"/>
        <w:rPr>
          <w:sz w:val="20"/>
          <w:szCs w:val="20"/>
          <w:color w:val="auto"/>
        </w:rPr>
      </w:pPr>
    </w:p>
    <w:p>
      <w:pPr>
        <w:ind w:left="140" w:hanging="133"/>
        <w:spacing w:after="0"/>
        <w:tabs>
          <w:tab w:leader="none" w:pos="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Audit Committee,</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Governance Committee,</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Health, Safety, Sustainability and Environment Committee, and</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Human Resources Committee.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Each of the committees is comprised entirely of independent directors.</w:t>
      </w:r>
    </w:p>
    <w:p>
      <w:pPr>
        <w:spacing w:after="0" w:line="1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Governance Committee is responsible for reviewing the composition of each committee and recommending any changes once new directors are appointed or elected to the Board. Each committee must consist entirely of independent directors, except for the HSSE Committee, which must have a majority of independent directors. As of the date of this Circular, all members of the HSSE Committee are independent. Each committee has the authority to retain advisors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help it carry out its responsibilities. The Board does not have an executive committee.</w:t>
      </w:r>
    </w:p>
    <w:p>
      <w:pPr>
        <w:spacing w:after="0" w:line="152" w:lineRule="exact"/>
        <w:rPr>
          <w:sz w:val="20"/>
          <w:szCs w:val="20"/>
          <w:color w:val="auto"/>
        </w:rPr>
      </w:pPr>
    </w:p>
    <w:p>
      <w:pPr>
        <w:ind w:right="40"/>
        <w:spacing w:after="0" w:line="337" w:lineRule="auto"/>
        <w:rPr>
          <w:sz w:val="20"/>
          <w:szCs w:val="20"/>
          <w:color w:val="auto"/>
        </w:rPr>
      </w:pPr>
      <w:r>
        <w:rPr>
          <w:rFonts w:ascii="Arial" w:cs="Arial" w:eastAsia="Arial" w:hAnsi="Arial"/>
          <w:sz w:val="16"/>
          <w:szCs w:val="16"/>
          <w:color w:val="auto"/>
        </w:rPr>
        <w:t>Each standing Committee reviews its charter at least once a year, and recommends any changes to the Governance Committee and the Board. You can find the Committee charters on our website (www.tcenergy.com).</w:t>
      </w:r>
    </w:p>
    <w:p>
      <w:pPr>
        <w:spacing w:after="0" w:line="48"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The Audit and the Governance Committees hold meetings concurrently, as do the Human Resources and HSSE Committees, so each committee has sufficient time to focus on its responsibilities. As a result, Mr. Lowe, the independent non-executive Chair of the Board, is a voting member of the Governance Committee and the Human Resources Committee, and is not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 member of the Audit Committee nor the HSSE Committee.</w:t>
      </w:r>
    </w:p>
    <w:p>
      <w:pPr>
        <w:spacing w:after="0" w:line="152" w:lineRule="exact"/>
        <w:rPr>
          <w:sz w:val="20"/>
          <w:szCs w:val="20"/>
          <w:color w:val="auto"/>
        </w:rPr>
      </w:pPr>
    </w:p>
    <w:p>
      <w:pPr>
        <w:ind w:right="3320"/>
        <w:spacing w:after="0" w:line="337" w:lineRule="auto"/>
        <w:rPr>
          <w:sz w:val="20"/>
          <w:szCs w:val="20"/>
          <w:color w:val="auto"/>
        </w:rPr>
      </w:pPr>
      <w:r>
        <w:rPr>
          <w:rFonts w:ascii="Arial" w:cs="Arial" w:eastAsia="Arial" w:hAnsi="Arial"/>
          <w:sz w:val="16"/>
          <w:szCs w:val="16"/>
          <w:color w:val="auto"/>
        </w:rPr>
        <w:t>Each meeting has time set aside for members to discuss the committee operations and responsibilities without management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00"/>
          </w:cols>
          <w:pgMar w:left="320" w:top="1048" w:right="379" w:bottom="1440" w:gutter="0" w:footer="0" w:header="0"/>
        </w:sectPr>
      </w:pPr>
    </w:p>
    <w:bookmarkStart w:id="72" w:name="page73"/>
    <w:bookmarkEnd w:id="72"/>
    <w:p>
      <w:pPr>
        <w:ind w:left="20"/>
        <w:spacing w:after="0"/>
        <w:rPr>
          <w:sz w:val="20"/>
          <w:szCs w:val="20"/>
          <w:color w:val="auto"/>
        </w:rPr>
      </w:pPr>
      <w:r>
        <w:rPr>
          <w:rFonts w:ascii="Arial" w:cs="Arial" w:eastAsia="Arial" w:hAnsi="Arial"/>
          <w:sz w:val="28"/>
          <w:szCs w:val="28"/>
          <w:color w:val="0D64E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313805" cy="1834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13805" cy="183451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Current members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Una Power (Chair)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Scott Bonham</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Cheryl F. Campbell</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Michael R. Culbert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Susan C. Jones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Dawn Madahbee Leach</w:t>
      </w:r>
    </w:p>
    <w:p>
      <w:pPr>
        <w:spacing w:after="0" w:line="282" w:lineRule="exact"/>
        <w:rPr>
          <w:sz w:val="20"/>
          <w:szCs w:val="20"/>
          <w:color w:val="auto"/>
        </w:rPr>
      </w:pPr>
    </w:p>
    <w:p>
      <w:pPr>
        <w:ind w:left="20" w:right="660"/>
        <w:spacing w:after="0" w:line="320" w:lineRule="auto"/>
        <w:rPr>
          <w:sz w:val="20"/>
          <w:szCs w:val="20"/>
          <w:color w:val="auto"/>
        </w:rPr>
      </w:pPr>
      <w:r>
        <w:rPr>
          <w:rFonts w:ascii="Arial" w:cs="Arial" w:eastAsia="Arial" w:hAnsi="Arial"/>
          <w:sz w:val="14"/>
          <w:szCs w:val="14"/>
          <w:b w:val="1"/>
          <w:bCs w:val="1"/>
          <w:color w:val="auto"/>
        </w:rPr>
        <w:t>Other members that served during the year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William D. Johnson (until May 8, 2025)</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4 regularly scheduled meetings (February, April, July, November)</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Independence</w:t>
      </w:r>
    </w:p>
    <w:p>
      <w:pPr>
        <w:spacing w:after="0" w:line="67" w:lineRule="exact"/>
        <w:rPr>
          <w:sz w:val="20"/>
          <w:szCs w:val="20"/>
          <w:color w:val="auto"/>
        </w:rPr>
      </w:pPr>
    </w:p>
    <w:p>
      <w:pPr>
        <w:ind w:right="1380"/>
        <w:spacing w:after="0" w:line="291" w:lineRule="auto"/>
        <w:rPr>
          <w:sz w:val="20"/>
          <w:szCs w:val="20"/>
          <w:color w:val="auto"/>
        </w:rPr>
      </w:pPr>
      <w:r>
        <w:rPr>
          <w:rFonts w:ascii="Arial" w:cs="Arial" w:eastAsia="Arial" w:hAnsi="Arial"/>
          <w:sz w:val="14"/>
          <w:szCs w:val="14"/>
          <w:color w:val="auto"/>
        </w:rPr>
        <w:t>6 independent directors, 100 per cent independent and financially literate. In 2025, Ms. Power was an "Audit Committee financial expert", as defined by the SEC in the U.S., and had the accounting or related financial management experience required under the NYSE rules.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Mandate</w:t>
      </w:r>
    </w:p>
    <w:p>
      <w:pPr>
        <w:spacing w:after="0" w:line="67" w:lineRule="exact"/>
        <w:rPr>
          <w:sz w:val="20"/>
          <w:szCs w:val="20"/>
          <w:color w:val="auto"/>
        </w:rPr>
      </w:pPr>
    </w:p>
    <w:p>
      <w:pPr>
        <w:ind w:right="1600"/>
        <w:spacing w:after="0" w:line="320" w:lineRule="auto"/>
        <w:rPr>
          <w:sz w:val="20"/>
          <w:szCs w:val="20"/>
          <w:color w:val="auto"/>
        </w:rPr>
      </w:pPr>
      <w:r>
        <w:rPr>
          <w:rFonts w:ascii="Arial" w:cs="Arial" w:eastAsia="Arial" w:hAnsi="Arial"/>
          <w:sz w:val="14"/>
          <w:szCs w:val="14"/>
          <w:color w:val="auto"/>
        </w:rPr>
        <w:t>The Audit Committee is responsible for assisting the Board in overseeing the integrity of our financial statements and our compliance with legal and regulatory requirements.</w:t>
      </w:r>
    </w:p>
    <w:p>
      <w:pPr>
        <w:spacing w:after="0" w:line="1" w:lineRule="exact"/>
        <w:rPr>
          <w:sz w:val="20"/>
          <w:szCs w:val="20"/>
          <w:color w:val="auto"/>
        </w:rPr>
      </w:pPr>
    </w:p>
    <w:p>
      <w:pPr>
        <w:ind w:right="1840"/>
        <w:spacing w:after="0" w:line="323" w:lineRule="auto"/>
        <w:rPr>
          <w:sz w:val="20"/>
          <w:szCs w:val="20"/>
          <w:color w:val="auto"/>
        </w:rPr>
      </w:pPr>
      <w:r>
        <w:rPr>
          <w:rFonts w:ascii="Arial" w:cs="Arial" w:eastAsia="Arial" w:hAnsi="Arial"/>
          <w:sz w:val="14"/>
          <w:szCs w:val="14"/>
          <w:color w:val="auto"/>
        </w:rPr>
        <w:t>It is also responsible for overseeing and monitoring the accounting and reporting process and the process, performance and independence of our internal and external auditors.</w:t>
      </w:r>
    </w:p>
    <w:p>
      <w:pPr>
        <w:spacing w:after="0" w:line="144" w:lineRule="exact"/>
        <w:rPr>
          <w:sz w:val="20"/>
          <w:szCs w:val="20"/>
          <w:color w:val="auto"/>
        </w:rPr>
      </w:pPr>
    </w:p>
    <w:p>
      <w:pPr>
        <w:sectPr>
          <w:pgSz w:w="11900" w:h="16838" w:orient="portrait"/>
          <w:cols w:equalWidth="0" w:num="2">
            <w:col w:w="2540" w:space="720"/>
            <w:col w:w="7980"/>
          </w:cols>
          <w:pgMar w:left="320" w:top="1048" w:right="339" w:bottom="1440" w:gutter="0" w:footer="0" w:header="0"/>
          <w:type w:val="continuous"/>
        </w:sectPr>
      </w:pPr>
    </w:p>
    <w:p>
      <w:pPr>
        <w:ind w:right="740"/>
        <w:spacing w:after="0" w:line="343" w:lineRule="auto"/>
        <w:rPr>
          <w:sz w:val="20"/>
          <w:szCs w:val="20"/>
          <w:color w:val="auto"/>
        </w:rPr>
      </w:pPr>
      <w:r>
        <w:rPr>
          <w:rFonts w:ascii="Arial" w:cs="Arial" w:eastAsia="Arial" w:hAnsi="Arial"/>
          <w:sz w:val="14"/>
          <w:szCs w:val="14"/>
          <w:color w:val="auto"/>
        </w:rPr>
        <w:t xml:space="preserve">The Audit Committee meets </w:t>
      </w:r>
      <w:r>
        <w:rPr>
          <w:rFonts w:ascii="Arial" w:cs="Arial" w:eastAsia="Arial" w:hAnsi="Arial"/>
          <w:sz w:val="14"/>
          <w:szCs w:val="14"/>
          <w:i w:val="1"/>
          <w:iCs w:val="1"/>
          <w:color w:val="auto"/>
        </w:rPr>
        <w:t>in-camera</w:t>
      </w:r>
      <w:r>
        <w:rPr>
          <w:rFonts w:ascii="Arial" w:cs="Arial" w:eastAsia="Arial" w:hAnsi="Arial"/>
          <w:sz w:val="14"/>
          <w:szCs w:val="14"/>
          <w:color w:val="auto"/>
        </w:rPr>
        <w:t xml:space="preserve"> with the CFO at the beginning of each meeting, and meets separately with the external auditors and Vice-President, Corporate Compliance and Internal Audit. The Audit Committee also meets </w:t>
      </w:r>
      <w:r>
        <w:rPr>
          <w:rFonts w:ascii="Arial" w:cs="Arial" w:eastAsia="Arial" w:hAnsi="Arial"/>
          <w:sz w:val="14"/>
          <w:szCs w:val="14"/>
          <w:i w:val="1"/>
          <w:iCs w:val="1"/>
          <w:color w:val="auto"/>
        </w:rPr>
        <w:t>in-camera</w:t>
      </w:r>
      <w:r>
        <w:rPr>
          <w:rFonts w:ascii="Arial" w:cs="Arial" w:eastAsia="Arial" w:hAnsi="Arial"/>
          <w:sz w:val="14"/>
          <w:szCs w:val="14"/>
          <w:color w:val="auto"/>
        </w:rPr>
        <w:t xml:space="preserve"> at the end of each meeting.</w:t>
      </w:r>
    </w:p>
    <w:p>
      <w:pPr>
        <w:sectPr>
          <w:pgSz w:w="11900" w:h="16838" w:orient="portrait"/>
          <w:cols w:equalWidth="0" w:num="1">
            <w:col w:w="11240"/>
          </w:cols>
          <w:pgMar w:left="320" w:top="1048"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highlights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Auditor Independence and Appointment</w:t>
      </w:r>
    </w:p>
    <w:p>
      <w:pPr>
        <w:spacing w:after="0" w:line="42" w:lineRule="exact"/>
        <w:rPr>
          <w:sz w:val="20"/>
          <w:szCs w:val="20"/>
          <w:color w:val="auto"/>
        </w:rPr>
      </w:pPr>
    </w:p>
    <w:p>
      <w:pPr>
        <w:ind w:left="180" w:right="160" w:hanging="155"/>
        <w:spacing w:after="0" w:line="297" w:lineRule="auto"/>
        <w:tabs>
          <w:tab w:leader="none" w:pos="156"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Reviewed and approved </w:t>
      </w:r>
      <w:r>
        <w:rPr>
          <w:rFonts w:ascii="Arial" w:cs="Arial" w:eastAsia="Arial" w:hAnsi="Arial"/>
          <w:sz w:val="16"/>
          <w:szCs w:val="16"/>
          <w:color w:val="auto"/>
        </w:rPr>
        <w:t>the audit plans of the internal and external</w:t>
      </w:r>
      <w:r>
        <w:rPr>
          <w:rFonts w:ascii="Arial" w:cs="Arial" w:eastAsia="Arial" w:hAnsi="Arial"/>
          <w:sz w:val="16"/>
          <w:szCs w:val="16"/>
          <w:b w:val="1"/>
          <w:bCs w:val="1"/>
          <w:color w:val="auto"/>
        </w:rPr>
        <w:t xml:space="preserve"> </w:t>
      </w:r>
      <w:r>
        <w:rPr>
          <w:rFonts w:ascii="Arial" w:cs="Arial" w:eastAsia="Arial" w:hAnsi="Arial"/>
          <w:sz w:val="16"/>
          <w:szCs w:val="16"/>
          <w:color w:val="auto"/>
        </w:rPr>
        <w:t>auditors and pre-approved the non-audit services performed by KPMG.</w:t>
      </w:r>
    </w:p>
    <w:p>
      <w:pPr>
        <w:spacing w:after="0" w:line="1" w:lineRule="exact"/>
        <w:rPr>
          <w:rFonts w:ascii="Arial" w:cs="Arial" w:eastAsia="Arial" w:hAnsi="Arial"/>
          <w:sz w:val="16"/>
          <w:szCs w:val="16"/>
          <w:b w:val="1"/>
          <w:bCs w:val="1"/>
          <w:color w:val="auto"/>
        </w:rPr>
      </w:pPr>
    </w:p>
    <w:p>
      <w:pPr>
        <w:ind w:left="180" w:right="20" w:hanging="155"/>
        <w:spacing w:after="0" w:line="289" w:lineRule="auto"/>
        <w:tabs>
          <w:tab w:leader="none" w:pos="156"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Recommended </w:t>
      </w:r>
      <w:r>
        <w:rPr>
          <w:rFonts w:ascii="Arial" w:cs="Arial" w:eastAsia="Arial" w:hAnsi="Arial"/>
          <w:sz w:val="16"/>
          <w:szCs w:val="16"/>
          <w:color w:val="auto"/>
        </w:rPr>
        <w:t>updates to the Audit Committee charter, adding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of internal audit charter.</w:t>
      </w:r>
    </w:p>
    <w:p>
      <w:pPr>
        <w:ind w:left="180" w:hanging="155"/>
        <w:spacing w:after="0" w:line="297" w:lineRule="auto"/>
        <w:tabs>
          <w:tab w:leader="none" w:pos="156"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the external auditor’s formal written statement of independence</w:t>
      </w:r>
      <w:r>
        <w:rPr>
          <w:rFonts w:ascii="Arial" w:cs="Arial" w:eastAsia="Arial" w:hAnsi="Arial"/>
          <w:sz w:val="16"/>
          <w:szCs w:val="16"/>
          <w:b w:val="1"/>
          <w:bCs w:val="1"/>
          <w:color w:val="auto"/>
        </w:rPr>
        <w:t xml:space="preserve"> </w:t>
      </w:r>
      <w:r>
        <w:rPr>
          <w:rFonts w:ascii="Arial" w:cs="Arial" w:eastAsia="Arial" w:hAnsi="Arial"/>
          <w:sz w:val="16"/>
          <w:szCs w:val="16"/>
          <w:color w:val="auto"/>
        </w:rPr>
        <w:t>(which sets out all of its relationships with TC Energy) and its comments to management about our internal controls and procedures.</w:t>
      </w:r>
    </w:p>
    <w:p>
      <w:pPr>
        <w:spacing w:after="0" w:line="2" w:lineRule="exact"/>
        <w:rPr>
          <w:rFonts w:ascii="Arial" w:cs="Arial" w:eastAsia="Arial" w:hAnsi="Arial"/>
          <w:sz w:val="16"/>
          <w:szCs w:val="16"/>
          <w:b w:val="1"/>
          <w:bCs w:val="1"/>
          <w:color w:val="auto"/>
        </w:rPr>
      </w:pPr>
    </w:p>
    <w:p>
      <w:pPr>
        <w:ind w:left="180" w:hanging="155"/>
        <w:spacing w:after="0" w:line="293" w:lineRule="auto"/>
        <w:tabs>
          <w:tab w:leader="none" w:pos="156"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Reviewed and recommended </w:t>
      </w:r>
      <w:r>
        <w:rPr>
          <w:rFonts w:ascii="Arial" w:cs="Arial" w:eastAsia="Arial" w:hAnsi="Arial"/>
          <w:sz w:val="16"/>
          <w:szCs w:val="16"/>
          <w:color w:val="auto"/>
        </w:rPr>
        <w:t>the re-appointment of the external auditor</w:t>
      </w:r>
      <w:r>
        <w:rPr>
          <w:rFonts w:ascii="Arial" w:cs="Arial" w:eastAsia="Arial" w:hAnsi="Arial"/>
          <w:sz w:val="16"/>
          <w:szCs w:val="16"/>
          <w:b w:val="1"/>
          <w:bCs w:val="1"/>
          <w:color w:val="auto"/>
        </w:rPr>
        <w:t xml:space="preserve"> </w:t>
      </w:r>
      <w:r>
        <w:rPr>
          <w:rFonts w:ascii="Arial" w:cs="Arial" w:eastAsia="Arial" w:hAnsi="Arial"/>
          <w:sz w:val="16"/>
          <w:szCs w:val="16"/>
          <w:color w:val="auto"/>
        </w:rPr>
        <w:t>after assessing audit quality, auditor tenure, appropriateness of estimated fees, and feedback received from shareholder engagement on auditor independence.</w:t>
      </w:r>
    </w:p>
    <w:p>
      <w:pPr>
        <w:spacing w:after="0" w:line="1" w:lineRule="exact"/>
        <w:rPr>
          <w:rFonts w:ascii="Arial" w:cs="Arial" w:eastAsia="Arial" w:hAnsi="Arial"/>
          <w:sz w:val="16"/>
          <w:szCs w:val="16"/>
          <w:b w:val="1"/>
          <w:bCs w:val="1"/>
          <w:color w:val="auto"/>
        </w:rPr>
      </w:pPr>
    </w:p>
    <w:p>
      <w:pPr>
        <w:ind w:left="180" w:right="20" w:hanging="155"/>
        <w:spacing w:after="0" w:line="337" w:lineRule="auto"/>
        <w:tabs>
          <w:tab w:leader="none" w:pos="156"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Approved </w:t>
      </w:r>
      <w:r>
        <w:rPr>
          <w:rFonts w:ascii="Arial" w:cs="Arial" w:eastAsia="Arial" w:hAnsi="Arial"/>
          <w:sz w:val="16"/>
          <w:szCs w:val="16"/>
          <w:color w:val="auto"/>
        </w:rPr>
        <w:t>non-audit services and audit services pursuant to TC Energy's</w:t>
      </w:r>
      <w:r>
        <w:rPr>
          <w:rFonts w:ascii="Arial" w:cs="Arial" w:eastAsia="Arial" w:hAnsi="Arial"/>
          <w:sz w:val="16"/>
          <w:szCs w:val="16"/>
          <w:b w:val="1"/>
          <w:bCs w:val="1"/>
          <w:color w:val="auto"/>
        </w:rPr>
        <w:t xml:space="preserve"> </w:t>
      </w:r>
      <w:r>
        <w:rPr>
          <w:rFonts w:ascii="Arial" w:cs="Arial" w:eastAsia="Arial" w:hAnsi="Arial"/>
          <w:sz w:val="16"/>
          <w:szCs w:val="16"/>
          <w:color w:val="auto"/>
        </w:rPr>
        <w:t>Pre-Approval Policy.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Continuous Disclosure</w:t>
      </w:r>
    </w:p>
    <w:p>
      <w:pPr>
        <w:spacing w:after="0" w:line="36" w:lineRule="exact"/>
        <w:rPr>
          <w:sz w:val="20"/>
          <w:szCs w:val="20"/>
          <w:color w:val="auto"/>
        </w:rPr>
      </w:pPr>
    </w:p>
    <w:p>
      <w:pPr>
        <w:ind w:left="180" w:right="40" w:hanging="155"/>
        <w:spacing w:after="0" w:line="294" w:lineRule="auto"/>
        <w:tabs>
          <w:tab w:leader="none" w:pos="157" w:val="left"/>
        </w:tabs>
        <w:numPr>
          <w:ilvl w:val="0"/>
          <w:numId w:val="74"/>
        </w:numPr>
        <w:rPr>
          <w:rFonts w:ascii="Arial" w:cs="Arial" w:eastAsia="Arial" w:hAnsi="Arial"/>
          <w:sz w:val="13"/>
          <w:szCs w:val="13"/>
          <w:b w:val="1"/>
          <w:bCs w:val="1"/>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our 2025 annual disclosure documents including the audited</w:t>
      </w:r>
      <w:r>
        <w:rPr>
          <w:rFonts w:ascii="Arial" w:cs="Arial" w:eastAsia="Arial" w:hAnsi="Arial"/>
          <w:sz w:val="16"/>
          <w:szCs w:val="16"/>
          <w:b w:val="1"/>
          <w:bCs w:val="1"/>
          <w:color w:val="auto"/>
        </w:rPr>
        <w:t xml:space="preserve"> </w:t>
      </w:r>
      <w:r>
        <w:rPr>
          <w:rFonts w:ascii="Arial" w:cs="Arial" w:eastAsia="Arial" w:hAnsi="Arial"/>
          <w:sz w:val="16"/>
          <w:szCs w:val="16"/>
          <w:color w:val="auto"/>
        </w:rPr>
        <w:t>annual consolidated financial statements and related MD&amp;A and AIF and recommended them for approval.</w:t>
      </w:r>
    </w:p>
    <w:p>
      <w:pPr>
        <w:spacing w:after="0" w:line="2" w:lineRule="exact"/>
        <w:rPr>
          <w:rFonts w:ascii="Arial" w:cs="Arial" w:eastAsia="Arial" w:hAnsi="Arial"/>
          <w:sz w:val="13"/>
          <w:szCs w:val="13"/>
          <w:b w:val="1"/>
          <w:bCs w:val="1"/>
          <w:color w:val="auto"/>
        </w:rPr>
      </w:pPr>
    </w:p>
    <w:p>
      <w:pPr>
        <w:ind w:left="180" w:right="120" w:hanging="155"/>
        <w:spacing w:after="0" w:line="289" w:lineRule="auto"/>
        <w:tabs>
          <w:tab w:leader="none" w:pos="156"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Approved </w:t>
      </w:r>
      <w:r>
        <w:rPr>
          <w:rFonts w:ascii="Arial" w:cs="Arial" w:eastAsia="Arial" w:hAnsi="Arial"/>
          <w:sz w:val="16"/>
          <w:szCs w:val="16"/>
          <w:color w:val="auto"/>
        </w:rPr>
        <w:t>our 2025 unaudited interim consolidated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related MD&amp;A.</w:t>
      </w:r>
    </w:p>
    <w:p>
      <w:pPr>
        <w:ind w:left="160" w:hanging="135"/>
        <w:spacing w:after="0"/>
        <w:tabs>
          <w:tab w:leader="none" w:pos="1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major accounting policies and estimates.</w:t>
      </w:r>
    </w:p>
    <w:p>
      <w:pPr>
        <w:spacing w:after="0" w:line="44" w:lineRule="exact"/>
        <w:rPr>
          <w:rFonts w:ascii="Arial" w:cs="Arial" w:eastAsia="Arial" w:hAnsi="Arial"/>
          <w:sz w:val="16"/>
          <w:szCs w:val="16"/>
          <w:b w:val="1"/>
          <w:bCs w:val="1"/>
          <w:color w:val="auto"/>
        </w:rPr>
      </w:pPr>
    </w:p>
    <w:p>
      <w:pPr>
        <w:ind w:left="160" w:hanging="135"/>
        <w:spacing w:after="0"/>
        <w:tabs>
          <w:tab w:leader="none" w:pos="1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adequacy of staff complements in accounting and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1496060</wp:posOffset>
            </wp:positionV>
            <wp:extent cx="3481070" cy="537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81070" cy="537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and Compliance Oversight</w:t>
      </w:r>
    </w:p>
    <w:p>
      <w:pPr>
        <w:spacing w:after="0" w:line="42" w:lineRule="exact"/>
        <w:rPr>
          <w:sz w:val="20"/>
          <w:szCs w:val="20"/>
          <w:color w:val="auto"/>
        </w:rPr>
      </w:pPr>
    </w:p>
    <w:p>
      <w:pPr>
        <w:ind w:left="180" w:right="780" w:hanging="171"/>
        <w:spacing w:after="0" w:line="297" w:lineRule="auto"/>
        <w:tabs>
          <w:tab w:leader="none" w:pos="15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Oversaw </w:t>
      </w:r>
      <w:r>
        <w:rPr>
          <w:rFonts w:ascii="Arial" w:cs="Arial" w:eastAsia="Arial" w:hAnsi="Arial"/>
          <w:sz w:val="16"/>
          <w:szCs w:val="16"/>
          <w:color w:val="auto"/>
        </w:rPr>
        <w:t>our financial reporting risks including issues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materiality and risk assessment.</w:t>
      </w:r>
    </w:p>
    <w:p>
      <w:pPr>
        <w:spacing w:after="0" w:line="1" w:lineRule="exact"/>
        <w:rPr>
          <w:rFonts w:ascii="Arial" w:cs="Arial" w:eastAsia="Arial" w:hAnsi="Arial"/>
          <w:sz w:val="16"/>
          <w:szCs w:val="16"/>
          <w:color w:val="auto"/>
        </w:rPr>
      </w:pPr>
    </w:p>
    <w:p>
      <w:pPr>
        <w:ind w:left="180" w:right="60" w:hanging="171"/>
        <w:spacing w:after="0" w:line="289" w:lineRule="auto"/>
        <w:tabs>
          <w:tab w:leader="none" w:pos="15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Monitored </w:t>
      </w:r>
      <w:r>
        <w:rPr>
          <w:rFonts w:ascii="Arial" w:cs="Arial" w:eastAsia="Arial" w:hAnsi="Arial"/>
          <w:sz w:val="16"/>
          <w:szCs w:val="16"/>
          <w:color w:val="auto"/>
        </w:rPr>
        <w:t>financial reporting, legal and regulatory developments affecting</w:t>
      </w:r>
      <w:r>
        <w:rPr>
          <w:rFonts w:ascii="Arial" w:cs="Arial" w:eastAsia="Arial" w:hAnsi="Arial"/>
          <w:sz w:val="16"/>
          <w:szCs w:val="16"/>
          <w:b w:val="1"/>
          <w:bCs w:val="1"/>
          <w:color w:val="auto"/>
        </w:rPr>
        <w:t xml:space="preserve"> </w:t>
      </w:r>
      <w:r>
        <w:rPr>
          <w:rFonts w:ascii="Arial" w:cs="Arial" w:eastAsia="Arial" w:hAnsi="Arial"/>
          <w:sz w:val="16"/>
          <w:szCs w:val="16"/>
          <w:color w:val="auto"/>
        </w:rPr>
        <w:t>our financial reporting process, controls and disclosure.</w:t>
      </w:r>
    </w:p>
    <w:p>
      <w:pPr>
        <w:ind w:left="180" w:right="180" w:hanging="171"/>
        <w:spacing w:after="0" w:line="297" w:lineRule="auto"/>
        <w:tabs>
          <w:tab w:leader="none" w:pos="15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Reviewed and recommended </w:t>
      </w:r>
      <w:r>
        <w:rPr>
          <w:rFonts w:ascii="Arial" w:cs="Arial" w:eastAsia="Arial" w:hAnsi="Arial"/>
          <w:sz w:val="16"/>
          <w:szCs w:val="16"/>
          <w:color w:val="auto"/>
        </w:rPr>
        <w:t>changes to the suite of risk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policies.</w:t>
      </w:r>
    </w:p>
    <w:p>
      <w:pPr>
        <w:spacing w:after="0" w:line="1" w:lineRule="exact"/>
        <w:rPr>
          <w:rFonts w:ascii="Arial" w:cs="Arial" w:eastAsia="Arial" w:hAnsi="Arial"/>
          <w:sz w:val="16"/>
          <w:szCs w:val="16"/>
          <w:color w:val="auto"/>
        </w:rPr>
      </w:pPr>
    </w:p>
    <w:p>
      <w:pPr>
        <w:ind w:left="180" w:right="300" w:hanging="171"/>
        <w:spacing w:after="0" w:line="293" w:lineRule="auto"/>
        <w:tabs>
          <w:tab w:leader="none" w:pos="15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regular reports from management on counterparty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and market risks, finance and liquidity, treasury, pensions, tax, compliance, material litigation and cyber security controls, plans and initiatives.</w:t>
      </w:r>
    </w:p>
    <w:p>
      <w:pPr>
        <w:spacing w:after="0" w:line="1" w:lineRule="exact"/>
        <w:rPr>
          <w:rFonts w:ascii="Arial" w:cs="Arial" w:eastAsia="Arial" w:hAnsi="Arial"/>
          <w:sz w:val="16"/>
          <w:szCs w:val="16"/>
          <w:color w:val="auto"/>
        </w:rPr>
      </w:pPr>
    </w:p>
    <w:p>
      <w:pPr>
        <w:ind w:left="180" w:right="160" w:hanging="171"/>
        <w:spacing w:after="0" w:line="292" w:lineRule="auto"/>
        <w:tabs>
          <w:tab w:leader="none" w:pos="15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Oversaw </w:t>
      </w:r>
      <w:r>
        <w:rPr>
          <w:rFonts w:ascii="Arial" w:cs="Arial" w:eastAsia="Arial" w:hAnsi="Arial"/>
          <w:sz w:val="16"/>
          <w:szCs w:val="16"/>
          <w:color w:val="auto"/>
        </w:rPr>
        <w:t>the corporate compliance program requirements, structure and</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including foreign corrupt practices and anti-bribery statutes and policies.</w:t>
      </w:r>
    </w:p>
    <w:p>
      <w:pPr>
        <w:ind w:left="180" w:right="180" w:hanging="171"/>
        <w:spacing w:after="0" w:line="337" w:lineRule="auto"/>
        <w:tabs>
          <w:tab w:leader="none" w:pos="156"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regular reports from Internal Audit and reviewed the adequacy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resources of the internal auditor.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Pension and Benefits Oversight</w:t>
      </w:r>
    </w:p>
    <w:p>
      <w:pPr>
        <w:spacing w:after="0" w:line="42" w:lineRule="exact"/>
        <w:rPr>
          <w:sz w:val="20"/>
          <w:szCs w:val="20"/>
          <w:color w:val="auto"/>
        </w:rPr>
      </w:pPr>
    </w:p>
    <w:p>
      <w:pPr>
        <w:ind w:left="180" w:right="580" w:hanging="171"/>
        <w:spacing w:after="0" w:line="297" w:lineRule="auto"/>
        <w:tabs>
          <w:tab w:leader="none" w:pos="156"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Approved </w:t>
      </w:r>
      <w:r>
        <w:rPr>
          <w:rFonts w:ascii="Arial" w:cs="Arial" w:eastAsia="Arial" w:hAnsi="Arial"/>
          <w:sz w:val="16"/>
          <w:szCs w:val="16"/>
          <w:color w:val="auto"/>
        </w:rPr>
        <w:t>appointment of the external auditor for 401(k)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plans.</w:t>
      </w:r>
    </w:p>
    <w:p>
      <w:pPr>
        <w:spacing w:after="0" w:line="1" w:lineRule="exact"/>
        <w:rPr>
          <w:rFonts w:ascii="Arial" w:cs="Arial" w:eastAsia="Arial" w:hAnsi="Arial"/>
          <w:sz w:val="16"/>
          <w:szCs w:val="16"/>
          <w:color w:val="auto"/>
        </w:rPr>
      </w:pPr>
    </w:p>
    <w:p>
      <w:pPr>
        <w:ind w:left="180" w:right="40" w:hanging="171"/>
        <w:spacing w:after="0" w:line="319" w:lineRule="auto"/>
        <w:tabs>
          <w:tab w:leader="none" w:pos="156"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Reviewed and approved </w:t>
      </w:r>
      <w:r>
        <w:rPr>
          <w:rFonts w:ascii="Arial" w:cs="Arial" w:eastAsia="Arial" w:hAnsi="Arial"/>
          <w:sz w:val="16"/>
          <w:szCs w:val="16"/>
          <w:color w:val="auto"/>
        </w:rPr>
        <w:t>the Statement of Investment Beliefs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funding of the registered pension plan and supplemental pension plan.</w:t>
      </w:r>
    </w:p>
    <w:p>
      <w:pPr>
        <w:spacing w:after="0" w:line="338" w:lineRule="exact"/>
        <w:rPr>
          <w:sz w:val="20"/>
          <w:szCs w:val="20"/>
          <w:color w:val="auto"/>
        </w:rPr>
      </w:pPr>
    </w:p>
    <w:p>
      <w:pPr>
        <w:sectPr>
          <w:pgSz w:w="11900" w:h="16838" w:orient="portrait"/>
          <w:cols w:equalWidth="0" w:num="2">
            <w:col w:w="5420" w:space="320"/>
            <w:col w:w="5500"/>
          </w:cols>
          <w:pgMar w:left="320" w:top="10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1"/>
          <w:szCs w:val="11"/>
          <w:color w:val="auto"/>
        </w:rPr>
        <w:t>Our AIF includes more information about the Audit Committee, including the Audit Committee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1"/>
          <w:szCs w:val="11"/>
          <w:color w:val="auto"/>
        </w:rPr>
        <w:t>charter, oversight responsibilities, each member’s education and experience, and policies and</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1"/>
          <w:szCs w:val="11"/>
          <w:color w:val="auto"/>
        </w:rPr>
        <w:t>procedures for pre-approving permitted non-audit services. The 2025 AIF is available on our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website (www.tcenergy.com) and on SEDAR+ (www.sedarplus.ca).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34810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81070" cy="825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67</w:t>
      </w:r>
    </w:p>
    <w:p>
      <w:pPr>
        <w:sectPr>
          <w:pgSz w:w="11900" w:h="16838" w:orient="portrait"/>
          <w:cols w:equalWidth="0" w:num="1">
            <w:col w:w="11240"/>
          </w:cols>
          <w:pgMar w:left="320" w:top="1048" w:right="339" w:bottom="1440" w:gutter="0" w:footer="0" w:header="0"/>
          <w:type w:val="continuous"/>
        </w:sectPr>
      </w:pPr>
    </w:p>
    <w:bookmarkStart w:id="73" w:name="page74"/>
    <w:bookmarkEnd w:id="73"/>
    <w:p>
      <w:pPr>
        <w:ind w:left="20"/>
        <w:spacing w:after="0"/>
        <w:rPr>
          <w:sz w:val="20"/>
          <w:szCs w:val="20"/>
          <w:color w:val="auto"/>
        </w:rPr>
      </w:pPr>
      <w:r>
        <w:rPr>
          <w:rFonts w:ascii="Arial" w:cs="Arial" w:eastAsia="Arial" w:hAnsi="Arial"/>
          <w:sz w:val="28"/>
          <w:szCs w:val="28"/>
          <w:color w:val="0D64EF"/>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7132955" cy="2261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226123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Current members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Thierry Vandal (Chair)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William D. Johnson (as of May 8, 2025)</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John E. Lowe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Mary Pat Salomone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Siim A. Vanaselja</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Dheeraj "D" Verma</w:t>
      </w:r>
    </w:p>
    <w:p>
      <w:pPr>
        <w:spacing w:after="0" w:line="282" w:lineRule="exact"/>
        <w:rPr>
          <w:sz w:val="20"/>
          <w:szCs w:val="20"/>
          <w:color w:val="auto"/>
        </w:rPr>
      </w:pPr>
    </w:p>
    <w:p>
      <w:pPr>
        <w:ind w:left="20" w:right="1080"/>
        <w:spacing w:after="0" w:line="320" w:lineRule="auto"/>
        <w:rPr>
          <w:sz w:val="20"/>
          <w:szCs w:val="20"/>
          <w:color w:val="auto"/>
        </w:rPr>
      </w:pPr>
      <w:r>
        <w:rPr>
          <w:rFonts w:ascii="Arial" w:cs="Arial" w:eastAsia="Arial" w:hAnsi="Arial"/>
          <w:sz w:val="14"/>
          <w:szCs w:val="14"/>
          <w:b w:val="1"/>
          <w:bCs w:val="1"/>
          <w:color w:val="auto"/>
        </w:rPr>
        <w:t>Other members that served during the year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David MacNaughton (retired May 8, 2025)</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Indira Samarasekera (retired May 8, 2025)</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4 regularly scheduled meetings (February, April, September, November)</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Independence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6 independent directors, 100 per cent independent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Mandate</w:t>
      </w:r>
    </w:p>
    <w:p>
      <w:pPr>
        <w:spacing w:after="0" w:line="67" w:lineRule="exact"/>
        <w:rPr>
          <w:sz w:val="20"/>
          <w:szCs w:val="20"/>
          <w:color w:val="auto"/>
        </w:rPr>
      </w:pPr>
    </w:p>
    <w:p>
      <w:pPr>
        <w:ind w:right="160"/>
        <w:spacing w:after="0" w:line="294" w:lineRule="auto"/>
        <w:rPr>
          <w:sz w:val="20"/>
          <w:szCs w:val="20"/>
          <w:color w:val="auto"/>
        </w:rPr>
      </w:pPr>
      <w:r>
        <w:rPr>
          <w:rFonts w:ascii="Arial" w:cs="Arial" w:eastAsia="Arial" w:hAnsi="Arial"/>
          <w:sz w:val="14"/>
          <w:szCs w:val="14"/>
          <w:color w:val="auto"/>
        </w:rPr>
        <w:t>The Governance Committee is responsible for assisting the Board with maintaining strong governance policies and practices at TC Energy, reviewing the independence and financial literacy of directors, managing director compensation and the Board assessment process and overseeing our strategic planning process and enterprise risk management activities.</w:t>
      </w:r>
    </w:p>
    <w:p>
      <w:pPr>
        <w:spacing w:after="0" w:line="58" w:lineRule="exact"/>
        <w:rPr>
          <w:sz w:val="20"/>
          <w:szCs w:val="20"/>
          <w:color w:val="auto"/>
        </w:rPr>
      </w:pPr>
    </w:p>
    <w:p>
      <w:pPr>
        <w:ind w:right="180"/>
        <w:spacing w:after="0" w:line="280" w:lineRule="auto"/>
        <w:rPr>
          <w:sz w:val="20"/>
          <w:szCs w:val="20"/>
          <w:color w:val="auto"/>
        </w:rPr>
      </w:pPr>
      <w:r>
        <w:rPr>
          <w:rFonts w:ascii="Arial" w:cs="Arial" w:eastAsia="Arial" w:hAnsi="Arial"/>
          <w:sz w:val="14"/>
          <w:szCs w:val="14"/>
          <w:color w:val="auto"/>
        </w:rPr>
        <w:t>It monitors the relationship between management and the Board, directors' share ownership levels, governance developments and emerging best practices. It is also responsible for identifying qualified candidates for the Board to consider as potential directors.</w:t>
      </w:r>
    </w:p>
    <w:p>
      <w:pPr>
        <w:spacing w:after="0" w:line="1"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auto"/>
        </w:rPr>
        <w:t>It also recommends the meeting schedule for Board and Committee meetings, site visits and oversees matters related to the timing of our annual meeting.</w:t>
      </w:r>
    </w:p>
    <w:p>
      <w:pPr>
        <w:spacing w:after="0" w:line="200" w:lineRule="exact"/>
        <w:rPr>
          <w:sz w:val="20"/>
          <w:szCs w:val="20"/>
          <w:color w:val="auto"/>
        </w:rPr>
      </w:pPr>
    </w:p>
    <w:p>
      <w:pPr>
        <w:sectPr>
          <w:pgSz w:w="11900" w:h="16838" w:orient="portrait"/>
          <w:cols w:equalWidth="0" w:num="2">
            <w:col w:w="2960" w:space="720"/>
            <w:col w:w="7520"/>
          </w:cols>
          <w:pgMar w:left="320" w:top="1048" w:right="37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Governance Committee meets </w:t>
      </w:r>
      <w:r>
        <w:rPr>
          <w:rFonts w:ascii="Arial" w:cs="Arial" w:eastAsia="Arial" w:hAnsi="Arial"/>
          <w:sz w:val="14"/>
          <w:szCs w:val="14"/>
          <w:i w:val="1"/>
          <w:iCs w:val="1"/>
          <w:color w:val="auto"/>
        </w:rPr>
        <w:t>in-camera</w:t>
      </w:r>
      <w:r>
        <w:rPr>
          <w:rFonts w:ascii="Arial" w:cs="Arial" w:eastAsia="Arial" w:hAnsi="Arial"/>
          <w:sz w:val="14"/>
          <w:szCs w:val="14"/>
          <w:color w:val="auto"/>
        </w:rPr>
        <w:t xml:space="preserve"> at the beginning and end of each meeting.</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highlights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Board Composition and Succession</w:t>
      </w:r>
    </w:p>
    <w:p>
      <w:pPr>
        <w:spacing w:after="0" w:line="42" w:lineRule="exact"/>
        <w:rPr>
          <w:sz w:val="20"/>
          <w:szCs w:val="20"/>
          <w:color w:val="auto"/>
        </w:rPr>
      </w:pPr>
    </w:p>
    <w:p>
      <w:pPr>
        <w:ind w:left="180" w:right="700" w:hanging="160"/>
        <w:spacing w:after="0" w:line="30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Oversaw</w:t>
      </w:r>
      <w:r>
        <w:rPr>
          <w:rFonts w:ascii="Arial" w:cs="Arial" w:eastAsia="Arial" w:hAnsi="Arial"/>
          <w:sz w:val="16"/>
          <w:szCs w:val="16"/>
          <w:color w:val="auto"/>
        </w:rPr>
        <w:t xml:space="preserve"> Board renewal in light of retirement calendar, board size, composition and skills matrix.</w:t>
      </w:r>
    </w:p>
    <w:p>
      <w:pPr>
        <w:ind w:left="20"/>
        <w:spacing w:after="0"/>
        <w:rPr>
          <w:sz w:val="20"/>
          <w:szCs w:val="20"/>
          <w:color w:val="auto"/>
        </w:rPr>
      </w:pPr>
      <w:r>
        <w:rPr>
          <w:rFonts w:ascii="Arial" w:cs="Arial" w:eastAsia="Arial" w:hAnsi="Arial"/>
          <w:sz w:val="16"/>
          <w:szCs w:val="16"/>
          <w:b w:val="1"/>
          <w:bCs w:val="1"/>
          <w:i w:val="1"/>
          <w:iCs w:val="1"/>
          <w:color w:val="auto"/>
        </w:rPr>
        <w:t>Risk Management</w:t>
      </w:r>
    </w:p>
    <w:p>
      <w:pPr>
        <w:spacing w:after="0" w:line="42" w:lineRule="exact"/>
        <w:rPr>
          <w:sz w:val="20"/>
          <w:szCs w:val="20"/>
          <w:color w:val="auto"/>
        </w:rPr>
      </w:pPr>
    </w:p>
    <w:p>
      <w:pPr>
        <w:ind w:left="160" w:hanging="135"/>
        <w:spacing w:after="0"/>
        <w:tabs>
          <w:tab w:leader="none" w:pos="16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Oversaw </w:t>
      </w:r>
      <w:r>
        <w:rPr>
          <w:rFonts w:ascii="Arial" w:cs="Arial" w:eastAsia="Arial" w:hAnsi="Arial"/>
          <w:sz w:val="16"/>
          <w:szCs w:val="16"/>
          <w:color w:val="auto"/>
        </w:rPr>
        <w:t>planning for ERM deep dive sessions.</w:t>
      </w:r>
    </w:p>
    <w:p>
      <w:pPr>
        <w:spacing w:after="0" w:line="57" w:lineRule="exact"/>
        <w:rPr>
          <w:rFonts w:ascii="Arial" w:cs="Arial" w:eastAsia="Arial" w:hAnsi="Arial"/>
          <w:sz w:val="16"/>
          <w:szCs w:val="16"/>
          <w:color w:val="auto"/>
        </w:rPr>
      </w:pPr>
    </w:p>
    <w:p>
      <w:pPr>
        <w:ind w:left="180" w:right="160" w:hanging="155"/>
        <w:spacing w:after="0" w:line="303" w:lineRule="auto"/>
        <w:tabs>
          <w:tab w:leader="none" w:pos="156"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Oversaw </w:t>
      </w:r>
      <w:r>
        <w:rPr>
          <w:rFonts w:ascii="Arial" w:cs="Arial" w:eastAsia="Arial" w:hAnsi="Arial"/>
          <w:sz w:val="16"/>
          <w:szCs w:val="16"/>
          <w:color w:val="auto"/>
        </w:rPr>
        <w:t>our enterprise risk management program and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receiving the emerging risk report and 2025 key focus areas and key risk indicators.</w:t>
      </w:r>
    </w:p>
    <w:p>
      <w:pPr>
        <w:spacing w:after="0" w:line="1" w:lineRule="exact"/>
        <w:rPr>
          <w:rFonts w:ascii="Arial" w:cs="Arial" w:eastAsia="Arial" w:hAnsi="Arial"/>
          <w:sz w:val="16"/>
          <w:szCs w:val="16"/>
          <w:color w:val="auto"/>
        </w:rPr>
      </w:pPr>
    </w:p>
    <w:p>
      <w:pPr>
        <w:ind w:left="180" w:right="180" w:hanging="155"/>
        <w:spacing w:after="0" w:line="326" w:lineRule="auto"/>
        <w:tabs>
          <w:tab w:leader="none" w:pos="156"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identified principal enterprise risks with management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we have proper Board and Committee oversight and management programs in place to mitigate risks.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Board Effectiveness and Independence</w:t>
      </w:r>
    </w:p>
    <w:p>
      <w:pPr>
        <w:spacing w:after="0" w:line="42" w:lineRule="exact"/>
        <w:rPr>
          <w:sz w:val="20"/>
          <w:szCs w:val="20"/>
          <w:color w:val="auto"/>
        </w:rPr>
      </w:pPr>
    </w:p>
    <w:p>
      <w:pPr>
        <w:ind w:left="180" w:right="240" w:hanging="155"/>
        <w:spacing w:after="0" w:line="306" w:lineRule="auto"/>
        <w:tabs>
          <w:tab w:leader="none" w:pos="156"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independence of each director according to our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criteria and applicable legislation to give the Board guidance in its annual</w:t>
      </w:r>
    </w:p>
    <w:p>
      <w:pPr>
        <w:spacing w:after="0" w:line="1" w:lineRule="exact"/>
        <w:rPr>
          <w:rFonts w:ascii="Arial" w:cs="Arial" w:eastAsia="Arial" w:hAnsi="Arial"/>
          <w:sz w:val="16"/>
          <w:szCs w:val="16"/>
          <w:color w:val="auto"/>
        </w:rPr>
      </w:pPr>
    </w:p>
    <w:p>
      <w:pPr>
        <w:ind w:left="180" w:right="560"/>
        <w:spacing w:after="0" w:line="297" w:lineRule="auto"/>
        <w:rPr>
          <w:rFonts w:ascii="Arial" w:cs="Arial" w:eastAsia="Arial" w:hAnsi="Arial"/>
          <w:sz w:val="16"/>
          <w:szCs w:val="16"/>
          <w:color w:val="auto"/>
        </w:rPr>
      </w:pPr>
      <w:r>
        <w:rPr>
          <w:rFonts w:ascii="Arial" w:cs="Arial" w:eastAsia="Arial" w:hAnsi="Arial"/>
          <w:sz w:val="16"/>
          <w:szCs w:val="16"/>
          <w:color w:val="auto"/>
        </w:rPr>
        <w:t>assessment of independence, the structure and composition of each Committee and the other directorships held by Board members.</w:t>
      </w:r>
    </w:p>
    <w:p>
      <w:pPr>
        <w:spacing w:after="0" w:line="1" w:lineRule="exact"/>
        <w:rPr>
          <w:rFonts w:ascii="Arial" w:cs="Arial" w:eastAsia="Arial" w:hAnsi="Arial"/>
          <w:sz w:val="16"/>
          <w:szCs w:val="16"/>
          <w:color w:val="auto"/>
        </w:rPr>
      </w:pPr>
    </w:p>
    <w:p>
      <w:pPr>
        <w:ind w:left="160" w:hanging="135"/>
        <w:spacing w:after="0"/>
        <w:tabs>
          <w:tab w:leader="none" w:pos="16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Oversaw </w:t>
      </w:r>
      <w:r>
        <w:rPr>
          <w:rFonts w:ascii="Arial" w:cs="Arial" w:eastAsia="Arial" w:hAnsi="Arial"/>
          <w:sz w:val="16"/>
          <w:szCs w:val="16"/>
          <w:color w:val="auto"/>
        </w:rPr>
        <w:t>the annual assessment of the Board, Committees and Chair.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Continuous Disclosure</w:t>
      </w:r>
    </w:p>
    <w:p>
      <w:pPr>
        <w:spacing w:after="0" w:line="56" w:lineRule="exact"/>
        <w:rPr>
          <w:sz w:val="20"/>
          <w:szCs w:val="20"/>
          <w:color w:val="auto"/>
        </w:rPr>
      </w:pPr>
    </w:p>
    <w:p>
      <w:pPr>
        <w:ind w:left="180" w:right="400" w:hanging="155"/>
        <w:spacing w:after="0" w:line="317" w:lineRule="auto"/>
        <w:tabs>
          <w:tab w:leader="none" w:pos="156"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Reviewed and recommended </w:t>
      </w:r>
      <w:r>
        <w:rPr>
          <w:rFonts w:ascii="Arial" w:cs="Arial" w:eastAsia="Arial" w:hAnsi="Arial"/>
          <w:sz w:val="16"/>
          <w:szCs w:val="16"/>
          <w:color w:val="auto"/>
        </w:rPr>
        <w:t>the Report on Forced Labour and Child</w:t>
      </w:r>
      <w:r>
        <w:rPr>
          <w:rFonts w:ascii="Arial" w:cs="Arial" w:eastAsia="Arial" w:hAnsi="Arial"/>
          <w:sz w:val="16"/>
          <w:szCs w:val="16"/>
          <w:b w:val="1"/>
          <w:bCs w:val="1"/>
          <w:color w:val="auto"/>
        </w:rPr>
        <w:t xml:space="preserve"> </w:t>
      </w:r>
      <w:r>
        <w:rPr>
          <w:rFonts w:ascii="Arial" w:cs="Arial" w:eastAsia="Arial" w:hAnsi="Arial"/>
          <w:sz w:val="16"/>
          <w:szCs w:val="16"/>
          <w:color w:val="auto"/>
        </w:rPr>
        <w:t>Labour and the Governance sections of the 2025 Management Information Circular to the Board.</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Director Compensation</w:t>
      </w:r>
    </w:p>
    <w:p>
      <w:pPr>
        <w:spacing w:after="0" w:line="42" w:lineRule="exact"/>
        <w:rPr>
          <w:sz w:val="20"/>
          <w:szCs w:val="20"/>
          <w:color w:val="auto"/>
        </w:rPr>
      </w:pPr>
    </w:p>
    <w:p>
      <w:pPr>
        <w:ind w:left="180" w:right="380" w:hanging="155"/>
        <w:spacing w:after="0" w:line="326" w:lineRule="auto"/>
        <w:tabs>
          <w:tab w:leader="none" w:pos="169" w:val="left"/>
        </w:tabs>
        <w:numPr>
          <w:ilvl w:val="0"/>
          <w:numId w:val="80"/>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a report from the independent compensation consultant and</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recommended changes to director compensation to the Board to be effective in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Engagement and Annual Meeting Results</w:t>
      </w:r>
    </w:p>
    <w:p>
      <w:pPr>
        <w:spacing w:after="0" w:line="42" w:lineRule="exact"/>
        <w:rPr>
          <w:sz w:val="20"/>
          <w:szCs w:val="20"/>
          <w:color w:val="auto"/>
        </w:rPr>
      </w:pPr>
    </w:p>
    <w:p>
      <w:pPr>
        <w:ind w:left="140" w:hanging="131"/>
        <w:spacing w:after="0"/>
        <w:tabs>
          <w:tab w:leader="none" w:pos="14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voting results from the 2025 annual shareholders' meeting.</w:t>
      </w:r>
    </w:p>
    <w:p>
      <w:pPr>
        <w:spacing w:after="0" w:line="57" w:lineRule="exact"/>
        <w:rPr>
          <w:rFonts w:ascii="Arial" w:cs="Arial" w:eastAsia="Arial" w:hAnsi="Arial"/>
          <w:sz w:val="16"/>
          <w:szCs w:val="16"/>
          <w:b w:val="1"/>
          <w:bCs w:val="1"/>
          <w:color w:val="auto"/>
        </w:rPr>
      </w:pPr>
    </w:p>
    <w:p>
      <w:pPr>
        <w:ind w:left="140" w:hanging="131"/>
        <w:spacing w:after="0"/>
        <w:tabs>
          <w:tab w:leader="none" w:pos="14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say on pay updates and voting trends.</w:t>
      </w:r>
    </w:p>
    <w:p>
      <w:pPr>
        <w:spacing w:after="0" w:line="44" w:lineRule="exact"/>
        <w:rPr>
          <w:rFonts w:ascii="Arial" w:cs="Arial" w:eastAsia="Arial" w:hAnsi="Arial"/>
          <w:sz w:val="16"/>
          <w:szCs w:val="16"/>
          <w:b w:val="1"/>
          <w:bCs w:val="1"/>
          <w:color w:val="auto"/>
        </w:rPr>
      </w:pPr>
    </w:p>
    <w:p>
      <w:pPr>
        <w:ind w:left="180" w:right="200" w:hanging="171"/>
        <w:spacing w:after="0" w:line="337" w:lineRule="auto"/>
        <w:tabs>
          <w:tab w:leader="none" w:pos="156"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information on climate-related management and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proposals and voting trends.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Governance Policies and Strategic Oversight</w:t>
      </w:r>
    </w:p>
    <w:p>
      <w:pPr>
        <w:spacing w:after="0" w:line="56" w:lineRule="exact"/>
        <w:rPr>
          <w:sz w:val="20"/>
          <w:szCs w:val="20"/>
          <w:color w:val="auto"/>
        </w:rPr>
      </w:pPr>
    </w:p>
    <w:p>
      <w:pPr>
        <w:ind w:left="180" w:right="160" w:hanging="171"/>
        <w:spacing w:after="0" w:line="303" w:lineRule="auto"/>
        <w:tabs>
          <w:tab w:leader="none" w:pos="156"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Oversaw </w:t>
      </w:r>
      <w:r>
        <w:rPr>
          <w:rFonts w:ascii="Arial" w:cs="Arial" w:eastAsia="Arial" w:hAnsi="Arial"/>
          <w:sz w:val="16"/>
          <w:szCs w:val="16"/>
          <w:color w:val="auto"/>
        </w:rPr>
        <w:t>our strategic planning process, including strategic issues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throughout the year and at the annual strategic planning meeting.</w:t>
      </w:r>
    </w:p>
    <w:p>
      <w:pPr>
        <w:spacing w:after="0" w:line="1" w:lineRule="exact"/>
        <w:rPr>
          <w:rFonts w:ascii="Arial" w:cs="Arial" w:eastAsia="Arial" w:hAnsi="Arial"/>
          <w:sz w:val="16"/>
          <w:szCs w:val="16"/>
          <w:color w:val="auto"/>
        </w:rPr>
      </w:pPr>
    </w:p>
    <w:p>
      <w:pPr>
        <w:ind w:left="140" w:hanging="131"/>
        <w:spacing w:after="0"/>
        <w:tabs>
          <w:tab w:leader="none" w:pos="14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Monitored </w:t>
      </w:r>
      <w:r>
        <w:rPr>
          <w:rFonts w:ascii="Arial" w:cs="Arial" w:eastAsia="Arial" w:hAnsi="Arial"/>
          <w:sz w:val="16"/>
          <w:szCs w:val="16"/>
          <w:color w:val="auto"/>
        </w:rPr>
        <w:t>director share ownership requirements.</w:t>
      </w:r>
    </w:p>
    <w:p>
      <w:pPr>
        <w:spacing w:after="0" w:line="44" w:lineRule="exact"/>
        <w:rPr>
          <w:rFonts w:ascii="Arial" w:cs="Arial" w:eastAsia="Arial" w:hAnsi="Arial"/>
          <w:sz w:val="16"/>
          <w:szCs w:val="16"/>
          <w:color w:val="auto"/>
        </w:rPr>
      </w:pPr>
    </w:p>
    <w:p>
      <w:pPr>
        <w:ind w:left="140" w:hanging="131"/>
        <w:spacing w:after="0"/>
        <w:tabs>
          <w:tab w:leader="none" w:pos="14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a report on director attendance at meetings.</w:t>
      </w:r>
    </w:p>
    <w:p>
      <w:pPr>
        <w:spacing w:after="0" w:line="57" w:lineRule="exact"/>
        <w:rPr>
          <w:rFonts w:ascii="Arial" w:cs="Arial" w:eastAsia="Arial" w:hAnsi="Arial"/>
          <w:sz w:val="16"/>
          <w:szCs w:val="16"/>
          <w:color w:val="auto"/>
        </w:rPr>
      </w:pPr>
    </w:p>
    <w:p>
      <w:pPr>
        <w:ind w:left="140" w:hanging="131"/>
        <w:spacing w:after="0"/>
        <w:tabs>
          <w:tab w:leader="none" w:pos="14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our lobbying policies, activities and expenditures.</w:t>
      </w:r>
    </w:p>
    <w:p>
      <w:pPr>
        <w:spacing w:after="0" w:line="44" w:lineRule="exact"/>
        <w:rPr>
          <w:rFonts w:ascii="Arial" w:cs="Arial" w:eastAsia="Arial" w:hAnsi="Arial"/>
          <w:sz w:val="16"/>
          <w:szCs w:val="16"/>
          <w:color w:val="auto"/>
        </w:rPr>
      </w:pPr>
    </w:p>
    <w:p>
      <w:pPr>
        <w:ind w:left="180" w:right="60" w:hanging="171"/>
        <w:spacing w:after="0" w:line="306" w:lineRule="auto"/>
        <w:tabs>
          <w:tab w:leader="none" w:pos="156"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and recommended amendments to our Corporate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Guidelines and Committee charters, including changes to the director</w:t>
      </w:r>
    </w:p>
    <w:p>
      <w:pPr>
        <w:spacing w:after="0" w:line="1" w:lineRule="exact"/>
        <w:rPr>
          <w:rFonts w:ascii="Arial" w:cs="Arial" w:eastAsia="Arial" w:hAnsi="Arial"/>
          <w:sz w:val="16"/>
          <w:szCs w:val="16"/>
          <w:color w:val="auto"/>
        </w:rPr>
      </w:pPr>
    </w:p>
    <w:p>
      <w:pPr>
        <w:ind w:left="180" w:right="20"/>
        <w:spacing w:after="0" w:line="297" w:lineRule="auto"/>
        <w:rPr>
          <w:rFonts w:ascii="Arial" w:cs="Arial" w:eastAsia="Arial" w:hAnsi="Arial"/>
          <w:sz w:val="16"/>
          <w:szCs w:val="16"/>
          <w:color w:val="auto"/>
        </w:rPr>
      </w:pPr>
      <w:r>
        <w:rPr>
          <w:rFonts w:ascii="Arial" w:cs="Arial" w:eastAsia="Arial" w:hAnsi="Arial"/>
          <w:sz w:val="16"/>
          <w:szCs w:val="16"/>
          <w:color w:val="auto"/>
        </w:rPr>
        <w:t>retirement age and term limits after review of peer practices and feedback from investors.</w:t>
      </w:r>
    </w:p>
    <w:p>
      <w:pPr>
        <w:spacing w:after="0" w:line="1" w:lineRule="exact"/>
        <w:rPr>
          <w:rFonts w:ascii="Arial" w:cs="Arial" w:eastAsia="Arial" w:hAnsi="Arial"/>
          <w:sz w:val="16"/>
          <w:szCs w:val="16"/>
          <w:color w:val="auto"/>
        </w:rPr>
      </w:pPr>
    </w:p>
    <w:p>
      <w:pPr>
        <w:ind w:left="180" w:right="380" w:hanging="171"/>
        <w:spacing w:after="0" w:line="309" w:lineRule="auto"/>
        <w:tabs>
          <w:tab w:leader="none" w:pos="156"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Monitored </w:t>
      </w:r>
      <w:r>
        <w:rPr>
          <w:rFonts w:ascii="Arial" w:cs="Arial" w:eastAsia="Arial" w:hAnsi="Arial"/>
          <w:sz w:val="16"/>
          <w:szCs w:val="16"/>
          <w:color w:val="auto"/>
        </w:rPr>
        <w:t>updates to securities regulations and governance reforms</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and legal updates affecting our policies, procedures and disclosure practices).</w:t>
      </w:r>
    </w:p>
    <w:p>
      <w:pPr>
        <w:spacing w:after="0" w:line="1" w:lineRule="exact"/>
        <w:rPr>
          <w:rFonts w:ascii="Arial" w:cs="Arial" w:eastAsia="Arial" w:hAnsi="Arial"/>
          <w:sz w:val="16"/>
          <w:szCs w:val="16"/>
          <w:color w:val="auto"/>
        </w:rPr>
      </w:pPr>
    </w:p>
    <w:p>
      <w:pPr>
        <w:ind w:left="180" w:right="520" w:hanging="171"/>
        <w:spacing w:after="0" w:line="297" w:lineRule="auto"/>
        <w:tabs>
          <w:tab w:leader="none" w:pos="156"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Board Diversity Policy and targets based on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expectations, proxy advisor firm guidance and peer practices.</w:t>
      </w:r>
    </w:p>
    <w:p>
      <w:pPr>
        <w:spacing w:after="0" w:line="1" w:lineRule="exact"/>
        <w:rPr>
          <w:rFonts w:ascii="Arial" w:cs="Arial" w:eastAsia="Arial" w:hAnsi="Arial"/>
          <w:sz w:val="16"/>
          <w:szCs w:val="16"/>
          <w:color w:val="auto"/>
        </w:rPr>
      </w:pPr>
    </w:p>
    <w:p>
      <w:pPr>
        <w:ind w:left="180" w:hanging="171"/>
        <w:spacing w:after="0" w:line="354" w:lineRule="auto"/>
        <w:tabs>
          <w:tab w:leader="none" w:pos="156"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external governance assessments and made recommendations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revisions to governance practices to the Board as appropriate.</w:t>
      </w:r>
    </w:p>
    <w:p>
      <w:pPr>
        <w:spacing w:after="0" w:line="810" w:lineRule="exact"/>
        <w:rPr>
          <w:sz w:val="20"/>
          <w:szCs w:val="20"/>
          <w:color w:val="auto"/>
        </w:rPr>
      </w:pPr>
    </w:p>
    <w:p>
      <w:pPr>
        <w:sectPr>
          <w:pgSz w:w="11900" w:h="16838" w:orient="portrait"/>
          <w:cols w:equalWidth="0" w:num="2">
            <w:col w:w="5620" w:space="120"/>
            <w:col w:w="5460"/>
          </w:cols>
          <w:pgMar w:left="320" w:top="104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00"/>
          </w:cols>
          <w:pgMar w:left="320" w:top="1048" w:right="379"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28"/>
          <w:szCs w:val="28"/>
          <w:color w:val="0D64EF"/>
        </w:rPr>
        <w:t>Health, Safety, Sustainability and Environment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-191770</wp:posOffset>
            </wp:positionV>
            <wp:extent cx="7004685" cy="2440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04685" cy="244030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p>
      <w:pPr>
        <w:spacing w:after="0" w:line="11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Current members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Mary Pat Salomone (Chair)</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Cheryl F. Campbell</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Michael R. Culbert</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4"/>
          <w:szCs w:val="14"/>
          <w:color w:val="auto"/>
        </w:rPr>
        <w:t>Dawn Madahbee Leach</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Una Power</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Thierry Vandal</w:t>
      </w:r>
    </w:p>
    <w:p>
      <w:pPr>
        <w:spacing w:after="0" w:line="282" w:lineRule="exact"/>
        <w:rPr>
          <w:sz w:val="20"/>
          <w:szCs w:val="20"/>
          <w:color w:val="auto"/>
        </w:rPr>
      </w:pPr>
    </w:p>
    <w:p>
      <w:pPr>
        <w:ind w:left="60" w:right="1020"/>
        <w:spacing w:after="0" w:line="320" w:lineRule="auto"/>
        <w:rPr>
          <w:sz w:val="20"/>
          <w:szCs w:val="20"/>
          <w:color w:val="auto"/>
        </w:rPr>
      </w:pPr>
      <w:r>
        <w:rPr>
          <w:rFonts w:ascii="Arial" w:cs="Arial" w:eastAsia="Arial" w:hAnsi="Arial"/>
          <w:sz w:val="14"/>
          <w:szCs w:val="14"/>
          <w:b w:val="1"/>
          <w:bCs w:val="1"/>
          <w:color w:val="auto"/>
        </w:rPr>
        <w:t>Other members that served during the year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David MacNaughton (retired May 8, 2025)</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4 regularly scheduled meetings (February, April, July, November)</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Independence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6 independent directors, 100 per cent independent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Mandate</w:t>
      </w:r>
    </w:p>
    <w:p>
      <w:pPr>
        <w:spacing w:after="0" w:line="67" w:lineRule="exact"/>
        <w:rPr>
          <w:sz w:val="20"/>
          <w:szCs w:val="20"/>
          <w:color w:val="auto"/>
        </w:rPr>
      </w:pPr>
    </w:p>
    <w:p>
      <w:pPr>
        <w:ind w:right="220"/>
        <w:spacing w:after="0" w:line="323" w:lineRule="auto"/>
        <w:rPr>
          <w:sz w:val="20"/>
          <w:szCs w:val="20"/>
          <w:color w:val="auto"/>
        </w:rPr>
      </w:pPr>
      <w:r>
        <w:rPr>
          <w:rFonts w:ascii="Arial" w:cs="Arial" w:eastAsia="Arial" w:hAnsi="Arial"/>
          <w:sz w:val="14"/>
          <w:szCs w:val="14"/>
          <w:color w:val="auto"/>
        </w:rPr>
        <w:t>The HSSE Committee oversees operational, major project execution, health, safety, sustainability and environmental risk, including climate change related risks.</w:t>
      </w:r>
    </w:p>
    <w:p>
      <w:pPr>
        <w:spacing w:after="0" w:line="37" w:lineRule="exact"/>
        <w:rPr>
          <w:sz w:val="20"/>
          <w:szCs w:val="20"/>
          <w:color w:val="auto"/>
        </w:rPr>
      </w:pPr>
    </w:p>
    <w:p>
      <w:pPr>
        <w:ind w:right="220"/>
        <w:spacing w:after="0" w:line="291" w:lineRule="auto"/>
        <w:rPr>
          <w:sz w:val="20"/>
          <w:szCs w:val="20"/>
          <w:color w:val="auto"/>
        </w:rPr>
      </w:pPr>
      <w:r>
        <w:rPr>
          <w:rFonts w:ascii="Arial" w:cs="Arial" w:eastAsia="Arial" w:hAnsi="Arial"/>
          <w:sz w:val="14"/>
          <w:szCs w:val="14"/>
          <w:color w:val="auto"/>
        </w:rPr>
        <w:t>The HSSE Committee reviews and monitors the performance and activities of TC Energy's HSSE matters including compliance with applicable and proposed legislation, conformance with industry standards and best practices. It also monitors the performance of actions and initiatives undertaken by TC Energy to prevent, mitigate and manage risks related to HSSE matters, including climate change-related risks and any critical incidents respecting our assets, operations, personnel and public safety.</w:t>
      </w:r>
    </w:p>
    <w:p>
      <w:pPr>
        <w:spacing w:after="0" w:line="59" w:lineRule="exact"/>
        <w:rPr>
          <w:sz w:val="20"/>
          <w:szCs w:val="20"/>
          <w:color w:val="auto"/>
        </w:rPr>
      </w:pPr>
    </w:p>
    <w:p>
      <w:pPr>
        <w:ind w:right="280"/>
        <w:spacing w:after="0" w:line="303" w:lineRule="auto"/>
        <w:rPr>
          <w:sz w:val="20"/>
          <w:szCs w:val="20"/>
          <w:color w:val="auto"/>
        </w:rPr>
      </w:pPr>
      <w:r>
        <w:rPr>
          <w:rFonts w:ascii="Arial" w:cs="Arial" w:eastAsia="Arial" w:hAnsi="Arial"/>
          <w:sz w:val="14"/>
          <w:szCs w:val="14"/>
          <w:color w:val="auto"/>
        </w:rPr>
        <w:t>The HSSE Committee also maintains oversight of significant or complex capital projects, including the monitoring of prescribed performance criteria.</w:t>
      </w:r>
    </w:p>
    <w:p>
      <w:pPr>
        <w:spacing w:after="0" w:line="200" w:lineRule="exact"/>
        <w:rPr>
          <w:sz w:val="20"/>
          <w:szCs w:val="20"/>
          <w:color w:val="auto"/>
        </w:rPr>
      </w:pPr>
    </w:p>
    <w:p>
      <w:pPr>
        <w:sectPr>
          <w:pgSz w:w="11900" w:h="16838" w:orient="portrait"/>
          <w:cols w:equalWidth="0" w:num="2">
            <w:col w:w="2940" w:space="720"/>
            <w:col w:w="7580"/>
          </w:cols>
          <w:pgMar w:left="320" w:top="1048" w:right="339" w:bottom="1440" w:gutter="0" w:footer="0" w:header="0"/>
          <w:type w:val="continuous"/>
        </w:sectPr>
      </w:pPr>
    </w:p>
    <w:p>
      <w:pPr>
        <w:spacing w:after="0" w:line="240" w:lineRule="exact"/>
        <w:rPr>
          <w:sz w:val="20"/>
          <w:szCs w:val="20"/>
          <w:color w:val="auto"/>
        </w:rPr>
      </w:pPr>
    </w:p>
    <w:p>
      <w:pPr>
        <w:ind w:right="180"/>
        <w:spacing w:after="0" w:line="343" w:lineRule="auto"/>
        <w:rPr>
          <w:sz w:val="20"/>
          <w:szCs w:val="20"/>
          <w:color w:val="auto"/>
        </w:rPr>
      </w:pPr>
      <w:r>
        <w:rPr>
          <w:rFonts w:ascii="Arial" w:cs="Arial" w:eastAsia="Arial" w:hAnsi="Arial"/>
          <w:sz w:val="14"/>
          <w:szCs w:val="14"/>
          <w:color w:val="auto"/>
        </w:rPr>
        <w:t xml:space="preserve">The HSSE Committee met separately with representatives from senior management responsible for Safety and Technical Services at the end of each meeting. The Committee also meets </w:t>
      </w:r>
      <w:r>
        <w:rPr>
          <w:rFonts w:ascii="Arial" w:cs="Arial" w:eastAsia="Arial" w:hAnsi="Arial"/>
          <w:sz w:val="14"/>
          <w:szCs w:val="14"/>
          <w:i w:val="1"/>
          <w:iCs w:val="1"/>
          <w:color w:val="auto"/>
        </w:rPr>
        <w:t>in-camera</w:t>
      </w:r>
      <w:r>
        <w:rPr>
          <w:rFonts w:ascii="Arial" w:cs="Arial" w:eastAsia="Arial" w:hAnsi="Arial"/>
          <w:sz w:val="14"/>
          <w:szCs w:val="14"/>
          <w:color w:val="auto"/>
        </w:rPr>
        <w:t xml:space="preserve"> at the end of each meeting.</w:t>
      </w:r>
    </w:p>
    <w:p>
      <w:pPr>
        <w:sectPr>
          <w:pgSz w:w="11900" w:h="16838" w:orient="portrait"/>
          <w:cols w:equalWidth="0" w:num="1">
            <w:col w:w="11240"/>
          </w:cols>
          <w:pgMar w:left="320" w:top="1048"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highlights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Safety and Operational Oversight</w:t>
      </w:r>
    </w:p>
    <w:p>
      <w:pPr>
        <w:spacing w:after="0" w:line="42" w:lineRule="exact"/>
        <w:rPr>
          <w:sz w:val="20"/>
          <w:szCs w:val="20"/>
          <w:color w:val="auto"/>
        </w:rPr>
      </w:pPr>
    </w:p>
    <w:p>
      <w:pPr>
        <w:ind w:left="180" w:right="500" w:hanging="155"/>
        <w:spacing w:after="0" w:line="306" w:lineRule="auto"/>
        <w:tabs>
          <w:tab w:leader="none" w:pos="156"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and reviewed regular reports on HSSE related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and compliance.</w:t>
      </w:r>
    </w:p>
    <w:p>
      <w:pPr>
        <w:spacing w:after="0" w:line="1" w:lineRule="exact"/>
        <w:rPr>
          <w:rFonts w:ascii="Arial" w:cs="Arial" w:eastAsia="Arial" w:hAnsi="Arial"/>
          <w:sz w:val="16"/>
          <w:szCs w:val="16"/>
          <w:color w:val="auto"/>
        </w:rPr>
      </w:pPr>
    </w:p>
    <w:p>
      <w:pPr>
        <w:ind w:left="180" w:right="120" w:hanging="155"/>
        <w:spacing w:after="0" w:line="303" w:lineRule="auto"/>
        <w:tabs>
          <w:tab w:leader="none" w:pos="156"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regular reports on operational risk management, occupational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process safety and regulatory compliance matters related to asset integrity.</w:t>
      </w:r>
    </w:p>
    <w:p>
      <w:pPr>
        <w:spacing w:after="0" w:line="1" w:lineRule="exact"/>
        <w:rPr>
          <w:rFonts w:ascii="Arial" w:cs="Arial" w:eastAsia="Arial" w:hAnsi="Arial"/>
          <w:sz w:val="16"/>
          <w:szCs w:val="16"/>
          <w:color w:val="auto"/>
        </w:rPr>
      </w:pPr>
    </w:p>
    <w:p>
      <w:pPr>
        <w:ind w:left="180" w:right="20" w:hanging="155"/>
        <w:spacing w:after="0" w:line="306" w:lineRule="auto"/>
        <w:tabs>
          <w:tab w:leader="none" w:pos="156"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status of critical incidents, root cause analysis and incident</w:t>
      </w:r>
      <w:r>
        <w:rPr>
          <w:rFonts w:ascii="Arial" w:cs="Arial" w:eastAsia="Arial" w:hAnsi="Arial"/>
          <w:sz w:val="16"/>
          <w:szCs w:val="16"/>
          <w:b w:val="1"/>
          <w:bCs w:val="1"/>
          <w:color w:val="auto"/>
        </w:rPr>
        <w:t xml:space="preserve"> </w:t>
      </w:r>
      <w:r>
        <w:rPr>
          <w:rFonts w:ascii="Arial" w:cs="Arial" w:eastAsia="Arial" w:hAnsi="Arial"/>
          <w:sz w:val="16"/>
          <w:szCs w:val="16"/>
          <w:color w:val="auto"/>
        </w:rPr>
        <w:t>follow-up.</w:t>
      </w:r>
    </w:p>
    <w:p>
      <w:pPr>
        <w:spacing w:after="0" w:line="1" w:lineRule="exact"/>
        <w:rPr>
          <w:rFonts w:ascii="Arial" w:cs="Arial" w:eastAsia="Arial" w:hAnsi="Arial"/>
          <w:sz w:val="16"/>
          <w:szCs w:val="16"/>
          <w:color w:val="auto"/>
        </w:rPr>
      </w:pPr>
    </w:p>
    <w:p>
      <w:pPr>
        <w:jc w:val="both"/>
        <w:ind w:left="180" w:right="180" w:hanging="155"/>
        <w:spacing w:after="0" w:line="303" w:lineRule="auto"/>
        <w:tabs>
          <w:tab w:leader="none" w:pos="156"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Monitored </w:t>
      </w:r>
      <w:r>
        <w:rPr>
          <w:rFonts w:ascii="Arial" w:cs="Arial" w:eastAsia="Arial" w:hAnsi="Arial"/>
          <w:sz w:val="16"/>
          <w:szCs w:val="16"/>
          <w:color w:val="auto"/>
        </w:rPr>
        <w:t>management's response and the status of corrective action</w:t>
      </w:r>
      <w:r>
        <w:rPr>
          <w:rFonts w:ascii="Arial" w:cs="Arial" w:eastAsia="Arial" w:hAnsi="Arial"/>
          <w:sz w:val="16"/>
          <w:szCs w:val="16"/>
          <w:b w:val="1"/>
          <w:bCs w:val="1"/>
          <w:color w:val="auto"/>
        </w:rPr>
        <w:t xml:space="preserve"> </w:t>
      </w:r>
      <w:r>
        <w:rPr>
          <w:rFonts w:ascii="Arial" w:cs="Arial" w:eastAsia="Arial" w:hAnsi="Arial"/>
          <w:sz w:val="16"/>
          <w:szCs w:val="16"/>
          <w:color w:val="auto"/>
        </w:rPr>
        <w:t>plans to audits from the CER, Pipeline and Hazardous Materials Safety Administration and other regulatory agencies.</w:t>
      </w:r>
    </w:p>
    <w:p>
      <w:pPr>
        <w:spacing w:after="0" w:line="1" w:lineRule="exact"/>
        <w:rPr>
          <w:rFonts w:ascii="Arial" w:cs="Arial" w:eastAsia="Arial" w:hAnsi="Arial"/>
          <w:sz w:val="16"/>
          <w:szCs w:val="16"/>
          <w:color w:val="auto"/>
        </w:rPr>
      </w:pPr>
    </w:p>
    <w:p>
      <w:pPr>
        <w:jc w:val="both"/>
        <w:ind w:left="180" w:right="260" w:hanging="155"/>
        <w:spacing w:after="0" w:line="306" w:lineRule="auto"/>
        <w:tabs>
          <w:tab w:leader="none" w:pos="156"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Monitored </w:t>
      </w:r>
      <w:r>
        <w:rPr>
          <w:rFonts w:ascii="Arial" w:cs="Arial" w:eastAsia="Arial" w:hAnsi="Arial"/>
          <w:sz w:val="16"/>
          <w:szCs w:val="16"/>
          <w:color w:val="auto"/>
        </w:rPr>
        <w:t>the effectiveness of HSSE policies, management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procedures and practices through the receipt of reports on</w:t>
      </w:r>
    </w:p>
    <w:p>
      <w:pPr>
        <w:spacing w:after="0" w:line="1" w:lineRule="exact"/>
        <w:rPr>
          <w:rFonts w:ascii="Arial" w:cs="Arial" w:eastAsia="Arial" w:hAnsi="Arial"/>
          <w:sz w:val="16"/>
          <w:szCs w:val="16"/>
          <w:color w:val="auto"/>
        </w:rPr>
      </w:pPr>
    </w:p>
    <w:p>
      <w:pPr>
        <w:ind w:left="180"/>
        <w:spacing w:after="0" w:line="297" w:lineRule="auto"/>
        <w:rPr>
          <w:rFonts w:ascii="Arial" w:cs="Arial" w:eastAsia="Arial" w:hAnsi="Arial"/>
          <w:sz w:val="16"/>
          <w:szCs w:val="16"/>
          <w:color w:val="auto"/>
        </w:rPr>
      </w:pPr>
      <w:r>
        <w:rPr>
          <w:rFonts w:ascii="Arial" w:cs="Arial" w:eastAsia="Arial" w:hAnsi="Arial"/>
          <w:sz w:val="16"/>
          <w:szCs w:val="16"/>
          <w:color w:val="auto"/>
        </w:rPr>
        <w:t>ongoing improvement and simplification initiatives, including improvements to TC Energy's Operational Management System (TOMS).</w:t>
      </w:r>
    </w:p>
    <w:p>
      <w:pPr>
        <w:spacing w:after="0" w:line="1" w:lineRule="exact"/>
        <w:rPr>
          <w:rFonts w:ascii="Arial" w:cs="Arial" w:eastAsia="Arial" w:hAnsi="Arial"/>
          <w:sz w:val="16"/>
          <w:szCs w:val="16"/>
          <w:color w:val="auto"/>
        </w:rPr>
      </w:pPr>
    </w:p>
    <w:p>
      <w:pPr>
        <w:ind w:left="180" w:right="400" w:hanging="155"/>
        <w:spacing w:after="0" w:line="306" w:lineRule="auto"/>
        <w:tabs>
          <w:tab w:leader="none" w:pos="156"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updates on various projects, including Cedar Link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Southeast Gateway project.</w:t>
      </w:r>
    </w:p>
    <w:p>
      <w:pPr>
        <w:spacing w:after="0" w:line="1" w:lineRule="exact"/>
        <w:rPr>
          <w:rFonts w:ascii="Arial" w:cs="Arial" w:eastAsia="Arial" w:hAnsi="Arial"/>
          <w:sz w:val="16"/>
          <w:szCs w:val="16"/>
          <w:color w:val="auto"/>
        </w:rPr>
      </w:pPr>
    </w:p>
    <w:p>
      <w:pPr>
        <w:ind w:left="180" w:right="320" w:hanging="155"/>
        <w:spacing w:after="0" w:line="306" w:lineRule="auto"/>
        <w:tabs>
          <w:tab w:leader="none" w:pos="156"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Southeast Gateway project strategic performance look</w:t>
      </w:r>
      <w:r>
        <w:rPr>
          <w:rFonts w:ascii="Arial" w:cs="Arial" w:eastAsia="Arial" w:hAnsi="Arial"/>
          <w:sz w:val="16"/>
          <w:szCs w:val="16"/>
          <w:b w:val="1"/>
          <w:bCs w:val="1"/>
          <w:color w:val="auto"/>
        </w:rPr>
        <w:t xml:space="preserve"> </w:t>
      </w:r>
      <w:r>
        <w:rPr>
          <w:rFonts w:ascii="Arial" w:cs="Arial" w:eastAsia="Arial" w:hAnsi="Arial"/>
          <w:sz w:val="16"/>
          <w:szCs w:val="16"/>
          <w:color w:val="auto"/>
        </w:rPr>
        <w:t>back, which outlined key deliverables and insights across safety performance, management practices, planning, cost outcomes and overall execution to inform current and future projects.</w:t>
      </w:r>
    </w:p>
    <w:p>
      <w:pPr>
        <w:spacing w:after="0" w:line="2" w:lineRule="exact"/>
        <w:rPr>
          <w:rFonts w:ascii="Arial" w:cs="Arial" w:eastAsia="Arial" w:hAnsi="Arial"/>
          <w:sz w:val="16"/>
          <w:szCs w:val="16"/>
          <w:color w:val="auto"/>
        </w:rPr>
      </w:pPr>
    </w:p>
    <w:p>
      <w:pPr>
        <w:jc w:val="both"/>
        <w:ind w:left="180" w:right="320" w:hanging="155"/>
        <w:spacing w:after="0" w:line="303" w:lineRule="auto"/>
        <w:tabs>
          <w:tab w:leader="none" w:pos="156"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and reviewed regular reports on the operational and HSSE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at Bruce Power, including status updates regarding the major component replacement.</w:t>
      </w:r>
    </w:p>
    <w:p>
      <w:pPr>
        <w:spacing w:after="0" w:line="1" w:lineRule="exact"/>
        <w:rPr>
          <w:rFonts w:ascii="Arial" w:cs="Arial" w:eastAsia="Arial" w:hAnsi="Arial"/>
          <w:sz w:val="16"/>
          <w:szCs w:val="16"/>
          <w:color w:val="auto"/>
        </w:rPr>
      </w:pPr>
    </w:p>
    <w:p>
      <w:pPr>
        <w:ind w:left="180" w:right="500" w:hanging="155"/>
        <w:spacing w:after="0" w:line="306" w:lineRule="auto"/>
        <w:tabs>
          <w:tab w:leader="none" w:pos="156"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the People Health Trends and Industrial Hygiene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reviews.</w:t>
      </w:r>
    </w:p>
    <w:p>
      <w:pPr>
        <w:spacing w:after="0" w:line="1" w:lineRule="exact"/>
        <w:rPr>
          <w:rFonts w:ascii="Arial" w:cs="Arial" w:eastAsia="Arial" w:hAnsi="Arial"/>
          <w:sz w:val="16"/>
          <w:szCs w:val="16"/>
          <w:color w:val="auto"/>
        </w:rPr>
      </w:pPr>
    </w:p>
    <w:p>
      <w:pPr>
        <w:ind w:left="160" w:hanging="135"/>
        <w:spacing w:after="0"/>
        <w:tabs>
          <w:tab w:leader="none" w:pos="16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updates on a review of aviation operations.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Policy and Standards Review</w:t>
      </w:r>
    </w:p>
    <w:p>
      <w:pPr>
        <w:spacing w:after="0" w:line="42" w:lineRule="exact"/>
        <w:rPr>
          <w:sz w:val="20"/>
          <w:szCs w:val="20"/>
          <w:color w:val="auto"/>
        </w:rPr>
      </w:pPr>
    </w:p>
    <w:p>
      <w:pPr>
        <w:ind w:left="140" w:hanging="138"/>
        <w:spacing w:after="0"/>
        <w:tabs>
          <w:tab w:leader="none" w:pos="14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HSSE Committee charter.</w:t>
      </w:r>
    </w:p>
    <w:p>
      <w:pPr>
        <w:spacing w:after="0" w:line="44" w:lineRule="exact"/>
        <w:rPr>
          <w:rFonts w:ascii="Arial" w:cs="Arial" w:eastAsia="Arial" w:hAnsi="Arial"/>
          <w:sz w:val="16"/>
          <w:szCs w:val="16"/>
          <w:b w:val="1"/>
          <w:bCs w:val="1"/>
          <w:color w:val="auto"/>
        </w:rPr>
      </w:pPr>
    </w:p>
    <w:p>
      <w:pPr>
        <w:ind w:left="140" w:hanging="138"/>
        <w:spacing w:after="0"/>
        <w:tabs>
          <w:tab w:leader="none" w:pos="14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Received and reviewed </w:t>
      </w:r>
      <w:r>
        <w:rPr>
          <w:rFonts w:ascii="Arial" w:cs="Arial" w:eastAsia="Arial" w:hAnsi="Arial"/>
          <w:sz w:val="16"/>
          <w:szCs w:val="16"/>
          <w:color w:val="auto"/>
        </w:rPr>
        <w:t>updates on TC Energy's Safety Culture Plan.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Operational Risk Management and Emergency Preparedness</w:t>
      </w:r>
    </w:p>
    <w:p>
      <w:pPr>
        <w:spacing w:after="0" w:line="42" w:lineRule="exact"/>
        <w:rPr>
          <w:sz w:val="20"/>
          <w:szCs w:val="20"/>
          <w:color w:val="auto"/>
        </w:rPr>
      </w:pPr>
    </w:p>
    <w:p>
      <w:pPr>
        <w:ind w:left="160" w:right="280" w:hanging="158"/>
        <w:spacing w:after="0" w:line="306" w:lineRule="auto"/>
        <w:tabs>
          <w:tab w:leader="none" w:pos="136"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an update on TC Energy's Emergency Management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review of 2025 areas of focus.</w:t>
      </w:r>
    </w:p>
    <w:p>
      <w:pPr>
        <w:spacing w:after="0" w:line="1" w:lineRule="exact"/>
        <w:rPr>
          <w:rFonts w:ascii="Arial" w:cs="Arial" w:eastAsia="Arial" w:hAnsi="Arial"/>
          <w:sz w:val="16"/>
          <w:szCs w:val="16"/>
          <w:b w:val="1"/>
          <w:bCs w:val="1"/>
          <w:color w:val="auto"/>
        </w:rPr>
      </w:pPr>
    </w:p>
    <w:p>
      <w:pPr>
        <w:ind w:left="160" w:right="180" w:hanging="158"/>
        <w:spacing w:after="0" w:line="306" w:lineRule="auto"/>
        <w:tabs>
          <w:tab w:leader="none" w:pos="136"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Oversaw </w:t>
      </w:r>
      <w:r>
        <w:rPr>
          <w:rFonts w:ascii="Arial" w:cs="Arial" w:eastAsia="Arial" w:hAnsi="Arial"/>
          <w:sz w:val="16"/>
          <w:szCs w:val="16"/>
          <w:color w:val="auto"/>
        </w:rPr>
        <w:t>our risk management activities related to HSSE, and reported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as appropriate.</w:t>
      </w:r>
    </w:p>
    <w:p>
      <w:pPr>
        <w:spacing w:after="0" w:line="1" w:lineRule="exact"/>
        <w:rPr>
          <w:rFonts w:ascii="Arial" w:cs="Arial" w:eastAsia="Arial" w:hAnsi="Arial"/>
          <w:sz w:val="16"/>
          <w:szCs w:val="16"/>
          <w:b w:val="1"/>
          <w:bCs w:val="1"/>
          <w:color w:val="auto"/>
        </w:rPr>
      </w:pPr>
    </w:p>
    <w:p>
      <w:pPr>
        <w:ind w:left="140" w:hanging="138"/>
        <w:spacing w:after="0"/>
        <w:tabs>
          <w:tab w:leader="none" w:pos="14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Attended </w:t>
      </w:r>
      <w:r>
        <w:rPr>
          <w:rFonts w:ascii="Arial" w:cs="Arial" w:eastAsia="Arial" w:hAnsi="Arial"/>
          <w:sz w:val="16"/>
          <w:szCs w:val="16"/>
          <w:color w:val="auto"/>
        </w:rPr>
        <w:t>a LNG Canada site visit in Kitimat, British Columbia.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Sustainability Oversight</w:t>
      </w:r>
    </w:p>
    <w:p>
      <w:pPr>
        <w:spacing w:after="0" w:line="56" w:lineRule="exact"/>
        <w:rPr>
          <w:sz w:val="20"/>
          <w:szCs w:val="20"/>
          <w:color w:val="auto"/>
        </w:rPr>
      </w:pPr>
    </w:p>
    <w:p>
      <w:pPr>
        <w:ind w:left="160" w:right="240" w:hanging="158"/>
        <w:spacing w:after="0" w:line="303" w:lineRule="auto"/>
        <w:tabs>
          <w:tab w:leader="none" w:pos="136"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Monitored </w:t>
      </w:r>
      <w:r>
        <w:rPr>
          <w:rFonts w:ascii="Arial" w:cs="Arial" w:eastAsia="Arial" w:hAnsi="Arial"/>
          <w:sz w:val="16"/>
          <w:szCs w:val="16"/>
          <w:color w:val="auto"/>
        </w:rPr>
        <w:t>developments in Canadian, U.S. and Mexico legislation on air</w:t>
      </w:r>
      <w:r>
        <w:rPr>
          <w:rFonts w:ascii="Arial" w:cs="Arial" w:eastAsia="Arial" w:hAnsi="Arial"/>
          <w:sz w:val="16"/>
          <w:szCs w:val="16"/>
          <w:b w:val="1"/>
          <w:bCs w:val="1"/>
          <w:color w:val="auto"/>
        </w:rPr>
        <w:t xml:space="preserve"> </w:t>
      </w:r>
      <w:r>
        <w:rPr>
          <w:rFonts w:ascii="Arial" w:cs="Arial" w:eastAsia="Arial" w:hAnsi="Arial"/>
          <w:sz w:val="16"/>
          <w:szCs w:val="16"/>
          <w:color w:val="auto"/>
        </w:rPr>
        <w:t>emissions, greenhouse gas legislation, climate change initiatives and related compliance matters for impacts to TC Energy.</w:t>
      </w:r>
    </w:p>
    <w:p>
      <w:pPr>
        <w:spacing w:after="0" w:line="1" w:lineRule="exact"/>
        <w:rPr>
          <w:rFonts w:ascii="Arial" w:cs="Arial" w:eastAsia="Arial" w:hAnsi="Arial"/>
          <w:sz w:val="16"/>
          <w:szCs w:val="16"/>
          <w:b w:val="1"/>
          <w:bCs w:val="1"/>
          <w:color w:val="auto"/>
        </w:rPr>
      </w:pPr>
    </w:p>
    <w:p>
      <w:pPr>
        <w:ind w:left="160" w:right="40" w:hanging="158"/>
        <w:spacing w:after="0" w:line="303" w:lineRule="auto"/>
        <w:tabs>
          <w:tab w:leader="none" w:pos="136"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Received and reviewed </w:t>
      </w:r>
      <w:r>
        <w:rPr>
          <w:rFonts w:ascii="Arial" w:cs="Arial" w:eastAsia="Arial" w:hAnsi="Arial"/>
          <w:sz w:val="16"/>
          <w:szCs w:val="16"/>
          <w:color w:val="auto"/>
        </w:rPr>
        <w:t>regular updates on the progression of TC Energy's</w:t>
      </w:r>
      <w:r>
        <w:rPr>
          <w:rFonts w:ascii="Arial" w:cs="Arial" w:eastAsia="Arial" w:hAnsi="Arial"/>
          <w:sz w:val="16"/>
          <w:szCs w:val="16"/>
          <w:b w:val="1"/>
          <w:bCs w:val="1"/>
          <w:color w:val="auto"/>
        </w:rPr>
        <w:t xml:space="preserve"> </w:t>
      </w:r>
      <w:r>
        <w:rPr>
          <w:rFonts w:ascii="Arial" w:cs="Arial" w:eastAsia="Arial" w:hAnsi="Arial"/>
          <w:sz w:val="16"/>
          <w:szCs w:val="16"/>
          <w:color w:val="auto"/>
        </w:rPr>
        <w:t>sustainability commitments and oversaw TC Energy's voluntary disclosure on HSSE sustainability matters, including the Report on Sustainability.</w:t>
      </w:r>
    </w:p>
    <w:p>
      <w:pPr>
        <w:spacing w:after="0" w:line="1" w:lineRule="exact"/>
        <w:rPr>
          <w:rFonts w:ascii="Arial" w:cs="Arial" w:eastAsia="Arial" w:hAnsi="Arial"/>
          <w:sz w:val="16"/>
          <w:szCs w:val="16"/>
          <w:color w:val="auto"/>
        </w:rPr>
      </w:pPr>
    </w:p>
    <w:p>
      <w:pPr>
        <w:ind w:left="160" w:right="600" w:hanging="158"/>
        <w:spacing w:after="0" w:line="326" w:lineRule="auto"/>
        <w:tabs>
          <w:tab w:leader="none" w:pos="149" w:val="left"/>
        </w:tabs>
        <w:numPr>
          <w:ilvl w:val="0"/>
          <w:numId w:val="86"/>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 xml:space="preserve">Received </w:t>
      </w:r>
      <w:r>
        <w:rPr>
          <w:rFonts w:ascii="Arial" w:cs="Arial" w:eastAsia="Arial" w:hAnsi="Arial"/>
          <w:sz w:val="16"/>
          <w:szCs w:val="16"/>
          <w:color w:val="auto"/>
        </w:rPr>
        <w:t>an overview of current engagement, relationships and</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with Indigenous Groups and received an update on the Reconciliation Action Plan.</w:t>
      </w:r>
    </w:p>
    <w:p>
      <w:pPr>
        <w:spacing w:after="0" w:line="1784" w:lineRule="exact"/>
        <w:rPr>
          <w:sz w:val="20"/>
          <w:szCs w:val="20"/>
          <w:color w:val="auto"/>
        </w:rPr>
      </w:pPr>
    </w:p>
    <w:p>
      <w:pPr>
        <w:sectPr>
          <w:pgSz w:w="11900" w:h="16838" w:orient="portrait"/>
          <w:cols w:equalWidth="0" w:num="2">
            <w:col w:w="5420" w:space="220"/>
            <w:col w:w="5600"/>
          </w:cols>
          <w:pgMar w:left="320" w:top="10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69</w:t>
      </w:r>
    </w:p>
    <w:p>
      <w:pPr>
        <w:sectPr>
          <w:pgSz w:w="11900" w:h="16838" w:orient="portrait"/>
          <w:cols w:equalWidth="0" w:num="1">
            <w:col w:w="11240"/>
          </w:cols>
          <w:pgMar w:left="320" w:top="1048" w:right="339" w:bottom="1440" w:gutter="0" w:footer="0" w:header="0"/>
          <w:type w:val="continuous"/>
        </w:sectPr>
      </w:pPr>
    </w:p>
    <w:bookmarkStart w:id="75" w:name="page76"/>
    <w:bookmarkEnd w:id="75"/>
    <w:p>
      <w:pPr>
        <w:ind w:left="180"/>
        <w:spacing w:after="0"/>
        <w:rPr>
          <w:sz w:val="20"/>
          <w:szCs w:val="20"/>
          <w:color w:val="auto"/>
        </w:rPr>
      </w:pPr>
      <w:r>
        <w:rPr>
          <w:rFonts w:ascii="Arial" w:cs="Arial" w:eastAsia="Arial" w:hAnsi="Arial"/>
          <w:sz w:val="28"/>
          <w:szCs w:val="28"/>
          <w:color w:val="0D64EF"/>
        </w:rPr>
        <w:t>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-191770</wp:posOffset>
            </wp:positionV>
            <wp:extent cx="7093585" cy="20904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3585" cy="2090420"/>
                    </a:xfrm>
                    <a:prstGeom prst="rect">
                      <a:avLst/>
                    </a:prstGeom>
                    <a:noFill/>
                  </pic:spPr>
                </pic:pic>
              </a:graphicData>
            </a:graphic>
          </wp:anchor>
        </w:drawing>
      </w:r>
    </w:p>
    <w:p>
      <w:pPr>
        <w:sectPr>
          <w:pgSz w:w="11900" w:h="16838" w:orient="portrait"/>
          <w:cols w:equalWidth="0" w:num="1">
            <w:col w:w="11180"/>
          </w:cols>
          <w:pgMar w:left="320" w:top="1048" w:right="399" w:bottom="1440" w:gutter="0" w:footer="0" w:header="0"/>
        </w:sectPr>
      </w:pPr>
    </w:p>
    <w:p>
      <w:pPr>
        <w:spacing w:after="0" w:line="11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Current members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William D. Johnson (Chair)</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Scott Bonham</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Susan C. Jones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John E. Lowe</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Siim A. Vanaselja</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Dheeraj "D" Verma</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Other members that served</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during the year</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Indira Samarasekera (retired May 8, 2025)</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4 regularly scheduled meetings (February, September, November, December)</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Independence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6 independent directors, 100 per cent independent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Mandate</w:t>
      </w:r>
    </w:p>
    <w:p>
      <w:pPr>
        <w:spacing w:after="0" w:line="67" w:lineRule="exact"/>
        <w:rPr>
          <w:sz w:val="20"/>
          <w:szCs w:val="20"/>
          <w:color w:val="auto"/>
        </w:rPr>
      </w:pPr>
    </w:p>
    <w:p>
      <w:pPr>
        <w:jc w:val="both"/>
        <w:ind w:right="140"/>
        <w:spacing w:after="0" w:line="301" w:lineRule="auto"/>
        <w:rPr>
          <w:sz w:val="20"/>
          <w:szCs w:val="20"/>
          <w:color w:val="auto"/>
        </w:rPr>
      </w:pPr>
      <w:r>
        <w:rPr>
          <w:rFonts w:ascii="Arial" w:cs="Arial" w:eastAsia="Arial" w:hAnsi="Arial"/>
          <w:sz w:val="14"/>
          <w:szCs w:val="14"/>
          <w:color w:val="auto"/>
        </w:rPr>
        <w:t>The Human Resources Committee is responsible for assisting the Board with developing strong human resources policies and plans, overseeing the compensation programs and assessing the performance of the CEO and each executive vice-president against pre-established objectives and recommending their compensation to the Board.</w:t>
      </w:r>
    </w:p>
    <w:p>
      <w:pPr>
        <w:spacing w:after="0" w:line="5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It approves and, as applicable, recommends to the Board executive incentive awards, and any major changes to the compensation programs and benefits plans for employees. It also reviews the benefits under our Canadian pension plans and share ownership requirements for executives.</w:t>
      </w:r>
    </w:p>
    <w:p>
      <w:pPr>
        <w:spacing w:after="0" w:line="200" w:lineRule="exact"/>
        <w:rPr>
          <w:sz w:val="20"/>
          <w:szCs w:val="20"/>
          <w:color w:val="auto"/>
        </w:rPr>
      </w:pPr>
    </w:p>
    <w:p>
      <w:pPr>
        <w:sectPr>
          <w:pgSz w:w="11900" w:h="16838" w:orient="portrait"/>
          <w:cols w:equalWidth="0" w:num="2">
            <w:col w:w="3120" w:space="720"/>
            <w:col w:w="7340"/>
          </w:cols>
          <w:pgMar w:left="320" w:top="1048" w:right="399" w:bottom="1440" w:gutter="0" w:footer="0" w:header="0"/>
          <w:type w:val="continuous"/>
        </w:sect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Human Resources Committee meets </w:t>
      </w:r>
      <w:r>
        <w:rPr>
          <w:rFonts w:ascii="Arial" w:cs="Arial" w:eastAsia="Arial" w:hAnsi="Arial"/>
          <w:sz w:val="14"/>
          <w:szCs w:val="14"/>
          <w:i w:val="1"/>
          <w:iCs w:val="1"/>
          <w:color w:val="auto"/>
        </w:rPr>
        <w:t>in-camera</w:t>
      </w:r>
      <w:r>
        <w:rPr>
          <w:rFonts w:ascii="Arial" w:cs="Arial" w:eastAsia="Arial" w:hAnsi="Arial"/>
          <w:sz w:val="14"/>
          <w:szCs w:val="14"/>
          <w:color w:val="auto"/>
        </w:rPr>
        <w:t xml:space="preserve"> at the beginning and end of each meeting.</w:t>
      </w:r>
    </w:p>
    <w:p>
      <w:pPr>
        <w:sectPr>
          <w:pgSz w:w="11900" w:h="16838" w:orient="portrait"/>
          <w:cols w:equalWidth="0" w:num="1">
            <w:col w:w="11180"/>
          </w:cols>
          <w:pgMar w:left="320" w:top="1048" w:right="39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highlights</w:t>
      </w:r>
    </w:p>
    <w:p>
      <w:pPr>
        <w:spacing w:after="0" w:line="100" w:lineRule="exact"/>
        <w:rPr>
          <w:sz w:val="20"/>
          <w:szCs w:val="20"/>
          <w:color w:val="auto"/>
        </w:rPr>
      </w:pPr>
    </w:p>
    <w:p>
      <w:pPr>
        <w:ind w:left="20" w:right="140"/>
        <w:spacing w:after="0" w:line="305" w:lineRule="auto"/>
        <w:rPr>
          <w:sz w:val="20"/>
          <w:szCs w:val="20"/>
          <w:color w:val="auto"/>
        </w:rPr>
      </w:pPr>
      <w:r>
        <w:rPr>
          <w:rFonts w:ascii="Arial" w:cs="Arial" w:eastAsia="Arial" w:hAnsi="Arial"/>
          <w:sz w:val="16"/>
          <w:szCs w:val="16"/>
          <w:b w:val="1"/>
          <w:bCs w:val="1"/>
          <w:i w:val="1"/>
          <w:iCs w:val="1"/>
          <w:color w:val="auto"/>
        </w:rPr>
        <w:t>Compensation Governance and Strategy</w:t>
      </w:r>
    </w:p>
    <w:p>
      <w:pPr>
        <w:spacing w:after="0" w:line="1" w:lineRule="exact"/>
        <w:rPr>
          <w:sz w:val="20"/>
          <w:szCs w:val="20"/>
          <w:color w:val="auto"/>
        </w:rPr>
      </w:pPr>
    </w:p>
    <w:p>
      <w:pPr>
        <w:ind w:left="180" w:right="320" w:hanging="155"/>
        <w:spacing w:after="0" w:line="306" w:lineRule="auto"/>
        <w:tabs>
          <w:tab w:leader="none" w:pos="156"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 xml:space="preserve">Reappointed </w:t>
      </w:r>
      <w:r>
        <w:rPr>
          <w:rFonts w:ascii="Arial" w:cs="Arial" w:eastAsia="Arial" w:hAnsi="Arial"/>
          <w:sz w:val="16"/>
          <w:szCs w:val="16"/>
          <w:color w:val="auto"/>
        </w:rPr>
        <w:t>Meridian as the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compensation</w:t>
      </w:r>
    </w:p>
    <w:p>
      <w:pPr>
        <w:spacing w:after="0" w:line="1" w:lineRule="exact"/>
        <w:rPr>
          <w:rFonts w:ascii="Arial" w:cs="Arial" w:eastAsia="Arial" w:hAnsi="Arial"/>
          <w:sz w:val="16"/>
          <w:szCs w:val="16"/>
          <w:color w:val="auto"/>
        </w:rPr>
      </w:pPr>
    </w:p>
    <w:p>
      <w:pPr>
        <w:ind w:left="180" w:right="60"/>
        <w:spacing w:after="0" w:line="302" w:lineRule="auto"/>
        <w:rPr>
          <w:rFonts w:ascii="Arial" w:cs="Arial" w:eastAsia="Arial" w:hAnsi="Arial"/>
          <w:sz w:val="16"/>
          <w:szCs w:val="16"/>
          <w:color w:val="auto"/>
        </w:rPr>
      </w:pPr>
      <w:r>
        <w:rPr>
          <w:rFonts w:ascii="Arial" w:cs="Arial" w:eastAsia="Arial" w:hAnsi="Arial"/>
          <w:sz w:val="16"/>
          <w:szCs w:val="16"/>
          <w:color w:val="auto"/>
        </w:rPr>
        <w:t>advisor to the Human Resources Committee after determining that Meridian is independent under NYSE criteria.</w:t>
      </w:r>
    </w:p>
    <w:p>
      <w:pPr>
        <w:spacing w:after="0" w:line="1" w:lineRule="exact"/>
        <w:rPr>
          <w:rFonts w:ascii="Arial" w:cs="Arial" w:eastAsia="Arial" w:hAnsi="Arial"/>
          <w:sz w:val="16"/>
          <w:szCs w:val="16"/>
          <w:color w:val="auto"/>
        </w:rPr>
      </w:pPr>
    </w:p>
    <w:p>
      <w:pPr>
        <w:ind w:left="180" w:hanging="155"/>
        <w:spacing w:after="0" w:line="306" w:lineRule="auto"/>
        <w:tabs>
          <w:tab w:leader="none" w:pos="156"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external</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 assessments and the outcome of its say on pay vote from the 2025 annual meeting.</w:t>
      </w:r>
    </w:p>
    <w:p>
      <w:pPr>
        <w:spacing w:after="0" w:line="2" w:lineRule="exact"/>
        <w:rPr>
          <w:rFonts w:ascii="Arial" w:cs="Arial" w:eastAsia="Arial" w:hAnsi="Arial"/>
          <w:sz w:val="16"/>
          <w:szCs w:val="16"/>
          <w:color w:val="auto"/>
        </w:rPr>
      </w:pPr>
    </w:p>
    <w:p>
      <w:pPr>
        <w:ind w:left="180" w:right="20" w:hanging="155"/>
        <w:spacing w:after="0" w:line="306" w:lineRule="auto"/>
        <w:tabs>
          <w:tab w:leader="none" w:pos="156"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alignment of actual</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earned with</w:t>
      </w:r>
    </w:p>
    <w:p>
      <w:pPr>
        <w:spacing w:after="0" w:line="1" w:lineRule="exact"/>
        <w:rPr>
          <w:rFonts w:ascii="Arial" w:cs="Arial" w:eastAsia="Arial" w:hAnsi="Arial"/>
          <w:sz w:val="16"/>
          <w:szCs w:val="16"/>
          <w:color w:val="auto"/>
        </w:rPr>
      </w:pPr>
    </w:p>
    <w:p>
      <w:pPr>
        <w:ind w:left="180" w:right="120"/>
        <w:spacing w:after="0" w:line="337" w:lineRule="auto"/>
        <w:rPr>
          <w:rFonts w:ascii="Arial" w:cs="Arial" w:eastAsia="Arial" w:hAnsi="Arial"/>
          <w:sz w:val="16"/>
          <w:szCs w:val="16"/>
          <w:color w:val="auto"/>
        </w:rPr>
      </w:pPr>
      <w:r>
        <w:rPr>
          <w:rFonts w:ascii="Arial" w:cs="Arial" w:eastAsia="Arial" w:hAnsi="Arial"/>
          <w:sz w:val="16"/>
          <w:szCs w:val="16"/>
          <w:color w:val="auto"/>
        </w:rPr>
        <w:t>performance over the applicable measurement periods.</w:t>
      </w:r>
    </w:p>
    <w:p>
      <w:pPr>
        <w:spacing w:after="0" w:line="50" w:lineRule="exact"/>
        <w:rPr>
          <w:sz w:val="20"/>
          <w:szCs w:val="20"/>
          <w:color w:val="auto"/>
        </w:rPr>
      </w:pPr>
    </w:p>
    <w:p>
      <w:pPr>
        <w:ind w:left="20" w:right="180"/>
        <w:spacing w:after="0" w:line="296" w:lineRule="auto"/>
        <w:rPr>
          <w:sz w:val="20"/>
          <w:szCs w:val="20"/>
          <w:color w:val="auto"/>
        </w:rPr>
      </w:pPr>
      <w:r>
        <w:rPr>
          <w:rFonts w:ascii="Arial" w:cs="Arial" w:eastAsia="Arial" w:hAnsi="Arial"/>
          <w:sz w:val="16"/>
          <w:szCs w:val="16"/>
          <w:b w:val="1"/>
          <w:bCs w:val="1"/>
          <w:i w:val="1"/>
          <w:iCs w:val="1"/>
          <w:color w:val="auto"/>
        </w:rPr>
        <w:t>Long-Term Incentive Plans and Benefits</w:t>
      </w:r>
    </w:p>
    <w:p>
      <w:pPr>
        <w:spacing w:after="0" w:line="1" w:lineRule="exact"/>
        <w:rPr>
          <w:sz w:val="20"/>
          <w:szCs w:val="20"/>
          <w:color w:val="auto"/>
        </w:rPr>
      </w:pPr>
    </w:p>
    <w:p>
      <w:pPr>
        <w:ind w:left="180" w:right="40" w:hanging="155"/>
        <w:spacing w:after="0" w:line="354" w:lineRule="auto"/>
        <w:tabs>
          <w:tab w:leader="none" w:pos="156"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governance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Canadian Pension Plan.</w:t>
      </w:r>
    </w:p>
    <w:p>
      <w:pPr>
        <w:spacing w:after="0" w:line="24" w:lineRule="exact"/>
        <w:rPr>
          <w:sz w:val="20"/>
          <w:szCs w:val="20"/>
          <w:color w:val="auto"/>
        </w:rPr>
      </w:pPr>
    </w:p>
    <w:p>
      <w:pPr>
        <w:ind w:left="20" w:right="320"/>
        <w:spacing w:after="0" w:line="305" w:lineRule="auto"/>
        <w:rPr>
          <w:sz w:val="20"/>
          <w:szCs w:val="20"/>
          <w:color w:val="auto"/>
        </w:rPr>
      </w:pPr>
      <w:r>
        <w:rPr>
          <w:rFonts w:ascii="Arial" w:cs="Arial" w:eastAsia="Arial" w:hAnsi="Arial"/>
          <w:sz w:val="16"/>
          <w:szCs w:val="16"/>
          <w:b w:val="1"/>
          <w:bCs w:val="1"/>
          <w:i w:val="1"/>
          <w:iCs w:val="1"/>
          <w:color w:val="auto"/>
        </w:rPr>
        <w:t>Executive Compensation and Succession Planning</w:t>
      </w:r>
    </w:p>
    <w:p>
      <w:pPr>
        <w:spacing w:after="0" w:line="1" w:lineRule="exact"/>
        <w:rPr>
          <w:sz w:val="20"/>
          <w:szCs w:val="20"/>
          <w:color w:val="auto"/>
        </w:rPr>
      </w:pPr>
    </w:p>
    <w:p>
      <w:pPr>
        <w:ind w:left="180" w:right="400" w:hanging="155"/>
        <w:spacing w:after="0" w:line="306" w:lineRule="auto"/>
        <w:tabs>
          <w:tab w:leader="none" w:pos="156"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Approved </w:t>
      </w:r>
      <w:r>
        <w:rPr>
          <w:rFonts w:ascii="Arial" w:cs="Arial" w:eastAsia="Arial" w:hAnsi="Arial"/>
          <w:sz w:val="16"/>
          <w:szCs w:val="16"/>
          <w:color w:val="auto"/>
        </w:rPr>
        <w:t>changes to share</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requirements.</w:t>
      </w:r>
    </w:p>
    <w:p>
      <w:pPr>
        <w:spacing w:after="0" w:line="1" w:lineRule="exact"/>
        <w:rPr>
          <w:rFonts w:ascii="Arial" w:cs="Arial" w:eastAsia="Arial" w:hAnsi="Arial"/>
          <w:sz w:val="16"/>
          <w:szCs w:val="16"/>
          <w:b w:val="1"/>
          <w:bCs w:val="1"/>
          <w:color w:val="auto"/>
        </w:rPr>
      </w:pPr>
    </w:p>
    <w:p>
      <w:pPr>
        <w:ind w:left="160" w:hanging="135"/>
        <w:spacing w:after="0"/>
        <w:tabs>
          <w:tab w:leader="none" w:pos="16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Reviewed and recommended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Compensation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Succession Planning cont.</w:t>
      </w:r>
    </w:p>
    <w:p>
      <w:pPr>
        <w:spacing w:after="0" w:line="56" w:lineRule="exact"/>
        <w:rPr>
          <w:sz w:val="20"/>
          <w:szCs w:val="20"/>
          <w:color w:val="auto"/>
        </w:rPr>
      </w:pPr>
    </w:p>
    <w:p>
      <w:pPr>
        <w:ind w:left="160" w:right="5860" w:hanging="153"/>
        <w:spacing w:after="0" w:line="306" w:lineRule="auto"/>
        <w:tabs>
          <w:tab w:leader="none" w:pos="136"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the risks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its compensation programs.</w:t>
      </w:r>
    </w:p>
    <w:p>
      <w:pPr>
        <w:spacing w:after="0" w:line="1" w:lineRule="exact"/>
        <w:rPr>
          <w:rFonts w:ascii="Arial" w:cs="Arial" w:eastAsia="Arial" w:hAnsi="Arial"/>
          <w:sz w:val="16"/>
          <w:szCs w:val="16"/>
          <w:color w:val="auto"/>
        </w:rPr>
      </w:pPr>
    </w:p>
    <w:p>
      <w:pPr>
        <w:ind w:left="160" w:right="6080" w:hanging="153"/>
        <w:spacing w:after="0" w:line="303" w:lineRule="auto"/>
        <w:tabs>
          <w:tab w:leader="none" w:pos="136"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Reviewed and approved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named executive officer compensation peer group,</w:t>
      </w:r>
    </w:p>
    <w:p>
      <w:pPr>
        <w:spacing w:after="0" w:line="1" w:lineRule="exact"/>
        <w:rPr>
          <w:rFonts w:ascii="Arial" w:cs="Arial" w:eastAsia="Arial" w:hAnsi="Arial"/>
          <w:sz w:val="16"/>
          <w:szCs w:val="16"/>
          <w:color w:val="auto"/>
        </w:rPr>
      </w:pPr>
    </w:p>
    <w:p>
      <w:pPr>
        <w:ind w:left="160" w:right="5740"/>
        <w:spacing w:after="0" w:line="306" w:lineRule="auto"/>
        <w:rPr>
          <w:rFonts w:ascii="Arial" w:cs="Arial" w:eastAsia="Arial" w:hAnsi="Arial"/>
          <w:sz w:val="16"/>
          <w:szCs w:val="16"/>
          <w:color w:val="auto"/>
        </w:rPr>
      </w:pPr>
      <w:r>
        <w:rPr>
          <w:rFonts w:ascii="Arial" w:cs="Arial" w:eastAsia="Arial" w:hAnsi="Arial"/>
          <w:sz w:val="16"/>
          <w:szCs w:val="16"/>
          <w:color w:val="auto"/>
        </w:rPr>
        <w:t>including amendments to the peer group for 2025.</w:t>
      </w:r>
    </w:p>
    <w:p>
      <w:pPr>
        <w:spacing w:after="0" w:line="1" w:lineRule="exact"/>
        <w:rPr>
          <w:rFonts w:ascii="Arial" w:cs="Arial" w:eastAsia="Arial" w:hAnsi="Arial"/>
          <w:sz w:val="16"/>
          <w:szCs w:val="16"/>
          <w:color w:val="auto"/>
        </w:rPr>
      </w:pPr>
    </w:p>
    <w:p>
      <w:pPr>
        <w:ind w:left="160" w:right="5940" w:hanging="153"/>
        <w:spacing w:after="0" w:line="297" w:lineRule="auto"/>
        <w:tabs>
          <w:tab w:leader="none" w:pos="136"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Approved </w:t>
      </w:r>
      <w:r>
        <w:rPr>
          <w:rFonts w:ascii="Arial" w:cs="Arial" w:eastAsia="Arial" w:hAnsi="Arial"/>
          <w:sz w:val="16"/>
          <w:szCs w:val="16"/>
          <w:color w:val="auto"/>
        </w:rPr>
        <w:t>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measures under the PSU Plan.</w:t>
      </w:r>
    </w:p>
    <w:p>
      <w:pPr>
        <w:spacing w:after="0" w:line="1" w:lineRule="exact"/>
        <w:rPr>
          <w:rFonts w:ascii="Arial" w:cs="Arial" w:eastAsia="Arial" w:hAnsi="Arial"/>
          <w:sz w:val="16"/>
          <w:szCs w:val="16"/>
          <w:color w:val="auto"/>
        </w:rPr>
      </w:pPr>
    </w:p>
    <w:p>
      <w:pPr>
        <w:jc w:val="both"/>
        <w:ind w:left="160" w:right="5700" w:hanging="153"/>
        <w:spacing w:after="0" w:line="309" w:lineRule="auto"/>
        <w:tabs>
          <w:tab w:leader="none" w:pos="136"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Reviewed and recommended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targets under the annual corporate scorecard.</w:t>
      </w:r>
    </w:p>
    <w:p>
      <w:pPr>
        <w:spacing w:after="0" w:line="1" w:lineRule="exact"/>
        <w:rPr>
          <w:rFonts w:ascii="Arial" w:cs="Arial" w:eastAsia="Arial" w:hAnsi="Arial"/>
          <w:sz w:val="16"/>
          <w:szCs w:val="16"/>
          <w:color w:val="auto"/>
        </w:rPr>
      </w:pPr>
    </w:p>
    <w:p>
      <w:pPr>
        <w:ind w:left="160" w:right="5700" w:hanging="153"/>
        <w:spacing w:after="0" w:line="303" w:lineRule="auto"/>
        <w:tabs>
          <w:tab w:leader="none" w:pos="136"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leadership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succession planning programs at the executive level.</w:t>
      </w:r>
    </w:p>
    <w:p>
      <w:pPr>
        <w:spacing w:after="0" w:line="1" w:lineRule="exact"/>
        <w:rPr>
          <w:rFonts w:ascii="Arial" w:cs="Arial" w:eastAsia="Arial" w:hAnsi="Arial"/>
          <w:sz w:val="16"/>
          <w:szCs w:val="16"/>
          <w:color w:val="auto"/>
        </w:rPr>
      </w:pPr>
    </w:p>
    <w:p>
      <w:pPr>
        <w:ind w:left="160" w:right="5860" w:hanging="153"/>
        <w:spacing w:after="0" w:line="303" w:lineRule="auto"/>
        <w:tabs>
          <w:tab w:leader="none" w:pos="136"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Approved </w:t>
      </w:r>
      <w:r>
        <w:rPr>
          <w:rFonts w:ascii="Arial" w:cs="Arial" w:eastAsia="Arial" w:hAnsi="Arial"/>
          <w:sz w:val="16"/>
          <w:szCs w:val="16"/>
          <w:color w:val="auto"/>
        </w:rPr>
        <w:t>long-term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grant awards and recommended payout of the 2022 grants.</w:t>
      </w:r>
    </w:p>
    <w:p>
      <w:pPr>
        <w:spacing w:after="0" w:line="1" w:lineRule="exact"/>
        <w:rPr>
          <w:rFonts w:ascii="Arial" w:cs="Arial" w:eastAsia="Arial" w:hAnsi="Arial"/>
          <w:sz w:val="16"/>
          <w:szCs w:val="16"/>
          <w:color w:val="auto"/>
        </w:rPr>
      </w:pPr>
    </w:p>
    <w:p>
      <w:pPr>
        <w:ind w:left="160" w:right="5900" w:hanging="153"/>
        <w:spacing w:after="0" w:line="303" w:lineRule="auto"/>
        <w:tabs>
          <w:tab w:leader="none" w:pos="136"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Reviewed </w:t>
      </w:r>
      <w:r>
        <w:rPr>
          <w:rFonts w:ascii="Arial" w:cs="Arial" w:eastAsia="Arial" w:hAnsi="Arial"/>
          <w:sz w:val="16"/>
          <w:szCs w:val="16"/>
          <w:color w:val="auto"/>
        </w:rPr>
        <w:t>out of cycle RSU and</w:t>
      </w:r>
      <w:r>
        <w:rPr>
          <w:rFonts w:ascii="Arial" w:cs="Arial" w:eastAsia="Arial" w:hAnsi="Arial"/>
          <w:sz w:val="16"/>
          <w:szCs w:val="16"/>
          <w:b w:val="1"/>
          <w:bCs w:val="1"/>
          <w:color w:val="auto"/>
        </w:rPr>
        <w:t xml:space="preserve"> </w:t>
      </w:r>
      <w:r>
        <w:rPr>
          <w:rFonts w:ascii="Arial" w:cs="Arial" w:eastAsia="Arial" w:hAnsi="Arial"/>
          <w:sz w:val="16"/>
          <w:szCs w:val="16"/>
          <w:color w:val="auto"/>
        </w:rPr>
        <w:t>PSU grants from the previous year.</w:t>
      </w:r>
    </w:p>
    <w:p>
      <w:pPr>
        <w:spacing w:after="0" w:line="1" w:lineRule="exact"/>
        <w:rPr>
          <w:rFonts w:ascii="Arial" w:cs="Arial" w:eastAsia="Arial" w:hAnsi="Arial"/>
          <w:sz w:val="16"/>
          <w:szCs w:val="16"/>
          <w:color w:val="auto"/>
        </w:rPr>
      </w:pPr>
    </w:p>
    <w:p>
      <w:pPr>
        <w:jc w:val="both"/>
        <w:ind w:left="160" w:right="5940" w:hanging="153"/>
        <w:spacing w:after="0" w:line="293" w:lineRule="auto"/>
        <w:tabs>
          <w:tab w:leader="none" w:pos="149" w:val="left"/>
        </w:tabs>
        <w:numPr>
          <w:ilvl w:val="0"/>
          <w:numId w:val="90"/>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 xml:space="preserve">Reviewed and recommended </w:t>
      </w:r>
      <w:r>
        <w:rPr>
          <w:rFonts w:ascii="Arial" w:cs="Arial" w:eastAsia="Arial" w:hAnsi="Arial"/>
          <w:sz w:val="16"/>
          <w:szCs w:val="16"/>
          <w:color w:val="auto"/>
        </w:rPr>
        <w:t>compensation package for new Executive Vice-President.</w:t>
      </w:r>
    </w:p>
    <w:p>
      <w:pPr>
        <w:spacing w:after="0" w:line="1" w:lineRule="exact"/>
        <w:rPr>
          <w:sz w:val="20"/>
          <w:szCs w:val="20"/>
          <w:color w:val="auto"/>
        </w:rPr>
      </w:pPr>
    </w:p>
    <w:p>
      <w:pPr>
        <w:sectPr>
          <w:pgSz w:w="11900" w:h="16838" w:orient="portrait"/>
          <w:cols w:equalWidth="0" w:num="2">
            <w:col w:w="2600" w:space="240"/>
            <w:col w:w="8340"/>
          </w:cols>
          <w:pgMar w:left="320" w:top="1048" w:right="39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2025 management priorities and</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Executive Leadership Team</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individual objectives.</w:t>
      </w:r>
    </w:p>
    <w:p>
      <w:pPr>
        <w:spacing w:after="0" w:line="44" w:lineRule="exact"/>
        <w:rPr>
          <w:sz w:val="20"/>
          <w:szCs w:val="20"/>
          <w:color w:val="auto"/>
        </w:rPr>
      </w:pPr>
    </w:p>
    <w:p>
      <w:pPr>
        <w:ind w:left="180" w:right="8600" w:hanging="155"/>
        <w:spacing w:after="0" w:line="309" w:lineRule="auto"/>
        <w:tabs>
          <w:tab w:leader="none" w:pos="156"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Assessed </w:t>
      </w:r>
      <w:r>
        <w:rPr>
          <w:rFonts w:ascii="Arial" w:cs="Arial" w:eastAsia="Arial" w:hAnsi="Arial"/>
          <w:sz w:val="16"/>
          <w:szCs w:val="16"/>
          <w:color w:val="auto"/>
        </w:rPr>
        <w:t>the performance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CEO and each executive vice-president and recommended the</w:t>
      </w:r>
    </w:p>
    <w:p>
      <w:pPr>
        <w:spacing w:after="0" w:line="1" w:lineRule="exact"/>
        <w:rPr>
          <w:rFonts w:ascii="Arial" w:cs="Arial" w:eastAsia="Arial" w:hAnsi="Arial"/>
          <w:sz w:val="16"/>
          <w:szCs w:val="16"/>
          <w:color w:val="auto"/>
        </w:rPr>
      </w:pPr>
    </w:p>
    <w:p>
      <w:pPr>
        <w:ind w:left="180" w:right="8600"/>
        <w:spacing w:after="0" w:line="337" w:lineRule="auto"/>
        <w:rPr>
          <w:rFonts w:ascii="Arial" w:cs="Arial" w:eastAsia="Arial" w:hAnsi="Arial"/>
          <w:sz w:val="16"/>
          <w:szCs w:val="16"/>
          <w:color w:val="auto"/>
        </w:rPr>
      </w:pPr>
      <w:r>
        <w:rPr>
          <w:rFonts w:ascii="Arial" w:cs="Arial" w:eastAsia="Arial" w:hAnsi="Arial"/>
          <w:sz w:val="16"/>
          <w:szCs w:val="16"/>
          <w:color w:val="auto"/>
        </w:rPr>
        <w:t>2025 executive compensation awards to the Board for approval.</w:t>
      </w:r>
    </w:p>
    <w:p>
      <w:pPr>
        <w:sectPr>
          <w:pgSz w:w="11900" w:h="16838" w:orient="portrait"/>
          <w:cols w:equalWidth="0" w:num="1">
            <w:col w:w="11180"/>
          </w:cols>
          <w:pgMar w:left="320" w:top="104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180"/>
          </w:cols>
          <w:pgMar w:left="320" w:top="1048" w:right="39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29"/>
          <w:szCs w:val="29"/>
          <w:color w:val="0D64EF"/>
        </w:rPr>
        <w:t>Compensation</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are committed to high standards of corporate governance, including compensation governance.</w:t>
      </w:r>
    </w:p>
    <w:p>
      <w:pPr>
        <w:spacing w:after="0" w:line="152" w:lineRule="exact"/>
        <w:rPr>
          <w:sz w:val="20"/>
          <w:szCs w:val="20"/>
          <w:color w:val="auto"/>
        </w:rPr>
      </w:pPr>
    </w:p>
    <w:p>
      <w:pPr>
        <w:ind w:left="20" w:right="160"/>
        <w:spacing w:after="0" w:line="337" w:lineRule="auto"/>
        <w:rPr>
          <w:sz w:val="20"/>
          <w:szCs w:val="20"/>
          <w:color w:val="auto"/>
        </w:rPr>
      </w:pPr>
      <w:r>
        <w:rPr>
          <w:rFonts w:ascii="Arial" w:cs="Arial" w:eastAsia="Arial" w:hAnsi="Arial"/>
          <w:sz w:val="16"/>
          <w:szCs w:val="16"/>
          <w:color w:val="auto"/>
        </w:rPr>
        <w:t>This section tells you how the Board makes director and executive compensation decisions at TC Energy, and explains its decisions for 2025.</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29"/>
          <w:szCs w:val="29"/>
          <w:color w:val="0D64EF"/>
        </w:rPr>
        <w:t>Compensation Governance</w:t>
      </w:r>
    </w:p>
    <w:p>
      <w:pPr>
        <w:spacing w:after="0" w:line="235" w:lineRule="exact"/>
        <w:rPr>
          <w:sz w:val="20"/>
          <w:szCs w:val="20"/>
          <w:color w:val="auto"/>
        </w:rPr>
      </w:pPr>
    </w:p>
    <w:p>
      <w:pPr>
        <w:ind w:left="20" w:right="120"/>
        <w:spacing w:after="0" w:line="337" w:lineRule="auto"/>
        <w:rPr>
          <w:sz w:val="20"/>
          <w:szCs w:val="20"/>
          <w:color w:val="auto"/>
        </w:rPr>
      </w:pPr>
      <w:r>
        <w:rPr>
          <w:rFonts w:ascii="Arial" w:cs="Arial" w:eastAsia="Arial" w:hAnsi="Arial"/>
          <w:sz w:val="16"/>
          <w:szCs w:val="16"/>
          <w:color w:val="auto"/>
        </w:rPr>
        <w:t>The Board, the Human Resources Committee and the Governance Committee are responsible for the integrity of our compensation governance practices</w:t>
      </w:r>
      <w:r>
        <w:rPr>
          <w:rFonts w:ascii="Arial" w:cs="Arial" w:eastAsia="Arial" w:hAnsi="Arial"/>
          <w:sz w:val="14"/>
          <w:szCs w:val="14"/>
          <w:color w:val="auto"/>
        </w:rPr>
        <w:t>.</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D64EF"/>
        </w:rPr>
        <w:t>Human Resources Committee</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William D. Johnson (Chair)</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Bonham</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Susan C. Jones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E. Lowe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Indira Samarasekera (retired May 8, 2025)</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Siim A. Vanaselja</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Dheeraj "D" Verma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0D64EF"/>
        </w:rPr>
        <w:t>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-161290</wp:posOffset>
            </wp:positionV>
            <wp:extent cx="2474595" cy="1953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74595" cy="195389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60" w:type="dxa"/>
            <w:vAlign w:val="bottom"/>
            <w:tcBorders>
              <w:top w:val="single" w:sz="8" w:color="0D64EF"/>
            </w:tcBorders>
          </w:tcPr>
          <w:p>
            <w:pPr>
              <w:jc w:val="right"/>
              <w:ind w:right="64"/>
              <w:spacing w:after="0"/>
              <w:rPr>
                <w:sz w:val="20"/>
                <w:szCs w:val="20"/>
                <w:color w:val="auto"/>
              </w:rPr>
            </w:pPr>
            <w:r>
              <w:rPr>
                <w:rFonts w:ascii="Arial" w:cs="Arial" w:eastAsia="Arial" w:hAnsi="Arial"/>
                <w:sz w:val="15"/>
                <w:szCs w:val="15"/>
                <w:color w:val="0D64EF"/>
              </w:rPr>
              <w:t>&gt;</w:t>
            </w:r>
          </w:p>
        </w:tc>
        <w:tc>
          <w:tcPr>
            <w:tcW w:w="294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6"/>
                <w:szCs w:val="16"/>
                <w:color w:val="0D64EF"/>
              </w:rPr>
              <w:t>Compensation Governance</w:t>
            </w:r>
          </w:p>
        </w:tc>
        <w:tc>
          <w:tcPr>
            <w:tcW w:w="600" w:type="dxa"/>
            <w:vAlign w:val="bottom"/>
            <w:tcBorders>
              <w:top w:val="single" w:sz="8" w:color="0D64EF"/>
              <w:bottom w:val="single" w:sz="8" w:color="D1D0CF"/>
            </w:tcBorders>
            <w:shd w:val="clear" w:color="auto" w:fill="D1D0CF"/>
          </w:tcPr>
          <w:p>
            <w:pPr>
              <w:jc w:val="right"/>
              <w:ind w:right="39"/>
              <w:spacing w:after="0"/>
              <w:rPr>
                <w:sz w:val="20"/>
                <w:szCs w:val="20"/>
                <w:color w:val="auto"/>
              </w:rPr>
            </w:pPr>
            <w:r>
              <w:rPr>
                <w:rFonts w:ascii="Arial" w:cs="Arial" w:eastAsia="Arial" w:hAnsi="Arial"/>
                <w:sz w:val="16"/>
                <w:szCs w:val="16"/>
                <w:color w:val="0D64EF"/>
              </w:rPr>
              <w:t>71</w:t>
            </w:r>
          </w:p>
        </w:tc>
      </w:tr>
      <w:tr>
        <w:trPr>
          <w:trHeight w:val="235"/>
        </w:trPr>
        <w:tc>
          <w:tcPr>
            <w:tcW w:w="36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Expertise</w:t>
            </w:r>
          </w:p>
        </w:tc>
        <w:tc>
          <w:tcPr>
            <w:tcW w:w="600" w:type="dxa"/>
            <w:vAlign w:val="bottom"/>
            <w:tcBorders>
              <w:bottom w:val="single" w:sz="8" w:color="D1D0CF"/>
            </w:tcBorders>
            <w:shd w:val="clear" w:color="auto" w:fill="D1D0CF"/>
          </w:tcPr>
          <w:p>
            <w:pPr>
              <w:jc w:val="right"/>
              <w:ind w:right="39"/>
              <w:spacing w:after="0"/>
              <w:rPr>
                <w:sz w:val="20"/>
                <w:szCs w:val="20"/>
                <w:color w:val="auto"/>
              </w:rPr>
            </w:pPr>
            <w:r>
              <w:rPr>
                <w:rFonts w:ascii="Arial" w:cs="Arial" w:eastAsia="Arial" w:hAnsi="Arial"/>
                <w:sz w:val="16"/>
                <w:szCs w:val="16"/>
                <w:color w:val="auto"/>
              </w:rPr>
              <w:t>72</w:t>
            </w:r>
          </w:p>
        </w:tc>
      </w:tr>
      <w:tr>
        <w:trPr>
          <w:trHeight w:val="227"/>
        </w:trPr>
        <w:tc>
          <w:tcPr>
            <w:tcW w:w="3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Compensation oversight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73</w:t>
            </w:r>
          </w:p>
        </w:tc>
      </w:tr>
      <w:tr>
        <w:trPr>
          <w:trHeight w:val="255"/>
        </w:trPr>
        <w:tc>
          <w:tcPr>
            <w:tcW w:w="360" w:type="dxa"/>
            <w:vAlign w:val="bottom"/>
          </w:tcPr>
          <w:p>
            <w:pPr>
              <w:spacing w:after="0"/>
              <w:rPr>
                <w:sz w:val="22"/>
                <w:szCs w:val="22"/>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Independent consultant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77</w:t>
            </w:r>
          </w:p>
        </w:tc>
      </w:tr>
    </w:tbl>
    <w:p>
      <w:pPr>
        <w:spacing w:after="0" w:line="21" w:lineRule="exact"/>
        <w:rPr>
          <w:sz w:val="20"/>
          <w:szCs w:val="20"/>
          <w:color w:val="auto"/>
        </w:rPr>
      </w:pPr>
    </w:p>
    <w:p>
      <w:pPr>
        <w:ind w:left="380" w:hanging="251"/>
        <w:spacing w:after="0"/>
        <w:tabs>
          <w:tab w:leader="none" w:pos="380" w:val="left"/>
        </w:tabs>
        <w:numPr>
          <w:ilvl w:val="0"/>
          <w:numId w:val="92"/>
        </w:numPr>
        <w:rPr>
          <w:rFonts w:ascii="Arial" w:cs="Arial" w:eastAsia="Arial" w:hAnsi="Arial"/>
          <w:sz w:val="15"/>
          <w:szCs w:val="15"/>
          <w:color w:val="0D64EF"/>
        </w:rPr>
      </w:pPr>
      <w:r>
        <w:rPr>
          <w:rFonts w:ascii="Arial" w:cs="Arial" w:eastAsia="Arial" w:hAnsi="Arial"/>
          <w:sz w:val="16"/>
          <w:szCs w:val="16"/>
          <w:color w:val="0D64EF"/>
        </w:rPr>
        <w:t>Director Compensation Discussion and</w:t>
      </w:r>
    </w:p>
    <w:tbl>
      <w:tblPr>
        <w:tblLayout w:type="fixed"/>
        <w:tblInd w:w="380" w:type="dxa"/>
        <w:tblCellMar>
          <w:top w:w="0" w:type="dxa"/>
          <w:left w:w="0" w:type="dxa"/>
          <w:bottom w:w="0" w:type="dxa"/>
          <w:right w:w="0" w:type="dxa"/>
        </w:tblCellMar>
      </w:tblPr>
      <w:tr>
        <w:trPr>
          <w:trHeight w:val="214"/>
        </w:trPr>
        <w:tc>
          <w:tcPr>
            <w:tcW w:w="2060" w:type="dxa"/>
            <w:vAlign w:val="bottom"/>
          </w:tcPr>
          <w:p>
            <w:pPr>
              <w:spacing w:after="0"/>
              <w:rPr>
                <w:sz w:val="20"/>
                <w:szCs w:val="20"/>
                <w:color w:val="auto"/>
              </w:rPr>
            </w:pPr>
            <w:r>
              <w:rPr>
                <w:rFonts w:ascii="Arial" w:cs="Arial" w:eastAsia="Arial" w:hAnsi="Arial"/>
                <w:sz w:val="16"/>
                <w:szCs w:val="16"/>
                <w:color w:val="0D64EF"/>
              </w:rPr>
              <w:t>Analysis</w:t>
            </w:r>
          </w:p>
        </w:tc>
        <w:tc>
          <w:tcPr>
            <w:tcW w:w="1340" w:type="dxa"/>
            <w:vAlign w:val="bottom"/>
          </w:tcPr>
          <w:p>
            <w:pPr>
              <w:jc w:val="right"/>
              <w:spacing w:after="0"/>
              <w:rPr>
                <w:sz w:val="20"/>
                <w:szCs w:val="20"/>
                <w:color w:val="auto"/>
              </w:rPr>
            </w:pPr>
            <w:r>
              <w:rPr>
                <w:rFonts w:ascii="Arial" w:cs="Arial" w:eastAsia="Arial" w:hAnsi="Arial"/>
                <w:sz w:val="16"/>
                <w:szCs w:val="16"/>
                <w:color w:val="0D64EF"/>
              </w:rPr>
              <w:t>78</w:t>
            </w:r>
          </w:p>
        </w:tc>
      </w:tr>
      <w:tr>
        <w:trPr>
          <w:trHeight w:val="239"/>
        </w:trPr>
        <w:tc>
          <w:tcPr>
            <w:tcW w:w="2060" w:type="dxa"/>
            <w:vAlign w:val="bottom"/>
          </w:tcPr>
          <w:p>
            <w:pPr>
              <w:spacing w:after="0"/>
              <w:rPr>
                <w:sz w:val="20"/>
                <w:szCs w:val="20"/>
                <w:color w:val="auto"/>
              </w:rPr>
            </w:pPr>
            <w:r>
              <w:rPr>
                <w:rFonts w:ascii="Arial" w:cs="Arial" w:eastAsia="Arial" w:hAnsi="Arial"/>
                <w:sz w:val="16"/>
                <w:szCs w:val="16"/>
                <w:color w:val="auto"/>
              </w:rPr>
              <w:t>2025 Details</w:t>
            </w:r>
          </w:p>
        </w:tc>
        <w:tc>
          <w:tcPr>
            <w:tcW w:w="1340" w:type="dxa"/>
            <w:vAlign w:val="bottom"/>
          </w:tcPr>
          <w:p>
            <w:pPr>
              <w:jc w:val="right"/>
              <w:spacing w:after="0"/>
              <w:rPr>
                <w:sz w:val="20"/>
                <w:szCs w:val="20"/>
                <w:color w:val="auto"/>
              </w:rPr>
            </w:pPr>
            <w:r>
              <w:rPr>
                <w:rFonts w:ascii="Arial" w:cs="Arial" w:eastAsia="Arial" w:hAnsi="Arial"/>
                <w:sz w:val="16"/>
                <w:szCs w:val="16"/>
                <w:color w:val="auto"/>
              </w:rPr>
              <w:t>81</w:t>
            </w:r>
          </w:p>
        </w:tc>
      </w:tr>
    </w:tbl>
    <w:p>
      <w:pPr>
        <w:ind w:left="380" w:hanging="251"/>
        <w:spacing w:after="0" w:line="232" w:lineRule="auto"/>
        <w:tabs>
          <w:tab w:leader="none" w:pos="380" w:val="left"/>
        </w:tabs>
        <w:numPr>
          <w:ilvl w:val="0"/>
          <w:numId w:val="93"/>
        </w:numPr>
        <w:rPr>
          <w:rFonts w:ascii="Arial" w:cs="Arial" w:eastAsia="Arial" w:hAnsi="Arial"/>
          <w:sz w:val="15"/>
          <w:szCs w:val="15"/>
          <w:color w:val="0D64EF"/>
        </w:rPr>
      </w:pPr>
      <w:r>
        <w:rPr>
          <w:rFonts w:ascii="Arial" w:cs="Arial" w:eastAsia="Arial" w:hAnsi="Arial"/>
          <w:sz w:val="16"/>
          <w:szCs w:val="16"/>
          <w:color w:val="0D64EF"/>
        </w:rPr>
        <w:t>Human Resources Committee Letter to</w:t>
      </w:r>
    </w:p>
    <w:tbl>
      <w:tblPr>
        <w:tblLayout w:type="fixed"/>
        <w:tblInd w:w="380" w:type="dxa"/>
        <w:tblCellMar>
          <w:top w:w="0" w:type="dxa"/>
          <w:left w:w="0" w:type="dxa"/>
          <w:bottom w:w="0" w:type="dxa"/>
          <w:right w:w="0" w:type="dxa"/>
        </w:tblCellMar>
      </w:tblPr>
      <w:tr>
        <w:trPr>
          <w:trHeight w:val="210"/>
        </w:trPr>
        <w:tc>
          <w:tcPr>
            <w:tcW w:w="2080" w:type="dxa"/>
            <w:vAlign w:val="bottom"/>
          </w:tcPr>
          <w:p>
            <w:pPr>
              <w:spacing w:after="0"/>
              <w:rPr>
                <w:sz w:val="20"/>
                <w:szCs w:val="20"/>
                <w:color w:val="auto"/>
              </w:rPr>
            </w:pPr>
            <w:r>
              <w:rPr>
                <w:rFonts w:ascii="Arial" w:cs="Arial" w:eastAsia="Arial" w:hAnsi="Arial"/>
                <w:sz w:val="16"/>
                <w:szCs w:val="16"/>
                <w:color w:val="0D64EF"/>
              </w:rPr>
              <w:t>Shareholders</w:t>
            </w:r>
          </w:p>
        </w:tc>
        <w:tc>
          <w:tcPr>
            <w:tcW w:w="1320" w:type="dxa"/>
            <w:vAlign w:val="bottom"/>
          </w:tcPr>
          <w:p>
            <w:pPr>
              <w:jc w:val="right"/>
              <w:spacing w:after="0"/>
              <w:rPr>
                <w:sz w:val="20"/>
                <w:szCs w:val="20"/>
                <w:color w:val="auto"/>
              </w:rPr>
            </w:pPr>
            <w:r>
              <w:rPr>
                <w:rFonts w:ascii="Arial" w:cs="Arial" w:eastAsia="Arial" w:hAnsi="Arial"/>
                <w:sz w:val="16"/>
                <w:szCs w:val="16"/>
                <w:color w:val="0D64EF"/>
              </w:rPr>
              <w:t>86</w:t>
            </w:r>
          </w:p>
        </w:tc>
      </w:tr>
    </w:tbl>
    <w:p>
      <w:pPr>
        <w:ind w:left="380" w:hanging="251"/>
        <w:spacing w:after="0" w:line="217" w:lineRule="auto"/>
        <w:tabs>
          <w:tab w:leader="none" w:pos="380" w:val="left"/>
        </w:tabs>
        <w:numPr>
          <w:ilvl w:val="0"/>
          <w:numId w:val="94"/>
        </w:numPr>
        <w:rPr>
          <w:rFonts w:ascii="Arial" w:cs="Arial" w:eastAsia="Arial" w:hAnsi="Arial"/>
          <w:sz w:val="15"/>
          <w:szCs w:val="15"/>
          <w:color w:val="0D64EF"/>
        </w:rPr>
      </w:pPr>
      <w:r>
        <w:rPr>
          <w:rFonts w:ascii="Arial" w:cs="Arial" w:eastAsia="Arial" w:hAnsi="Arial"/>
          <w:sz w:val="16"/>
          <w:szCs w:val="16"/>
          <w:color w:val="0D64EF"/>
        </w:rPr>
        <w:t>Executive Compensation Discussion</w:t>
      </w:r>
    </w:p>
    <w:tbl>
      <w:tblPr>
        <w:tblLayout w:type="fixed"/>
        <w:tblInd w:w="0" w:type="dxa"/>
        <w:tblCellMar>
          <w:top w:w="0" w:type="dxa"/>
          <w:left w:w="0" w:type="dxa"/>
          <w:bottom w:w="0" w:type="dxa"/>
          <w:right w:w="0" w:type="dxa"/>
        </w:tblCellMar>
      </w:tblPr>
      <w:tr>
        <w:trPr>
          <w:trHeight w:val="212"/>
        </w:trPr>
        <w:tc>
          <w:tcPr>
            <w:tcW w:w="2400" w:type="dxa"/>
            <w:vAlign w:val="bottom"/>
          </w:tcPr>
          <w:p>
            <w:pPr>
              <w:ind w:left="380"/>
              <w:spacing w:after="0"/>
              <w:rPr>
                <w:sz w:val="20"/>
                <w:szCs w:val="20"/>
                <w:color w:val="auto"/>
              </w:rPr>
            </w:pPr>
            <w:r>
              <w:rPr>
                <w:rFonts w:ascii="Arial" w:cs="Arial" w:eastAsia="Arial" w:hAnsi="Arial"/>
                <w:sz w:val="16"/>
                <w:szCs w:val="16"/>
                <w:color w:val="0D64EF"/>
              </w:rPr>
              <w:t>and Analysis</w:t>
            </w:r>
          </w:p>
        </w:tc>
        <w:tc>
          <w:tcPr>
            <w:tcW w:w="1500" w:type="dxa"/>
            <w:vAlign w:val="bottom"/>
          </w:tcPr>
          <w:p>
            <w:pPr>
              <w:jc w:val="right"/>
              <w:ind w:right="39"/>
              <w:spacing w:after="0"/>
              <w:rPr>
                <w:sz w:val="20"/>
                <w:szCs w:val="20"/>
                <w:color w:val="auto"/>
              </w:rPr>
            </w:pPr>
            <w:r>
              <w:rPr>
                <w:rFonts w:ascii="Arial" w:cs="Arial" w:eastAsia="Arial" w:hAnsi="Arial"/>
                <w:sz w:val="16"/>
                <w:szCs w:val="16"/>
                <w:color w:val="0D64EF"/>
              </w:rPr>
              <w:t>88</w:t>
            </w:r>
          </w:p>
        </w:tc>
      </w:tr>
      <w:tr>
        <w:trPr>
          <w:trHeight w:val="214"/>
        </w:trPr>
        <w:tc>
          <w:tcPr>
            <w:tcW w:w="2400" w:type="dxa"/>
            <w:vAlign w:val="bottom"/>
          </w:tcPr>
          <w:p>
            <w:pPr>
              <w:ind w:left="380"/>
              <w:spacing w:after="0"/>
              <w:rPr>
                <w:sz w:val="20"/>
                <w:szCs w:val="20"/>
                <w:color w:val="auto"/>
              </w:rPr>
            </w:pPr>
            <w:r>
              <w:rPr>
                <w:rFonts w:ascii="Arial" w:cs="Arial" w:eastAsia="Arial" w:hAnsi="Arial"/>
                <w:sz w:val="16"/>
                <w:szCs w:val="16"/>
                <w:color w:val="auto"/>
              </w:rPr>
              <w:t>2025 Details</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113</w:t>
            </w:r>
          </w:p>
        </w:tc>
      </w:tr>
      <w:tr>
        <w:trPr>
          <w:trHeight w:val="82"/>
        </w:trPr>
        <w:tc>
          <w:tcPr>
            <w:tcW w:w="2400" w:type="dxa"/>
            <w:vAlign w:val="bottom"/>
            <w:tcBorders>
              <w:bottom w:val="single" w:sz="8" w:color="0D64EF"/>
            </w:tcBorders>
          </w:tcPr>
          <w:p>
            <w:pPr>
              <w:spacing w:after="0"/>
              <w:rPr>
                <w:sz w:val="7"/>
                <w:szCs w:val="7"/>
                <w:color w:val="auto"/>
              </w:rPr>
            </w:pPr>
          </w:p>
        </w:tc>
        <w:tc>
          <w:tcPr>
            <w:tcW w:w="1500" w:type="dxa"/>
            <w:vAlign w:val="bottom"/>
            <w:tcBorders>
              <w:bottom w:val="single" w:sz="8" w:color="0D64EF"/>
            </w:tcBorders>
          </w:tcPr>
          <w:p>
            <w:pPr>
              <w:spacing w:after="0"/>
              <w:rPr>
                <w:sz w:val="7"/>
                <w:szCs w:val="7"/>
                <w:color w:val="auto"/>
              </w:rPr>
            </w:pPr>
          </w:p>
        </w:tc>
      </w:tr>
    </w:tbl>
    <w:p>
      <w:pPr>
        <w:spacing w:after="0" w:line="1108" w:lineRule="exact"/>
        <w:rPr>
          <w:sz w:val="20"/>
          <w:szCs w:val="20"/>
          <w:color w:val="auto"/>
        </w:rPr>
      </w:pPr>
    </w:p>
    <w:p>
      <w:pPr>
        <w:sectPr>
          <w:pgSz w:w="11900" w:h="16838" w:orient="portrait"/>
          <w:cols w:equalWidth="0" w:num="2">
            <w:col w:w="7120" w:space="220"/>
            <w:col w:w="3900"/>
          </w:cols>
          <w:pgMar w:left="320" w:top="1048" w:right="339" w:bottom="1440" w:gutter="0" w:footer="0" w:header="0"/>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D64EF"/>
        </w:rPr>
        <w:t>Governance Committee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Thierry Vandal (Chair)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William D. Johnson (as of May 8, 2025)</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E. Lowe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MacNaughton (retired May 8, 2025)</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Mary Pat Salomone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Indira Samarasekera (retired May 8, 2025)</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Siim A. Vanaselja</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Dheeraj "D" Verma</w:t>
      </w:r>
    </w:p>
    <w:p>
      <w:pPr>
        <w:spacing w:after="0" w:line="300" w:lineRule="exact"/>
        <w:rPr>
          <w:sz w:val="20"/>
          <w:szCs w:val="20"/>
          <w:color w:val="auto"/>
        </w:rPr>
      </w:pPr>
    </w:p>
    <w:p>
      <w:pPr>
        <w:ind w:left="20" w:right="300"/>
        <w:spacing w:after="0" w:line="317" w:lineRule="auto"/>
        <w:rPr>
          <w:sz w:val="20"/>
          <w:szCs w:val="20"/>
          <w:color w:val="auto"/>
        </w:rPr>
      </w:pPr>
      <w:r>
        <w:rPr>
          <w:rFonts w:ascii="Arial" w:cs="Arial" w:eastAsia="Arial" w:hAnsi="Arial"/>
          <w:sz w:val="16"/>
          <w:szCs w:val="16"/>
          <w:color w:val="auto"/>
        </w:rPr>
        <w:t>The Board approves all matters related to executive and director compensation. The committees are responsible for reviewing compensation matters and making any recommendations. Both committees are comprised of entirely independent directors. Each Human Resources Committee member is independent under the NYSE Compensation committee independence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71</w:t>
      </w:r>
    </w:p>
    <w:p>
      <w:pPr>
        <w:sectPr>
          <w:pgSz w:w="11900" w:h="16838" w:orient="portrait"/>
          <w:cols w:equalWidth="0" w:num="1">
            <w:col w:w="11240"/>
          </w:cols>
          <w:pgMar w:left="320" w:top="1048"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b w:val="1"/>
          <w:bCs w:val="1"/>
          <w:color w:val="0D64EF"/>
        </w:rPr>
        <w:t>EXPERTISE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Human resources and executive compensation expertise</w:t>
      </w:r>
    </w:p>
    <w:p>
      <w:pPr>
        <w:spacing w:after="0" w:line="40" w:lineRule="exact"/>
        <w:rPr>
          <w:sz w:val="20"/>
          <w:szCs w:val="20"/>
          <w:color w:val="auto"/>
        </w:rPr>
      </w:pPr>
    </w:p>
    <w:p>
      <w:pPr>
        <w:ind w:right="60"/>
        <w:spacing w:after="0" w:line="326" w:lineRule="auto"/>
        <w:rPr>
          <w:sz w:val="20"/>
          <w:szCs w:val="20"/>
          <w:color w:val="auto"/>
        </w:rPr>
      </w:pPr>
      <w:r>
        <w:rPr>
          <w:rFonts w:ascii="Arial" w:cs="Arial" w:eastAsia="Arial" w:hAnsi="Arial"/>
          <w:sz w:val="16"/>
          <w:szCs w:val="16"/>
          <w:color w:val="auto"/>
        </w:rPr>
        <w:t>The Human Resources Committee is responsible for executive compensation. As of March 5, 2026, it consists of six independent directors who have an appropriate mix of skills and experience in management, business, industry, human resources, executive compensation and public accountability for carrying out their responsibilities.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20" w:type="dxa"/>
            <w:vAlign w:val="bottom"/>
            <w:tcBorders>
              <w:top w:val="single" w:sz="8" w:color="0D64EF"/>
            </w:tcBorders>
            <w:shd w:val="clear" w:color="auto" w:fill="D1D0CF"/>
          </w:tcPr>
          <w:p>
            <w:pPr>
              <w:spacing w:after="0"/>
              <w:rPr>
                <w:sz w:val="14"/>
                <w:szCs w:val="14"/>
                <w:color w:val="auto"/>
              </w:rPr>
            </w:pPr>
          </w:p>
        </w:tc>
        <w:tc>
          <w:tcPr>
            <w:tcW w:w="20" w:type="dxa"/>
            <w:vAlign w:val="bottom"/>
            <w:tcBorders>
              <w:top w:val="single" w:sz="8" w:color="0D64EF"/>
            </w:tcBorders>
            <w:shd w:val="clear" w:color="auto" w:fill="D1D0CF"/>
          </w:tcPr>
          <w:p>
            <w:pPr>
              <w:spacing w:after="0"/>
              <w:rPr>
                <w:sz w:val="14"/>
                <w:szCs w:val="14"/>
                <w:color w:val="auto"/>
              </w:rPr>
            </w:pPr>
          </w:p>
        </w:tc>
        <w:tc>
          <w:tcPr>
            <w:tcW w:w="1340" w:type="dxa"/>
            <w:vAlign w:val="bottom"/>
            <w:tcBorders>
              <w:top w:val="single" w:sz="8" w:color="0D64EF"/>
            </w:tcBorders>
            <w:shd w:val="clear" w:color="auto" w:fill="D1D0CF"/>
          </w:tcPr>
          <w:p>
            <w:pPr>
              <w:spacing w:after="0"/>
              <w:rPr>
                <w:sz w:val="14"/>
                <w:szCs w:val="14"/>
                <w:color w:val="auto"/>
              </w:rPr>
            </w:pPr>
          </w:p>
        </w:tc>
        <w:tc>
          <w:tcPr>
            <w:tcW w:w="20" w:type="dxa"/>
            <w:vAlign w:val="bottom"/>
            <w:tcBorders>
              <w:top w:val="single" w:sz="8" w:color="0D64EF"/>
            </w:tcBorders>
            <w:shd w:val="clear" w:color="auto" w:fill="D1D0CF"/>
          </w:tcPr>
          <w:p>
            <w:pPr>
              <w:spacing w:after="0"/>
              <w:rPr>
                <w:sz w:val="14"/>
                <w:szCs w:val="14"/>
                <w:color w:val="auto"/>
              </w:rPr>
            </w:pPr>
          </w:p>
        </w:tc>
        <w:tc>
          <w:tcPr>
            <w:tcW w:w="1340" w:type="dxa"/>
            <w:vAlign w:val="bottom"/>
            <w:tcBorders>
              <w:top w:val="single" w:sz="8" w:color="0D64E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Capital</w:t>
            </w:r>
          </w:p>
        </w:tc>
        <w:tc>
          <w:tcPr>
            <w:tcW w:w="1340" w:type="dxa"/>
            <w:vAlign w:val="bottom"/>
            <w:tcBorders>
              <w:top w:val="single" w:sz="8" w:color="0D64EF"/>
            </w:tcBorders>
            <w:shd w:val="clear" w:color="auto" w:fill="D1D0CF"/>
          </w:tcPr>
          <w:p>
            <w:pPr>
              <w:spacing w:after="0"/>
              <w:rPr>
                <w:sz w:val="14"/>
                <w:szCs w:val="14"/>
                <w:color w:val="auto"/>
              </w:rPr>
            </w:pPr>
          </w:p>
        </w:tc>
        <w:tc>
          <w:tcPr>
            <w:tcW w:w="20" w:type="dxa"/>
            <w:vAlign w:val="bottom"/>
            <w:tcBorders>
              <w:top w:val="single" w:sz="8" w:color="0D64EF"/>
            </w:tcBorders>
            <w:shd w:val="clear" w:color="auto" w:fill="D1D0CF"/>
          </w:tcPr>
          <w:p>
            <w:pPr>
              <w:spacing w:after="0"/>
              <w:rPr>
                <w:sz w:val="14"/>
                <w:szCs w:val="14"/>
                <w:color w:val="auto"/>
              </w:rPr>
            </w:pPr>
          </w:p>
        </w:tc>
        <w:tc>
          <w:tcPr>
            <w:tcW w:w="1340" w:type="dxa"/>
            <w:vAlign w:val="bottom"/>
            <w:tcBorders>
              <w:top w:val="single" w:sz="8" w:color="0D64EF"/>
            </w:tcBorders>
            <w:vMerge w:val="restart"/>
            <w:shd w:val="clear" w:color="auto" w:fill="D1D0CF"/>
          </w:tcPr>
          <w:p>
            <w:pPr>
              <w:jc w:val="center"/>
              <w:spacing w:after="0"/>
              <w:rPr>
                <w:sz w:val="20"/>
                <w:szCs w:val="20"/>
                <w:color w:val="auto"/>
              </w:rPr>
            </w:pPr>
            <w:r>
              <w:rPr>
                <w:rFonts w:ascii="Arial" w:cs="Arial" w:eastAsia="Arial" w:hAnsi="Arial"/>
                <w:sz w:val="14"/>
                <w:szCs w:val="14"/>
                <w:b w:val="1"/>
                <w:bCs w:val="1"/>
                <w:color w:val="auto"/>
              </w:rPr>
              <w:t>Enterprise Risk</w:t>
            </w:r>
          </w:p>
        </w:tc>
        <w:tc>
          <w:tcPr>
            <w:tcW w:w="1360" w:type="dxa"/>
            <w:vAlign w:val="bottom"/>
            <w:tcBorders>
              <w:top w:val="single" w:sz="8" w:color="0D64EF"/>
            </w:tcBorders>
            <w:vMerge w:val="restart"/>
            <w:shd w:val="clear" w:color="auto" w:fill="D1D0CF"/>
          </w:tcPr>
          <w:p>
            <w:pPr>
              <w:jc w:val="center"/>
              <w:spacing w:after="0"/>
              <w:rPr>
                <w:sz w:val="20"/>
                <w:szCs w:val="20"/>
                <w:color w:val="auto"/>
              </w:rPr>
            </w:pPr>
            <w:r>
              <w:rPr>
                <w:rFonts w:ascii="Arial" w:cs="Arial" w:eastAsia="Arial" w:hAnsi="Arial"/>
                <w:sz w:val="14"/>
                <w:szCs w:val="14"/>
                <w:b w:val="1"/>
                <w:bCs w:val="1"/>
                <w:color w:val="auto"/>
              </w:rPr>
              <w:t>Human Resources</w:t>
            </w:r>
          </w:p>
        </w:tc>
        <w:tc>
          <w:tcPr>
            <w:tcW w:w="1360" w:type="dxa"/>
            <w:vAlign w:val="bottom"/>
            <w:tcBorders>
              <w:top w:val="single" w:sz="8" w:color="0D64EF"/>
            </w:tcBorders>
            <w:shd w:val="clear" w:color="auto" w:fill="D1D0C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vMerge w:val="restart"/>
            <w:shd w:val="clear" w:color="auto" w:fill="D1D0CF"/>
          </w:tcPr>
          <w:p>
            <w:pPr>
              <w:ind w:left="60"/>
              <w:spacing w:after="0"/>
              <w:rPr>
                <w:sz w:val="20"/>
                <w:szCs w:val="20"/>
                <w:color w:val="auto"/>
              </w:rPr>
            </w:pPr>
            <w:r>
              <w:rPr>
                <w:rFonts w:ascii="Arial" w:cs="Arial" w:eastAsia="Arial" w:hAnsi="Arial"/>
                <w:sz w:val="14"/>
                <w:szCs w:val="14"/>
                <w:b w:val="1"/>
                <w:bCs w:val="1"/>
                <w:color w:val="auto"/>
              </w:rPr>
              <w:t>Name</w:t>
            </w:r>
          </w:p>
        </w:tc>
        <w:tc>
          <w:tcPr>
            <w:tcW w:w="20" w:type="dxa"/>
            <w:vAlign w:val="bottom"/>
            <w:shd w:val="clear" w:color="auto" w:fill="D1D0CF"/>
          </w:tcPr>
          <w:p>
            <w:pPr>
              <w:spacing w:after="0"/>
              <w:rPr>
                <w:sz w:val="12"/>
                <w:szCs w:val="12"/>
                <w:color w:val="auto"/>
              </w:rPr>
            </w:pPr>
          </w:p>
        </w:tc>
        <w:tc>
          <w:tcPr>
            <w:tcW w:w="1340" w:type="dxa"/>
            <w:vAlign w:val="bottom"/>
            <w:vMerge w:val="restart"/>
            <w:shd w:val="clear" w:color="auto" w:fill="D1D0CF"/>
          </w:tcPr>
          <w:p>
            <w:pPr>
              <w:jc w:val="center"/>
              <w:spacing w:after="0"/>
              <w:rPr>
                <w:sz w:val="20"/>
                <w:szCs w:val="20"/>
                <w:color w:val="auto"/>
              </w:rPr>
            </w:pPr>
            <w:r>
              <w:rPr>
                <w:rFonts w:ascii="Arial" w:cs="Arial" w:eastAsia="Arial" w:hAnsi="Arial"/>
                <w:sz w:val="14"/>
                <w:szCs w:val="14"/>
                <w:b w:val="1"/>
                <w:bCs w:val="1"/>
                <w:color w:val="auto"/>
              </w:rPr>
              <w:t>Accounting/Audit</w:t>
            </w:r>
          </w:p>
        </w:tc>
        <w:tc>
          <w:tcPr>
            <w:tcW w:w="20" w:type="dxa"/>
            <w:vAlign w:val="bottom"/>
            <w:shd w:val="clear" w:color="auto" w:fill="D1D0CF"/>
          </w:tcPr>
          <w:p>
            <w:pPr>
              <w:spacing w:after="0"/>
              <w:rPr>
                <w:sz w:val="12"/>
                <w:szCs w:val="12"/>
                <w:color w:val="auto"/>
              </w:rPr>
            </w:pPr>
          </w:p>
        </w:tc>
        <w:tc>
          <w:tcPr>
            <w:tcW w:w="1340" w:type="dxa"/>
            <w:vAlign w:val="bottom"/>
            <w:shd w:val="clear" w:color="auto" w:fill="D1D0CF"/>
          </w:tcPr>
          <w:p>
            <w:pPr>
              <w:jc w:val="center"/>
              <w:spacing w:after="0" w:line="148" w:lineRule="exact"/>
              <w:rPr>
                <w:sz w:val="20"/>
                <w:szCs w:val="20"/>
                <w:color w:val="auto"/>
              </w:rPr>
            </w:pPr>
            <w:r>
              <w:rPr>
                <w:rFonts w:ascii="Arial" w:cs="Arial" w:eastAsia="Arial" w:hAnsi="Arial"/>
                <w:sz w:val="14"/>
                <w:szCs w:val="14"/>
                <w:b w:val="1"/>
                <w:bCs w:val="1"/>
                <w:color w:val="auto"/>
              </w:rPr>
              <w:t>Markets/Mergers &amp;</w:t>
            </w:r>
          </w:p>
        </w:tc>
        <w:tc>
          <w:tcPr>
            <w:tcW w:w="1340" w:type="dxa"/>
            <w:vAlign w:val="bottom"/>
            <w:vMerge w:val="restart"/>
            <w:shd w:val="clear" w:color="auto" w:fill="D1D0CF"/>
          </w:tcPr>
          <w:p>
            <w:pPr>
              <w:jc w:val="center"/>
              <w:spacing w:after="0"/>
              <w:rPr>
                <w:sz w:val="20"/>
                <w:szCs w:val="20"/>
                <w:color w:val="auto"/>
              </w:rPr>
            </w:pPr>
            <w:r>
              <w:rPr>
                <w:rFonts w:ascii="Arial" w:cs="Arial" w:eastAsia="Arial" w:hAnsi="Arial"/>
                <w:sz w:val="14"/>
                <w:szCs w:val="14"/>
                <w:b w:val="1"/>
                <w:bCs w:val="1"/>
                <w:color w:val="auto"/>
                <w:w w:val="98"/>
              </w:rPr>
              <w:t>CEO</w:t>
            </w:r>
          </w:p>
        </w:tc>
        <w:tc>
          <w:tcPr>
            <w:tcW w:w="20" w:type="dxa"/>
            <w:vAlign w:val="bottom"/>
            <w:shd w:val="clear" w:color="auto" w:fill="D1D0CF"/>
          </w:tcPr>
          <w:p>
            <w:pPr>
              <w:spacing w:after="0"/>
              <w:rPr>
                <w:sz w:val="12"/>
                <w:szCs w:val="12"/>
                <w:color w:val="auto"/>
              </w:rPr>
            </w:pPr>
          </w:p>
        </w:tc>
        <w:tc>
          <w:tcPr>
            <w:tcW w:w="1340" w:type="dxa"/>
            <w:vAlign w:val="bottom"/>
            <w:vMerge w:val="continue"/>
            <w:shd w:val="clear" w:color="auto" w:fill="D1D0CF"/>
          </w:tcPr>
          <w:p>
            <w:pPr>
              <w:spacing w:after="0"/>
              <w:rPr>
                <w:sz w:val="12"/>
                <w:szCs w:val="12"/>
                <w:color w:val="auto"/>
              </w:rPr>
            </w:pPr>
          </w:p>
        </w:tc>
        <w:tc>
          <w:tcPr>
            <w:tcW w:w="1360" w:type="dxa"/>
            <w:vAlign w:val="bottom"/>
            <w:vMerge w:val="continue"/>
            <w:shd w:val="clear" w:color="auto" w:fill="D1D0CF"/>
          </w:tcPr>
          <w:p>
            <w:pPr>
              <w:spacing w:after="0"/>
              <w:rPr>
                <w:sz w:val="12"/>
                <w:szCs w:val="12"/>
                <w:color w:val="auto"/>
              </w:rPr>
            </w:pPr>
          </w:p>
        </w:tc>
        <w:tc>
          <w:tcPr>
            <w:tcW w:w="1360" w:type="dxa"/>
            <w:vAlign w:val="bottom"/>
            <w:vMerge w:val="restart"/>
            <w:shd w:val="clear" w:color="auto" w:fill="D1D0CF"/>
          </w:tcPr>
          <w:p>
            <w:pPr>
              <w:jc w:val="center"/>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184"/>
        </w:trPr>
        <w:tc>
          <w:tcPr>
            <w:tcW w:w="1820" w:type="dxa"/>
            <w:vAlign w:val="bottom"/>
            <w:tcBorders>
              <w:bottom w:val="single" w:sz="8" w:color="0D64EF"/>
            </w:tcBorders>
            <w:vMerge w:val="continue"/>
            <w:shd w:val="clear" w:color="auto" w:fill="D1D0CF"/>
          </w:tcPr>
          <w:p>
            <w:pPr>
              <w:spacing w:after="0"/>
              <w:rPr>
                <w:sz w:val="15"/>
                <w:szCs w:val="15"/>
                <w:color w:val="auto"/>
              </w:rPr>
            </w:pPr>
          </w:p>
        </w:tc>
        <w:tc>
          <w:tcPr>
            <w:tcW w:w="20" w:type="dxa"/>
            <w:vAlign w:val="bottom"/>
            <w:tcBorders>
              <w:bottom w:val="single" w:sz="8" w:color="D1D0CF"/>
            </w:tcBorders>
            <w:shd w:val="clear" w:color="auto" w:fill="D1D0CF"/>
          </w:tcPr>
          <w:p>
            <w:pPr>
              <w:spacing w:after="0"/>
              <w:rPr>
                <w:sz w:val="15"/>
                <w:szCs w:val="15"/>
                <w:color w:val="auto"/>
              </w:rPr>
            </w:pPr>
          </w:p>
        </w:tc>
        <w:tc>
          <w:tcPr>
            <w:tcW w:w="1340" w:type="dxa"/>
            <w:vAlign w:val="bottom"/>
            <w:tcBorders>
              <w:bottom w:val="single" w:sz="8" w:color="0D64EF"/>
            </w:tcBorders>
            <w:vMerge w:val="continue"/>
            <w:shd w:val="clear" w:color="auto" w:fill="D1D0CF"/>
          </w:tcPr>
          <w:p>
            <w:pPr>
              <w:spacing w:after="0"/>
              <w:rPr>
                <w:sz w:val="15"/>
                <w:szCs w:val="15"/>
                <w:color w:val="auto"/>
              </w:rPr>
            </w:pPr>
          </w:p>
        </w:tc>
        <w:tc>
          <w:tcPr>
            <w:tcW w:w="20" w:type="dxa"/>
            <w:vAlign w:val="bottom"/>
            <w:tcBorders>
              <w:bottom w:val="single" w:sz="8" w:color="D1D0CF"/>
            </w:tcBorders>
            <w:shd w:val="clear" w:color="auto" w:fill="D1D0CF"/>
          </w:tcPr>
          <w:p>
            <w:pPr>
              <w:spacing w:after="0"/>
              <w:rPr>
                <w:sz w:val="15"/>
                <w:szCs w:val="15"/>
                <w:color w:val="auto"/>
              </w:rPr>
            </w:pPr>
          </w:p>
        </w:tc>
        <w:tc>
          <w:tcPr>
            <w:tcW w:w="1340" w:type="dxa"/>
            <w:vAlign w:val="bottom"/>
            <w:tcBorders>
              <w:bottom w:val="single" w:sz="8" w:color="0D64E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Acquisitions</w:t>
            </w:r>
          </w:p>
        </w:tc>
        <w:tc>
          <w:tcPr>
            <w:tcW w:w="1340" w:type="dxa"/>
            <w:vAlign w:val="bottom"/>
            <w:tcBorders>
              <w:bottom w:val="single" w:sz="8" w:color="0D64EF"/>
            </w:tcBorders>
            <w:vMerge w:val="continue"/>
            <w:shd w:val="clear" w:color="auto" w:fill="D1D0CF"/>
          </w:tcPr>
          <w:p>
            <w:pPr>
              <w:spacing w:after="0"/>
              <w:rPr>
                <w:sz w:val="15"/>
                <w:szCs w:val="15"/>
                <w:color w:val="auto"/>
              </w:rPr>
            </w:pPr>
          </w:p>
        </w:tc>
        <w:tc>
          <w:tcPr>
            <w:tcW w:w="20" w:type="dxa"/>
            <w:vAlign w:val="bottom"/>
            <w:tcBorders>
              <w:bottom w:val="single" w:sz="8" w:color="D1D0CF"/>
            </w:tcBorders>
            <w:shd w:val="clear" w:color="auto" w:fill="D1D0CF"/>
          </w:tcPr>
          <w:p>
            <w:pPr>
              <w:spacing w:after="0"/>
              <w:rPr>
                <w:sz w:val="15"/>
                <w:szCs w:val="15"/>
                <w:color w:val="auto"/>
              </w:rPr>
            </w:pPr>
          </w:p>
        </w:tc>
        <w:tc>
          <w:tcPr>
            <w:tcW w:w="1340" w:type="dxa"/>
            <w:vAlign w:val="bottom"/>
            <w:tcBorders>
              <w:bottom w:val="single" w:sz="8" w:color="0D64E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Management</w:t>
            </w:r>
          </w:p>
        </w:tc>
        <w:tc>
          <w:tcPr>
            <w:tcW w:w="1360" w:type="dxa"/>
            <w:vAlign w:val="bottom"/>
            <w:tcBorders>
              <w:bottom w:val="single" w:sz="8" w:color="0D64E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&amp; Compensation</w:t>
            </w:r>
          </w:p>
        </w:tc>
        <w:tc>
          <w:tcPr>
            <w:tcW w:w="1360" w:type="dxa"/>
            <w:vAlign w:val="bottom"/>
            <w:tcBorders>
              <w:bottom w:val="single" w:sz="8" w:color="0D64EF"/>
            </w:tcBorders>
            <w:vMerge w:val="continue"/>
            <w:shd w:val="clear" w:color="auto" w:fill="D1D0C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20"/>
              <w:spacing w:after="0" w:line="149" w:lineRule="exact"/>
              <w:rPr>
                <w:sz w:val="20"/>
                <w:szCs w:val="20"/>
                <w:color w:val="auto"/>
              </w:rPr>
            </w:pPr>
            <w:r>
              <w:rPr>
                <w:rFonts w:ascii="Arial" w:cs="Arial" w:eastAsia="Arial" w:hAnsi="Arial"/>
                <w:sz w:val="14"/>
                <w:szCs w:val="14"/>
                <w:color w:val="auto"/>
              </w:rPr>
              <w:t>William D. Johnson</w:t>
            </w:r>
          </w:p>
        </w:tc>
        <w:tc>
          <w:tcPr>
            <w:tcW w:w="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Wingdings" w:cs="Wingdings" w:eastAsia="Wingdings" w:hAnsi="Wingdings"/>
                <w:sz w:val="14"/>
                <w:szCs w:val="14"/>
                <w:b w:val="1"/>
                <w:bCs w:val="1"/>
                <w:color w:val="auto"/>
              </w:rPr>
              <w:t>ü</w:t>
            </w:r>
          </w:p>
        </w:tc>
        <w:tc>
          <w:tcPr>
            <w:tcW w:w="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Wingdings" w:cs="Wingdings" w:eastAsia="Wingdings" w:hAnsi="Wingdings"/>
                <w:sz w:val="14"/>
                <w:szCs w:val="14"/>
                <w:b w:val="1"/>
                <w:bCs w:val="1"/>
                <w:color w:val="auto"/>
              </w:rPr>
              <w:t>ü</w:t>
            </w:r>
          </w:p>
        </w:tc>
        <w:tc>
          <w:tcPr>
            <w:tcW w:w="1340" w:type="dxa"/>
            <w:vAlign w:val="bottom"/>
          </w:tcPr>
          <w:p>
            <w:pPr>
              <w:jc w:val="center"/>
              <w:spacing w:after="0" w:line="149" w:lineRule="exact"/>
              <w:rPr>
                <w:sz w:val="20"/>
                <w:szCs w:val="20"/>
                <w:color w:val="auto"/>
              </w:rPr>
            </w:pPr>
            <w:r>
              <w:rPr>
                <w:rFonts w:ascii="Wingdings" w:cs="Wingdings" w:eastAsia="Wingdings" w:hAnsi="Wingdings"/>
                <w:sz w:val="14"/>
                <w:szCs w:val="14"/>
                <w:b w:val="1"/>
                <w:bCs w:val="1"/>
                <w:color w:val="auto"/>
              </w:rPr>
              <w:t>ü</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Wingdings" w:cs="Wingdings" w:eastAsia="Wingdings" w:hAnsi="Wingdings"/>
                <w:sz w:val="14"/>
                <w:szCs w:val="14"/>
                <w:b w:val="1"/>
                <w:bCs w:val="1"/>
                <w:color w:val="auto"/>
              </w:rPr>
              <w:t>ü</w:t>
            </w:r>
          </w:p>
        </w:tc>
        <w:tc>
          <w:tcPr>
            <w:tcW w:w="1360" w:type="dxa"/>
            <w:vAlign w:val="bottom"/>
          </w:tcPr>
          <w:p>
            <w:pPr>
              <w:jc w:val="center"/>
              <w:spacing w:after="0" w:line="149" w:lineRule="exact"/>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66"/>
        </w:trPr>
        <w:tc>
          <w:tcPr>
            <w:tcW w:w="1820" w:type="dxa"/>
            <w:vAlign w:val="bottom"/>
            <w:tcBorders>
              <w:bottom w:val="single" w:sz="8" w:color="B6B6B6"/>
            </w:tcBorders>
          </w:tcPr>
          <w:p>
            <w:pPr>
              <w:ind w:left="20"/>
              <w:spacing w:after="0"/>
              <w:rPr>
                <w:sz w:val="20"/>
                <w:szCs w:val="20"/>
                <w:color w:val="auto"/>
              </w:rPr>
            </w:pPr>
            <w:r>
              <w:rPr>
                <w:rFonts w:ascii="Arial" w:cs="Arial" w:eastAsia="Arial" w:hAnsi="Arial"/>
                <w:sz w:val="13"/>
                <w:szCs w:val="13"/>
                <w:color w:val="auto"/>
              </w:rPr>
              <w:t>(Chair)</w:t>
            </w:r>
          </w:p>
        </w:tc>
        <w:tc>
          <w:tcPr>
            <w:tcW w:w="20" w:type="dxa"/>
            <w:vAlign w:val="bottom"/>
            <w:tcBorders>
              <w:bottom w:val="single" w:sz="8" w:color="B6B6B6"/>
            </w:tcBorders>
          </w:tcPr>
          <w:p>
            <w:pPr>
              <w:spacing w:after="0"/>
              <w:rPr>
                <w:sz w:val="14"/>
                <w:szCs w:val="14"/>
                <w:color w:val="auto"/>
              </w:rPr>
            </w:pPr>
          </w:p>
        </w:tc>
        <w:tc>
          <w:tcPr>
            <w:tcW w:w="1340" w:type="dxa"/>
            <w:vAlign w:val="bottom"/>
            <w:tcBorders>
              <w:bottom w:val="single" w:sz="8" w:color="B6B6B6"/>
            </w:tcBorders>
          </w:tcPr>
          <w:p>
            <w:pPr>
              <w:spacing w:after="0"/>
              <w:rPr>
                <w:sz w:val="14"/>
                <w:szCs w:val="14"/>
                <w:color w:val="auto"/>
              </w:rPr>
            </w:pPr>
          </w:p>
        </w:tc>
        <w:tc>
          <w:tcPr>
            <w:tcW w:w="20" w:type="dxa"/>
            <w:vAlign w:val="bottom"/>
            <w:tcBorders>
              <w:bottom w:val="single" w:sz="8" w:color="B6B6B6"/>
            </w:tcBorders>
          </w:tcPr>
          <w:p>
            <w:pPr>
              <w:spacing w:after="0"/>
              <w:rPr>
                <w:sz w:val="14"/>
                <w:szCs w:val="14"/>
                <w:color w:val="auto"/>
              </w:rPr>
            </w:pPr>
          </w:p>
        </w:tc>
        <w:tc>
          <w:tcPr>
            <w:tcW w:w="1340" w:type="dxa"/>
            <w:vAlign w:val="bottom"/>
            <w:tcBorders>
              <w:bottom w:val="single" w:sz="8" w:color="B6B6B6"/>
            </w:tcBorders>
          </w:tcPr>
          <w:p>
            <w:pPr>
              <w:spacing w:after="0"/>
              <w:rPr>
                <w:sz w:val="14"/>
                <w:szCs w:val="14"/>
                <w:color w:val="auto"/>
              </w:rPr>
            </w:pPr>
          </w:p>
        </w:tc>
        <w:tc>
          <w:tcPr>
            <w:tcW w:w="1340" w:type="dxa"/>
            <w:vAlign w:val="bottom"/>
            <w:tcBorders>
              <w:bottom w:val="single" w:sz="8" w:color="B6B6B6"/>
            </w:tcBorders>
          </w:tcPr>
          <w:p>
            <w:pPr>
              <w:spacing w:after="0"/>
              <w:rPr>
                <w:sz w:val="14"/>
                <w:szCs w:val="14"/>
                <w:color w:val="auto"/>
              </w:rPr>
            </w:pPr>
          </w:p>
        </w:tc>
        <w:tc>
          <w:tcPr>
            <w:tcW w:w="20" w:type="dxa"/>
            <w:vAlign w:val="bottom"/>
            <w:tcBorders>
              <w:bottom w:val="single" w:sz="8" w:color="B6B6B6"/>
            </w:tcBorders>
          </w:tcPr>
          <w:p>
            <w:pPr>
              <w:spacing w:after="0"/>
              <w:rPr>
                <w:sz w:val="14"/>
                <w:szCs w:val="14"/>
                <w:color w:val="auto"/>
              </w:rPr>
            </w:pPr>
          </w:p>
        </w:tc>
        <w:tc>
          <w:tcPr>
            <w:tcW w:w="1340" w:type="dxa"/>
            <w:vAlign w:val="bottom"/>
            <w:tcBorders>
              <w:bottom w:val="single" w:sz="8" w:color="B6B6B6"/>
            </w:tcBorders>
          </w:tcPr>
          <w:p>
            <w:pPr>
              <w:spacing w:after="0"/>
              <w:rPr>
                <w:sz w:val="14"/>
                <w:szCs w:val="14"/>
                <w:color w:val="auto"/>
              </w:rPr>
            </w:pPr>
          </w:p>
        </w:tc>
        <w:tc>
          <w:tcPr>
            <w:tcW w:w="1360" w:type="dxa"/>
            <w:vAlign w:val="bottom"/>
            <w:tcBorders>
              <w:bottom w:val="single" w:sz="8" w:color="B6B6B6"/>
            </w:tcBorders>
          </w:tcPr>
          <w:p>
            <w:pPr>
              <w:spacing w:after="0"/>
              <w:rPr>
                <w:sz w:val="14"/>
                <w:szCs w:val="14"/>
                <w:color w:val="auto"/>
              </w:rPr>
            </w:pPr>
          </w:p>
        </w:tc>
        <w:tc>
          <w:tcPr>
            <w:tcW w:w="1360" w:type="dxa"/>
            <w:vAlign w:val="bottom"/>
            <w:tcBorders>
              <w:bottom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2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Scott Bonham</w:t>
            </w: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40" w:type="dxa"/>
            <w:vAlign w:val="bottom"/>
            <w:tcBorders>
              <w:bottom w:val="single" w:sz="8" w:color="B6B6B6"/>
            </w:tcBorders>
          </w:tcPr>
          <w:p>
            <w:pPr>
              <w:spacing w:after="0"/>
              <w:rPr>
                <w:sz w:val="16"/>
                <w:szCs w:val="16"/>
                <w:color w:val="auto"/>
              </w:rPr>
            </w:pP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60" w:type="dxa"/>
            <w:vAlign w:val="bottom"/>
            <w:tcBorders>
              <w:bottom w:val="single" w:sz="8" w:color="B6B6B6"/>
            </w:tcBorders>
          </w:tcPr>
          <w:p>
            <w:pPr>
              <w:spacing w:after="0"/>
              <w:rPr>
                <w:sz w:val="16"/>
                <w:szCs w:val="16"/>
                <w:color w:val="auto"/>
              </w:rPr>
            </w:pPr>
          </w:p>
        </w:tc>
        <w:tc>
          <w:tcPr>
            <w:tcW w:w="136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95"/>
        </w:trPr>
        <w:tc>
          <w:tcPr>
            <w:tcW w:w="182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Susan C. Jones</w:t>
            </w: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spacing w:after="0"/>
              <w:rPr>
                <w:sz w:val="16"/>
                <w:szCs w:val="16"/>
                <w:color w:val="auto"/>
              </w:rPr>
            </w:pP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6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6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95"/>
        </w:trPr>
        <w:tc>
          <w:tcPr>
            <w:tcW w:w="182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John E. Lowe</w:t>
            </w: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40" w:type="dxa"/>
            <w:vAlign w:val="bottom"/>
            <w:tcBorders>
              <w:bottom w:val="single" w:sz="8" w:color="B6B6B6"/>
            </w:tcBorders>
          </w:tcPr>
          <w:p>
            <w:pPr>
              <w:spacing w:after="0"/>
              <w:rPr>
                <w:sz w:val="16"/>
                <w:szCs w:val="16"/>
                <w:color w:val="auto"/>
              </w:rPr>
            </w:pP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6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6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95"/>
        </w:trPr>
        <w:tc>
          <w:tcPr>
            <w:tcW w:w="182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Siim A. Vanaselja</w:t>
            </w: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40" w:type="dxa"/>
            <w:vAlign w:val="bottom"/>
            <w:tcBorders>
              <w:bottom w:val="single" w:sz="8" w:color="B6B6B6"/>
            </w:tcBorders>
          </w:tcPr>
          <w:p>
            <w:pPr>
              <w:spacing w:after="0"/>
              <w:rPr>
                <w:sz w:val="16"/>
                <w:szCs w:val="16"/>
                <w:color w:val="auto"/>
              </w:rPr>
            </w:pPr>
          </w:p>
        </w:tc>
        <w:tc>
          <w:tcPr>
            <w:tcW w:w="20" w:type="dxa"/>
            <w:vAlign w:val="bottom"/>
            <w:tcBorders>
              <w:bottom w:val="single" w:sz="8" w:color="B6B6B6"/>
            </w:tcBorders>
          </w:tcPr>
          <w:p>
            <w:pPr>
              <w:spacing w:after="0"/>
              <w:rPr>
                <w:sz w:val="16"/>
                <w:szCs w:val="16"/>
                <w:color w:val="auto"/>
              </w:rPr>
            </w:pPr>
          </w:p>
        </w:tc>
        <w:tc>
          <w:tcPr>
            <w:tcW w:w="134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6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60" w:type="dxa"/>
            <w:vAlign w:val="bottom"/>
            <w:tcBorders>
              <w:bottom w:val="single" w:sz="8" w:color="B6B6B6"/>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r>
        <w:trPr>
          <w:trHeight w:val="195"/>
        </w:trPr>
        <w:tc>
          <w:tcPr>
            <w:tcW w:w="182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Dheeraj "D" Verma</w:t>
            </w:r>
          </w:p>
        </w:tc>
        <w:tc>
          <w:tcPr>
            <w:tcW w:w="20" w:type="dxa"/>
            <w:vAlign w:val="bottom"/>
            <w:tcBorders>
              <w:bottom w:val="single" w:sz="8" w:color="0D64EF"/>
            </w:tcBorders>
          </w:tcPr>
          <w:p>
            <w:pPr>
              <w:spacing w:after="0"/>
              <w:rPr>
                <w:sz w:val="16"/>
                <w:szCs w:val="16"/>
                <w:color w:val="auto"/>
              </w:rPr>
            </w:pPr>
          </w:p>
        </w:tc>
        <w:tc>
          <w:tcPr>
            <w:tcW w:w="1340" w:type="dxa"/>
            <w:vAlign w:val="bottom"/>
            <w:tcBorders>
              <w:bottom w:val="single" w:sz="8" w:color="0D64EF"/>
            </w:tcBorders>
          </w:tcPr>
          <w:p>
            <w:pPr>
              <w:spacing w:after="0"/>
              <w:rPr>
                <w:sz w:val="16"/>
                <w:szCs w:val="16"/>
                <w:color w:val="auto"/>
              </w:rPr>
            </w:pPr>
          </w:p>
        </w:tc>
        <w:tc>
          <w:tcPr>
            <w:tcW w:w="20" w:type="dxa"/>
            <w:vAlign w:val="bottom"/>
            <w:tcBorders>
              <w:bottom w:val="single" w:sz="8" w:color="0D64EF"/>
            </w:tcBorders>
          </w:tcPr>
          <w:p>
            <w:pPr>
              <w:spacing w:after="0"/>
              <w:rPr>
                <w:sz w:val="16"/>
                <w:szCs w:val="16"/>
                <w:color w:val="auto"/>
              </w:rPr>
            </w:pPr>
          </w:p>
        </w:tc>
        <w:tc>
          <w:tcPr>
            <w:tcW w:w="1340" w:type="dxa"/>
            <w:vAlign w:val="bottom"/>
            <w:tcBorders>
              <w:bottom w:val="single" w:sz="8" w:color="0D64EF"/>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40" w:type="dxa"/>
            <w:vAlign w:val="bottom"/>
            <w:tcBorders>
              <w:bottom w:val="single" w:sz="8" w:color="0D64EF"/>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20" w:type="dxa"/>
            <w:vAlign w:val="bottom"/>
            <w:tcBorders>
              <w:bottom w:val="single" w:sz="8" w:color="0D64EF"/>
            </w:tcBorders>
          </w:tcPr>
          <w:p>
            <w:pPr>
              <w:spacing w:after="0"/>
              <w:rPr>
                <w:sz w:val="16"/>
                <w:szCs w:val="16"/>
                <w:color w:val="auto"/>
              </w:rPr>
            </w:pPr>
          </w:p>
        </w:tc>
        <w:tc>
          <w:tcPr>
            <w:tcW w:w="1340" w:type="dxa"/>
            <w:vAlign w:val="bottom"/>
            <w:tcBorders>
              <w:bottom w:val="single" w:sz="8" w:color="0D64EF"/>
            </w:tcBorders>
          </w:tcPr>
          <w:p>
            <w:pPr>
              <w:spacing w:after="0"/>
              <w:rPr>
                <w:sz w:val="16"/>
                <w:szCs w:val="16"/>
                <w:color w:val="auto"/>
              </w:rPr>
            </w:pPr>
          </w:p>
        </w:tc>
        <w:tc>
          <w:tcPr>
            <w:tcW w:w="1360" w:type="dxa"/>
            <w:vAlign w:val="bottom"/>
            <w:tcBorders>
              <w:bottom w:val="single" w:sz="8" w:color="0D64EF"/>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1360" w:type="dxa"/>
            <w:vAlign w:val="bottom"/>
            <w:tcBorders>
              <w:bottom w:val="single" w:sz="8" w:color="0D64EF"/>
            </w:tcBorders>
          </w:tcPr>
          <w:p>
            <w:pPr>
              <w:jc w:val="center"/>
              <w:spacing w:after="0"/>
              <w:rPr>
                <w:sz w:val="20"/>
                <w:szCs w:val="20"/>
                <w:color w:val="auto"/>
              </w:rPr>
            </w:pPr>
            <w:r>
              <w:rPr>
                <w:rFonts w:ascii="Wingdings" w:cs="Wingdings" w:eastAsia="Wingdings" w:hAnsi="Wingdings"/>
                <w:sz w:val="14"/>
                <w:szCs w:val="14"/>
                <w:b w:val="1"/>
                <w:bCs w:val="1"/>
                <w:color w:val="auto"/>
              </w:rPr>
              <w:t>ü</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 majority of members have experience as members of human resources or compensation committees of other public companies.</w:t>
      </w:r>
    </w:p>
    <w:p>
      <w:pPr>
        <w:spacing w:after="0" w:line="152" w:lineRule="exact"/>
        <w:rPr>
          <w:sz w:val="20"/>
          <w:szCs w:val="20"/>
          <w:color w:val="auto"/>
        </w:rPr>
      </w:pPr>
    </w:p>
    <w:p>
      <w:pPr>
        <w:ind w:right="140"/>
        <w:spacing w:after="0" w:line="337" w:lineRule="auto"/>
        <w:rPr>
          <w:sz w:val="20"/>
          <w:szCs w:val="20"/>
          <w:color w:val="auto"/>
        </w:rPr>
      </w:pPr>
      <w:r>
        <w:rPr>
          <w:rFonts w:ascii="Arial" w:cs="Arial" w:eastAsia="Arial" w:hAnsi="Arial"/>
          <w:sz w:val="16"/>
          <w:szCs w:val="16"/>
          <w:color w:val="auto"/>
        </w:rPr>
        <w:t>Mr. Johnson, the Committee Chair has served as President and Chief Executive Officer of two large public utility corporations as well as the largest publicly-owned utility in the United States, and is experienced in the administration of compensation programs.</w:t>
      </w:r>
    </w:p>
    <w:p>
      <w:pPr>
        <w:spacing w:after="0" w:line="48" w:lineRule="exact"/>
        <w:rPr>
          <w:sz w:val="20"/>
          <w:szCs w:val="20"/>
          <w:color w:val="auto"/>
        </w:rPr>
      </w:pPr>
    </w:p>
    <w:p>
      <w:pPr>
        <w:ind w:right="480"/>
        <w:spacing w:after="0" w:line="337" w:lineRule="auto"/>
        <w:rPr>
          <w:sz w:val="20"/>
          <w:szCs w:val="20"/>
          <w:color w:val="auto"/>
        </w:rPr>
      </w:pPr>
      <w:r>
        <w:rPr>
          <w:rFonts w:ascii="Arial" w:cs="Arial" w:eastAsia="Arial" w:hAnsi="Arial"/>
          <w:sz w:val="16"/>
          <w:szCs w:val="16"/>
          <w:color w:val="auto"/>
        </w:rPr>
        <w:t>Mr. Bonham is currently a member of the board of directors of a national retailer and previously held a board position with a chartered bank. He is a co-founder of Intentional Capital, a privately-held real estate asset management company.</w:t>
      </w:r>
    </w:p>
    <w:p>
      <w:pPr>
        <w:spacing w:after="0" w:line="48"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Ms. Jones ran three distinct businesses of a publicly-traded company and was the Chair of the Compensation Committee of another publicly-traded company. She is a director of two public companies including TC Energy and has served on the Compensation Committee and Human Resources Committee of both of them. Ms. Jones is experienced in the administration of compensation programs.</w:t>
      </w:r>
    </w:p>
    <w:p>
      <w:pPr>
        <w:spacing w:after="0" w:line="43" w:lineRule="exact"/>
        <w:rPr>
          <w:sz w:val="20"/>
          <w:szCs w:val="20"/>
          <w:color w:val="auto"/>
        </w:rPr>
      </w:pPr>
    </w:p>
    <w:p>
      <w:pPr>
        <w:ind w:right="20"/>
        <w:spacing w:after="0" w:line="326" w:lineRule="auto"/>
        <w:rPr>
          <w:sz w:val="20"/>
          <w:szCs w:val="20"/>
          <w:color w:val="auto"/>
        </w:rPr>
      </w:pPr>
      <w:r>
        <w:rPr>
          <w:rFonts w:ascii="Arial" w:cs="Arial" w:eastAsia="Arial" w:hAnsi="Arial"/>
          <w:sz w:val="16"/>
          <w:szCs w:val="16"/>
          <w:color w:val="auto"/>
        </w:rPr>
        <w:t>Mr. Lowe was previously a member of the board of directors of a multinational public energy company. He has many years of experience in the administration of compensation programs, having served on the human resources, management development compensation and stock plan committees of two public companies. Mr. Lowe was also previously a member of executive management at two other public companies.</w:t>
      </w:r>
    </w:p>
    <w:p>
      <w:pPr>
        <w:spacing w:after="0" w:line="56"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Mr. Vanaselja was the Executive Vice-President and Chief Financial Officer of a publicly-traded company. He has also served on the Management Resources and Compensation Committees of one publicly-traded company and various private corporations, and has experience in the implementation, administration and management of executive compensation programs and plans.</w:t>
      </w:r>
    </w:p>
    <w:p>
      <w:pPr>
        <w:spacing w:after="0" w:line="64" w:lineRule="exact"/>
        <w:rPr>
          <w:sz w:val="20"/>
          <w:szCs w:val="20"/>
          <w:color w:val="auto"/>
        </w:rPr>
      </w:pPr>
    </w:p>
    <w:p>
      <w:pPr>
        <w:ind w:right="2540"/>
        <w:spacing w:after="0" w:line="316" w:lineRule="auto"/>
        <w:rPr>
          <w:sz w:val="20"/>
          <w:szCs w:val="20"/>
          <w:color w:val="auto"/>
        </w:rPr>
      </w:pPr>
      <w:r>
        <w:rPr>
          <w:rFonts w:ascii="Arial" w:cs="Arial" w:eastAsia="Arial" w:hAnsi="Arial"/>
          <w:sz w:val="16"/>
          <w:szCs w:val="16"/>
          <w:color w:val="auto"/>
        </w:rPr>
        <w:t>Mr. Verma is currently a Senior Advisor to a private energy investment company, previously serving as President, and was on the Executive and Investment Committees of the firm during his tenure. Prior to this, Mr. Verma was a senior member of a large financial services company's Mergers and Acquisitions group for seven years. He has experience in overseeing and administering compensation programs.</w:t>
      </w:r>
    </w:p>
    <w:p>
      <w:pPr>
        <w:spacing w:after="0" w:line="66" w:lineRule="exact"/>
        <w:rPr>
          <w:sz w:val="20"/>
          <w:szCs w:val="20"/>
          <w:color w:val="auto"/>
        </w:rPr>
      </w:pPr>
    </w:p>
    <w:p>
      <w:pPr>
        <w:ind w:right="3400"/>
        <w:spacing w:after="0" w:line="326" w:lineRule="auto"/>
        <w:rPr>
          <w:sz w:val="20"/>
          <w:szCs w:val="20"/>
          <w:color w:val="auto"/>
        </w:rPr>
      </w:pPr>
      <w:r>
        <w:rPr>
          <w:rFonts w:ascii="Arial" w:cs="Arial" w:eastAsia="Arial" w:hAnsi="Arial"/>
          <w:sz w:val="16"/>
          <w:szCs w:val="16"/>
          <w:color w:val="auto"/>
        </w:rPr>
        <w:t>In addition to the Human Resources Committee's collective experience in compensation matters, all of the members stay actively informed of trends and developments in compensation matters and the applicable legal and regulatory frameworks.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9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0D64EF"/>
        </w:rPr>
        <w:t>Governance expertise</w:t>
      </w:r>
    </w:p>
    <w:p>
      <w:pPr>
        <w:spacing w:after="0" w:line="40" w:lineRule="exact"/>
        <w:rPr>
          <w:sz w:val="20"/>
          <w:szCs w:val="20"/>
          <w:color w:val="auto"/>
        </w:rPr>
      </w:pPr>
    </w:p>
    <w:p>
      <w:pPr>
        <w:ind w:right="3080"/>
        <w:spacing w:after="0" w:line="337" w:lineRule="auto"/>
        <w:rPr>
          <w:sz w:val="20"/>
          <w:szCs w:val="20"/>
          <w:color w:val="auto"/>
        </w:rPr>
      </w:pPr>
      <w:r>
        <w:rPr>
          <w:rFonts w:ascii="Arial" w:cs="Arial" w:eastAsia="Arial" w:hAnsi="Arial"/>
          <w:sz w:val="16"/>
          <w:szCs w:val="16"/>
          <w:color w:val="auto"/>
        </w:rPr>
        <w:t>You can find specific details about each director’s background, skills and experience in the director profiles starting on page 20 and the skills matrix on page 57, and more information about the Committees starting on page 66.</w:t>
      </w:r>
    </w:p>
    <w:p>
      <w:pPr>
        <w:spacing w:after="0" w:line="48" w:lineRule="exact"/>
        <w:rPr>
          <w:sz w:val="20"/>
          <w:szCs w:val="20"/>
          <w:color w:val="auto"/>
        </w:rPr>
      </w:pPr>
    </w:p>
    <w:p>
      <w:pPr>
        <w:ind w:right="60"/>
        <w:spacing w:after="0" w:line="316" w:lineRule="auto"/>
        <w:rPr>
          <w:sz w:val="20"/>
          <w:szCs w:val="20"/>
          <w:color w:val="auto"/>
        </w:rPr>
      </w:pPr>
      <w:r>
        <w:rPr>
          <w:rFonts w:ascii="Arial" w:cs="Arial" w:eastAsia="Arial" w:hAnsi="Arial"/>
          <w:sz w:val="16"/>
          <w:szCs w:val="16"/>
          <w:color w:val="auto"/>
        </w:rPr>
        <w:t>The Governance Committee is responsible for corporate governance, director compensation, governance and strategic planning and risk oversight. It consists of six independent directors who have a mix of skills and experience in business, risk, governance, human resources and compensation. Four of the members currently are or have been members of Governance Committees of other public companies. One of the members has experience as a CEO of one or more public companies, which has provided each of them with experience in oversight of and direct involvement in compensation matters.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COMPENSATION OVERSIGHT</w:t>
      </w:r>
    </w:p>
    <w:p>
      <w:pPr>
        <w:spacing w:after="0" w:line="48" w:lineRule="exact"/>
        <w:rPr>
          <w:sz w:val="20"/>
          <w:szCs w:val="20"/>
          <w:color w:val="auto"/>
        </w:rPr>
      </w:pPr>
    </w:p>
    <w:p>
      <w:pPr>
        <w:ind w:right="2900"/>
        <w:spacing w:after="0" w:line="354" w:lineRule="auto"/>
        <w:rPr>
          <w:sz w:val="20"/>
          <w:szCs w:val="20"/>
          <w:color w:val="auto"/>
        </w:rPr>
      </w:pPr>
      <w:r>
        <w:rPr>
          <w:rFonts w:ascii="Arial" w:cs="Arial" w:eastAsia="Arial" w:hAnsi="Arial"/>
          <w:sz w:val="16"/>
          <w:szCs w:val="16"/>
          <w:color w:val="auto"/>
        </w:rPr>
        <w:t>The purpose of the Board’s compensation oversight is to ensure that executives and directors are compensated fairly with respect to market in a way that does not lead to undue risk in TC Energy's business and operations.</w:t>
      </w:r>
    </w:p>
    <w:p>
      <w:pPr>
        <w:spacing w:after="0" w:line="22" w:lineRule="exact"/>
        <w:rPr>
          <w:sz w:val="20"/>
          <w:szCs w:val="20"/>
          <w:color w:val="auto"/>
        </w:rPr>
      </w:pPr>
    </w:p>
    <w:p>
      <w:pPr>
        <w:ind w:right="60"/>
        <w:spacing w:after="0" w:line="326" w:lineRule="auto"/>
        <w:rPr>
          <w:sz w:val="20"/>
          <w:szCs w:val="20"/>
          <w:color w:val="auto"/>
        </w:rPr>
      </w:pPr>
      <w:r>
        <w:rPr>
          <w:rFonts w:ascii="Arial" w:cs="Arial" w:eastAsia="Arial" w:hAnsi="Arial"/>
          <w:sz w:val="16"/>
          <w:szCs w:val="16"/>
          <w:color w:val="auto"/>
        </w:rPr>
        <w:t>The Board reviews our compensation policies and practices every year, considers the possibility of risks and makes any adjustments it deems necessary to ensure that our compensation policies are not reasonably likely to have a material adverse effect on TC Energy. It carries out this work directly or through the Human Resources Committee and the Governance Committee.</w:t>
      </w:r>
    </w:p>
    <w:p>
      <w:pPr>
        <w:spacing w:after="0" w:line="56" w:lineRule="exact"/>
        <w:rPr>
          <w:sz w:val="20"/>
          <w:szCs w:val="20"/>
          <w:color w:val="auto"/>
        </w:rPr>
      </w:pPr>
    </w:p>
    <w:p>
      <w:pPr>
        <w:ind w:right="2800"/>
        <w:spacing w:after="0" w:line="337" w:lineRule="auto"/>
        <w:rPr>
          <w:sz w:val="20"/>
          <w:szCs w:val="20"/>
          <w:color w:val="auto"/>
        </w:rPr>
      </w:pPr>
      <w:r>
        <w:rPr>
          <w:rFonts w:ascii="Arial" w:cs="Arial" w:eastAsia="Arial" w:hAnsi="Arial"/>
          <w:sz w:val="16"/>
          <w:szCs w:val="16"/>
          <w:color w:val="auto"/>
        </w:rPr>
        <w:t>The Board has approved various compensation policies and practices to effectively identify and mitigate compensation risks and discourage the CEO, executive vice-presidents or others from taking inappropriate or excessive risks.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Multi-year strategic plan</w:t>
      </w:r>
    </w:p>
    <w:p>
      <w:pPr>
        <w:spacing w:after="0" w:line="40" w:lineRule="exact"/>
        <w:rPr>
          <w:sz w:val="20"/>
          <w:szCs w:val="20"/>
          <w:color w:val="auto"/>
        </w:rPr>
      </w:pPr>
    </w:p>
    <w:p>
      <w:pPr>
        <w:ind w:right="540"/>
        <w:spacing w:after="0" w:line="337" w:lineRule="auto"/>
        <w:rPr>
          <w:sz w:val="20"/>
          <w:szCs w:val="20"/>
          <w:color w:val="auto"/>
        </w:rPr>
      </w:pPr>
      <w:r>
        <w:rPr>
          <w:rFonts w:ascii="Arial" w:cs="Arial" w:eastAsia="Arial" w:hAnsi="Arial"/>
          <w:sz w:val="16"/>
          <w:szCs w:val="16"/>
          <w:color w:val="auto"/>
        </w:rPr>
        <w:t>We have a multi-year strategic plan that identifies our core strategies to achieve our vision of being the leading energy infrastructure company in North America. Our core strategies include:</w:t>
      </w:r>
    </w:p>
    <w:p>
      <w:pPr>
        <w:spacing w:after="0" w:line="48" w:lineRule="exact"/>
        <w:rPr>
          <w:sz w:val="20"/>
          <w:szCs w:val="20"/>
          <w:color w:val="auto"/>
        </w:rPr>
      </w:pPr>
    </w:p>
    <w:p>
      <w:pPr>
        <w:ind w:left="140" w:hanging="133"/>
        <w:spacing w:after="0"/>
        <w:tabs>
          <w:tab w:leader="none" w:pos="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maximizing the full-life value of our infrastructure assets and commercial positions,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commercially developing and building new asset investment programs,</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cultivating a focused portfolio of high quality development options,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maximizing our competitive strengths.</w:t>
      </w:r>
    </w:p>
    <w:p>
      <w:pPr>
        <w:spacing w:after="0" w:line="152"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Executive compensation is closely linked to the strategic plan. Our annual corporate objectives support the strategic plan and are integrated into our compensation decision-making process. At the end of each year, the Board assesses our performance against the corporate objectives to determine the corporate factor that is used in calculating short-term incentive awards for the CEO, executive vice-presidents and all other employees. The Board also ensures that the annual individual performance objectives for the CEO and each executive vice-president align with our corporate objectives and reflect performance areas that are specific to each role when it determines total direct compensation for each executive.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Compensation philosophy</w:t>
      </w:r>
    </w:p>
    <w:p>
      <w:pPr>
        <w:spacing w:after="0" w:line="40" w:lineRule="exact"/>
        <w:rPr>
          <w:sz w:val="20"/>
          <w:szCs w:val="20"/>
          <w:color w:val="auto"/>
        </w:rPr>
      </w:pPr>
    </w:p>
    <w:p>
      <w:pPr>
        <w:ind w:right="2820"/>
        <w:spacing w:after="0" w:line="306" w:lineRule="auto"/>
        <w:rPr>
          <w:sz w:val="20"/>
          <w:szCs w:val="20"/>
          <w:color w:val="auto"/>
        </w:rPr>
      </w:pPr>
      <w:r>
        <w:rPr>
          <w:rFonts w:ascii="Arial" w:cs="Arial" w:eastAsia="Arial" w:hAnsi="Arial"/>
          <w:sz w:val="16"/>
          <w:szCs w:val="16"/>
          <w:color w:val="auto"/>
        </w:rPr>
        <w:t>Our compensation philosophy guides all compensation program design and decisions. Our approach to compensation is structured to meet four key objectives: pay for performance, be market competitive, align executives’ interests with</w:t>
      </w:r>
    </w:p>
    <w:p>
      <w:pPr>
        <w:spacing w:after="0" w:line="1" w:lineRule="exact"/>
        <w:rPr>
          <w:sz w:val="20"/>
          <w:szCs w:val="20"/>
          <w:color w:val="auto"/>
        </w:rPr>
      </w:pPr>
    </w:p>
    <w:p>
      <w:pPr>
        <w:ind w:right="180"/>
        <w:spacing w:after="0" w:line="317" w:lineRule="auto"/>
        <w:rPr>
          <w:sz w:val="20"/>
          <w:szCs w:val="20"/>
          <w:color w:val="auto"/>
        </w:rPr>
      </w:pPr>
      <w:r>
        <w:rPr>
          <w:rFonts w:ascii="Arial" w:cs="Arial" w:eastAsia="Arial" w:hAnsi="Arial"/>
          <w:sz w:val="16"/>
          <w:szCs w:val="16"/>
          <w:color w:val="auto"/>
        </w:rPr>
        <w:t>those of our various stakeholders, and attract, engage and retain our executives. In setting compensation levels, each component – base salary, short-term and long-term incentives – as well as total direct compensation are determined with reference to median levels in our peer group. See pages 91 to 101 for details.</w:t>
      </w:r>
    </w:p>
    <w:p>
      <w:pPr>
        <w:spacing w:after="0" w:line="64" w:lineRule="exact"/>
        <w:rPr>
          <w:sz w:val="20"/>
          <w:szCs w:val="20"/>
          <w:color w:val="auto"/>
        </w:rPr>
      </w:pPr>
    </w:p>
    <w:p>
      <w:pPr>
        <w:ind w:right="380"/>
        <w:spacing w:after="0" w:line="337" w:lineRule="auto"/>
        <w:rPr>
          <w:sz w:val="20"/>
          <w:szCs w:val="20"/>
          <w:color w:val="auto"/>
        </w:rPr>
      </w:pPr>
      <w:r>
        <w:rPr>
          <w:rFonts w:ascii="Arial" w:cs="Arial" w:eastAsia="Arial" w:hAnsi="Arial"/>
          <w:sz w:val="16"/>
          <w:szCs w:val="16"/>
          <w:color w:val="auto"/>
        </w:rPr>
        <w:t>Executive compensation is designed to pay for performance, as a significant portion of total direct compensation is variable or at-risk compensation. See pages 108 to 112 for the pay mix for each named executive.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73</w:t>
      </w:r>
    </w:p>
    <w:p>
      <w:pPr>
        <w:sectPr>
          <w:pgSz w:w="11900" w:h="16838" w:orient="portrait"/>
          <w:cols w:equalWidth="0" w:num="1">
            <w:col w:w="11240"/>
          </w:cols>
          <w:pgMar w:left="320" w:top="104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0D64EF"/>
        </w:rPr>
        <w:t>Executive compensation structured to manage risk</w:t>
      </w:r>
    </w:p>
    <w:p>
      <w:pPr>
        <w:spacing w:after="0" w:line="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Human Resources Committee and the Board have structured the executive compensation program to ensure that executives are compensated fairly and in a way that does not present undue risk to TC Energy or encourage executives</w:t>
      </w:r>
    </w:p>
    <w:p>
      <w:pPr>
        <w:spacing w:after="0" w:line="1" w:lineRule="exact"/>
        <w:rPr>
          <w:sz w:val="20"/>
          <w:szCs w:val="20"/>
          <w:color w:val="auto"/>
        </w:rPr>
      </w:pPr>
    </w:p>
    <w:p>
      <w:pPr>
        <w:ind w:right="280"/>
        <w:spacing w:after="0" w:line="354" w:lineRule="auto"/>
        <w:rPr>
          <w:sz w:val="20"/>
          <w:szCs w:val="20"/>
          <w:color w:val="auto"/>
        </w:rPr>
      </w:pPr>
      <w:r>
        <w:rPr>
          <w:rFonts w:ascii="Arial" w:cs="Arial" w:eastAsia="Arial" w:hAnsi="Arial"/>
          <w:sz w:val="16"/>
          <w:szCs w:val="16"/>
          <w:color w:val="auto"/>
        </w:rPr>
        <w:t>to take inappropriate risks. The Human Resources Committee is committed to continuous improvement of executive compensation practices, and reviews prevalent best practices on a regular basis.</w:t>
      </w:r>
    </w:p>
    <w:p>
      <w:pPr>
        <w:spacing w:after="0" w:line="22" w:lineRule="exact"/>
        <w:rPr>
          <w:sz w:val="20"/>
          <w:szCs w:val="20"/>
          <w:color w:val="auto"/>
        </w:rPr>
      </w:pPr>
    </w:p>
    <w:p>
      <w:pPr>
        <w:ind w:left="160" w:right="360" w:hanging="153"/>
        <w:spacing w:after="0" w:line="306" w:lineRule="auto"/>
        <w:tabs>
          <w:tab w:leader="none" w:pos="149"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Structured process: </w:t>
      </w:r>
      <w:r>
        <w:rPr>
          <w:rFonts w:ascii="Arial" w:cs="Arial" w:eastAsia="Arial" w:hAnsi="Arial"/>
          <w:sz w:val="16"/>
          <w:szCs w:val="16"/>
          <w:color w:val="auto"/>
        </w:rPr>
        <w:t>The Human Resources Committee has implemented a formal decision-making process that involves management, the Human</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Committee and the Board. The Human Resources Committee uses a multi-step review process for all compensation matters, first adopting</w:t>
      </w:r>
    </w:p>
    <w:p>
      <w:pPr>
        <w:spacing w:after="0" w:line="1" w:lineRule="exact"/>
        <w:rPr>
          <w:rFonts w:ascii="Arial" w:cs="Arial" w:eastAsia="Arial" w:hAnsi="Arial"/>
          <w:sz w:val="16"/>
          <w:szCs w:val="16"/>
          <w:i w:val="1"/>
          <w:iCs w:val="1"/>
          <w:color w:val="auto"/>
        </w:rPr>
      </w:pPr>
    </w:p>
    <w:p>
      <w:pPr>
        <w:ind w:left="160" w:right="880"/>
        <w:spacing w:after="0" w:line="337" w:lineRule="auto"/>
        <w:rPr>
          <w:rFonts w:ascii="Arial" w:cs="Arial" w:eastAsia="Arial" w:hAnsi="Arial"/>
          <w:sz w:val="16"/>
          <w:szCs w:val="16"/>
          <w:i w:val="1"/>
          <w:iCs w:val="1"/>
          <w:color w:val="auto"/>
        </w:rPr>
      </w:pPr>
      <w:r>
        <w:rPr>
          <w:rFonts w:ascii="Arial" w:cs="Arial" w:eastAsia="Arial" w:hAnsi="Arial"/>
          <w:sz w:val="16"/>
          <w:szCs w:val="16"/>
          <w:color w:val="auto"/>
        </w:rPr>
        <w:t>goals and metrics of performance, reviewing how performance compares to the pre-established metrics and then seeking Board input as to the reasonableness of the results.</w:t>
      </w:r>
    </w:p>
    <w:p>
      <w:pPr>
        <w:spacing w:after="0" w:line="47" w:lineRule="exact"/>
        <w:rPr>
          <w:rFonts w:ascii="Arial" w:cs="Arial" w:eastAsia="Arial" w:hAnsi="Arial"/>
          <w:sz w:val="16"/>
          <w:szCs w:val="16"/>
          <w:i w:val="1"/>
          <w:iCs w:val="1"/>
          <w:color w:val="auto"/>
        </w:rPr>
      </w:pPr>
    </w:p>
    <w:p>
      <w:pPr>
        <w:ind w:left="160" w:right="80" w:hanging="153"/>
        <w:spacing w:after="0" w:line="337" w:lineRule="auto"/>
        <w:tabs>
          <w:tab w:leader="none" w:pos="149"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Benchmarking to ensure fairness: </w:t>
      </w:r>
      <w:r>
        <w:rPr>
          <w:rFonts w:ascii="Arial" w:cs="Arial" w:eastAsia="Arial" w:hAnsi="Arial"/>
          <w:sz w:val="16"/>
          <w:szCs w:val="16"/>
          <w:color w:val="auto"/>
        </w:rPr>
        <w:t>Executive compensation is reviewed every year. Executive compensation is benchmarked against size appropriate peer</w:t>
      </w:r>
      <w:r>
        <w:rPr>
          <w:rFonts w:ascii="Arial" w:cs="Arial" w:eastAsia="Arial" w:hAnsi="Arial"/>
          <w:sz w:val="16"/>
          <w:szCs w:val="16"/>
          <w:i w:val="1"/>
          <w:iCs w:val="1"/>
          <w:color w:val="auto"/>
        </w:rPr>
        <w:t xml:space="preserve"> </w:t>
      </w:r>
      <w:r>
        <w:rPr>
          <w:rFonts w:ascii="Arial" w:cs="Arial" w:eastAsia="Arial" w:hAnsi="Arial"/>
          <w:sz w:val="16"/>
          <w:szCs w:val="16"/>
          <w:color w:val="auto"/>
        </w:rPr>
        <w:t>groups to assess competitiveness and fairness, and the appropriateness of the composition of the applicable peer groups is reviewed.</w:t>
      </w:r>
    </w:p>
    <w:p>
      <w:pPr>
        <w:spacing w:after="0" w:line="47" w:lineRule="exact"/>
        <w:rPr>
          <w:rFonts w:ascii="Arial" w:cs="Arial" w:eastAsia="Arial" w:hAnsi="Arial"/>
          <w:sz w:val="16"/>
          <w:szCs w:val="16"/>
          <w:i w:val="1"/>
          <w:iCs w:val="1"/>
          <w:color w:val="auto"/>
        </w:rPr>
      </w:pPr>
    </w:p>
    <w:p>
      <w:pPr>
        <w:ind w:left="160" w:right="580" w:hanging="153"/>
        <w:spacing w:after="0" w:line="306" w:lineRule="auto"/>
        <w:tabs>
          <w:tab w:leader="none" w:pos="149"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Modelling and stress testing: </w:t>
      </w:r>
      <w:r>
        <w:rPr>
          <w:rFonts w:ascii="Arial" w:cs="Arial" w:eastAsia="Arial" w:hAnsi="Arial"/>
          <w:sz w:val="16"/>
          <w:szCs w:val="16"/>
          <w:color w:val="auto"/>
        </w:rPr>
        <w:t>The Human Resources Committee uses modelling to stress test different compensation scenarios and potential future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This includes an analysis of the potential effect of different corporate performance scenarios on previously awarded and</w:t>
      </w:r>
    </w:p>
    <w:p>
      <w:pPr>
        <w:spacing w:after="0" w:line="1" w:lineRule="exact"/>
        <w:rPr>
          <w:rFonts w:ascii="Arial" w:cs="Arial" w:eastAsia="Arial" w:hAnsi="Arial"/>
          <w:sz w:val="16"/>
          <w:szCs w:val="16"/>
          <w:i w:val="1"/>
          <w:iCs w:val="1"/>
          <w:color w:val="auto"/>
        </w:rPr>
      </w:pPr>
    </w:p>
    <w:p>
      <w:pPr>
        <w:ind w:left="160"/>
        <w:spacing w:after="0"/>
        <w:rPr>
          <w:rFonts w:ascii="Arial" w:cs="Arial" w:eastAsia="Arial" w:hAnsi="Arial"/>
          <w:sz w:val="16"/>
          <w:szCs w:val="16"/>
          <w:i w:val="1"/>
          <w:iCs w:val="1"/>
          <w:color w:val="auto"/>
        </w:rPr>
      </w:pPr>
      <w:r>
        <w:rPr>
          <w:rFonts w:ascii="Arial" w:cs="Arial" w:eastAsia="Arial" w:hAnsi="Arial"/>
          <w:sz w:val="16"/>
          <w:szCs w:val="16"/>
          <w:color w:val="auto"/>
        </w:rPr>
        <w:t>outstanding compensation to assess whether the results</w:t>
      </w:r>
    </w:p>
    <w:p>
      <w:pPr>
        <w:spacing w:after="0" w:line="44" w:lineRule="exact"/>
        <w:rPr>
          <w:rFonts w:ascii="Arial" w:cs="Arial" w:eastAsia="Arial" w:hAnsi="Arial"/>
          <w:sz w:val="16"/>
          <w:szCs w:val="16"/>
          <w:i w:val="1"/>
          <w:iCs w:val="1"/>
          <w:color w:val="auto"/>
        </w:rPr>
      </w:pPr>
    </w:p>
    <w:p>
      <w:pPr>
        <w:ind w:left="160" w:right="820"/>
        <w:spacing w:after="0" w:line="337" w:lineRule="auto"/>
        <w:rPr>
          <w:rFonts w:ascii="Arial" w:cs="Arial" w:eastAsia="Arial" w:hAnsi="Arial"/>
          <w:sz w:val="16"/>
          <w:szCs w:val="16"/>
          <w:i w:val="1"/>
          <w:iCs w:val="1"/>
          <w:color w:val="auto"/>
        </w:rPr>
      </w:pPr>
      <w:r>
        <w:rPr>
          <w:rFonts w:ascii="Arial" w:cs="Arial" w:eastAsia="Arial" w:hAnsi="Arial"/>
          <w:sz w:val="16"/>
          <w:szCs w:val="16"/>
          <w:color w:val="auto"/>
        </w:rPr>
        <w:t>are reasonable. The Human Resources Committee also uses modelling to assess the payments under the terms of the executives’ employment agreements for severance and change of control situations.</w:t>
      </w:r>
    </w:p>
    <w:p>
      <w:pPr>
        <w:spacing w:after="0" w:line="47" w:lineRule="exact"/>
        <w:rPr>
          <w:rFonts w:ascii="Arial" w:cs="Arial" w:eastAsia="Arial" w:hAnsi="Arial"/>
          <w:sz w:val="16"/>
          <w:szCs w:val="16"/>
          <w:i w:val="1"/>
          <w:iCs w:val="1"/>
          <w:color w:val="auto"/>
        </w:rPr>
      </w:pPr>
    </w:p>
    <w:p>
      <w:pPr>
        <w:ind w:left="160" w:right="2920" w:hanging="153"/>
        <w:spacing w:after="0" w:line="326" w:lineRule="auto"/>
        <w:tabs>
          <w:tab w:leader="none" w:pos="149"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Independent advice: </w:t>
      </w:r>
      <w:r>
        <w:rPr>
          <w:rFonts w:ascii="Arial" w:cs="Arial" w:eastAsia="Arial" w:hAnsi="Arial"/>
          <w:sz w:val="16"/>
          <w:szCs w:val="16"/>
          <w:color w:val="auto"/>
        </w:rPr>
        <w:t>The Human Resources Committee uses an independent external compensation consultant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advice in connection with executive pay benchmarking, incentive plan design, compensation governance and pay for performance.</w:t>
      </w:r>
    </w:p>
    <w:p>
      <w:pPr>
        <w:spacing w:after="0" w:line="43" w:lineRule="exact"/>
        <w:rPr>
          <w:rFonts w:ascii="Arial" w:cs="Arial" w:eastAsia="Arial" w:hAnsi="Arial"/>
          <w:sz w:val="16"/>
          <w:szCs w:val="16"/>
          <w:i w:val="1"/>
          <w:iCs w:val="1"/>
          <w:color w:val="auto"/>
        </w:rPr>
      </w:pPr>
    </w:p>
    <w:p>
      <w:pPr>
        <w:ind w:left="160" w:hanging="153"/>
        <w:spacing w:after="0"/>
        <w:tabs>
          <w:tab w:leader="none" w:pos="160"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Alignment with shareholders: </w:t>
      </w:r>
      <w:r>
        <w:rPr>
          <w:rFonts w:ascii="Arial" w:cs="Arial" w:eastAsia="Arial" w:hAnsi="Arial"/>
          <w:sz w:val="16"/>
          <w:szCs w:val="16"/>
          <w:color w:val="auto"/>
        </w:rPr>
        <w:t>The Human Resources Committee and the Board place a significant emphasis on long-term incentives when determining the</w:t>
      </w:r>
    </w:p>
    <w:p>
      <w:pPr>
        <w:spacing w:after="0" w:line="57" w:lineRule="exact"/>
        <w:rPr>
          <w:rFonts w:ascii="Arial" w:cs="Arial" w:eastAsia="Arial" w:hAnsi="Arial"/>
          <w:sz w:val="16"/>
          <w:szCs w:val="16"/>
          <w:i w:val="1"/>
          <w:iCs w:val="1"/>
          <w:color w:val="auto"/>
        </w:rPr>
      </w:pPr>
    </w:p>
    <w:p>
      <w:pPr>
        <w:ind w:left="160" w:right="120"/>
        <w:spacing w:after="0" w:line="317" w:lineRule="auto"/>
        <w:rPr>
          <w:rFonts w:ascii="Arial" w:cs="Arial" w:eastAsia="Arial" w:hAnsi="Arial"/>
          <w:sz w:val="16"/>
          <w:szCs w:val="16"/>
          <w:i w:val="1"/>
          <w:iCs w:val="1"/>
          <w:color w:val="auto"/>
        </w:rPr>
      </w:pPr>
      <w:r>
        <w:rPr>
          <w:rFonts w:ascii="Arial" w:cs="Arial" w:eastAsia="Arial" w:hAnsi="Arial"/>
          <w:sz w:val="16"/>
          <w:szCs w:val="16"/>
          <w:color w:val="auto"/>
        </w:rPr>
        <w:t>total direct compensation for the CEO and each executive vice-president. Our long-term incentives include performance share units (referred to as PSUs) and restricted share units (referred to as RSUs) – both of which encourage value creation over the long-term and align executives’ interests with our shareholders. TC Energy stopped granting stock options in 2024.</w:t>
      </w:r>
    </w:p>
    <w:p>
      <w:pPr>
        <w:spacing w:after="0" w:line="63" w:lineRule="exact"/>
        <w:rPr>
          <w:rFonts w:ascii="Arial" w:cs="Arial" w:eastAsia="Arial" w:hAnsi="Arial"/>
          <w:sz w:val="16"/>
          <w:szCs w:val="16"/>
          <w:i w:val="1"/>
          <w:iCs w:val="1"/>
          <w:color w:val="auto"/>
        </w:rPr>
      </w:pPr>
    </w:p>
    <w:p>
      <w:pPr>
        <w:ind w:left="160" w:right="60" w:hanging="153"/>
        <w:spacing w:after="0" w:line="337" w:lineRule="auto"/>
        <w:tabs>
          <w:tab w:leader="none" w:pos="149"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Pre-established objectives: </w:t>
      </w:r>
      <w:r>
        <w:rPr>
          <w:rFonts w:ascii="Arial" w:cs="Arial" w:eastAsia="Arial" w:hAnsi="Arial"/>
          <w:sz w:val="16"/>
          <w:szCs w:val="16"/>
          <w:color w:val="auto"/>
        </w:rPr>
        <w:t>Each year the Board approves corporate, business unit and individual objectives that are aligned with the overall business plan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CEO and each executive vice-president. These objectives are used to assess performance and determine compensation.</w:t>
      </w:r>
    </w:p>
    <w:p>
      <w:pPr>
        <w:spacing w:after="0" w:line="47" w:lineRule="exact"/>
        <w:rPr>
          <w:rFonts w:ascii="Arial" w:cs="Arial" w:eastAsia="Arial" w:hAnsi="Arial"/>
          <w:sz w:val="16"/>
          <w:szCs w:val="16"/>
          <w:i w:val="1"/>
          <w:iCs w:val="1"/>
          <w:color w:val="auto"/>
        </w:rPr>
      </w:pPr>
    </w:p>
    <w:p>
      <w:pPr>
        <w:ind w:left="160" w:right="60" w:hanging="153"/>
        <w:spacing w:after="0" w:line="337" w:lineRule="auto"/>
        <w:tabs>
          <w:tab w:leader="none" w:pos="149"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Multi-year performance-based compensation: </w:t>
      </w:r>
      <w:r>
        <w:rPr>
          <w:rFonts w:ascii="Arial" w:cs="Arial" w:eastAsia="Arial" w:hAnsi="Arial"/>
          <w:sz w:val="16"/>
          <w:szCs w:val="16"/>
          <w:color w:val="auto"/>
        </w:rPr>
        <w:t>Awards under the PSU Plan are paid out based on our performance against objectives set for the three-year</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period.</w:t>
      </w:r>
    </w:p>
    <w:p>
      <w:pPr>
        <w:spacing w:after="0" w:line="47" w:lineRule="exact"/>
        <w:rPr>
          <w:rFonts w:ascii="Arial" w:cs="Arial" w:eastAsia="Arial" w:hAnsi="Arial"/>
          <w:sz w:val="16"/>
          <w:szCs w:val="16"/>
          <w:i w:val="1"/>
          <w:iCs w:val="1"/>
          <w:color w:val="auto"/>
        </w:rPr>
      </w:pPr>
    </w:p>
    <w:p>
      <w:pPr>
        <w:ind w:left="160" w:right="2580" w:hanging="153"/>
        <w:spacing w:after="0" w:line="326" w:lineRule="auto"/>
        <w:tabs>
          <w:tab w:leader="none" w:pos="149"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Limits on variable compensation payments: </w:t>
      </w:r>
      <w:r>
        <w:rPr>
          <w:rFonts w:ascii="Arial" w:cs="Arial" w:eastAsia="Arial" w:hAnsi="Arial"/>
          <w:sz w:val="16"/>
          <w:szCs w:val="16"/>
          <w:color w:val="auto"/>
        </w:rPr>
        <w:t>Short-term incentive awards are subject to a minimum of a zero payout up</w:t>
      </w:r>
      <w:r>
        <w:rPr>
          <w:rFonts w:ascii="Arial" w:cs="Arial" w:eastAsia="Arial" w:hAnsi="Arial"/>
          <w:sz w:val="16"/>
          <w:szCs w:val="16"/>
          <w:i w:val="1"/>
          <w:iCs w:val="1"/>
          <w:color w:val="auto"/>
        </w:rPr>
        <w:t xml:space="preserve"> </w:t>
      </w:r>
      <w:r>
        <w:rPr>
          <w:rFonts w:ascii="Arial" w:cs="Arial" w:eastAsia="Arial" w:hAnsi="Arial"/>
          <w:sz w:val="16"/>
          <w:szCs w:val="16"/>
          <w:color w:val="auto"/>
        </w:rPr>
        <w:t>to a maximum payout of two times target. Long-term incentive awards under the PSU Plan are subject to a minimum of a zero payout up to a maximum payout of two times the final number of units accrued at the end of the vesting period.</w:t>
      </w:r>
    </w:p>
    <w:p>
      <w:pPr>
        <w:spacing w:after="0" w:line="43" w:lineRule="exact"/>
        <w:rPr>
          <w:rFonts w:ascii="Arial" w:cs="Arial" w:eastAsia="Arial" w:hAnsi="Arial"/>
          <w:sz w:val="16"/>
          <w:szCs w:val="16"/>
          <w:i w:val="1"/>
          <w:iCs w:val="1"/>
          <w:color w:val="auto"/>
        </w:rPr>
      </w:pPr>
    </w:p>
    <w:p>
      <w:pPr>
        <w:ind w:left="160" w:hanging="153"/>
        <w:spacing w:after="0"/>
        <w:tabs>
          <w:tab w:leader="none" w:pos="160"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Discretion: </w:t>
      </w:r>
      <w:r>
        <w:rPr>
          <w:rFonts w:ascii="Arial" w:cs="Arial" w:eastAsia="Arial" w:hAnsi="Arial"/>
          <w:sz w:val="16"/>
          <w:szCs w:val="16"/>
          <w:color w:val="auto"/>
        </w:rPr>
        <w:t>The Board completes a formal assessment annually, and can then use its discretion to increase or decrease any compensation awards if it</w:t>
      </w:r>
    </w:p>
    <w:p>
      <w:pPr>
        <w:spacing w:after="0" w:line="57" w:lineRule="exact"/>
        <w:rPr>
          <w:rFonts w:ascii="Arial" w:cs="Arial" w:eastAsia="Arial" w:hAnsi="Arial"/>
          <w:sz w:val="16"/>
          <w:szCs w:val="16"/>
          <w:i w:val="1"/>
          <w:iCs w:val="1"/>
          <w:color w:val="auto"/>
        </w:rPr>
      </w:pPr>
    </w:p>
    <w:p>
      <w:pPr>
        <w:ind w:left="160"/>
        <w:spacing w:after="0"/>
        <w:rPr>
          <w:rFonts w:ascii="Arial" w:cs="Arial" w:eastAsia="Arial" w:hAnsi="Arial"/>
          <w:sz w:val="16"/>
          <w:szCs w:val="16"/>
          <w:i w:val="1"/>
          <w:iCs w:val="1"/>
          <w:color w:val="auto"/>
        </w:rPr>
      </w:pPr>
      <w:r>
        <w:rPr>
          <w:rFonts w:ascii="Arial" w:cs="Arial" w:eastAsia="Arial" w:hAnsi="Arial"/>
          <w:sz w:val="16"/>
          <w:szCs w:val="16"/>
          <w:color w:val="auto"/>
        </w:rPr>
        <w:t>deems it appropriate based on market factors or other extenuating circumstances. However,</w:t>
      </w:r>
    </w:p>
    <w:p>
      <w:pPr>
        <w:spacing w:after="0" w:line="44" w:lineRule="exact"/>
        <w:rPr>
          <w:rFonts w:ascii="Arial" w:cs="Arial" w:eastAsia="Arial" w:hAnsi="Arial"/>
          <w:sz w:val="16"/>
          <w:szCs w:val="16"/>
          <w:i w:val="1"/>
          <w:iCs w:val="1"/>
          <w:color w:val="auto"/>
        </w:rPr>
      </w:pPr>
    </w:p>
    <w:p>
      <w:pPr>
        <w:ind w:left="160"/>
        <w:spacing w:after="0"/>
        <w:rPr>
          <w:rFonts w:ascii="Arial" w:cs="Arial" w:eastAsia="Arial" w:hAnsi="Arial"/>
          <w:sz w:val="16"/>
          <w:szCs w:val="16"/>
          <w:i w:val="1"/>
          <w:iCs w:val="1"/>
          <w:color w:val="auto"/>
        </w:rPr>
      </w:pPr>
      <w:r>
        <w:rPr>
          <w:rFonts w:ascii="Arial" w:cs="Arial" w:eastAsia="Arial" w:hAnsi="Arial"/>
          <w:sz w:val="16"/>
          <w:szCs w:val="16"/>
          <w:color w:val="auto"/>
        </w:rPr>
        <w:t>to maintain the integrity of the metrics-based framework, the Board exercises its discretion sparingly.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61"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0D64EF"/>
        </w:rPr>
        <w:t>Policies and guidelines to manage risk</w:t>
      </w:r>
    </w:p>
    <w:p>
      <w:pPr>
        <w:spacing w:after="0" w:line="40" w:lineRule="exact"/>
        <w:rPr>
          <w:sz w:val="20"/>
          <w:szCs w:val="20"/>
          <w:color w:val="auto"/>
        </w:rPr>
      </w:pPr>
    </w:p>
    <w:p>
      <w:pPr>
        <w:ind w:right="860"/>
        <w:spacing w:after="0" w:line="306" w:lineRule="auto"/>
        <w:rPr>
          <w:sz w:val="20"/>
          <w:szCs w:val="20"/>
          <w:color w:val="auto"/>
        </w:rPr>
      </w:pPr>
      <w:r>
        <w:rPr>
          <w:rFonts w:ascii="Arial" w:cs="Arial" w:eastAsia="Arial" w:hAnsi="Arial"/>
          <w:sz w:val="16"/>
          <w:szCs w:val="16"/>
          <w:color w:val="auto"/>
        </w:rPr>
        <w:t>The Governance Committee, the Human Resources Committee and the Board have instituted several policies to ensure that compensation risk is appropriately managed and that the interests of both directors and executives are aligned with those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our shareholders. These policies are derived from best practices in governance and legal requirements.</w:t>
      </w:r>
    </w:p>
    <w:p>
      <w:pPr>
        <w:spacing w:after="0" w:line="152" w:lineRule="exact"/>
        <w:rPr>
          <w:sz w:val="20"/>
          <w:szCs w:val="20"/>
          <w:color w:val="auto"/>
        </w:rPr>
      </w:pPr>
    </w:p>
    <w:p>
      <w:pPr>
        <w:ind w:left="160" w:right="680" w:hanging="153"/>
        <w:spacing w:after="0" w:line="337" w:lineRule="auto"/>
        <w:tabs>
          <w:tab w:leader="none" w:pos="149" w:val="left"/>
        </w:tabs>
        <w:numPr>
          <w:ilvl w:val="0"/>
          <w:numId w:val="9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Corporate objectives: </w:t>
      </w:r>
      <w:r>
        <w:rPr>
          <w:rFonts w:ascii="Arial" w:cs="Arial" w:eastAsia="Arial" w:hAnsi="Arial"/>
          <w:sz w:val="16"/>
          <w:szCs w:val="16"/>
          <w:color w:val="auto"/>
        </w:rPr>
        <w:t>We adopt corporate objectives consistent with our approved strategic plan so that the Board can monitor how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influences business decisions.</w:t>
      </w:r>
    </w:p>
    <w:p>
      <w:pPr>
        <w:spacing w:after="0" w:line="47" w:lineRule="exact"/>
        <w:rPr>
          <w:rFonts w:ascii="Arial" w:cs="Arial" w:eastAsia="Arial" w:hAnsi="Arial"/>
          <w:sz w:val="16"/>
          <w:szCs w:val="16"/>
          <w:i w:val="1"/>
          <w:iCs w:val="1"/>
          <w:color w:val="auto"/>
        </w:rPr>
      </w:pPr>
    </w:p>
    <w:p>
      <w:pPr>
        <w:ind w:left="160" w:right="320" w:hanging="153"/>
        <w:spacing w:after="0" w:line="337" w:lineRule="auto"/>
        <w:tabs>
          <w:tab w:leader="none" w:pos="149" w:val="left"/>
        </w:tabs>
        <w:numPr>
          <w:ilvl w:val="0"/>
          <w:numId w:val="9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Share ownership requirements: </w:t>
      </w:r>
      <w:r>
        <w:rPr>
          <w:rFonts w:ascii="Arial" w:cs="Arial" w:eastAsia="Arial" w:hAnsi="Arial"/>
          <w:sz w:val="16"/>
          <w:szCs w:val="16"/>
          <w:color w:val="auto"/>
        </w:rPr>
        <w:t>We have share ownership requirements for both directors and executives, reflecting the Board’s view that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can represent the interests of shareholders more effectively if they have a significant investment in TC Energy.</w:t>
      </w:r>
    </w:p>
    <w:p>
      <w:pPr>
        <w:spacing w:after="0" w:line="47" w:lineRule="exact"/>
        <w:rPr>
          <w:rFonts w:ascii="Arial" w:cs="Arial" w:eastAsia="Arial" w:hAnsi="Arial"/>
          <w:sz w:val="16"/>
          <w:szCs w:val="16"/>
          <w:i w:val="1"/>
          <w:iCs w:val="1"/>
          <w:color w:val="auto"/>
        </w:rPr>
      </w:pPr>
    </w:p>
    <w:p>
      <w:pPr>
        <w:ind w:left="140" w:hanging="133"/>
        <w:spacing w:after="0"/>
        <w:tabs>
          <w:tab w:leader="none" w:pos="14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 xml:space="preserve">Post-retirement share ownership requirement: </w:t>
      </w:r>
      <w:r>
        <w:rPr>
          <w:rFonts w:ascii="Arial" w:cs="Arial" w:eastAsia="Arial" w:hAnsi="Arial"/>
          <w:sz w:val="16"/>
          <w:szCs w:val="16"/>
          <w:color w:val="auto"/>
        </w:rPr>
        <w:t>The CEO is required to maintain the required ownership level for one year post-retirement.</w:t>
      </w:r>
    </w:p>
    <w:p>
      <w:pPr>
        <w:spacing w:after="0" w:line="138" w:lineRule="exact"/>
        <w:rPr>
          <w:rFonts w:ascii="Arial" w:cs="Arial" w:eastAsia="Arial" w:hAnsi="Arial"/>
          <w:sz w:val="16"/>
          <w:szCs w:val="16"/>
          <w:color w:val="auto"/>
        </w:rPr>
      </w:pPr>
    </w:p>
    <w:p>
      <w:pPr>
        <w:ind w:left="160" w:hanging="153"/>
        <w:spacing w:after="0"/>
        <w:tabs>
          <w:tab w:leader="none" w:pos="160" w:val="left"/>
        </w:tabs>
        <w:numPr>
          <w:ilvl w:val="0"/>
          <w:numId w:val="9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Prohibition on hedging: </w:t>
      </w:r>
      <w:r>
        <w:rPr>
          <w:rFonts w:ascii="Arial" w:cs="Arial" w:eastAsia="Arial" w:hAnsi="Arial"/>
          <w:sz w:val="16"/>
          <w:szCs w:val="16"/>
          <w:color w:val="auto"/>
        </w:rPr>
        <w:t>Our Trading Policy includes an Anti-Hedging Policy preventing directors and officers from using derivatives or other instruments to</w:t>
      </w:r>
    </w:p>
    <w:p>
      <w:pPr>
        <w:spacing w:after="0" w:line="57" w:lineRule="exact"/>
        <w:rPr>
          <w:rFonts w:ascii="Arial" w:cs="Arial" w:eastAsia="Arial" w:hAnsi="Arial"/>
          <w:sz w:val="16"/>
          <w:szCs w:val="16"/>
          <w:i w:val="1"/>
          <w:iCs w:val="1"/>
          <w:color w:val="auto"/>
        </w:rPr>
      </w:pPr>
    </w:p>
    <w:p>
      <w:pPr>
        <w:ind w:left="160" w:right="380"/>
        <w:spacing w:after="0" w:line="337" w:lineRule="auto"/>
        <w:rPr>
          <w:rFonts w:ascii="Arial" w:cs="Arial" w:eastAsia="Arial" w:hAnsi="Arial"/>
          <w:sz w:val="16"/>
          <w:szCs w:val="16"/>
          <w:i w:val="1"/>
          <w:iCs w:val="1"/>
          <w:color w:val="auto"/>
        </w:rPr>
      </w:pPr>
      <w:r>
        <w:rPr>
          <w:rFonts w:ascii="Arial" w:cs="Arial" w:eastAsia="Arial" w:hAnsi="Arial"/>
          <w:sz w:val="16"/>
          <w:szCs w:val="16"/>
          <w:color w:val="auto"/>
        </w:rPr>
        <w:t>insulate them from movements in our share price. This includes prepaid variable forward contracts, equity swaps, collars, units of exchange funds and other hedging vehicles.</w:t>
      </w:r>
    </w:p>
    <w:p>
      <w:pPr>
        <w:spacing w:after="0" w:line="47" w:lineRule="exact"/>
        <w:rPr>
          <w:rFonts w:ascii="Arial" w:cs="Arial" w:eastAsia="Arial" w:hAnsi="Arial"/>
          <w:sz w:val="16"/>
          <w:szCs w:val="16"/>
          <w:i w:val="1"/>
          <w:iCs w:val="1"/>
          <w:color w:val="auto"/>
        </w:rPr>
      </w:pPr>
    </w:p>
    <w:p>
      <w:pPr>
        <w:ind w:left="140" w:hanging="133"/>
        <w:spacing w:after="0"/>
        <w:tabs>
          <w:tab w:leader="none" w:pos="14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w:t>
      </w:r>
      <w:r>
        <w:rPr>
          <w:rFonts w:ascii="Arial" w:cs="Arial" w:eastAsia="Arial" w:hAnsi="Arial"/>
          <w:sz w:val="16"/>
          <w:szCs w:val="16"/>
          <w:color w:val="auto"/>
        </w:rPr>
        <w:t>We maintain both an Incentive Compensation Recoupment and Holdback Policy and a Recoupment</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 Holdback Policy for Detrimental Conduct.</w:t>
      </w:r>
    </w:p>
    <w:p>
      <w:pPr>
        <w:spacing w:after="0" w:line="152" w:lineRule="exact"/>
        <w:rPr>
          <w:sz w:val="20"/>
          <w:szCs w:val="20"/>
          <w:color w:val="auto"/>
        </w:rPr>
      </w:pPr>
    </w:p>
    <w:p>
      <w:pPr>
        <w:ind w:left="340" w:right="200" w:hanging="171"/>
        <w:spacing w:after="0" w:line="303" w:lineRule="auto"/>
        <w:tabs>
          <w:tab w:leader="none" w:pos="31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Incentive Compensation Recoupment and Holdback Policy requires covered executives to repay erroneously awarded incentive compensation, including vested and unvested short and long-term incentive compensation (including proceeds realized from the exercise of stock options) received in the three completed fiscal years prior</w:t>
      </w:r>
    </w:p>
    <w:p>
      <w:pPr>
        <w:spacing w:after="0" w:line="1" w:lineRule="exact"/>
        <w:rPr>
          <w:rFonts w:ascii="Arial" w:cs="Arial" w:eastAsia="Arial" w:hAnsi="Arial"/>
          <w:sz w:val="16"/>
          <w:szCs w:val="16"/>
          <w:color w:val="auto"/>
        </w:rPr>
      </w:pPr>
    </w:p>
    <w:p>
      <w:pPr>
        <w:ind w:left="340" w:right="40"/>
        <w:spacing w:after="0" w:line="303" w:lineRule="auto"/>
        <w:rPr>
          <w:rFonts w:ascii="Arial" w:cs="Arial" w:eastAsia="Arial" w:hAnsi="Arial"/>
          <w:sz w:val="16"/>
          <w:szCs w:val="16"/>
          <w:color w:val="auto"/>
        </w:rPr>
      </w:pPr>
      <w:r>
        <w:rPr>
          <w:rFonts w:ascii="Arial" w:cs="Arial" w:eastAsia="Arial" w:hAnsi="Arial"/>
          <w:sz w:val="16"/>
          <w:szCs w:val="16"/>
          <w:color w:val="auto"/>
        </w:rPr>
        <w:t xml:space="preserve">to the determination that a restatement of financial results is required due to material non-compliance with any financial reporting requirement under U.S. securities laws. This policy meets the requirements of the NYSE Listing Standards and Rule 10D-1 as adopted by the SEC to implement Section 954 of the </w:t>
      </w:r>
      <w:r>
        <w:rPr>
          <w:rFonts w:ascii="Arial" w:cs="Arial" w:eastAsia="Arial" w:hAnsi="Arial"/>
          <w:sz w:val="16"/>
          <w:szCs w:val="16"/>
          <w:i w:val="1"/>
          <w:iCs w:val="1"/>
          <w:color w:val="auto"/>
        </w:rPr>
        <w:t>Dodd-Frank Wall Street Reform</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i w:val="1"/>
          <w:iCs w:val="1"/>
          <w:color w:val="auto"/>
        </w:rPr>
        <w:t>and Consumer Protection Act of 2010</w:t>
      </w:r>
      <w:r>
        <w:rPr>
          <w:rFonts w:ascii="Arial" w:cs="Arial" w:eastAsia="Arial" w:hAnsi="Arial"/>
          <w:sz w:val="16"/>
          <w:szCs w:val="16"/>
          <w:color w:val="auto"/>
        </w:rPr>
        <w:t>.</w:t>
      </w:r>
    </w:p>
    <w:p>
      <w:pPr>
        <w:spacing w:after="0" w:line="138" w:lineRule="exact"/>
        <w:rPr>
          <w:rFonts w:ascii="Arial" w:cs="Arial" w:eastAsia="Arial" w:hAnsi="Arial"/>
          <w:sz w:val="16"/>
          <w:szCs w:val="16"/>
          <w:color w:val="auto"/>
        </w:rPr>
      </w:pPr>
    </w:p>
    <w:p>
      <w:pPr>
        <w:ind w:left="300" w:hanging="131"/>
        <w:spacing w:after="0"/>
        <w:tabs>
          <w:tab w:leader="none" w:pos="3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Recoupment and Holdback Policy for Detrimental Conduct operates in conjunction with the Incentive Compensation Recoupment and Holdback</w:t>
      </w:r>
    </w:p>
    <w:p>
      <w:pPr>
        <w:spacing w:after="0" w:line="57"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Policy. Pursuant to the Recoupment Policy for Detrimental Misconduct,</w:t>
      </w:r>
    </w:p>
    <w:p>
      <w:pPr>
        <w:spacing w:after="0" w:line="4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in cases where an employee at the vice president level and above has engaged in detrimental conduct, such as gross negligence, intentional misconduct</w:t>
      </w:r>
    </w:p>
    <w:p>
      <w:pPr>
        <w:spacing w:after="0" w:line="57"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or fraud, the employee will be required to reimburse incentive compensation.</w:t>
      </w:r>
    </w:p>
    <w:p>
      <w:pPr>
        <w:spacing w:after="0" w:line="44" w:lineRule="exact"/>
        <w:rPr>
          <w:rFonts w:ascii="Arial" w:cs="Arial" w:eastAsia="Arial" w:hAnsi="Arial"/>
          <w:sz w:val="16"/>
          <w:szCs w:val="16"/>
          <w:color w:val="auto"/>
        </w:rPr>
      </w:pPr>
    </w:p>
    <w:p>
      <w:pPr>
        <w:ind w:left="340" w:right="420"/>
        <w:spacing w:after="0" w:line="306" w:lineRule="auto"/>
        <w:rPr>
          <w:rFonts w:ascii="Arial" w:cs="Arial" w:eastAsia="Arial" w:hAnsi="Arial"/>
          <w:sz w:val="16"/>
          <w:szCs w:val="16"/>
          <w:color w:val="auto"/>
        </w:rPr>
      </w:pPr>
      <w:r>
        <w:rPr>
          <w:rFonts w:ascii="Arial" w:cs="Arial" w:eastAsia="Arial" w:hAnsi="Arial"/>
          <w:sz w:val="16"/>
          <w:szCs w:val="16"/>
          <w:color w:val="auto"/>
        </w:rPr>
        <w:t>In addition, this policy may also be triggered in the event of a financial restatement due to a material non-compliance with securities laws if the Committee determines such restatement led to an overpayment of incentive compensation to employees at the vice president level and above. The</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amount of incentive compensation subject to recoupment</w:t>
      </w:r>
    </w:p>
    <w:p>
      <w:pPr>
        <w:spacing w:after="0" w:line="4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or holdback will be determined by the Human Resources Committee and recommended to the Board for approval. Methods of recoupment may include,</w:t>
      </w:r>
    </w:p>
    <w:p>
      <w:pPr>
        <w:spacing w:after="0" w:line="57" w:lineRule="exact"/>
        <w:rPr>
          <w:rFonts w:ascii="Arial" w:cs="Arial" w:eastAsia="Arial" w:hAnsi="Arial"/>
          <w:sz w:val="16"/>
          <w:szCs w:val="16"/>
          <w:color w:val="auto"/>
        </w:rPr>
      </w:pPr>
    </w:p>
    <w:p>
      <w:pPr>
        <w:ind w:left="340"/>
        <w:spacing w:after="0" w:line="317" w:lineRule="auto"/>
        <w:rPr>
          <w:rFonts w:ascii="Arial" w:cs="Arial" w:eastAsia="Arial" w:hAnsi="Arial"/>
          <w:sz w:val="16"/>
          <w:szCs w:val="16"/>
          <w:color w:val="auto"/>
        </w:rPr>
      </w:pPr>
      <w:r>
        <w:rPr>
          <w:rFonts w:ascii="Arial" w:cs="Arial" w:eastAsia="Arial" w:hAnsi="Arial"/>
          <w:sz w:val="16"/>
          <w:szCs w:val="16"/>
          <w:color w:val="auto"/>
        </w:rPr>
        <w:t>but are not limited to, reimbursement of cash incentive compensation previously paid, recovery of gains realized on vesting, exercise or disposition of any equity based awards, offsets of amounts from any compensation otherwise owed, cancellation of vested or unvested equity awards or other remedial or recovery actions permitted by law.</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75</w:t>
      </w:r>
    </w:p>
    <w:p>
      <w:pPr>
        <w:sectPr>
          <w:pgSz w:w="11900" w:h="16838" w:orient="portrait"/>
          <w:cols w:equalWidth="0" w:num="1">
            <w:col w:w="11240"/>
          </w:cols>
          <w:pgMar w:left="320" w:top="1061" w:right="339" w:bottom="1440" w:gutter="0" w:footer="0" w:header="0"/>
        </w:sectPr>
      </w:pPr>
    </w:p>
    <w:bookmarkStart w:id="81" w:name="page82"/>
    <w:bookmarkEnd w:id="81"/>
    <w:p>
      <w:pPr>
        <w:ind w:left="160" w:right="280"/>
        <w:spacing w:after="0" w:line="354" w:lineRule="auto"/>
        <w:rPr>
          <w:sz w:val="20"/>
          <w:szCs w:val="20"/>
          <w:color w:val="auto"/>
        </w:rPr>
      </w:pPr>
      <w:r>
        <w:rPr>
          <w:rFonts w:ascii="Arial" w:cs="Arial" w:eastAsia="Arial" w:hAnsi="Arial"/>
          <w:sz w:val="16"/>
          <w:szCs w:val="16"/>
          <w:color w:val="auto"/>
        </w:rPr>
        <w:t>To date, neither of these policies have been triggered, and no reimbursement of incentive compensation or related profits has been paid under either of these Policies.</w:t>
      </w:r>
    </w:p>
    <w:p>
      <w:pPr>
        <w:spacing w:after="0" w:line="22" w:lineRule="exact"/>
        <w:rPr>
          <w:sz w:val="20"/>
          <w:szCs w:val="20"/>
          <w:color w:val="auto"/>
        </w:rPr>
      </w:pPr>
    </w:p>
    <w:p>
      <w:pPr>
        <w:ind w:left="300" w:hanging="131"/>
        <w:spacing w:after="0"/>
        <w:tabs>
          <w:tab w:leader="none" w:pos="30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Say on pay: </w:t>
      </w:r>
      <w:r>
        <w:rPr>
          <w:rFonts w:ascii="Arial" w:cs="Arial" w:eastAsia="Arial" w:hAnsi="Arial"/>
          <w:sz w:val="16"/>
          <w:szCs w:val="16"/>
          <w:color w:val="auto"/>
        </w:rPr>
        <w:t>We implemented a non-binding advisory shareholder vote on our approach to executive compensation starting in 2010. The results shown in</w:t>
      </w:r>
    </w:p>
    <w:p>
      <w:pPr>
        <w:spacing w:after="0" w:line="57" w:lineRule="exact"/>
        <w:rPr>
          <w:rFonts w:ascii="Arial" w:cs="Arial" w:eastAsia="Arial" w:hAnsi="Arial"/>
          <w:sz w:val="16"/>
          <w:szCs w:val="16"/>
          <w:color w:val="auto"/>
        </w:rPr>
      </w:pPr>
    </w:p>
    <w:p>
      <w:pPr>
        <w:ind w:left="340" w:right="460"/>
        <w:spacing w:after="0" w:line="337" w:lineRule="auto"/>
        <w:rPr>
          <w:rFonts w:ascii="Arial" w:cs="Arial" w:eastAsia="Arial" w:hAnsi="Arial"/>
          <w:sz w:val="16"/>
          <w:szCs w:val="16"/>
          <w:color w:val="auto"/>
        </w:rPr>
      </w:pPr>
      <w:r>
        <w:rPr>
          <w:rFonts w:ascii="Arial" w:cs="Arial" w:eastAsia="Arial" w:hAnsi="Arial"/>
          <w:sz w:val="16"/>
          <w:szCs w:val="16"/>
          <w:color w:val="auto"/>
        </w:rPr>
        <w:t>the table below confirm that a significant majority of shareholders have accepted our approach to executive compensation. The approval vote as a percentage of shares voted in favour of our approach to executive compensation for the last three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47625</wp:posOffset>
            </wp:positionV>
            <wp:extent cx="2388870" cy="136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88870" cy="136525"/>
                    </a:xfrm>
                    <a:prstGeom prst="rect">
                      <a:avLst/>
                    </a:prstGeom>
                    <a:noFill/>
                  </pic:spPr>
                </pic:pic>
              </a:graphicData>
            </a:graphic>
          </wp:anchor>
        </w:drawing>
      </w:r>
    </w:p>
    <w:p>
      <w:pPr>
        <w:spacing w:after="0" w:line="73" w:lineRule="exact"/>
        <w:rPr>
          <w:sz w:val="20"/>
          <w:szCs w:val="20"/>
          <w:color w:val="auto"/>
        </w:rPr>
      </w:pPr>
    </w:p>
    <w:p>
      <w:pPr>
        <w:ind w:left="4540"/>
        <w:spacing w:after="0"/>
        <w:tabs>
          <w:tab w:leader="none" w:pos="5940" w:val="left"/>
        </w:tabs>
        <w:rPr>
          <w:sz w:val="20"/>
          <w:szCs w:val="20"/>
          <w:color w:val="auto"/>
        </w:rPr>
      </w:pPr>
      <w:r>
        <w:rPr>
          <w:rFonts w:ascii="Arial" w:cs="Arial" w:eastAsia="Arial" w:hAnsi="Arial"/>
          <w:sz w:val="14"/>
          <w:szCs w:val="14"/>
          <w:b w:val="1"/>
          <w:bCs w:val="1"/>
          <w:color w:val="auto"/>
        </w:rPr>
        <w:t>Year</w:t>
      </w:r>
      <w:r>
        <w:rPr>
          <w:sz w:val="20"/>
          <w:szCs w:val="20"/>
          <w:color w:val="auto"/>
        </w:rPr>
        <w:tab/>
      </w:r>
      <w:r>
        <w:rPr>
          <w:rFonts w:ascii="Arial" w:cs="Arial" w:eastAsia="Arial" w:hAnsi="Arial"/>
          <w:sz w:val="14"/>
          <w:szCs w:val="14"/>
          <w:b w:val="1"/>
          <w:bCs w:val="1"/>
          <w:color w:val="auto"/>
        </w:rPr>
        <w:t>Approval vote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22860</wp:posOffset>
            </wp:positionV>
            <wp:extent cx="2388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88870" cy="8255"/>
                    </a:xfrm>
                    <a:prstGeom prst="rect">
                      <a:avLst/>
                    </a:prstGeom>
                    <a:noFill/>
                  </pic:spPr>
                </pic:pic>
              </a:graphicData>
            </a:graphic>
          </wp:anchor>
        </w:drawing>
      </w:r>
    </w:p>
    <w:p>
      <w:pPr>
        <w:spacing w:after="0" w:line="34" w:lineRule="exact"/>
        <w:rPr>
          <w:sz w:val="20"/>
          <w:szCs w:val="20"/>
          <w:color w:val="auto"/>
        </w:rPr>
      </w:pPr>
    </w:p>
    <w:p>
      <w:pPr>
        <w:ind w:left="4520"/>
        <w:spacing w:after="0"/>
        <w:tabs>
          <w:tab w:leader="none" w:pos="6360" w:val="left"/>
        </w:tabs>
        <w:rPr>
          <w:sz w:val="20"/>
          <w:szCs w:val="20"/>
          <w:color w:val="auto"/>
        </w:rPr>
      </w:pPr>
      <w:r>
        <w:rPr>
          <w:rFonts w:ascii="Arial" w:cs="Arial" w:eastAsia="Arial" w:hAnsi="Arial"/>
          <w:sz w:val="14"/>
          <w:szCs w:val="14"/>
          <w:color w:val="auto"/>
        </w:rPr>
        <w:t>2025</w:t>
      </w:r>
      <w:r>
        <w:rPr>
          <w:sz w:val="20"/>
          <w:szCs w:val="20"/>
          <w:color w:val="auto"/>
        </w:rPr>
        <w:tab/>
      </w:r>
      <w:r>
        <w:rPr>
          <w:rFonts w:ascii="Arial" w:cs="Arial" w:eastAsia="Arial" w:hAnsi="Arial"/>
          <w:sz w:val="14"/>
          <w:szCs w:val="14"/>
          <w:color w:val="auto"/>
        </w:rPr>
        <w:t>96.97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22860</wp:posOffset>
            </wp:positionV>
            <wp:extent cx="2388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88870" cy="8255"/>
                    </a:xfrm>
                    <a:prstGeom prst="rect">
                      <a:avLst/>
                    </a:prstGeom>
                    <a:noFill/>
                  </pic:spPr>
                </pic:pic>
              </a:graphicData>
            </a:graphic>
          </wp:anchor>
        </w:drawing>
      </w:r>
    </w:p>
    <w:p>
      <w:pPr>
        <w:spacing w:after="0" w:line="34" w:lineRule="exact"/>
        <w:rPr>
          <w:sz w:val="20"/>
          <w:szCs w:val="20"/>
          <w:color w:val="auto"/>
        </w:rPr>
      </w:pPr>
    </w:p>
    <w:p>
      <w:pPr>
        <w:ind w:left="4520"/>
        <w:spacing w:after="0"/>
        <w:tabs>
          <w:tab w:leader="none" w:pos="6360" w:val="left"/>
        </w:tabs>
        <w:rPr>
          <w:sz w:val="20"/>
          <w:szCs w:val="20"/>
          <w:color w:val="auto"/>
        </w:rPr>
      </w:pPr>
      <w:r>
        <w:rPr>
          <w:rFonts w:ascii="Arial" w:cs="Arial" w:eastAsia="Arial" w:hAnsi="Arial"/>
          <w:sz w:val="14"/>
          <w:szCs w:val="14"/>
          <w:color w:val="auto"/>
        </w:rPr>
        <w:t>2024</w:t>
      </w:r>
      <w:r>
        <w:rPr>
          <w:sz w:val="20"/>
          <w:szCs w:val="20"/>
          <w:color w:val="auto"/>
        </w:rPr>
        <w:tab/>
      </w:r>
      <w:r>
        <w:rPr>
          <w:rFonts w:ascii="Arial" w:cs="Arial" w:eastAsia="Arial" w:hAnsi="Arial"/>
          <w:sz w:val="14"/>
          <w:szCs w:val="14"/>
          <w:color w:val="auto"/>
        </w:rPr>
        <w:t>96.37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22860</wp:posOffset>
            </wp:positionV>
            <wp:extent cx="2388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88870" cy="8255"/>
                    </a:xfrm>
                    <a:prstGeom prst="rect">
                      <a:avLst/>
                    </a:prstGeom>
                    <a:noFill/>
                  </pic:spPr>
                </pic:pic>
              </a:graphicData>
            </a:graphic>
          </wp:anchor>
        </w:drawing>
      </w:r>
    </w:p>
    <w:p>
      <w:pPr>
        <w:spacing w:after="0" w:line="34" w:lineRule="exact"/>
        <w:rPr>
          <w:sz w:val="20"/>
          <w:szCs w:val="20"/>
          <w:color w:val="auto"/>
        </w:rPr>
      </w:pPr>
    </w:p>
    <w:p>
      <w:pPr>
        <w:ind w:left="4520"/>
        <w:spacing w:after="0"/>
        <w:tabs>
          <w:tab w:leader="none" w:pos="6360" w:val="left"/>
        </w:tabs>
        <w:rPr>
          <w:sz w:val="20"/>
          <w:szCs w:val="20"/>
          <w:color w:val="auto"/>
        </w:rPr>
      </w:pPr>
      <w:r>
        <w:rPr>
          <w:rFonts w:ascii="Arial" w:cs="Arial" w:eastAsia="Arial" w:hAnsi="Arial"/>
          <w:sz w:val="14"/>
          <w:szCs w:val="14"/>
          <w:color w:val="auto"/>
        </w:rPr>
        <w:t>2023</w:t>
      </w:r>
      <w:r>
        <w:rPr>
          <w:sz w:val="20"/>
          <w:szCs w:val="20"/>
          <w:color w:val="auto"/>
        </w:rPr>
        <w:tab/>
      </w:r>
      <w:r>
        <w:rPr>
          <w:rFonts w:ascii="Arial" w:cs="Arial" w:eastAsia="Arial" w:hAnsi="Arial"/>
          <w:sz w:val="14"/>
          <w:szCs w:val="14"/>
          <w:color w:val="auto"/>
        </w:rPr>
        <w:t>94.20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22860</wp:posOffset>
            </wp:positionV>
            <wp:extent cx="2388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88870" cy="8255"/>
                    </a:xfrm>
                    <a:prstGeom prst="rect">
                      <a:avLst/>
                    </a:prstGeom>
                    <a:noFill/>
                  </pic:spPr>
                </pic:pic>
              </a:graphicData>
            </a:graphic>
          </wp:anchor>
        </w:drawing>
      </w:r>
    </w:p>
    <w:p>
      <w:pPr>
        <w:spacing w:after="0" w:line="204" w:lineRule="exact"/>
        <w:rPr>
          <w:sz w:val="20"/>
          <w:szCs w:val="20"/>
          <w:color w:val="auto"/>
        </w:rPr>
      </w:pPr>
    </w:p>
    <w:p>
      <w:pPr>
        <w:ind w:left="340" w:right="420" w:hanging="171"/>
        <w:spacing w:after="0" w:line="354" w:lineRule="auto"/>
        <w:tabs>
          <w:tab w:leader="none" w:pos="316"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Code of business ethics: </w:t>
      </w:r>
      <w:r>
        <w:rPr>
          <w:rFonts w:ascii="Arial" w:cs="Arial" w:eastAsia="Arial" w:hAnsi="Arial"/>
          <w:sz w:val="16"/>
          <w:szCs w:val="16"/>
          <w:color w:val="auto"/>
        </w:rPr>
        <w:t>Our Code applies to employees, contract workers, independent consultants, directors and officers. The Code incorporates</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of good conduct and ethical and responsible behaviour to guide our decisions and actions and the way we conduct business.</w:t>
      </w:r>
    </w:p>
    <w:p>
      <w:pPr>
        <w:spacing w:after="0" w:line="22" w:lineRule="exact"/>
        <w:rPr>
          <w:sz w:val="20"/>
          <w:szCs w:val="20"/>
          <w:color w:val="auto"/>
        </w:rPr>
      </w:pPr>
    </w:p>
    <w:p>
      <w:pPr>
        <w:ind w:right="460"/>
        <w:spacing w:after="0" w:line="354" w:lineRule="auto"/>
        <w:rPr>
          <w:sz w:val="20"/>
          <w:szCs w:val="20"/>
          <w:color w:val="auto"/>
        </w:rPr>
      </w:pPr>
      <w:r>
        <w:rPr>
          <w:rFonts w:ascii="Arial" w:cs="Arial" w:eastAsia="Arial" w:hAnsi="Arial"/>
          <w:sz w:val="16"/>
          <w:szCs w:val="16"/>
          <w:color w:val="auto"/>
        </w:rPr>
        <w:t>After considering the implications associated with our compensation policies and practices, completing a review of our policies and practices described above, and with advice from the independent consultant to the Human Resources Committee, the Board believes that:</w:t>
      </w:r>
    </w:p>
    <w:p>
      <w:pPr>
        <w:spacing w:after="0" w:line="22" w:lineRule="exact"/>
        <w:rPr>
          <w:sz w:val="20"/>
          <w:szCs w:val="20"/>
          <w:color w:val="auto"/>
        </w:rPr>
      </w:pPr>
    </w:p>
    <w:p>
      <w:pPr>
        <w:ind w:left="140" w:hanging="133"/>
        <w:spacing w:after="0"/>
        <w:tabs>
          <w:tab w:leader="none" w:pos="1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we have the proper practices in place to effectively identify and mitigate potential risk, and</w:t>
      </w:r>
    </w:p>
    <w:p>
      <w:pPr>
        <w:spacing w:after="0" w:line="57" w:lineRule="exact"/>
        <w:rPr>
          <w:rFonts w:ascii="Arial" w:cs="Arial" w:eastAsia="Arial" w:hAnsi="Arial"/>
          <w:sz w:val="16"/>
          <w:szCs w:val="16"/>
          <w:color w:val="auto"/>
        </w:rPr>
      </w:pPr>
    </w:p>
    <w:p>
      <w:pPr>
        <w:ind w:left="160" w:right="700" w:hanging="153"/>
        <w:spacing w:after="0" w:line="337" w:lineRule="auto"/>
        <w:tabs>
          <w:tab w:leader="none" w:pos="13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TC Energy's compensation policies and practices do not encourage the CEO, executive vice-presidents, or any employee to take inappropriate or excessive risks, and are not reasonably likely to have a material adverse effect on our company.</w:t>
      </w:r>
    </w:p>
    <w:p>
      <w:pPr>
        <w:spacing w:after="0" w:line="48" w:lineRule="exact"/>
        <w:rPr>
          <w:sz w:val="20"/>
          <w:szCs w:val="20"/>
          <w:color w:val="auto"/>
        </w:rPr>
      </w:pPr>
    </w:p>
    <w:p>
      <w:pPr>
        <w:ind w:right="520"/>
        <w:spacing w:after="0" w:line="337" w:lineRule="auto"/>
        <w:rPr>
          <w:sz w:val="20"/>
          <w:szCs w:val="20"/>
          <w:color w:val="auto"/>
        </w:rPr>
      </w:pPr>
      <w:r>
        <w:rPr>
          <w:rFonts w:ascii="Arial" w:cs="Arial" w:eastAsia="Arial" w:hAnsi="Arial"/>
          <w:sz w:val="16"/>
          <w:szCs w:val="16"/>
          <w:color w:val="auto"/>
        </w:rPr>
        <w:t>In addition to our compensation policies and practices, our corporate values – safety, innovation, responsibility, collaboration and integrity – also guide director, officer and employee behaviour, underpin our company culture and define the character of the organization we share and work in every day.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00"/>
          </w:cols>
          <w:pgMar w:left="320" w:top="1039" w:right="379" w:bottom="1440" w:gutter="0" w:footer="0" w:header="0"/>
        </w:sectPr>
      </w:pPr>
    </w:p>
    <w:bookmarkStart w:id="82" w:name="page83"/>
    <w:bookmarkEnd w:id="82"/>
    <w:p>
      <w:pPr>
        <w:spacing w:after="0"/>
        <w:rPr>
          <w:sz w:val="20"/>
          <w:szCs w:val="20"/>
          <w:color w:val="auto"/>
        </w:rPr>
      </w:pPr>
      <w:r>
        <w:rPr>
          <w:rFonts w:ascii="Arial" w:cs="Arial" w:eastAsia="Arial" w:hAnsi="Arial"/>
          <w:sz w:val="20"/>
          <w:szCs w:val="20"/>
          <w:b w:val="1"/>
          <w:bCs w:val="1"/>
          <w:color w:val="0D64EF"/>
        </w:rPr>
        <w:t>INDEPENDENT CONSULTANT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retains an independent compensation consultant to provide advice on compensation-related matters.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created a mandate for the consultant that includes:</w:t>
      </w:r>
    </w:p>
    <w:p>
      <w:pPr>
        <w:spacing w:after="0" w:line="138" w:lineRule="exact"/>
        <w:rPr>
          <w:sz w:val="20"/>
          <w:szCs w:val="20"/>
          <w:color w:val="auto"/>
        </w:rPr>
      </w:pPr>
    </w:p>
    <w:p>
      <w:pPr>
        <w:ind w:left="140" w:hanging="133"/>
        <w:spacing w:after="0"/>
        <w:tabs>
          <w:tab w:leader="none" w:pos="1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advising on compensation levels for the CEO and named executives,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assessing the CEO’s recommendations on the compensation of the other named executives,</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attending all of its Human Resources Committee meetings (unless otherwise requested by the Human Resources Committee Chair),</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providing data, analysis or opinions on compensation-related matters requested by the Human Resources Committee</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or its Chair,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reporting to the Human Resources Committee on any matters that may arise related to executive compensation.</w:t>
      </w:r>
    </w:p>
    <w:p>
      <w:pPr>
        <w:spacing w:after="0" w:line="15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Meridian has been the independent compensation consultant since September 2014. The Human Resources Committee obtains independent advice from the consultant who provides a neutral source of data and information on compensation practices and trends. While the consultant’s advice is an important tool in the Human Resources Committee’s processes, the Human Resources Committee remains wholly responsible for making its own decisions and recommendations to the Board.</w:t>
      </w:r>
    </w:p>
    <w:p>
      <w:pPr>
        <w:spacing w:after="0" w:line="52" w:lineRule="exact"/>
        <w:rPr>
          <w:sz w:val="20"/>
          <w:szCs w:val="20"/>
          <w:color w:val="auto"/>
        </w:rPr>
      </w:pPr>
    </w:p>
    <w:p>
      <w:pPr>
        <w:ind w:right="160"/>
        <w:spacing w:after="0" w:line="322" w:lineRule="auto"/>
        <w:rPr>
          <w:sz w:val="20"/>
          <w:szCs w:val="20"/>
          <w:color w:val="auto"/>
        </w:rPr>
      </w:pPr>
      <w:r>
        <w:rPr>
          <w:rFonts w:ascii="Arial" w:cs="Arial" w:eastAsia="Arial" w:hAnsi="Arial"/>
          <w:sz w:val="16"/>
          <w:szCs w:val="16"/>
          <w:color w:val="auto"/>
        </w:rPr>
        <w:t>Meridian provides advice to the Human Resources Committee on matters relating to executive and director compensation. It does not provide consulting or other services to TC Energy, and is not permitted to provide services to management. Before engaging Meridian, and each year after considering all factors bearing on the consultant’s independence, including those factors enumerated by the NYSE, the Human Resources Committee determined that Meridian is independent.</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executive and director compensation-related fees paid in 2024 and 2025: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Executive and director compensation-related fees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40" w:type="dxa"/>
            <w:vAlign w:val="bottom"/>
            <w:tcBorders>
              <w:top w:val="single" w:sz="8" w:color="0D64EF"/>
              <w:bottom w:val="single" w:sz="8" w:color="0D64EF"/>
            </w:tcBorders>
            <w:shd w:val="clear" w:color="auto" w:fill="D0D0CE"/>
          </w:tcPr>
          <w:p>
            <w:pPr>
              <w:ind w:left="20"/>
              <w:spacing w:after="0"/>
              <w:rPr>
                <w:sz w:val="20"/>
                <w:szCs w:val="20"/>
                <w:color w:val="auto"/>
              </w:rPr>
            </w:pPr>
            <w:r>
              <w:rPr>
                <w:rFonts w:ascii="Arial" w:cs="Arial" w:eastAsia="Arial" w:hAnsi="Arial"/>
                <w:sz w:val="14"/>
                <w:szCs w:val="14"/>
                <w:b w:val="1"/>
                <w:bCs w:val="1"/>
                <w:color w:val="auto"/>
              </w:rPr>
              <w:t>Meridian</w:t>
            </w:r>
          </w:p>
        </w:tc>
        <w:tc>
          <w:tcPr>
            <w:tcW w:w="2000" w:type="dxa"/>
            <w:vAlign w:val="bottom"/>
            <w:tcBorders>
              <w:top w:val="single" w:sz="8" w:color="0D64EF"/>
              <w:bottom w:val="single" w:sz="8" w:color="0D64EF"/>
            </w:tcBorders>
            <w:shd w:val="clear" w:color="auto" w:fill="D0D0CE"/>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top w:val="single" w:sz="8" w:color="0D64EF"/>
              <w:bottom w:val="single" w:sz="8" w:color="0D64EF"/>
            </w:tcBorders>
            <w:shd w:val="clear" w:color="auto" w:fill="D0D0CE"/>
          </w:tcPr>
          <w:p>
            <w:pPr>
              <w:jc w:val="right"/>
              <w:spacing w:after="0"/>
              <w:rPr>
                <w:sz w:val="20"/>
                <w:szCs w:val="20"/>
                <w:color w:val="auto"/>
              </w:rPr>
            </w:pPr>
            <w:r>
              <w:rPr>
                <w:rFonts w:ascii="Arial" w:cs="Arial" w:eastAsia="Arial" w:hAnsi="Arial"/>
                <w:sz w:val="14"/>
                <w:szCs w:val="14"/>
                <w:b w:val="1"/>
                <w:bCs w:val="1"/>
                <w:color w:val="auto"/>
              </w:rPr>
              <w:t>2024</w:t>
            </w:r>
          </w:p>
        </w:tc>
      </w:tr>
      <w:tr>
        <w:trPr>
          <w:trHeight w:val="192"/>
        </w:trPr>
        <w:tc>
          <w:tcPr>
            <w:tcW w:w="44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Consulting to the Human Resources Committee</w:t>
            </w:r>
          </w:p>
        </w:tc>
        <w:tc>
          <w:tcPr>
            <w:tcW w:w="2000" w:type="dxa"/>
            <w:vAlign w:val="bottom"/>
            <w:tcBorders>
              <w:bottom w:val="single" w:sz="8" w:color="B2B2B2"/>
            </w:tcBorders>
          </w:tcPr>
          <w:p>
            <w:pPr>
              <w:jc w:val="right"/>
              <w:ind w:right="228"/>
              <w:spacing w:after="0"/>
              <w:rPr>
                <w:sz w:val="20"/>
                <w:szCs w:val="20"/>
                <w:color w:val="auto"/>
              </w:rPr>
            </w:pPr>
            <w:r>
              <w:rPr>
                <w:rFonts w:ascii="Arial" w:cs="Arial" w:eastAsia="Arial" w:hAnsi="Arial"/>
                <w:sz w:val="14"/>
                <w:szCs w:val="14"/>
                <w:color w:val="auto"/>
              </w:rPr>
              <w:t>0.19</w:t>
            </w:r>
          </w:p>
        </w:tc>
        <w:tc>
          <w:tcPr>
            <w:tcW w:w="6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0.26</w:t>
            </w:r>
          </w:p>
        </w:tc>
      </w:tr>
      <w:tr>
        <w:trPr>
          <w:trHeight w:val="195"/>
        </w:trPr>
        <w:tc>
          <w:tcPr>
            <w:tcW w:w="44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Consulting to the Governance Committee</w:t>
            </w:r>
          </w:p>
        </w:tc>
        <w:tc>
          <w:tcPr>
            <w:tcW w:w="2000" w:type="dxa"/>
            <w:vAlign w:val="bottom"/>
            <w:tcBorders>
              <w:bottom w:val="single" w:sz="8" w:color="B2B2B2"/>
            </w:tcBorders>
          </w:tcPr>
          <w:p>
            <w:pPr>
              <w:jc w:val="right"/>
              <w:ind w:right="228"/>
              <w:spacing w:after="0"/>
              <w:rPr>
                <w:sz w:val="20"/>
                <w:szCs w:val="20"/>
                <w:color w:val="auto"/>
              </w:rPr>
            </w:pPr>
            <w:r>
              <w:rPr>
                <w:rFonts w:ascii="Arial" w:cs="Arial" w:eastAsia="Arial" w:hAnsi="Arial"/>
                <w:sz w:val="14"/>
                <w:szCs w:val="14"/>
                <w:color w:val="auto"/>
              </w:rPr>
              <w:t>0.02</w:t>
            </w:r>
          </w:p>
        </w:tc>
        <w:tc>
          <w:tcPr>
            <w:tcW w:w="6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 fees</w:t>
            </w:r>
          </w:p>
        </w:tc>
        <w:tc>
          <w:tcPr>
            <w:tcW w:w="2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r>
      <w:tr>
        <w:trPr>
          <w:trHeight w:val="198"/>
        </w:trPr>
        <w:tc>
          <w:tcPr>
            <w:tcW w:w="4440" w:type="dxa"/>
            <w:vAlign w:val="bottom"/>
            <w:tcBorders>
              <w:bottom w:val="single" w:sz="8" w:color="0D64EF"/>
            </w:tcBorders>
          </w:tcPr>
          <w:p>
            <w:pPr>
              <w:ind w:left="20"/>
              <w:spacing w:after="0"/>
              <w:rPr>
                <w:sz w:val="20"/>
                <w:szCs w:val="20"/>
                <w:color w:val="auto"/>
              </w:rPr>
            </w:pPr>
            <w:r>
              <w:rPr>
                <w:rFonts w:ascii="Arial" w:cs="Arial" w:eastAsia="Arial" w:hAnsi="Arial"/>
                <w:sz w:val="14"/>
                <w:szCs w:val="14"/>
                <w:b w:val="1"/>
                <w:bCs w:val="1"/>
                <w:color w:val="0D64EF"/>
              </w:rPr>
              <w:t>Total fees</w:t>
            </w:r>
          </w:p>
        </w:tc>
        <w:tc>
          <w:tcPr>
            <w:tcW w:w="2000" w:type="dxa"/>
            <w:vAlign w:val="bottom"/>
            <w:tcBorders>
              <w:bottom w:val="single" w:sz="8" w:color="0D64EF"/>
            </w:tcBorders>
          </w:tcPr>
          <w:p>
            <w:pPr>
              <w:jc w:val="right"/>
              <w:ind w:right="228"/>
              <w:spacing w:after="0"/>
              <w:rPr>
                <w:sz w:val="20"/>
                <w:szCs w:val="20"/>
                <w:color w:val="auto"/>
              </w:rPr>
            </w:pPr>
            <w:r>
              <w:rPr>
                <w:rFonts w:ascii="Arial" w:cs="Arial" w:eastAsia="Arial" w:hAnsi="Arial"/>
                <w:sz w:val="14"/>
                <w:szCs w:val="14"/>
                <w:color w:val="auto"/>
              </w:rPr>
              <w:t>0.21</w:t>
            </w:r>
          </w:p>
        </w:tc>
        <w:tc>
          <w:tcPr>
            <w:tcW w:w="64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0.29</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spacing w:after="0" w:line="17" w:lineRule="exact"/>
        <w:rPr>
          <w:sz w:val="20"/>
          <w:szCs w:val="20"/>
          <w:color w:val="auto"/>
        </w:rPr>
      </w:pPr>
    </w:p>
    <w:p>
      <w:pPr>
        <w:ind w:left="160" w:right="340" w:hanging="153"/>
        <w:spacing w:after="0" w:line="243" w:lineRule="auto"/>
        <w:tabs>
          <w:tab w:leader="none" w:pos="137"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Amounts included in "All other fees" in 2024 represent fees paid to Meridian for services performed in connection with advisory work for the Special Committee relating to the spinoff of the Liquids Pipelines business.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77</w:t>
      </w:r>
    </w:p>
    <w:p>
      <w:pPr>
        <w:sectPr>
          <w:pgSz w:w="11900" w:h="16838" w:orient="portrait"/>
          <w:cols w:equalWidth="0" w:num="1">
            <w:col w:w="11240"/>
          </w:cols>
          <w:pgMar w:left="320" w:top="1097" w:right="339" w:bottom="1440" w:gutter="0" w:footer="0" w:header="0"/>
        </w:sectPr>
      </w:pPr>
    </w:p>
    <w:bookmarkStart w:id="83" w:name="page84"/>
    <w:bookmarkEnd w:id="83"/>
    <w:p>
      <w:pPr>
        <w:ind w:left="20"/>
        <w:spacing w:after="0"/>
        <w:rPr>
          <w:sz w:val="20"/>
          <w:szCs w:val="20"/>
          <w:color w:val="auto"/>
        </w:rPr>
      </w:pPr>
      <w:r>
        <w:rPr>
          <w:rFonts w:ascii="Arial" w:cs="Arial" w:eastAsia="Arial" w:hAnsi="Arial"/>
          <w:sz w:val="29"/>
          <w:szCs w:val="29"/>
          <w:color w:val="0D64EF"/>
        </w:rPr>
        <w:t>Director Compensation Discussion and Analysis</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D64EF"/>
        </w:rPr>
        <w:t>APPROACH</w:t>
      </w:r>
    </w:p>
    <w:p>
      <w:pPr>
        <w:spacing w:after="0" w:line="48" w:lineRule="exact"/>
        <w:rPr>
          <w:sz w:val="20"/>
          <w:szCs w:val="20"/>
          <w:color w:val="auto"/>
        </w:rPr>
      </w:pPr>
    </w:p>
    <w:p>
      <w:pPr>
        <w:ind w:left="20" w:right="20"/>
        <w:spacing w:after="0" w:line="316" w:lineRule="auto"/>
        <w:rPr>
          <w:sz w:val="20"/>
          <w:szCs w:val="20"/>
          <w:color w:val="auto"/>
        </w:rPr>
      </w:pPr>
      <w:r>
        <w:rPr>
          <w:rFonts w:ascii="Arial" w:cs="Arial" w:eastAsia="Arial" w:hAnsi="Arial"/>
          <w:sz w:val="16"/>
          <w:szCs w:val="16"/>
          <w:color w:val="auto"/>
        </w:rPr>
        <w:t xml:space="preserve">Our director compensation program reflects our size and complexity, and reinforces the importance we place on delivering shareholder value. Director compensation includes annual retainers and travel fees that are paid in cash and DSUs to link a significant portion of their compensation to the value of our shares. See </w:t>
      </w:r>
      <w:r>
        <w:rPr>
          <w:rFonts w:ascii="Arial" w:cs="Arial" w:eastAsia="Arial" w:hAnsi="Arial"/>
          <w:sz w:val="16"/>
          <w:szCs w:val="16"/>
          <w:i w:val="1"/>
          <w:iCs w:val="1"/>
          <w:color w:val="auto"/>
        </w:rPr>
        <w:t>Deferred share units</w:t>
      </w:r>
      <w:r>
        <w:rPr>
          <w:rFonts w:ascii="Arial" w:cs="Arial" w:eastAsia="Arial" w:hAnsi="Arial"/>
          <w:sz w:val="16"/>
          <w:szCs w:val="16"/>
          <w:color w:val="auto"/>
        </w:rPr>
        <w:t xml:space="preserve"> below for more information about the DSU Plan.</w:t>
      </w:r>
    </w:p>
    <w:p>
      <w:pPr>
        <w:spacing w:after="0" w:line="52" w:lineRule="exact"/>
        <w:rPr>
          <w:sz w:val="20"/>
          <w:szCs w:val="20"/>
          <w:color w:val="auto"/>
        </w:rPr>
      </w:pPr>
    </w:p>
    <w:p>
      <w:pPr>
        <w:ind w:left="20"/>
        <w:spacing w:after="0" w:line="354" w:lineRule="auto"/>
        <w:rPr>
          <w:sz w:val="20"/>
          <w:szCs w:val="20"/>
          <w:color w:val="auto"/>
        </w:rPr>
      </w:pPr>
      <w:r>
        <w:rPr>
          <w:rFonts w:ascii="Arial" w:cs="Arial" w:eastAsia="Arial" w:hAnsi="Arial"/>
          <w:sz w:val="16"/>
          <w:szCs w:val="16"/>
          <w:color w:val="auto"/>
        </w:rPr>
        <w:t>The Board follows a formal performance assessment process to ensure directors are engaged and make meaningful contributions to the Board and Committees they serve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0D64EF"/>
        </w:rPr>
        <w:t>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-178435</wp:posOffset>
            </wp:positionV>
            <wp:extent cx="2636520" cy="14763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36520" cy="147637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Borders>
              <w:top w:val="single" w:sz="8" w:color="0D64EF"/>
            </w:tcBorders>
          </w:tcPr>
          <w:p>
            <w:pPr>
              <w:jc w:val="right"/>
              <w:ind w:right="59"/>
              <w:spacing w:after="0"/>
              <w:rPr>
                <w:sz w:val="20"/>
                <w:szCs w:val="20"/>
                <w:color w:val="auto"/>
              </w:rPr>
            </w:pPr>
            <w:r>
              <w:rPr>
                <w:rFonts w:ascii="Arial" w:cs="Arial" w:eastAsia="Arial" w:hAnsi="Arial"/>
                <w:sz w:val="16"/>
                <w:szCs w:val="16"/>
                <w:color w:val="0D64EF"/>
              </w:rPr>
              <w:t>&gt;</w:t>
            </w:r>
          </w:p>
        </w:tc>
        <w:tc>
          <w:tcPr>
            <w:tcW w:w="330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6"/>
                <w:szCs w:val="16"/>
                <w:color w:val="0D64EF"/>
              </w:rPr>
              <w:t>Director Compensation</w:t>
            </w:r>
          </w:p>
        </w:tc>
        <w:tc>
          <w:tcPr>
            <w:tcW w:w="40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6"/>
                <w:szCs w:val="16"/>
                <w:color w:val="0D64EF"/>
              </w:rPr>
              <w:t>78</w:t>
            </w:r>
          </w:p>
        </w:tc>
        <w:tc>
          <w:tcPr>
            <w:tcW w:w="100" w:type="dxa"/>
            <w:vAlign w:val="bottom"/>
            <w:tcBorders>
              <w:top w:val="single" w:sz="8" w:color="0D64EF"/>
            </w:tcBorders>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300" w:type="dxa"/>
            <w:vAlign w:val="bottom"/>
            <w:shd w:val="clear" w:color="auto" w:fill="D1D0CF"/>
          </w:tcPr>
          <w:p>
            <w:pPr>
              <w:ind w:left="20"/>
              <w:spacing w:after="0"/>
              <w:rPr>
                <w:sz w:val="20"/>
                <w:szCs w:val="20"/>
                <w:color w:val="auto"/>
              </w:rPr>
            </w:pPr>
            <w:r>
              <w:rPr>
                <w:rFonts w:ascii="Arial" w:cs="Arial" w:eastAsia="Arial" w:hAnsi="Arial"/>
                <w:sz w:val="16"/>
                <w:szCs w:val="16"/>
                <w:color w:val="0D64EF"/>
              </w:rPr>
              <w:t>Discussion and Analysis</w:t>
            </w:r>
          </w:p>
        </w:tc>
        <w:tc>
          <w:tcPr>
            <w:tcW w:w="400" w:type="dxa"/>
            <w:vAlign w:val="bottom"/>
            <w:vMerge w:val="continue"/>
            <w:shd w:val="clear" w:color="auto" w:fill="D1D0CF"/>
          </w:tcPr>
          <w:p>
            <w:pPr>
              <w:spacing w:after="0"/>
              <w:rPr>
                <w:sz w:val="18"/>
                <w:szCs w:val="18"/>
                <w:color w:val="auto"/>
              </w:rPr>
            </w:pPr>
          </w:p>
        </w:tc>
        <w:tc>
          <w:tcPr>
            <w:tcW w:w="100" w:type="dxa"/>
            <w:vAlign w:val="bottom"/>
            <w:shd w:val="clear" w:color="auto" w:fill="D1D0C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3300" w:type="dxa"/>
            <w:vAlign w:val="bottom"/>
            <w:shd w:val="clear" w:color="auto" w:fill="D1D0CF"/>
          </w:tcPr>
          <w:p>
            <w:pPr>
              <w:ind w:left="20"/>
              <w:spacing w:after="0"/>
              <w:rPr>
                <w:sz w:val="20"/>
                <w:szCs w:val="20"/>
                <w:color w:val="auto"/>
              </w:rPr>
            </w:pPr>
            <w:r>
              <w:rPr>
                <w:rFonts w:ascii="Arial" w:cs="Arial" w:eastAsia="Arial" w:hAnsi="Arial"/>
                <w:sz w:val="16"/>
                <w:szCs w:val="16"/>
                <w:color w:val="auto"/>
              </w:rPr>
              <w:t>Approach</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3300" w:type="dxa"/>
            <w:vAlign w:val="bottom"/>
            <w:shd w:val="clear" w:color="auto" w:fill="D1D0CF"/>
          </w:tcPr>
          <w:p>
            <w:pPr>
              <w:ind w:left="20"/>
              <w:spacing w:after="0"/>
              <w:rPr>
                <w:sz w:val="20"/>
                <w:szCs w:val="20"/>
                <w:color w:val="auto"/>
              </w:rPr>
            </w:pPr>
            <w:r>
              <w:rPr>
                <w:rFonts w:ascii="Arial" w:cs="Arial" w:eastAsia="Arial" w:hAnsi="Arial"/>
                <w:sz w:val="16"/>
                <w:szCs w:val="16"/>
                <w:color w:val="auto"/>
              </w:rPr>
              <w:t>Components</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60" w:type="dxa"/>
            <w:vAlign w:val="bottom"/>
          </w:tcPr>
          <w:p>
            <w:pPr>
              <w:jc w:val="right"/>
              <w:ind w:right="59"/>
              <w:spacing w:after="0"/>
              <w:rPr>
                <w:sz w:val="20"/>
                <w:szCs w:val="20"/>
                <w:color w:val="auto"/>
              </w:rPr>
            </w:pPr>
            <w:r>
              <w:rPr>
                <w:rFonts w:ascii="Arial" w:cs="Arial" w:eastAsia="Arial" w:hAnsi="Arial"/>
                <w:sz w:val="16"/>
                <w:szCs w:val="16"/>
                <w:color w:val="0D64EF"/>
              </w:rPr>
              <w:t>&gt;</w:t>
            </w:r>
          </w:p>
        </w:tc>
        <w:tc>
          <w:tcPr>
            <w:tcW w:w="3300" w:type="dxa"/>
            <w:vAlign w:val="bottom"/>
            <w:shd w:val="clear" w:color="auto" w:fill="D1D0CF"/>
          </w:tcPr>
          <w:p>
            <w:pPr>
              <w:ind w:left="20"/>
              <w:spacing w:after="0"/>
              <w:rPr>
                <w:sz w:val="20"/>
                <w:szCs w:val="20"/>
                <w:color w:val="auto"/>
              </w:rPr>
            </w:pPr>
            <w:r>
              <w:rPr>
                <w:rFonts w:ascii="Arial" w:cs="Arial" w:eastAsia="Arial" w:hAnsi="Arial"/>
                <w:sz w:val="16"/>
                <w:szCs w:val="16"/>
                <w:color w:val="0D64EF"/>
              </w:rPr>
              <w:t>2025 Details</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0D64EF"/>
              </w:rPr>
              <w:t>81</w:t>
            </w:r>
          </w:p>
        </w:tc>
        <w:tc>
          <w:tcPr>
            <w:tcW w:w="100" w:type="dxa"/>
            <w:vAlign w:val="bottom"/>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3300" w:type="dxa"/>
            <w:vAlign w:val="bottom"/>
            <w:shd w:val="clear" w:color="auto" w:fill="D1D0CF"/>
          </w:tcPr>
          <w:p>
            <w:pPr>
              <w:ind w:left="20"/>
              <w:spacing w:after="0"/>
              <w:rPr>
                <w:sz w:val="20"/>
                <w:szCs w:val="20"/>
                <w:color w:val="auto"/>
              </w:rPr>
            </w:pPr>
            <w:r>
              <w:rPr>
                <w:rFonts w:ascii="Arial" w:cs="Arial" w:eastAsia="Arial" w:hAnsi="Arial"/>
                <w:sz w:val="16"/>
                <w:szCs w:val="16"/>
                <w:color w:val="auto"/>
              </w:rPr>
              <w:t>Director Compensation Table</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3300" w:type="dxa"/>
            <w:vAlign w:val="bottom"/>
            <w:shd w:val="clear" w:color="auto" w:fill="D1D0CF"/>
          </w:tcPr>
          <w:p>
            <w:pPr>
              <w:ind w:left="20"/>
              <w:spacing w:after="0"/>
              <w:rPr>
                <w:sz w:val="20"/>
                <w:szCs w:val="20"/>
                <w:color w:val="auto"/>
              </w:rPr>
            </w:pPr>
            <w:r>
              <w:rPr>
                <w:rFonts w:ascii="Arial" w:cs="Arial" w:eastAsia="Arial" w:hAnsi="Arial"/>
                <w:sz w:val="16"/>
                <w:szCs w:val="16"/>
                <w:color w:val="auto"/>
              </w:rPr>
              <w:t>At-Risk Investment</w:t>
            </w:r>
          </w:p>
        </w:tc>
        <w:tc>
          <w:tcPr>
            <w:tcW w:w="400" w:type="dxa"/>
            <w:vAlign w:val="bottom"/>
            <w:shd w:val="clear" w:color="auto" w:fill="D1D0C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D1D0C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60" w:type="dxa"/>
            <w:vAlign w:val="bottom"/>
          </w:tcPr>
          <w:p>
            <w:pPr>
              <w:spacing w:after="0"/>
              <w:rPr>
                <w:sz w:val="24"/>
                <w:szCs w:val="24"/>
                <w:color w:val="auto"/>
              </w:rPr>
            </w:pPr>
          </w:p>
        </w:tc>
        <w:tc>
          <w:tcPr>
            <w:tcW w:w="3300" w:type="dxa"/>
            <w:vAlign w:val="bottom"/>
            <w:tcBorders>
              <w:bottom w:val="single" w:sz="8" w:color="D1D0CF"/>
            </w:tcBorders>
            <w:shd w:val="clear" w:color="auto" w:fill="D1D0CF"/>
          </w:tcPr>
          <w:p>
            <w:pPr>
              <w:ind w:left="20"/>
              <w:spacing w:after="0"/>
              <w:rPr>
                <w:sz w:val="20"/>
                <w:szCs w:val="20"/>
                <w:color w:val="auto"/>
              </w:rPr>
            </w:pPr>
            <w:r>
              <w:rPr>
                <w:rFonts w:ascii="Arial" w:cs="Arial" w:eastAsia="Arial" w:hAnsi="Arial"/>
                <w:sz w:val="16"/>
                <w:szCs w:val="16"/>
                <w:color w:val="auto"/>
              </w:rPr>
              <w:t>Incentive Plan Awards</w:t>
            </w:r>
          </w:p>
        </w:tc>
        <w:tc>
          <w:tcPr>
            <w:tcW w:w="400" w:type="dxa"/>
            <w:vAlign w:val="bottom"/>
            <w:tcBorders>
              <w:bottom w:val="single" w:sz="8" w:color="D1D0CF"/>
            </w:tcBorders>
            <w:shd w:val="clear" w:color="auto" w:fill="D1D0C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D1D0CF"/>
            </w:tcBorders>
            <w:shd w:val="clear" w:color="auto" w:fill="D1D0C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D64EF"/>
          </w:tcPr>
          <w:p>
            <w:pPr>
              <w:spacing w:after="0" w:line="20" w:lineRule="exact"/>
              <w:rPr>
                <w:sz w:val="1"/>
                <w:szCs w:val="1"/>
                <w:color w:val="auto"/>
              </w:rPr>
            </w:pPr>
          </w:p>
        </w:tc>
        <w:tc>
          <w:tcPr>
            <w:tcW w:w="3300" w:type="dxa"/>
            <w:vAlign w:val="bottom"/>
            <w:shd w:val="clear" w:color="auto" w:fill="0D64EF"/>
          </w:tcPr>
          <w:p>
            <w:pPr>
              <w:spacing w:after="0" w:line="20" w:lineRule="exact"/>
              <w:rPr>
                <w:sz w:val="1"/>
                <w:szCs w:val="1"/>
                <w:color w:val="auto"/>
              </w:rPr>
            </w:pPr>
          </w:p>
        </w:tc>
        <w:tc>
          <w:tcPr>
            <w:tcW w:w="400" w:type="dxa"/>
            <w:vAlign w:val="bottom"/>
            <w:shd w:val="clear" w:color="auto" w:fill="0D64EF"/>
          </w:tcPr>
          <w:p>
            <w:pPr>
              <w:spacing w:after="0" w:line="20" w:lineRule="exact"/>
              <w:rPr>
                <w:sz w:val="1"/>
                <w:szCs w:val="1"/>
                <w:color w:val="auto"/>
              </w:rPr>
            </w:pPr>
          </w:p>
        </w:tc>
        <w:tc>
          <w:tcPr>
            <w:tcW w:w="100" w:type="dxa"/>
            <w:vAlign w:val="bottom"/>
            <w:shd w:val="clear" w:color="auto" w:fill="0D64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340"/>
            <w:col w:w="4160"/>
          </w:cols>
          <w:pgMar w:left="320" w:top="1102" w:right="339" w:bottom="1440" w:gutter="0" w:footer="0" w:header="0"/>
        </w:sectPr>
      </w:pPr>
    </w:p>
    <w:p>
      <w:pPr>
        <w:spacing w:after="0" w:line="28" w:lineRule="exact"/>
        <w:rPr>
          <w:sz w:val="20"/>
          <w:szCs w:val="20"/>
          <w:color w:val="auto"/>
        </w:rPr>
      </w:pPr>
    </w:p>
    <w:p>
      <w:pPr>
        <w:ind w:left="20" w:right="120"/>
        <w:spacing w:after="0" w:line="326" w:lineRule="auto"/>
        <w:rPr>
          <w:sz w:val="20"/>
          <w:szCs w:val="20"/>
          <w:color w:val="auto"/>
        </w:rPr>
      </w:pPr>
      <w:r>
        <w:rPr>
          <w:rFonts w:ascii="Arial" w:cs="Arial" w:eastAsia="Arial" w:hAnsi="Arial"/>
          <w:sz w:val="16"/>
          <w:szCs w:val="16"/>
          <w:color w:val="auto"/>
        </w:rPr>
        <w:t>The Governance Committee typically reviews director compensation at least every two years, based on independent advice respecting compensation paid by our peer companies, and makes compensation recommendations to the Board for its review and approval. Recommendations take into consideration the directors’ time commitment, duties and responsibilities and director compensation practices at comparable companies.</w:t>
      </w:r>
    </w:p>
    <w:p>
      <w:pPr>
        <w:spacing w:after="0" w:line="56" w:lineRule="exact"/>
        <w:rPr>
          <w:sz w:val="20"/>
          <w:szCs w:val="20"/>
          <w:color w:val="auto"/>
        </w:rPr>
      </w:pPr>
    </w:p>
    <w:p>
      <w:pPr>
        <w:ind w:left="20" w:right="300"/>
        <w:spacing w:after="0" w:line="316" w:lineRule="auto"/>
        <w:rPr>
          <w:sz w:val="20"/>
          <w:szCs w:val="20"/>
          <w:color w:val="auto"/>
        </w:rPr>
      </w:pPr>
      <w:r>
        <w:rPr>
          <w:rFonts w:ascii="Arial" w:cs="Arial" w:eastAsia="Arial" w:hAnsi="Arial"/>
          <w:sz w:val="16"/>
          <w:szCs w:val="16"/>
          <w:color w:val="auto"/>
        </w:rPr>
        <w:t>Directors of TC Energy also serve as directors of TCPL. Board and Committee meetings of TC Energy and TCPL run concurrently, and the director compensation described below is for serving on both boards. TC Energy does not hold any material assets directly, other than TCPL common shares and receivables from some of our subsidiaries. As a result, TCPL assumes all directors’ costs according to a management services agreement between the two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Benchmarking</w:t>
      </w:r>
    </w:p>
    <w:p>
      <w:pPr>
        <w:spacing w:after="0" w:line="40" w:lineRule="exact"/>
        <w:rPr>
          <w:sz w:val="20"/>
          <w:szCs w:val="20"/>
          <w:color w:val="auto"/>
        </w:rPr>
      </w:pPr>
    </w:p>
    <w:p>
      <w:pPr>
        <w:ind w:right="120"/>
        <w:spacing w:after="0" w:line="326" w:lineRule="auto"/>
        <w:rPr>
          <w:sz w:val="20"/>
          <w:szCs w:val="20"/>
          <w:color w:val="auto"/>
        </w:rPr>
      </w:pPr>
      <w:r>
        <w:rPr>
          <w:rFonts w:ascii="Arial" w:cs="Arial" w:eastAsia="Arial" w:hAnsi="Arial"/>
          <w:sz w:val="16"/>
          <w:szCs w:val="16"/>
          <w:color w:val="auto"/>
        </w:rPr>
        <w:t>Director compensation is benchmarked against a peer group of companies reviewed by the Governance Committee. The companies in our 2025 peer group are consistent with the group of Canadian and U.S. publicly-traded companies included in the executive compensation peer group. Total compensation is determined with reference to our peer group, so we can attract and retain qualified directors.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Committee generally reviews director compensation every two years and recommendations are based</w:t>
      </w:r>
    </w:p>
    <w:p>
      <w:pPr>
        <w:spacing w:after="0" w:line="44" w:lineRule="exact"/>
        <w:rPr>
          <w:sz w:val="20"/>
          <w:szCs w:val="20"/>
          <w:color w:val="auto"/>
        </w:rPr>
      </w:pPr>
    </w:p>
    <w:p>
      <w:pPr>
        <w:jc w:val="both"/>
        <w:ind w:right="40"/>
        <w:spacing w:after="0" w:line="326" w:lineRule="auto"/>
        <w:rPr>
          <w:sz w:val="20"/>
          <w:szCs w:val="20"/>
          <w:color w:val="auto"/>
        </w:rPr>
      </w:pPr>
      <w:r>
        <w:rPr>
          <w:rFonts w:ascii="Arial" w:cs="Arial" w:eastAsia="Arial" w:hAnsi="Arial"/>
          <w:sz w:val="16"/>
          <w:szCs w:val="16"/>
          <w:color w:val="auto"/>
        </w:rPr>
        <w:t>on independent advice respecting compensation paid by our peer companies. In accordance with this, in 2025, the Governance Committee retained Meridian as its independent consultant to prepare a report on director compensation for the 2025 compensation year. The Governance Committee refers to the report when conducting its compensation review. The Governance Committee is next expected to review director compensation and the peer group in 2027.</w:t>
      </w:r>
    </w:p>
    <w:p>
      <w:pPr>
        <w:spacing w:after="0" w:line="43" w:lineRule="exact"/>
        <w:rPr>
          <w:sz w:val="20"/>
          <w:szCs w:val="20"/>
          <w:color w:val="auto"/>
        </w:rPr>
      </w:pPr>
    </w:p>
    <w:p>
      <w:pPr>
        <w:ind w:right="3040"/>
        <w:spacing w:after="0" w:line="354" w:lineRule="auto"/>
        <w:rPr>
          <w:sz w:val="20"/>
          <w:szCs w:val="20"/>
          <w:color w:val="auto"/>
        </w:rPr>
      </w:pPr>
      <w:r>
        <w:rPr>
          <w:rFonts w:ascii="Arial" w:cs="Arial" w:eastAsia="Arial" w:hAnsi="Arial"/>
          <w:sz w:val="16"/>
          <w:szCs w:val="16"/>
          <w:color w:val="auto"/>
        </w:rPr>
        <w:t>The 2025 peer group is listed below and mirrors the companies included in the executive compensation peer group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4265930" cy="136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65930" cy="13652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2025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42659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6593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ind w:left="20"/>
              <w:spacing w:after="0"/>
              <w:rPr>
                <w:sz w:val="20"/>
                <w:szCs w:val="20"/>
                <w:color w:val="auto"/>
              </w:rPr>
            </w:pPr>
            <w:r>
              <w:rPr>
                <w:rFonts w:ascii="Arial" w:cs="Arial" w:eastAsia="Arial" w:hAnsi="Arial"/>
                <w:sz w:val="14"/>
                <w:szCs w:val="14"/>
                <w:color w:val="auto"/>
              </w:rPr>
              <w:t>Canadian Natural Resources Limited</w:t>
            </w:r>
          </w:p>
        </w:tc>
        <w:tc>
          <w:tcPr>
            <w:tcW w:w="3780" w:type="dxa"/>
            <w:vAlign w:val="bottom"/>
          </w:tcPr>
          <w:p>
            <w:pPr>
              <w:ind w:left="560"/>
              <w:spacing w:after="0"/>
              <w:rPr>
                <w:sz w:val="20"/>
                <w:szCs w:val="20"/>
                <w:color w:val="auto"/>
              </w:rPr>
            </w:pPr>
            <w:r>
              <w:rPr>
                <w:rFonts w:ascii="Arial" w:cs="Arial" w:eastAsia="Arial" w:hAnsi="Arial"/>
                <w:sz w:val="14"/>
                <w:szCs w:val="14"/>
                <w:color w:val="auto"/>
              </w:rPr>
              <w:t>Imperial Oil Limited</w:t>
            </w:r>
          </w:p>
        </w:tc>
      </w:tr>
      <w:tr>
        <w:trPr>
          <w:trHeight w:val="35"/>
        </w:trPr>
        <w:tc>
          <w:tcPr>
            <w:tcW w:w="2940" w:type="dxa"/>
            <w:vAlign w:val="bottom"/>
            <w:tcBorders>
              <w:bottom w:val="single" w:sz="8" w:color="B2B2B2"/>
            </w:tcBorders>
          </w:tcPr>
          <w:p>
            <w:pPr>
              <w:spacing w:after="0"/>
              <w:rPr>
                <w:sz w:val="3"/>
                <w:szCs w:val="3"/>
                <w:color w:val="auto"/>
              </w:rPr>
            </w:pPr>
          </w:p>
        </w:tc>
        <w:tc>
          <w:tcPr>
            <w:tcW w:w="3780" w:type="dxa"/>
            <w:vAlign w:val="bottom"/>
            <w:tcBorders>
              <w:bottom w:val="single" w:sz="8" w:color="B2B2B2"/>
            </w:tcBorders>
          </w:tcPr>
          <w:p>
            <w:pPr>
              <w:spacing w:after="0"/>
              <w:rPr>
                <w:sz w:val="3"/>
                <w:szCs w:val="3"/>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4"/>
                <w:szCs w:val="14"/>
                <w:color w:val="auto"/>
              </w:rPr>
              <w:t>Cenovus Energy Inc.</w:t>
            </w:r>
          </w:p>
        </w:tc>
        <w:tc>
          <w:tcPr>
            <w:tcW w:w="3780" w:type="dxa"/>
            <w:vAlign w:val="bottom"/>
          </w:tcPr>
          <w:p>
            <w:pPr>
              <w:ind w:left="560"/>
              <w:spacing w:after="0"/>
              <w:rPr>
                <w:sz w:val="20"/>
                <w:szCs w:val="20"/>
                <w:color w:val="auto"/>
              </w:rPr>
            </w:pPr>
            <w:r>
              <w:rPr>
                <w:rFonts w:ascii="Arial" w:cs="Arial" w:eastAsia="Arial" w:hAnsi="Arial"/>
                <w:sz w:val="14"/>
                <w:szCs w:val="14"/>
                <w:color w:val="auto"/>
              </w:rPr>
              <w:t>Kinder Morgan, Inc.</w:t>
            </w:r>
          </w:p>
        </w:tc>
      </w:tr>
      <w:tr>
        <w:trPr>
          <w:trHeight w:val="35"/>
        </w:trPr>
        <w:tc>
          <w:tcPr>
            <w:tcW w:w="2940" w:type="dxa"/>
            <w:vAlign w:val="bottom"/>
            <w:tcBorders>
              <w:bottom w:val="single" w:sz="8" w:color="B2B2B2"/>
            </w:tcBorders>
          </w:tcPr>
          <w:p>
            <w:pPr>
              <w:spacing w:after="0"/>
              <w:rPr>
                <w:sz w:val="3"/>
                <w:szCs w:val="3"/>
                <w:color w:val="auto"/>
              </w:rPr>
            </w:pPr>
          </w:p>
        </w:tc>
        <w:tc>
          <w:tcPr>
            <w:tcW w:w="3780" w:type="dxa"/>
            <w:vAlign w:val="bottom"/>
            <w:tcBorders>
              <w:bottom w:val="single" w:sz="8" w:color="B2B2B2"/>
            </w:tcBorders>
          </w:tcPr>
          <w:p>
            <w:pPr>
              <w:spacing w:after="0"/>
              <w:rPr>
                <w:sz w:val="3"/>
                <w:szCs w:val="3"/>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4"/>
                <w:szCs w:val="14"/>
                <w:color w:val="auto"/>
              </w:rPr>
              <w:t>Cheniere Energy, Inc.</w:t>
            </w:r>
          </w:p>
        </w:tc>
        <w:tc>
          <w:tcPr>
            <w:tcW w:w="3780" w:type="dxa"/>
            <w:vAlign w:val="bottom"/>
          </w:tcPr>
          <w:p>
            <w:pPr>
              <w:ind w:left="560"/>
              <w:spacing w:after="0"/>
              <w:rPr>
                <w:sz w:val="20"/>
                <w:szCs w:val="20"/>
                <w:color w:val="auto"/>
              </w:rPr>
            </w:pPr>
            <w:r>
              <w:rPr>
                <w:rFonts w:ascii="Arial" w:cs="Arial" w:eastAsia="Arial" w:hAnsi="Arial"/>
                <w:sz w:val="14"/>
                <w:szCs w:val="14"/>
                <w:color w:val="auto"/>
              </w:rPr>
              <w:t>NextEra Energy, Inc.</w:t>
            </w:r>
          </w:p>
        </w:tc>
      </w:tr>
      <w:tr>
        <w:trPr>
          <w:trHeight w:val="35"/>
        </w:trPr>
        <w:tc>
          <w:tcPr>
            <w:tcW w:w="2940" w:type="dxa"/>
            <w:vAlign w:val="bottom"/>
            <w:tcBorders>
              <w:bottom w:val="single" w:sz="8" w:color="B2B2B2"/>
            </w:tcBorders>
          </w:tcPr>
          <w:p>
            <w:pPr>
              <w:spacing w:after="0"/>
              <w:rPr>
                <w:sz w:val="3"/>
                <w:szCs w:val="3"/>
                <w:color w:val="auto"/>
              </w:rPr>
            </w:pPr>
          </w:p>
        </w:tc>
        <w:tc>
          <w:tcPr>
            <w:tcW w:w="3780" w:type="dxa"/>
            <w:vAlign w:val="bottom"/>
            <w:tcBorders>
              <w:bottom w:val="single" w:sz="8" w:color="B2B2B2"/>
            </w:tcBorders>
          </w:tcPr>
          <w:p>
            <w:pPr>
              <w:spacing w:after="0"/>
              <w:rPr>
                <w:sz w:val="3"/>
                <w:szCs w:val="3"/>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4"/>
                <w:szCs w:val="14"/>
                <w:color w:val="auto"/>
              </w:rPr>
              <w:t>Dominion Energy, Inc.</w:t>
            </w:r>
          </w:p>
        </w:tc>
        <w:tc>
          <w:tcPr>
            <w:tcW w:w="3780" w:type="dxa"/>
            <w:vAlign w:val="bottom"/>
          </w:tcPr>
          <w:p>
            <w:pPr>
              <w:ind w:left="560"/>
              <w:spacing w:after="0"/>
              <w:rPr>
                <w:sz w:val="20"/>
                <w:szCs w:val="20"/>
                <w:color w:val="auto"/>
              </w:rPr>
            </w:pPr>
            <w:r>
              <w:rPr>
                <w:rFonts w:ascii="Arial" w:cs="Arial" w:eastAsia="Arial" w:hAnsi="Arial"/>
                <w:sz w:val="14"/>
                <w:szCs w:val="14"/>
                <w:color w:val="auto"/>
              </w:rPr>
              <w:t>Occidental Petroleum Corporation</w:t>
            </w:r>
          </w:p>
        </w:tc>
      </w:tr>
      <w:tr>
        <w:trPr>
          <w:trHeight w:val="35"/>
        </w:trPr>
        <w:tc>
          <w:tcPr>
            <w:tcW w:w="2940" w:type="dxa"/>
            <w:vAlign w:val="bottom"/>
            <w:tcBorders>
              <w:bottom w:val="single" w:sz="8" w:color="B2B2B2"/>
            </w:tcBorders>
          </w:tcPr>
          <w:p>
            <w:pPr>
              <w:spacing w:after="0"/>
              <w:rPr>
                <w:sz w:val="3"/>
                <w:szCs w:val="3"/>
                <w:color w:val="auto"/>
              </w:rPr>
            </w:pPr>
          </w:p>
        </w:tc>
        <w:tc>
          <w:tcPr>
            <w:tcW w:w="3780" w:type="dxa"/>
            <w:vAlign w:val="bottom"/>
            <w:tcBorders>
              <w:bottom w:val="single" w:sz="8" w:color="B2B2B2"/>
            </w:tcBorders>
          </w:tcPr>
          <w:p>
            <w:pPr>
              <w:spacing w:after="0"/>
              <w:rPr>
                <w:sz w:val="3"/>
                <w:szCs w:val="3"/>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4"/>
                <w:szCs w:val="14"/>
                <w:color w:val="auto"/>
              </w:rPr>
              <w:t>Duke Energy Corporation</w:t>
            </w:r>
          </w:p>
        </w:tc>
        <w:tc>
          <w:tcPr>
            <w:tcW w:w="3780" w:type="dxa"/>
            <w:vAlign w:val="bottom"/>
          </w:tcPr>
          <w:p>
            <w:pPr>
              <w:ind w:left="560"/>
              <w:spacing w:after="0"/>
              <w:rPr>
                <w:sz w:val="20"/>
                <w:szCs w:val="20"/>
                <w:color w:val="auto"/>
              </w:rPr>
            </w:pPr>
            <w:r>
              <w:rPr>
                <w:rFonts w:ascii="Arial" w:cs="Arial" w:eastAsia="Arial" w:hAnsi="Arial"/>
                <w:sz w:val="14"/>
                <w:szCs w:val="14"/>
                <w:color w:val="auto"/>
              </w:rPr>
              <w:t>ONEOK, Inc.</w:t>
            </w:r>
          </w:p>
        </w:tc>
      </w:tr>
      <w:tr>
        <w:trPr>
          <w:trHeight w:val="35"/>
        </w:trPr>
        <w:tc>
          <w:tcPr>
            <w:tcW w:w="2940" w:type="dxa"/>
            <w:vAlign w:val="bottom"/>
            <w:tcBorders>
              <w:bottom w:val="single" w:sz="8" w:color="B2B2B2"/>
            </w:tcBorders>
          </w:tcPr>
          <w:p>
            <w:pPr>
              <w:spacing w:after="0"/>
              <w:rPr>
                <w:sz w:val="3"/>
                <w:szCs w:val="3"/>
                <w:color w:val="auto"/>
              </w:rPr>
            </w:pPr>
          </w:p>
        </w:tc>
        <w:tc>
          <w:tcPr>
            <w:tcW w:w="3780" w:type="dxa"/>
            <w:vAlign w:val="bottom"/>
            <w:tcBorders>
              <w:bottom w:val="single" w:sz="8" w:color="B2B2B2"/>
            </w:tcBorders>
          </w:tcPr>
          <w:p>
            <w:pPr>
              <w:spacing w:after="0"/>
              <w:rPr>
                <w:sz w:val="3"/>
                <w:szCs w:val="3"/>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4"/>
                <w:szCs w:val="14"/>
                <w:color w:val="auto"/>
              </w:rPr>
              <w:t>Emera Incorporated</w:t>
            </w:r>
          </w:p>
        </w:tc>
        <w:tc>
          <w:tcPr>
            <w:tcW w:w="3780" w:type="dxa"/>
            <w:vAlign w:val="bottom"/>
          </w:tcPr>
          <w:p>
            <w:pPr>
              <w:ind w:left="560"/>
              <w:spacing w:after="0"/>
              <w:rPr>
                <w:sz w:val="20"/>
                <w:szCs w:val="20"/>
                <w:color w:val="auto"/>
              </w:rPr>
            </w:pPr>
            <w:r>
              <w:rPr>
                <w:rFonts w:ascii="Arial" w:cs="Arial" w:eastAsia="Arial" w:hAnsi="Arial"/>
                <w:sz w:val="14"/>
                <w:szCs w:val="14"/>
                <w:color w:val="auto"/>
              </w:rPr>
              <w:t>Pembina Pipeline Corporation</w:t>
            </w:r>
          </w:p>
        </w:tc>
      </w:tr>
      <w:tr>
        <w:trPr>
          <w:trHeight w:val="35"/>
        </w:trPr>
        <w:tc>
          <w:tcPr>
            <w:tcW w:w="2940" w:type="dxa"/>
            <w:vAlign w:val="bottom"/>
            <w:tcBorders>
              <w:bottom w:val="single" w:sz="8" w:color="B2B2B2"/>
            </w:tcBorders>
          </w:tcPr>
          <w:p>
            <w:pPr>
              <w:spacing w:after="0"/>
              <w:rPr>
                <w:sz w:val="3"/>
                <w:szCs w:val="3"/>
                <w:color w:val="auto"/>
              </w:rPr>
            </w:pPr>
          </w:p>
        </w:tc>
        <w:tc>
          <w:tcPr>
            <w:tcW w:w="3780" w:type="dxa"/>
            <w:vAlign w:val="bottom"/>
            <w:tcBorders>
              <w:bottom w:val="single" w:sz="8" w:color="B2B2B2"/>
            </w:tcBorders>
          </w:tcPr>
          <w:p>
            <w:pPr>
              <w:spacing w:after="0"/>
              <w:rPr>
                <w:sz w:val="3"/>
                <w:szCs w:val="3"/>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4"/>
                <w:szCs w:val="14"/>
                <w:color w:val="auto"/>
              </w:rPr>
              <w:t>Enbridge Inc.</w:t>
            </w:r>
          </w:p>
        </w:tc>
        <w:tc>
          <w:tcPr>
            <w:tcW w:w="3780" w:type="dxa"/>
            <w:vAlign w:val="bottom"/>
          </w:tcPr>
          <w:p>
            <w:pPr>
              <w:ind w:left="560"/>
              <w:spacing w:after="0"/>
              <w:rPr>
                <w:sz w:val="20"/>
                <w:szCs w:val="20"/>
                <w:color w:val="auto"/>
              </w:rPr>
            </w:pPr>
            <w:r>
              <w:rPr>
                <w:rFonts w:ascii="Arial" w:cs="Arial" w:eastAsia="Arial" w:hAnsi="Arial"/>
                <w:sz w:val="14"/>
                <w:szCs w:val="14"/>
                <w:color w:val="auto"/>
              </w:rPr>
              <w:t>Sempra</w:t>
            </w:r>
          </w:p>
        </w:tc>
      </w:tr>
      <w:tr>
        <w:trPr>
          <w:trHeight w:val="35"/>
        </w:trPr>
        <w:tc>
          <w:tcPr>
            <w:tcW w:w="2940" w:type="dxa"/>
            <w:vAlign w:val="bottom"/>
            <w:tcBorders>
              <w:bottom w:val="single" w:sz="8" w:color="B2B2B2"/>
            </w:tcBorders>
          </w:tcPr>
          <w:p>
            <w:pPr>
              <w:spacing w:after="0"/>
              <w:rPr>
                <w:sz w:val="3"/>
                <w:szCs w:val="3"/>
                <w:color w:val="auto"/>
              </w:rPr>
            </w:pPr>
          </w:p>
        </w:tc>
        <w:tc>
          <w:tcPr>
            <w:tcW w:w="3780" w:type="dxa"/>
            <w:vAlign w:val="bottom"/>
            <w:tcBorders>
              <w:bottom w:val="single" w:sz="8" w:color="B2B2B2"/>
            </w:tcBorders>
          </w:tcPr>
          <w:p>
            <w:pPr>
              <w:spacing w:after="0"/>
              <w:rPr>
                <w:sz w:val="3"/>
                <w:szCs w:val="3"/>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4"/>
                <w:szCs w:val="14"/>
                <w:color w:val="auto"/>
              </w:rPr>
              <w:t>Energy Transfer LP</w:t>
            </w:r>
          </w:p>
        </w:tc>
        <w:tc>
          <w:tcPr>
            <w:tcW w:w="3780" w:type="dxa"/>
            <w:vAlign w:val="bottom"/>
          </w:tcPr>
          <w:p>
            <w:pPr>
              <w:ind w:left="560"/>
              <w:spacing w:after="0"/>
              <w:rPr>
                <w:sz w:val="20"/>
                <w:szCs w:val="20"/>
                <w:color w:val="auto"/>
              </w:rPr>
            </w:pPr>
            <w:r>
              <w:rPr>
                <w:rFonts w:ascii="Arial" w:cs="Arial" w:eastAsia="Arial" w:hAnsi="Arial"/>
                <w:sz w:val="14"/>
                <w:szCs w:val="14"/>
                <w:color w:val="auto"/>
              </w:rPr>
              <w:t>Suncor Energy Inc.</w:t>
            </w:r>
          </w:p>
        </w:tc>
      </w:tr>
      <w:tr>
        <w:trPr>
          <w:trHeight w:val="35"/>
        </w:trPr>
        <w:tc>
          <w:tcPr>
            <w:tcW w:w="2940" w:type="dxa"/>
            <w:vAlign w:val="bottom"/>
            <w:tcBorders>
              <w:bottom w:val="single" w:sz="8" w:color="B2B2B2"/>
            </w:tcBorders>
          </w:tcPr>
          <w:p>
            <w:pPr>
              <w:spacing w:after="0"/>
              <w:rPr>
                <w:sz w:val="3"/>
                <w:szCs w:val="3"/>
                <w:color w:val="auto"/>
              </w:rPr>
            </w:pPr>
          </w:p>
        </w:tc>
        <w:tc>
          <w:tcPr>
            <w:tcW w:w="3780" w:type="dxa"/>
            <w:vAlign w:val="bottom"/>
            <w:tcBorders>
              <w:bottom w:val="single" w:sz="8" w:color="B2B2B2"/>
            </w:tcBorders>
          </w:tcPr>
          <w:p>
            <w:pPr>
              <w:spacing w:after="0"/>
              <w:rPr>
                <w:sz w:val="3"/>
                <w:szCs w:val="3"/>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4"/>
                <w:szCs w:val="14"/>
                <w:color w:val="auto"/>
              </w:rPr>
              <w:t>Enterprise Products Partners L.P.</w:t>
            </w:r>
          </w:p>
        </w:tc>
        <w:tc>
          <w:tcPr>
            <w:tcW w:w="3780" w:type="dxa"/>
            <w:vAlign w:val="bottom"/>
          </w:tcPr>
          <w:p>
            <w:pPr>
              <w:ind w:left="560"/>
              <w:spacing w:after="0"/>
              <w:rPr>
                <w:sz w:val="20"/>
                <w:szCs w:val="20"/>
                <w:color w:val="auto"/>
              </w:rPr>
            </w:pPr>
            <w:r>
              <w:rPr>
                <w:rFonts w:ascii="Arial" w:cs="Arial" w:eastAsia="Arial" w:hAnsi="Arial"/>
                <w:sz w:val="14"/>
                <w:szCs w:val="14"/>
                <w:color w:val="auto"/>
              </w:rPr>
              <w:t>Targa Resources Corp.</w:t>
            </w:r>
          </w:p>
        </w:tc>
      </w:tr>
      <w:tr>
        <w:trPr>
          <w:trHeight w:val="35"/>
        </w:trPr>
        <w:tc>
          <w:tcPr>
            <w:tcW w:w="2940" w:type="dxa"/>
            <w:vAlign w:val="bottom"/>
            <w:tcBorders>
              <w:bottom w:val="single" w:sz="8" w:color="B2B2B2"/>
            </w:tcBorders>
          </w:tcPr>
          <w:p>
            <w:pPr>
              <w:spacing w:after="0"/>
              <w:rPr>
                <w:sz w:val="3"/>
                <w:szCs w:val="3"/>
                <w:color w:val="auto"/>
              </w:rPr>
            </w:pPr>
          </w:p>
        </w:tc>
        <w:tc>
          <w:tcPr>
            <w:tcW w:w="3780" w:type="dxa"/>
            <w:vAlign w:val="bottom"/>
            <w:tcBorders>
              <w:bottom w:val="single" w:sz="8" w:color="B2B2B2"/>
            </w:tcBorders>
          </w:tcPr>
          <w:p>
            <w:pPr>
              <w:spacing w:after="0"/>
              <w:rPr>
                <w:sz w:val="3"/>
                <w:szCs w:val="3"/>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4"/>
                <w:szCs w:val="14"/>
                <w:color w:val="auto"/>
              </w:rPr>
              <w:t>Exelon Corporation</w:t>
            </w:r>
          </w:p>
        </w:tc>
        <w:tc>
          <w:tcPr>
            <w:tcW w:w="3780" w:type="dxa"/>
            <w:vAlign w:val="bottom"/>
          </w:tcPr>
          <w:p>
            <w:pPr>
              <w:ind w:left="560"/>
              <w:spacing w:after="0"/>
              <w:rPr>
                <w:sz w:val="20"/>
                <w:szCs w:val="20"/>
                <w:color w:val="auto"/>
              </w:rPr>
            </w:pPr>
            <w:r>
              <w:rPr>
                <w:rFonts w:ascii="Arial" w:cs="Arial" w:eastAsia="Arial" w:hAnsi="Arial"/>
                <w:sz w:val="14"/>
                <w:szCs w:val="14"/>
                <w:color w:val="auto"/>
              </w:rPr>
              <w:t>The Southern Company</w:t>
            </w:r>
          </w:p>
        </w:tc>
      </w:tr>
      <w:tr>
        <w:trPr>
          <w:trHeight w:val="35"/>
        </w:trPr>
        <w:tc>
          <w:tcPr>
            <w:tcW w:w="2940" w:type="dxa"/>
            <w:vAlign w:val="bottom"/>
            <w:tcBorders>
              <w:bottom w:val="single" w:sz="8" w:color="B2B2B2"/>
            </w:tcBorders>
          </w:tcPr>
          <w:p>
            <w:pPr>
              <w:spacing w:after="0"/>
              <w:rPr>
                <w:sz w:val="3"/>
                <w:szCs w:val="3"/>
                <w:color w:val="auto"/>
              </w:rPr>
            </w:pPr>
          </w:p>
        </w:tc>
        <w:tc>
          <w:tcPr>
            <w:tcW w:w="3780" w:type="dxa"/>
            <w:vAlign w:val="bottom"/>
            <w:tcBorders>
              <w:bottom w:val="single" w:sz="8" w:color="B2B2B2"/>
            </w:tcBorders>
          </w:tcPr>
          <w:p>
            <w:pPr>
              <w:spacing w:after="0"/>
              <w:rPr>
                <w:sz w:val="3"/>
                <w:szCs w:val="3"/>
                <w:color w:val="auto"/>
              </w:rPr>
            </w:pPr>
          </w:p>
        </w:tc>
      </w:tr>
      <w:tr>
        <w:trPr>
          <w:trHeight w:val="214"/>
        </w:trPr>
        <w:tc>
          <w:tcPr>
            <w:tcW w:w="2940" w:type="dxa"/>
            <w:vAlign w:val="bottom"/>
          </w:tcPr>
          <w:p>
            <w:pPr>
              <w:ind w:left="20"/>
              <w:spacing w:after="0"/>
              <w:rPr>
                <w:sz w:val="20"/>
                <w:szCs w:val="20"/>
                <w:color w:val="auto"/>
              </w:rPr>
            </w:pPr>
            <w:r>
              <w:rPr>
                <w:rFonts w:ascii="Arial" w:cs="Arial" w:eastAsia="Arial" w:hAnsi="Arial"/>
                <w:sz w:val="14"/>
                <w:szCs w:val="14"/>
                <w:color w:val="auto"/>
              </w:rPr>
              <w:t>Fortis Inc.</w:t>
            </w:r>
          </w:p>
        </w:tc>
        <w:tc>
          <w:tcPr>
            <w:tcW w:w="3780" w:type="dxa"/>
            <w:vAlign w:val="bottom"/>
          </w:tcPr>
          <w:p>
            <w:pPr>
              <w:ind w:left="560"/>
              <w:spacing w:after="0"/>
              <w:rPr>
                <w:sz w:val="20"/>
                <w:szCs w:val="20"/>
                <w:color w:val="auto"/>
              </w:rPr>
            </w:pPr>
            <w:r>
              <w:rPr>
                <w:rFonts w:ascii="Arial" w:cs="Arial" w:eastAsia="Arial" w:hAnsi="Arial"/>
                <w:sz w:val="14"/>
                <w:szCs w:val="14"/>
                <w:color w:val="auto"/>
              </w:rPr>
              <w:t>The Williams Companies, Inc.</w:t>
            </w:r>
          </w:p>
        </w:tc>
      </w:tr>
      <w:tr>
        <w:trPr>
          <w:trHeight w:val="35"/>
        </w:trPr>
        <w:tc>
          <w:tcPr>
            <w:tcW w:w="2940" w:type="dxa"/>
            <w:vAlign w:val="bottom"/>
            <w:tcBorders>
              <w:bottom w:val="single" w:sz="8" w:color="0D64EF"/>
            </w:tcBorders>
          </w:tcPr>
          <w:p>
            <w:pPr>
              <w:spacing w:after="0"/>
              <w:rPr>
                <w:sz w:val="3"/>
                <w:szCs w:val="3"/>
                <w:color w:val="auto"/>
              </w:rPr>
            </w:pPr>
          </w:p>
        </w:tc>
        <w:tc>
          <w:tcPr>
            <w:tcW w:w="3780" w:type="dxa"/>
            <w:vAlign w:val="bottom"/>
            <w:tcBorders>
              <w:bottom w:val="single" w:sz="8" w:color="0D64EF"/>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102"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0D64EF"/>
        </w:rPr>
        <w:t>Aligning the interests of directors and shareholders</w:t>
      </w:r>
    </w:p>
    <w:p>
      <w:pPr>
        <w:spacing w:after="0" w:line="4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Board believes that directors can represent the interests of shareholders more effectively if they have a significant investment in TC Energy. Directors must hold at least four times their annual retainer in shares or DSUs within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joining the Board.</w:t>
      </w:r>
    </w:p>
    <w:p>
      <w:pPr>
        <w:spacing w:after="0" w:line="152"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auto"/>
        </w:rPr>
        <w:t>Directors can meet the requirements by purchasing TC Energy shares, participating in our dividend reinvestment plan (DRP) or by directing all or a portion of their compensation to be paid in DSUs. We recalibrate the required ownership values if the retainer is increased.</w:t>
      </w:r>
    </w:p>
    <w:p>
      <w:pPr>
        <w:spacing w:after="0" w:line="48" w:lineRule="exact"/>
        <w:rPr>
          <w:sz w:val="20"/>
          <w:szCs w:val="20"/>
          <w:color w:val="auto"/>
        </w:rPr>
      </w:pPr>
    </w:p>
    <w:p>
      <w:pPr>
        <w:ind w:right="720"/>
        <w:spacing w:after="0" w:line="337" w:lineRule="auto"/>
        <w:rPr>
          <w:sz w:val="20"/>
          <w:szCs w:val="20"/>
          <w:color w:val="auto"/>
        </w:rPr>
      </w:pPr>
      <w:r>
        <w:rPr>
          <w:rFonts w:ascii="Arial" w:cs="Arial" w:eastAsia="Arial" w:hAnsi="Arial"/>
          <w:sz w:val="16"/>
          <w:szCs w:val="16"/>
          <w:color w:val="auto"/>
        </w:rPr>
        <w:t>If their holdings fall below the minimum level because of fluctuations in our share price, we expect directors to attain the minimum threshold within a reasonable amount of time set by the Governance Committee.</w:t>
      </w:r>
    </w:p>
    <w:p>
      <w:pPr>
        <w:spacing w:after="0" w:line="48" w:lineRule="exact"/>
        <w:rPr>
          <w:sz w:val="20"/>
          <w:szCs w:val="20"/>
          <w:color w:val="auto"/>
        </w:rPr>
      </w:pPr>
    </w:p>
    <w:p>
      <w:pPr>
        <w:ind w:right="80"/>
        <w:spacing w:after="0" w:line="337" w:lineRule="auto"/>
        <w:rPr>
          <w:sz w:val="20"/>
          <w:szCs w:val="20"/>
          <w:color w:val="auto"/>
        </w:rPr>
      </w:pPr>
      <w:r>
        <w:rPr>
          <w:rFonts w:ascii="Arial" w:cs="Arial" w:eastAsia="Arial" w:hAnsi="Arial"/>
          <w:sz w:val="16"/>
          <w:szCs w:val="16"/>
          <w:color w:val="auto"/>
        </w:rPr>
        <w:t>As President and CEO, Mr. Poirier must instead meet our CEO share ownership requirement which is six times his base salary. Mr. Poirier has met his share ownership requirements as of December 31, 2025.</w:t>
      </w:r>
    </w:p>
    <w:p>
      <w:pPr>
        <w:spacing w:after="0" w:line="48" w:lineRule="exact"/>
        <w:rPr>
          <w:sz w:val="20"/>
          <w:szCs w:val="20"/>
          <w:color w:val="auto"/>
        </w:rPr>
      </w:pPr>
    </w:p>
    <w:p>
      <w:pPr>
        <w:jc w:val="both"/>
        <w:ind w:right="3000"/>
        <w:spacing w:after="0" w:line="317" w:lineRule="auto"/>
        <w:rPr>
          <w:sz w:val="20"/>
          <w:szCs w:val="20"/>
          <w:color w:val="auto"/>
        </w:rPr>
      </w:pPr>
      <w:r>
        <w:rPr>
          <w:rFonts w:ascii="Arial" w:cs="Arial" w:eastAsia="Arial" w:hAnsi="Arial"/>
          <w:sz w:val="16"/>
          <w:szCs w:val="16"/>
          <w:color w:val="auto"/>
        </w:rPr>
        <w:t>As of March 5, 2026, all of our non-executive directors are in compliance with our Director Share Ownership Policy. Mr. Bonham and Ms. Madahbee Leach each have five years from the date they were appointed to meet the director share ownership requirements.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6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Non-Executive Director</w:t>
            </w:r>
          </w:p>
        </w:tc>
        <w:tc>
          <w:tcPr>
            <w:tcW w:w="3120" w:type="dxa"/>
            <w:vAlign w:val="bottom"/>
            <w:tcBorders>
              <w:top w:val="single" w:sz="8" w:color="0D64EF"/>
              <w:bottom w:val="single" w:sz="8" w:color="D1D0CF"/>
            </w:tcBorders>
            <w:shd w:val="clear" w:color="auto" w:fill="D1D0CF"/>
          </w:tcPr>
          <w:p>
            <w:pPr>
              <w:ind w:left="880"/>
              <w:spacing w:after="0"/>
              <w:rPr>
                <w:sz w:val="20"/>
                <w:szCs w:val="20"/>
                <w:color w:val="auto"/>
              </w:rPr>
            </w:pPr>
            <w:r>
              <w:rPr>
                <w:rFonts w:ascii="Arial" w:cs="Arial" w:eastAsia="Arial" w:hAnsi="Arial"/>
                <w:sz w:val="14"/>
                <w:szCs w:val="14"/>
                <w:b w:val="1"/>
                <w:bCs w:val="1"/>
                <w:color w:val="auto"/>
              </w:rPr>
              <w:t>Date appointed</w:t>
            </w:r>
          </w:p>
        </w:tc>
        <w:tc>
          <w:tcPr>
            <w:tcW w:w="4380" w:type="dxa"/>
            <w:vAlign w:val="bottom"/>
            <w:tcBorders>
              <w:top w:val="single" w:sz="8" w:color="0D64EF"/>
              <w:bottom w:val="single" w:sz="8" w:color="D1D0CF"/>
            </w:tcBorders>
            <w:shd w:val="clear" w:color="auto" w:fill="D1D0CF"/>
          </w:tcPr>
          <w:p>
            <w:pPr>
              <w:ind w:left="1060"/>
              <w:spacing w:after="0"/>
              <w:rPr>
                <w:sz w:val="20"/>
                <w:szCs w:val="20"/>
                <w:color w:val="auto"/>
              </w:rPr>
            </w:pPr>
            <w:r>
              <w:rPr>
                <w:rFonts w:ascii="Arial" w:cs="Arial" w:eastAsia="Arial" w:hAnsi="Arial"/>
                <w:sz w:val="14"/>
                <w:szCs w:val="14"/>
                <w:b w:val="1"/>
                <w:bCs w:val="1"/>
                <w:color w:val="auto"/>
              </w:rPr>
              <w:t>Share ownership date</w:t>
            </w:r>
          </w:p>
        </w:tc>
      </w:tr>
      <w:tr>
        <w:trPr>
          <w:trHeight w:val="191"/>
        </w:trPr>
        <w:tc>
          <w:tcPr>
            <w:tcW w:w="2460" w:type="dxa"/>
            <w:vAlign w:val="bottom"/>
            <w:tcBorders>
              <w:top w:val="single" w:sz="8" w:color="0D64EF"/>
              <w:bottom w:val="single" w:sz="8" w:color="B6B6B6"/>
            </w:tcBorders>
          </w:tcPr>
          <w:p>
            <w:pPr>
              <w:ind w:left="20"/>
              <w:spacing w:after="0"/>
              <w:rPr>
                <w:sz w:val="20"/>
                <w:szCs w:val="20"/>
                <w:color w:val="auto"/>
              </w:rPr>
            </w:pPr>
            <w:r>
              <w:rPr>
                <w:rFonts w:ascii="Arial" w:cs="Arial" w:eastAsia="Arial" w:hAnsi="Arial"/>
                <w:sz w:val="14"/>
                <w:szCs w:val="14"/>
                <w:color w:val="auto"/>
              </w:rPr>
              <w:t>Mr. Bonham</w:t>
            </w:r>
          </w:p>
        </w:tc>
        <w:tc>
          <w:tcPr>
            <w:tcW w:w="3120" w:type="dxa"/>
            <w:vAlign w:val="bottom"/>
            <w:tcBorders>
              <w:top w:val="single" w:sz="8" w:color="0D64EF"/>
              <w:bottom w:val="single" w:sz="8" w:color="B6B6B6"/>
            </w:tcBorders>
          </w:tcPr>
          <w:p>
            <w:pPr>
              <w:ind w:left="880"/>
              <w:spacing w:after="0"/>
              <w:rPr>
                <w:sz w:val="20"/>
                <w:szCs w:val="20"/>
                <w:color w:val="auto"/>
              </w:rPr>
            </w:pPr>
            <w:r>
              <w:rPr>
                <w:rFonts w:ascii="Arial" w:cs="Arial" w:eastAsia="Arial" w:hAnsi="Arial"/>
                <w:sz w:val="14"/>
                <w:szCs w:val="14"/>
                <w:color w:val="auto"/>
              </w:rPr>
              <w:t>November 4, 2024</w:t>
            </w:r>
          </w:p>
        </w:tc>
        <w:tc>
          <w:tcPr>
            <w:tcW w:w="4380" w:type="dxa"/>
            <w:vAlign w:val="bottom"/>
            <w:tcBorders>
              <w:top w:val="single" w:sz="8" w:color="0D64EF"/>
              <w:bottom w:val="single" w:sz="8" w:color="B6B6B6"/>
            </w:tcBorders>
          </w:tcPr>
          <w:p>
            <w:pPr>
              <w:ind w:left="1060"/>
              <w:spacing w:after="0"/>
              <w:rPr>
                <w:sz w:val="20"/>
                <w:szCs w:val="20"/>
                <w:color w:val="auto"/>
              </w:rPr>
            </w:pPr>
            <w:r>
              <w:rPr>
                <w:rFonts w:ascii="Arial" w:cs="Arial" w:eastAsia="Arial" w:hAnsi="Arial"/>
                <w:sz w:val="14"/>
                <w:szCs w:val="14"/>
                <w:color w:val="auto"/>
              </w:rPr>
              <w:t>November 4, 2029</w:t>
            </w:r>
          </w:p>
        </w:tc>
      </w:tr>
      <w:tr>
        <w:trPr>
          <w:trHeight w:val="195"/>
        </w:trPr>
        <w:tc>
          <w:tcPr>
            <w:tcW w:w="246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Ms. Madahbee Leach</w:t>
            </w:r>
          </w:p>
        </w:tc>
        <w:tc>
          <w:tcPr>
            <w:tcW w:w="3120" w:type="dxa"/>
            <w:vAlign w:val="bottom"/>
            <w:tcBorders>
              <w:bottom w:val="single" w:sz="8" w:color="0D64EF"/>
            </w:tcBorders>
          </w:tcPr>
          <w:p>
            <w:pPr>
              <w:ind w:left="880"/>
              <w:spacing w:after="0"/>
              <w:rPr>
                <w:sz w:val="20"/>
                <w:szCs w:val="20"/>
                <w:color w:val="auto"/>
              </w:rPr>
            </w:pPr>
            <w:r>
              <w:rPr>
                <w:rFonts w:ascii="Arial" w:cs="Arial" w:eastAsia="Arial" w:hAnsi="Arial"/>
                <w:sz w:val="14"/>
                <w:szCs w:val="14"/>
                <w:color w:val="auto"/>
              </w:rPr>
              <w:t>November 4, 2024</w:t>
            </w:r>
          </w:p>
        </w:tc>
        <w:tc>
          <w:tcPr>
            <w:tcW w:w="4380" w:type="dxa"/>
            <w:vAlign w:val="bottom"/>
            <w:tcBorders>
              <w:bottom w:val="single" w:sz="8" w:color="0D64EF"/>
            </w:tcBorders>
          </w:tcPr>
          <w:p>
            <w:pPr>
              <w:ind w:left="1060"/>
              <w:spacing w:after="0"/>
              <w:rPr>
                <w:sz w:val="20"/>
                <w:szCs w:val="20"/>
                <w:color w:val="auto"/>
              </w:rPr>
            </w:pPr>
            <w:r>
              <w:rPr>
                <w:rFonts w:ascii="Arial" w:cs="Arial" w:eastAsia="Arial" w:hAnsi="Arial"/>
                <w:sz w:val="14"/>
                <w:szCs w:val="14"/>
                <w:color w:val="auto"/>
              </w:rPr>
              <w:t>November 4, 2029</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Deferred share units</w:t>
      </w:r>
    </w:p>
    <w:p>
      <w:pPr>
        <w:spacing w:after="0" w:line="40" w:lineRule="exact"/>
        <w:rPr>
          <w:sz w:val="20"/>
          <w:szCs w:val="20"/>
          <w:color w:val="auto"/>
        </w:rPr>
      </w:pPr>
    </w:p>
    <w:p>
      <w:pPr>
        <w:ind w:right="2280"/>
        <w:spacing w:after="0" w:line="337" w:lineRule="auto"/>
        <w:rPr>
          <w:sz w:val="20"/>
          <w:szCs w:val="20"/>
          <w:color w:val="auto"/>
        </w:rPr>
      </w:pPr>
      <w:r>
        <w:rPr>
          <w:rFonts w:ascii="Arial" w:cs="Arial" w:eastAsia="Arial" w:hAnsi="Arial"/>
          <w:sz w:val="16"/>
          <w:szCs w:val="16"/>
          <w:color w:val="auto"/>
        </w:rPr>
        <w:t>DSUs are notional shares that have the same value as TC Energy shares. DSUs earn dividend equivalents as additional units at the same rate as dividends paid on TC Energy shares.</w:t>
      </w:r>
    </w:p>
    <w:p>
      <w:pPr>
        <w:spacing w:after="0" w:line="48" w:lineRule="exact"/>
        <w:rPr>
          <w:sz w:val="20"/>
          <w:szCs w:val="20"/>
          <w:color w:val="auto"/>
        </w:rPr>
      </w:pPr>
    </w:p>
    <w:p>
      <w:pPr>
        <w:ind w:right="300"/>
        <w:spacing w:after="0" w:line="326" w:lineRule="auto"/>
        <w:rPr>
          <w:sz w:val="20"/>
          <w:szCs w:val="20"/>
          <w:color w:val="auto"/>
        </w:rPr>
      </w:pPr>
      <w:r>
        <w:rPr>
          <w:rFonts w:ascii="Arial" w:cs="Arial" w:eastAsia="Arial" w:hAnsi="Arial"/>
          <w:sz w:val="16"/>
          <w:szCs w:val="16"/>
          <w:color w:val="auto"/>
        </w:rPr>
        <w:t>The DSU Plan allows directors to choose to receive all or a portion of their retainers and travel fees in DSUs instead of cash. The plan also allows the Governance Committee to use discretion to grant DSUs to directors as additional compensation (excluding employee directors such as our President and CEO). No discretionary grants of DSUs were made to directors in 2025, nor are any discretionary grants expected to be granted in 2026.</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Directors redeem their DSUs when they leave the Board. Directors can redeem their DSUs for cash or shares of TC Energy purchased on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79</w:t>
      </w:r>
    </w:p>
    <w:p>
      <w:pPr>
        <w:sectPr>
          <w:pgSz w:w="11900" w:h="16838" w:orient="portrait"/>
          <w:cols w:equalWidth="0" w:num="1">
            <w:col w:w="11240"/>
          </w:cols>
          <w:pgMar w:left="320" w:top="1061" w:right="339" w:bottom="1440" w:gutter="0" w:footer="0" w:header="0"/>
        </w:sectPr>
      </w:pPr>
    </w:p>
    <w:bookmarkStart w:id="85" w:name="page86"/>
    <w:bookmarkEnd w:id="85"/>
    <w:p>
      <w:pPr>
        <w:spacing w:after="0"/>
        <w:rPr>
          <w:sz w:val="20"/>
          <w:szCs w:val="20"/>
          <w:color w:val="auto"/>
        </w:rPr>
      </w:pPr>
      <w:r>
        <w:rPr>
          <w:rFonts w:ascii="Arial" w:cs="Arial" w:eastAsia="Arial" w:hAnsi="Arial"/>
          <w:sz w:val="20"/>
          <w:szCs w:val="20"/>
          <w:b w:val="1"/>
          <w:bCs w:val="1"/>
          <w:color w:val="0D64EF"/>
        </w:rPr>
        <w:t>COMPONENTS</w:t>
      </w:r>
    </w:p>
    <w:p>
      <w:pPr>
        <w:spacing w:after="0" w:line="48" w:lineRule="exact"/>
        <w:rPr>
          <w:sz w:val="20"/>
          <w:szCs w:val="20"/>
          <w:color w:val="auto"/>
        </w:rPr>
      </w:pPr>
    </w:p>
    <w:p>
      <w:pPr>
        <w:ind w:right="80"/>
        <w:spacing w:after="0" w:line="326" w:lineRule="auto"/>
        <w:rPr>
          <w:sz w:val="20"/>
          <w:szCs w:val="20"/>
          <w:color w:val="auto"/>
        </w:rPr>
      </w:pPr>
      <w:r>
        <w:rPr>
          <w:rFonts w:ascii="Arial" w:cs="Arial" w:eastAsia="Arial" w:hAnsi="Arial"/>
          <w:sz w:val="16"/>
          <w:szCs w:val="16"/>
          <w:color w:val="auto"/>
        </w:rPr>
        <w:t>Directors receive annual retainers and travel fees when applicable. They are also reimbursed for out-of-pocket expenses they incur while attending meetings and other Board activities. Beginning January 1, 2020, director compensation was determined in U.S. dollars based on a decision to align compensation practices with peers and to ensure equitable treatment between our U.S. and Canadian directors.</w:t>
      </w:r>
    </w:p>
    <w:p>
      <w:pPr>
        <w:spacing w:after="0" w:line="43"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Mr. Poirier is compensated in his role as President and CEO, and does not receive any director compensation. Both the annual Board retainer and the separate retainer for the Chair of the Board are paid in cash and DSUs according to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fee schedule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7132955" cy="144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2025 compensation (presented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29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Retainers</w:t>
      </w:r>
    </w:p>
    <w:p>
      <w:pPr>
        <w:ind w:left="20"/>
        <w:spacing w:after="0"/>
        <w:rPr>
          <w:sz w:val="20"/>
          <w:szCs w:val="20"/>
          <w:color w:val="auto"/>
        </w:rPr>
      </w:pPr>
      <w:r>
        <w:rPr>
          <w:rFonts w:ascii="Arial" w:cs="Arial" w:eastAsia="Arial" w:hAnsi="Arial"/>
          <w:sz w:val="14"/>
          <w:szCs w:val="14"/>
          <w:color w:val="auto"/>
        </w:rPr>
        <w:t>paid quarterly from the date the director is appointed to the Board and Committees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Borders>
              <w:top w:val="single" w:sz="8" w:color="B2B2B2"/>
            </w:tcBorders>
          </w:tcPr>
          <w:p>
            <w:pPr>
              <w:ind w:left="20"/>
              <w:spacing w:after="0"/>
              <w:rPr>
                <w:sz w:val="20"/>
                <w:szCs w:val="20"/>
                <w:color w:val="auto"/>
              </w:rPr>
            </w:pPr>
            <w:r>
              <w:rPr>
                <w:rFonts w:ascii="Arial" w:cs="Arial" w:eastAsia="Arial" w:hAnsi="Arial"/>
                <w:sz w:val="14"/>
                <w:szCs w:val="14"/>
                <w:i w:val="1"/>
                <w:iCs w:val="1"/>
                <w:color w:val="auto"/>
              </w:rPr>
              <w:t>Board</w:t>
            </w:r>
          </w:p>
        </w:tc>
        <w:tc>
          <w:tcPr>
            <w:tcW w:w="1520" w:type="dxa"/>
            <w:vAlign w:val="bottom"/>
            <w:tcBorders>
              <w:top w:val="single" w:sz="8" w:color="B2B2B2"/>
            </w:tcBorders>
          </w:tcPr>
          <w:p>
            <w:pPr>
              <w:ind w:left="20"/>
              <w:spacing w:after="0"/>
              <w:rPr>
                <w:sz w:val="20"/>
                <w:szCs w:val="20"/>
                <w:color w:val="auto"/>
              </w:rPr>
            </w:pPr>
            <w:r>
              <w:rPr>
                <w:rFonts w:ascii="Arial" w:cs="Arial" w:eastAsia="Arial" w:hAnsi="Arial"/>
                <w:sz w:val="14"/>
                <w:szCs w:val="14"/>
                <w:color w:val="auto"/>
              </w:rPr>
              <w:t>$285,000 per year</w:t>
            </w:r>
          </w:p>
        </w:tc>
        <w:tc>
          <w:tcPr>
            <w:tcW w:w="2660" w:type="dxa"/>
            <w:vAlign w:val="bottom"/>
            <w:tcBorders>
              <w:top w:val="single" w:sz="8" w:color="B2B2B2"/>
            </w:tcBorders>
          </w:tcPr>
          <w:p>
            <w:pPr>
              <w:spacing w:after="0"/>
              <w:rPr>
                <w:sz w:val="14"/>
                <w:szCs w:val="14"/>
                <w:color w:val="auto"/>
              </w:rPr>
            </w:pPr>
          </w:p>
        </w:tc>
        <w:tc>
          <w:tcPr>
            <w:tcW w:w="2720" w:type="dxa"/>
            <w:vAlign w:val="bottom"/>
            <w:tcBorders>
              <w:top w:val="single" w:sz="8" w:color="B2B2B2"/>
            </w:tcBorders>
          </w:tcPr>
          <w:p>
            <w:pPr>
              <w:ind w:left="20"/>
              <w:spacing w:after="0"/>
              <w:rPr>
                <w:sz w:val="20"/>
                <w:szCs w:val="20"/>
                <w:color w:val="auto"/>
              </w:rPr>
            </w:pPr>
            <w:r>
              <w:rPr>
                <w:rFonts w:ascii="Arial" w:cs="Arial" w:eastAsia="Arial" w:hAnsi="Arial"/>
                <w:sz w:val="14"/>
                <w:szCs w:val="14"/>
                <w:color w:val="auto"/>
              </w:rPr>
              <w:t>represented 3,324 DSUs for directors</w:t>
            </w:r>
          </w:p>
        </w:tc>
        <w:tc>
          <w:tcPr>
            <w:tcW w:w="0" w:type="dxa"/>
            <w:vAlign w:val="bottom"/>
          </w:tcPr>
          <w:p>
            <w:pPr>
              <w:spacing w:after="0"/>
              <w:rPr>
                <w:sz w:val="1"/>
                <w:szCs w:val="1"/>
                <w:color w:val="auto"/>
              </w:rPr>
            </w:pPr>
          </w:p>
        </w:tc>
      </w:tr>
      <w:tr>
        <w:trPr>
          <w:trHeight w:val="161"/>
        </w:trPr>
        <w:tc>
          <w:tcPr>
            <w:tcW w:w="4340" w:type="dxa"/>
            <w:vAlign w:val="bottom"/>
          </w:tcPr>
          <w:p>
            <w:pPr>
              <w:ind w:left="20"/>
              <w:spacing w:after="0"/>
              <w:rPr>
                <w:sz w:val="20"/>
                <w:szCs w:val="20"/>
                <w:color w:val="auto"/>
              </w:rPr>
            </w:pPr>
            <w:r>
              <w:rPr>
                <w:rFonts w:ascii="Arial" w:cs="Arial" w:eastAsia="Arial" w:hAnsi="Arial"/>
                <w:sz w:val="14"/>
                <w:szCs w:val="14"/>
                <w:color w:val="auto"/>
              </w:rPr>
              <w:t>paid to each director except the Chair of the Board</w:t>
            </w:r>
          </w:p>
        </w:tc>
        <w:tc>
          <w:tcPr>
            <w:tcW w:w="4180" w:type="dxa"/>
            <w:vAlign w:val="bottom"/>
            <w:gridSpan w:val="2"/>
          </w:tcPr>
          <w:p>
            <w:pPr>
              <w:ind w:left="20"/>
              <w:spacing w:after="0"/>
              <w:rPr>
                <w:sz w:val="20"/>
                <w:szCs w:val="20"/>
                <w:color w:val="auto"/>
              </w:rPr>
            </w:pPr>
            <w:r>
              <w:rPr>
                <w:rFonts w:ascii="Arial" w:cs="Arial" w:eastAsia="Arial" w:hAnsi="Arial"/>
                <w:sz w:val="14"/>
                <w:szCs w:val="14"/>
                <w:color w:val="auto"/>
              </w:rPr>
              <w:t>($115,000 cash + $170,000 in DSUs)</w:t>
            </w:r>
          </w:p>
        </w:tc>
        <w:tc>
          <w:tcPr>
            <w:tcW w:w="2720" w:type="dxa"/>
            <w:vAlign w:val="bottom"/>
          </w:tcPr>
          <w:p>
            <w:pPr>
              <w:ind w:left="20"/>
              <w:spacing w:after="0"/>
              <w:rPr>
                <w:sz w:val="20"/>
                <w:szCs w:val="20"/>
                <w:color w:val="auto"/>
              </w:rPr>
            </w:pPr>
            <w:r>
              <w:rPr>
                <w:rFonts w:ascii="Arial" w:cs="Arial" w:eastAsia="Arial" w:hAnsi="Arial"/>
                <w:sz w:val="14"/>
                <w:szCs w:val="14"/>
                <w:color w:val="auto"/>
              </w:rPr>
              <w:t>in 2025</w:t>
            </w:r>
          </w:p>
        </w:tc>
        <w:tc>
          <w:tcPr>
            <w:tcW w:w="0" w:type="dxa"/>
            <w:vAlign w:val="bottom"/>
          </w:tcPr>
          <w:p>
            <w:pPr>
              <w:spacing w:after="0"/>
              <w:rPr>
                <w:sz w:val="1"/>
                <w:szCs w:val="1"/>
                <w:color w:val="auto"/>
              </w:rPr>
            </w:pPr>
          </w:p>
        </w:tc>
      </w:tr>
      <w:tr>
        <w:trPr>
          <w:trHeight w:val="190"/>
        </w:trPr>
        <w:tc>
          <w:tcPr>
            <w:tcW w:w="4340" w:type="dxa"/>
            <w:vAlign w:val="bottom"/>
          </w:tcPr>
          <w:p>
            <w:pPr>
              <w:ind w:left="20"/>
              <w:spacing w:after="0"/>
              <w:rPr>
                <w:sz w:val="20"/>
                <w:szCs w:val="20"/>
                <w:color w:val="auto"/>
              </w:rPr>
            </w:pPr>
            <w:r>
              <w:rPr>
                <w:rFonts w:ascii="Arial" w:cs="Arial" w:eastAsia="Arial" w:hAnsi="Arial"/>
                <w:sz w:val="14"/>
                <w:szCs w:val="14"/>
                <w:color w:val="auto"/>
              </w:rPr>
              <w:t>flat fee (no meeting fees paid)</w:t>
            </w:r>
          </w:p>
        </w:tc>
        <w:tc>
          <w:tcPr>
            <w:tcW w:w="15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4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2660" w:type="dxa"/>
            <w:vAlign w:val="bottom"/>
            <w:tcBorders>
              <w:bottom w:val="single" w:sz="8" w:color="B2B2B2"/>
            </w:tcBorders>
          </w:tcPr>
          <w:p>
            <w:pPr>
              <w:spacing w:after="0"/>
              <w:rPr>
                <w:sz w:val="2"/>
                <w:szCs w:val="2"/>
                <w:color w:val="auto"/>
              </w:rPr>
            </w:pPr>
          </w:p>
        </w:tc>
        <w:tc>
          <w:tcPr>
            <w:tcW w:w="27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340" w:type="dxa"/>
            <w:vAlign w:val="bottom"/>
          </w:tcPr>
          <w:p>
            <w:pPr>
              <w:ind w:left="20"/>
              <w:spacing w:after="0" w:line="141" w:lineRule="exact"/>
              <w:rPr>
                <w:sz w:val="20"/>
                <w:szCs w:val="20"/>
                <w:color w:val="auto"/>
              </w:rPr>
            </w:pPr>
            <w:r>
              <w:rPr>
                <w:rFonts w:ascii="Arial" w:cs="Arial" w:eastAsia="Arial" w:hAnsi="Arial"/>
                <w:sz w:val="14"/>
                <w:szCs w:val="14"/>
                <w:i w:val="1"/>
                <w:iCs w:val="1"/>
                <w:color w:val="auto"/>
              </w:rPr>
              <w:t>Chair of the Board</w:t>
            </w:r>
          </w:p>
        </w:tc>
        <w:tc>
          <w:tcPr>
            <w:tcW w:w="1520" w:type="dxa"/>
            <w:vAlign w:val="bottom"/>
          </w:tcPr>
          <w:p>
            <w:pPr>
              <w:ind w:left="20"/>
              <w:spacing w:after="0" w:line="141" w:lineRule="exact"/>
              <w:rPr>
                <w:sz w:val="20"/>
                <w:szCs w:val="20"/>
                <w:color w:val="auto"/>
              </w:rPr>
            </w:pPr>
            <w:r>
              <w:rPr>
                <w:rFonts w:ascii="Arial" w:cs="Arial" w:eastAsia="Arial" w:hAnsi="Arial"/>
                <w:sz w:val="14"/>
                <w:szCs w:val="14"/>
                <w:color w:val="auto"/>
              </w:rPr>
              <w:t>$491,000 per year</w:t>
            </w:r>
          </w:p>
        </w:tc>
        <w:tc>
          <w:tcPr>
            <w:tcW w:w="2660" w:type="dxa"/>
            <w:vAlign w:val="bottom"/>
          </w:tcPr>
          <w:p>
            <w:pPr>
              <w:spacing w:after="0"/>
              <w:rPr>
                <w:sz w:val="12"/>
                <w:szCs w:val="12"/>
                <w:color w:val="auto"/>
              </w:rPr>
            </w:pPr>
          </w:p>
        </w:tc>
        <w:tc>
          <w:tcPr>
            <w:tcW w:w="2720" w:type="dxa"/>
            <w:vAlign w:val="bottom"/>
          </w:tcPr>
          <w:p>
            <w:pPr>
              <w:ind w:left="20"/>
              <w:spacing w:after="0" w:line="141" w:lineRule="exact"/>
              <w:rPr>
                <w:sz w:val="20"/>
                <w:szCs w:val="20"/>
                <w:color w:val="auto"/>
              </w:rPr>
            </w:pPr>
            <w:r>
              <w:rPr>
                <w:rFonts w:ascii="Arial" w:cs="Arial" w:eastAsia="Arial" w:hAnsi="Arial"/>
                <w:sz w:val="14"/>
                <w:szCs w:val="14"/>
                <w:color w:val="auto"/>
              </w:rPr>
              <w:t>represented 5,670 DSUs in 2025</w:t>
            </w:r>
          </w:p>
        </w:tc>
        <w:tc>
          <w:tcPr>
            <w:tcW w:w="0" w:type="dxa"/>
            <w:vAlign w:val="bottom"/>
          </w:tcPr>
          <w:p>
            <w:pPr>
              <w:spacing w:after="0"/>
              <w:rPr>
                <w:sz w:val="1"/>
                <w:szCs w:val="1"/>
                <w:color w:val="auto"/>
              </w:rPr>
            </w:pPr>
          </w:p>
        </w:tc>
      </w:tr>
      <w:tr>
        <w:trPr>
          <w:trHeight w:val="161"/>
        </w:trPr>
        <w:tc>
          <w:tcPr>
            <w:tcW w:w="4340" w:type="dxa"/>
            <w:vAlign w:val="bottom"/>
          </w:tcPr>
          <w:p>
            <w:pPr>
              <w:ind w:left="20"/>
              <w:spacing w:after="0"/>
              <w:rPr>
                <w:sz w:val="20"/>
                <w:szCs w:val="20"/>
                <w:color w:val="auto"/>
              </w:rPr>
            </w:pPr>
            <w:r>
              <w:rPr>
                <w:rFonts w:ascii="Arial" w:cs="Arial" w:eastAsia="Arial" w:hAnsi="Arial"/>
                <w:sz w:val="14"/>
                <w:szCs w:val="14"/>
                <w:color w:val="auto"/>
              </w:rPr>
              <w:t>receives a higher retainer because of his level of responsibility</w:t>
            </w:r>
          </w:p>
        </w:tc>
        <w:tc>
          <w:tcPr>
            <w:tcW w:w="4180" w:type="dxa"/>
            <w:vAlign w:val="bottom"/>
            <w:gridSpan w:val="2"/>
          </w:tcPr>
          <w:p>
            <w:pPr>
              <w:ind w:left="20"/>
              <w:spacing w:after="0"/>
              <w:rPr>
                <w:sz w:val="20"/>
                <w:szCs w:val="20"/>
                <w:color w:val="auto"/>
              </w:rPr>
            </w:pPr>
            <w:r>
              <w:rPr>
                <w:rFonts w:ascii="Arial" w:cs="Arial" w:eastAsia="Arial" w:hAnsi="Arial"/>
                <w:sz w:val="14"/>
                <w:szCs w:val="14"/>
                <w:color w:val="auto"/>
              </w:rPr>
              <w:t>($201,000 in cash + $290,000 in DSUs)</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40" w:type="dxa"/>
            <w:vAlign w:val="bottom"/>
          </w:tcPr>
          <w:p>
            <w:pPr>
              <w:ind w:left="20"/>
              <w:spacing w:after="0"/>
              <w:rPr>
                <w:sz w:val="20"/>
                <w:szCs w:val="20"/>
                <w:color w:val="auto"/>
              </w:rPr>
            </w:pPr>
            <w:r>
              <w:rPr>
                <w:rFonts w:ascii="Arial" w:cs="Arial" w:eastAsia="Arial" w:hAnsi="Arial"/>
                <w:sz w:val="14"/>
                <w:szCs w:val="14"/>
                <w:color w:val="auto"/>
              </w:rPr>
              <w:t>flat fee (no meeting fees paid)</w:t>
            </w:r>
          </w:p>
        </w:tc>
        <w:tc>
          <w:tcPr>
            <w:tcW w:w="15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40" w:type="dxa"/>
            <w:vAlign w:val="bottom"/>
            <w:tcBorders>
              <w:bottom w:val="single" w:sz="8" w:color="B2B2B2"/>
            </w:tcBorders>
          </w:tcPr>
          <w:p>
            <w:pPr>
              <w:spacing w:after="0"/>
              <w:rPr>
                <w:sz w:val="2"/>
                <w:szCs w:val="2"/>
                <w:color w:val="auto"/>
              </w:rPr>
            </w:pPr>
          </w:p>
        </w:tc>
        <w:tc>
          <w:tcPr>
            <w:tcW w:w="1520" w:type="dxa"/>
            <w:vAlign w:val="bottom"/>
            <w:tcBorders>
              <w:bottom w:val="single" w:sz="8" w:color="B2B2B2"/>
            </w:tcBorders>
          </w:tcPr>
          <w:p>
            <w:pPr>
              <w:spacing w:after="0"/>
              <w:rPr>
                <w:sz w:val="2"/>
                <w:szCs w:val="2"/>
                <w:color w:val="auto"/>
              </w:rPr>
            </w:pPr>
          </w:p>
        </w:tc>
        <w:tc>
          <w:tcPr>
            <w:tcW w:w="2660" w:type="dxa"/>
            <w:vAlign w:val="bottom"/>
            <w:tcBorders>
              <w:bottom w:val="single" w:sz="8" w:color="B2B2B2"/>
            </w:tcBorders>
          </w:tcPr>
          <w:p>
            <w:pPr>
              <w:spacing w:after="0"/>
              <w:rPr>
                <w:sz w:val="2"/>
                <w:szCs w:val="2"/>
                <w:color w:val="auto"/>
              </w:rPr>
            </w:pPr>
          </w:p>
        </w:tc>
        <w:tc>
          <w:tcPr>
            <w:tcW w:w="27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340" w:type="dxa"/>
            <w:vAlign w:val="bottom"/>
          </w:tcPr>
          <w:p>
            <w:pPr>
              <w:ind w:left="20"/>
              <w:spacing w:after="0" w:line="141" w:lineRule="exact"/>
              <w:rPr>
                <w:sz w:val="20"/>
                <w:szCs w:val="20"/>
                <w:color w:val="auto"/>
              </w:rPr>
            </w:pPr>
            <w:r>
              <w:rPr>
                <w:rFonts w:ascii="Arial" w:cs="Arial" w:eastAsia="Arial" w:hAnsi="Arial"/>
                <w:sz w:val="14"/>
                <w:szCs w:val="14"/>
                <w:i w:val="1"/>
                <w:iCs w:val="1"/>
                <w:color w:val="auto"/>
              </w:rPr>
              <w:t>Committee Chairs</w:t>
            </w:r>
          </w:p>
        </w:tc>
        <w:tc>
          <w:tcPr>
            <w:tcW w:w="1520" w:type="dxa"/>
            <w:vAlign w:val="bottom"/>
          </w:tcPr>
          <w:p>
            <w:pPr>
              <w:ind w:left="20"/>
              <w:spacing w:after="0" w:line="141" w:lineRule="exact"/>
              <w:rPr>
                <w:sz w:val="20"/>
                <w:szCs w:val="20"/>
                <w:color w:val="auto"/>
              </w:rPr>
            </w:pPr>
            <w:r>
              <w:rPr>
                <w:rFonts w:ascii="Arial" w:cs="Arial" w:eastAsia="Arial" w:hAnsi="Arial"/>
                <w:sz w:val="14"/>
                <w:szCs w:val="14"/>
                <w:color w:val="auto"/>
              </w:rPr>
              <w:t>$25,000 per year</w:t>
            </w:r>
          </w:p>
        </w:tc>
        <w:tc>
          <w:tcPr>
            <w:tcW w:w="2660" w:type="dxa"/>
            <w:vAlign w:val="bottom"/>
          </w:tcPr>
          <w:p>
            <w:pPr>
              <w:ind w:left="180"/>
              <w:spacing w:after="0" w:line="141" w:lineRule="exact"/>
              <w:rPr>
                <w:sz w:val="20"/>
                <w:szCs w:val="20"/>
                <w:color w:val="auto"/>
              </w:rPr>
            </w:pPr>
            <w:r>
              <w:rPr>
                <w:rFonts w:ascii="Arial" w:cs="Arial" w:eastAsia="Arial" w:hAnsi="Arial"/>
                <w:sz w:val="14"/>
                <w:szCs w:val="14"/>
                <w:color w:val="auto"/>
              </w:rPr>
              <w:t>Audit</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4340" w:type="dxa"/>
            <w:vAlign w:val="bottom"/>
            <w:vMerge w:val="restart"/>
          </w:tcPr>
          <w:p>
            <w:pPr>
              <w:ind w:left="20"/>
              <w:spacing w:after="0" w:line="139" w:lineRule="exact"/>
              <w:rPr>
                <w:sz w:val="20"/>
                <w:szCs w:val="20"/>
                <w:color w:val="auto"/>
              </w:rPr>
            </w:pPr>
            <w:r>
              <w:rPr>
                <w:rFonts w:ascii="Arial" w:cs="Arial" w:eastAsia="Arial" w:hAnsi="Arial"/>
                <w:sz w:val="14"/>
                <w:szCs w:val="14"/>
                <w:color w:val="auto"/>
              </w:rPr>
              <w:t>receive a higher committee retainer for additional duties</w:t>
            </w:r>
          </w:p>
        </w:tc>
        <w:tc>
          <w:tcPr>
            <w:tcW w:w="1520" w:type="dxa"/>
            <w:vAlign w:val="bottom"/>
            <w:tcBorders>
              <w:bottom w:val="single" w:sz="8" w:color="B2B2B2"/>
            </w:tcBorders>
          </w:tcPr>
          <w:p>
            <w:pPr>
              <w:spacing w:after="0"/>
              <w:rPr>
                <w:sz w:val="5"/>
                <w:szCs w:val="5"/>
                <w:color w:val="auto"/>
              </w:rPr>
            </w:pPr>
          </w:p>
        </w:tc>
        <w:tc>
          <w:tcPr>
            <w:tcW w:w="2660" w:type="dxa"/>
            <w:vAlign w:val="bottom"/>
            <w:tcBorders>
              <w:bottom w:val="single" w:sz="8" w:color="B2B2B2"/>
            </w:tcBorders>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4340" w:type="dxa"/>
            <w:vAlign w:val="bottom"/>
            <w:vMerge w:val="continue"/>
          </w:tcPr>
          <w:p>
            <w:pPr>
              <w:spacing w:after="0"/>
              <w:rPr>
                <w:sz w:val="4"/>
                <w:szCs w:val="4"/>
                <w:color w:val="auto"/>
              </w:rPr>
            </w:pPr>
          </w:p>
        </w:tc>
        <w:tc>
          <w:tcPr>
            <w:tcW w:w="1520" w:type="dxa"/>
            <w:vAlign w:val="bottom"/>
            <w:vMerge w:val="restart"/>
          </w:tcPr>
          <w:p>
            <w:pPr>
              <w:ind w:left="20"/>
              <w:spacing w:after="0"/>
              <w:rPr>
                <w:sz w:val="20"/>
                <w:szCs w:val="20"/>
                <w:color w:val="auto"/>
              </w:rPr>
            </w:pPr>
            <w:r>
              <w:rPr>
                <w:rFonts w:ascii="Arial" w:cs="Arial" w:eastAsia="Arial" w:hAnsi="Arial"/>
                <w:sz w:val="14"/>
                <w:szCs w:val="14"/>
                <w:color w:val="auto"/>
              </w:rPr>
              <w:t>$20,000 per year</w:t>
            </w:r>
          </w:p>
        </w:tc>
        <w:tc>
          <w:tcPr>
            <w:tcW w:w="2660" w:type="dxa"/>
            <w:vAlign w:val="bottom"/>
            <w:vMerge w:val="restart"/>
          </w:tcPr>
          <w:p>
            <w:pPr>
              <w:ind w:left="180"/>
              <w:spacing w:after="0"/>
              <w:rPr>
                <w:sz w:val="20"/>
                <w:szCs w:val="20"/>
                <w:color w:val="auto"/>
              </w:rPr>
            </w:pPr>
            <w:r>
              <w:rPr>
                <w:rFonts w:ascii="Arial" w:cs="Arial" w:eastAsia="Arial" w:hAnsi="Arial"/>
                <w:sz w:val="14"/>
                <w:szCs w:val="14"/>
                <w:color w:val="auto"/>
              </w:rPr>
              <w:t>Human Resources</w:t>
            </w: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4340" w:type="dxa"/>
            <w:vAlign w:val="bottom"/>
            <w:vMerge w:val="restart"/>
          </w:tcPr>
          <w:p>
            <w:pPr>
              <w:ind w:left="20"/>
              <w:spacing w:after="0" w:line="157" w:lineRule="exact"/>
              <w:rPr>
                <w:sz w:val="20"/>
                <w:szCs w:val="20"/>
                <w:color w:val="auto"/>
              </w:rPr>
            </w:pPr>
            <w:r>
              <w:rPr>
                <w:rFonts w:ascii="Arial" w:cs="Arial" w:eastAsia="Arial" w:hAnsi="Arial"/>
                <w:sz w:val="14"/>
                <w:szCs w:val="14"/>
                <w:color w:val="auto"/>
              </w:rPr>
              <w:t>and responsibilities</w:t>
            </w:r>
          </w:p>
        </w:tc>
        <w:tc>
          <w:tcPr>
            <w:tcW w:w="1520" w:type="dxa"/>
            <w:vAlign w:val="bottom"/>
            <w:vMerge w:val="continue"/>
          </w:tcPr>
          <w:p>
            <w:pPr>
              <w:spacing w:after="0"/>
              <w:rPr>
                <w:sz w:val="11"/>
                <w:szCs w:val="11"/>
                <w:color w:val="auto"/>
              </w:rPr>
            </w:pPr>
          </w:p>
        </w:tc>
        <w:tc>
          <w:tcPr>
            <w:tcW w:w="2660" w:type="dxa"/>
            <w:vAlign w:val="bottom"/>
            <w:vMerge w:val="continue"/>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340" w:type="dxa"/>
            <w:vAlign w:val="bottom"/>
            <w:vMerge w:val="continue"/>
          </w:tcPr>
          <w:p>
            <w:pPr>
              <w:spacing w:after="0" w:line="20" w:lineRule="exact"/>
              <w:rPr>
                <w:sz w:val="1"/>
                <w:szCs w:val="1"/>
                <w:color w:val="auto"/>
              </w:rPr>
            </w:pPr>
          </w:p>
        </w:tc>
        <w:tc>
          <w:tcPr>
            <w:tcW w:w="1520" w:type="dxa"/>
            <w:vAlign w:val="bottom"/>
            <w:tcBorders>
              <w:bottom w:val="single" w:sz="8" w:color="B2B2B2"/>
            </w:tcBorders>
          </w:tcPr>
          <w:p>
            <w:pPr>
              <w:spacing w:after="0" w:line="20" w:lineRule="exact"/>
              <w:rPr>
                <w:sz w:val="1"/>
                <w:szCs w:val="1"/>
                <w:color w:val="auto"/>
              </w:rPr>
            </w:pPr>
          </w:p>
        </w:tc>
        <w:tc>
          <w:tcPr>
            <w:tcW w:w="2660" w:type="dxa"/>
            <w:vAlign w:val="bottom"/>
            <w:tcBorders>
              <w:bottom w:val="single" w:sz="8" w:color="B2B2B2"/>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520" w:type="dxa"/>
            <w:vAlign w:val="bottom"/>
          </w:tcPr>
          <w:p>
            <w:pPr>
              <w:ind w:left="20"/>
              <w:spacing w:after="0"/>
              <w:rPr>
                <w:sz w:val="20"/>
                <w:szCs w:val="20"/>
                <w:color w:val="auto"/>
              </w:rPr>
            </w:pPr>
            <w:r>
              <w:rPr>
                <w:rFonts w:ascii="Arial" w:cs="Arial" w:eastAsia="Arial" w:hAnsi="Arial"/>
                <w:sz w:val="14"/>
                <w:szCs w:val="14"/>
                <w:color w:val="auto"/>
              </w:rPr>
              <w:t>$20,000 per year</w:t>
            </w:r>
          </w:p>
        </w:tc>
        <w:tc>
          <w:tcPr>
            <w:tcW w:w="2660" w:type="dxa"/>
            <w:vAlign w:val="bottom"/>
          </w:tcPr>
          <w:p>
            <w:pPr>
              <w:ind w:left="180"/>
              <w:spacing w:after="0"/>
              <w:rPr>
                <w:sz w:val="20"/>
                <w:szCs w:val="20"/>
                <w:color w:val="auto"/>
              </w:rPr>
            </w:pPr>
            <w:r>
              <w:rPr>
                <w:rFonts w:ascii="Arial" w:cs="Arial" w:eastAsia="Arial" w:hAnsi="Arial"/>
                <w:sz w:val="14"/>
                <w:szCs w:val="14"/>
                <w:color w:val="auto"/>
              </w:rPr>
              <w:t>Governance</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520" w:type="dxa"/>
            <w:vAlign w:val="bottom"/>
            <w:tcBorders>
              <w:bottom w:val="single" w:sz="8" w:color="B2B2B2"/>
            </w:tcBorders>
          </w:tcPr>
          <w:p>
            <w:pPr>
              <w:spacing w:after="0" w:line="20" w:lineRule="exact"/>
              <w:rPr>
                <w:sz w:val="1"/>
                <w:szCs w:val="1"/>
                <w:color w:val="auto"/>
              </w:rPr>
            </w:pPr>
          </w:p>
        </w:tc>
        <w:tc>
          <w:tcPr>
            <w:tcW w:w="2660" w:type="dxa"/>
            <w:vAlign w:val="bottom"/>
            <w:tcBorders>
              <w:bottom w:val="single" w:sz="8" w:color="B2B2B2"/>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520" w:type="dxa"/>
            <w:vAlign w:val="bottom"/>
          </w:tcPr>
          <w:p>
            <w:pPr>
              <w:ind w:left="20"/>
              <w:spacing w:after="0" w:line="141" w:lineRule="exact"/>
              <w:rPr>
                <w:sz w:val="20"/>
                <w:szCs w:val="20"/>
                <w:color w:val="auto"/>
              </w:rPr>
            </w:pPr>
            <w:r>
              <w:rPr>
                <w:rFonts w:ascii="Arial" w:cs="Arial" w:eastAsia="Arial" w:hAnsi="Arial"/>
                <w:sz w:val="14"/>
                <w:szCs w:val="14"/>
                <w:color w:val="auto"/>
              </w:rPr>
              <w:t>$20,000 per year</w:t>
            </w:r>
          </w:p>
        </w:tc>
        <w:tc>
          <w:tcPr>
            <w:tcW w:w="2660" w:type="dxa"/>
            <w:vAlign w:val="bottom"/>
          </w:tcPr>
          <w:p>
            <w:pPr>
              <w:ind w:left="180"/>
              <w:spacing w:after="0" w:line="141" w:lineRule="exact"/>
              <w:rPr>
                <w:sz w:val="20"/>
                <w:szCs w:val="20"/>
                <w:color w:val="auto"/>
              </w:rPr>
            </w:pPr>
            <w:r>
              <w:rPr>
                <w:rFonts w:ascii="Arial" w:cs="Arial" w:eastAsia="Arial" w:hAnsi="Arial"/>
                <w:sz w:val="14"/>
                <w:szCs w:val="14"/>
                <w:color w:val="auto"/>
              </w:rPr>
              <w:t>Health, Safety, Sustainability and</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40" w:type="dxa"/>
            <w:vAlign w:val="bottom"/>
            <w:tcBorders>
              <w:bottom w:val="single" w:sz="8" w:color="B2B2B2"/>
            </w:tcBorders>
          </w:tcPr>
          <w:p>
            <w:pPr>
              <w:spacing w:after="0"/>
              <w:rPr>
                <w:sz w:val="16"/>
                <w:szCs w:val="16"/>
                <w:color w:val="auto"/>
              </w:rPr>
            </w:pPr>
          </w:p>
        </w:tc>
        <w:tc>
          <w:tcPr>
            <w:tcW w:w="1520" w:type="dxa"/>
            <w:vAlign w:val="bottom"/>
            <w:tcBorders>
              <w:bottom w:val="single" w:sz="8" w:color="B2B2B2"/>
            </w:tcBorders>
          </w:tcPr>
          <w:p>
            <w:pPr>
              <w:spacing w:after="0"/>
              <w:rPr>
                <w:sz w:val="16"/>
                <w:szCs w:val="16"/>
                <w:color w:val="auto"/>
              </w:rPr>
            </w:pPr>
          </w:p>
        </w:tc>
        <w:tc>
          <w:tcPr>
            <w:tcW w:w="2660" w:type="dxa"/>
            <w:vAlign w:val="bottom"/>
            <w:tcBorders>
              <w:bottom w:val="single" w:sz="8" w:color="B2B2B2"/>
            </w:tcBorders>
          </w:tcPr>
          <w:p>
            <w:pPr>
              <w:ind w:left="180"/>
              <w:spacing w:after="0"/>
              <w:rPr>
                <w:sz w:val="20"/>
                <w:szCs w:val="20"/>
                <w:color w:val="auto"/>
              </w:rPr>
            </w:pPr>
            <w:r>
              <w:rPr>
                <w:rFonts w:ascii="Arial" w:cs="Arial" w:eastAsia="Arial" w:hAnsi="Arial"/>
                <w:sz w:val="14"/>
                <w:szCs w:val="14"/>
                <w:color w:val="auto"/>
              </w:rPr>
              <w:t>Environment</w:t>
            </w:r>
          </w:p>
        </w:tc>
        <w:tc>
          <w:tcPr>
            <w:tcW w:w="272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340" w:type="dxa"/>
            <w:vAlign w:val="bottom"/>
          </w:tcPr>
          <w:p>
            <w:pPr>
              <w:ind w:left="20"/>
              <w:spacing w:after="0" w:line="141" w:lineRule="exact"/>
              <w:rPr>
                <w:sz w:val="20"/>
                <w:szCs w:val="20"/>
                <w:color w:val="auto"/>
              </w:rPr>
            </w:pPr>
            <w:r>
              <w:rPr>
                <w:rFonts w:ascii="Arial" w:cs="Arial" w:eastAsia="Arial" w:hAnsi="Arial"/>
                <w:sz w:val="14"/>
                <w:szCs w:val="14"/>
                <w:b w:val="1"/>
                <w:bCs w:val="1"/>
                <w:color w:val="auto"/>
              </w:rPr>
              <w:t>Travel fees</w:t>
            </w:r>
          </w:p>
        </w:tc>
        <w:tc>
          <w:tcPr>
            <w:tcW w:w="1520" w:type="dxa"/>
            <w:vAlign w:val="bottom"/>
          </w:tcPr>
          <w:p>
            <w:pPr>
              <w:ind w:left="20"/>
              <w:spacing w:after="0" w:line="141" w:lineRule="exact"/>
              <w:rPr>
                <w:sz w:val="20"/>
                <w:szCs w:val="20"/>
                <w:color w:val="auto"/>
              </w:rPr>
            </w:pPr>
            <w:r>
              <w:rPr>
                <w:rFonts w:ascii="Arial" w:cs="Arial" w:eastAsia="Arial" w:hAnsi="Arial"/>
                <w:sz w:val="14"/>
                <w:szCs w:val="14"/>
                <w:color w:val="auto"/>
              </w:rPr>
              <w:t>$1,500 per round trip</w:t>
            </w:r>
          </w:p>
        </w:tc>
        <w:tc>
          <w:tcPr>
            <w:tcW w:w="26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40" w:type="dxa"/>
            <w:vAlign w:val="bottom"/>
          </w:tcPr>
          <w:p>
            <w:pPr>
              <w:ind w:left="20"/>
              <w:spacing w:after="0"/>
              <w:rPr>
                <w:sz w:val="20"/>
                <w:szCs w:val="20"/>
                <w:color w:val="auto"/>
              </w:rPr>
            </w:pPr>
            <w:r>
              <w:rPr>
                <w:rFonts w:ascii="Arial" w:cs="Arial" w:eastAsia="Arial" w:hAnsi="Arial"/>
                <w:sz w:val="14"/>
                <w:szCs w:val="14"/>
                <w:color w:val="auto"/>
              </w:rPr>
              <w:t>if round trip travel is more than three hours</w:t>
            </w:r>
          </w:p>
        </w:tc>
        <w:tc>
          <w:tcPr>
            <w:tcW w:w="15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40" w:type="dxa"/>
            <w:vAlign w:val="bottom"/>
            <w:tcBorders>
              <w:bottom w:val="single" w:sz="8" w:color="0D64EF"/>
            </w:tcBorders>
          </w:tcPr>
          <w:p>
            <w:pPr>
              <w:spacing w:after="0"/>
              <w:rPr>
                <w:sz w:val="2"/>
                <w:szCs w:val="2"/>
                <w:color w:val="auto"/>
              </w:rPr>
            </w:pPr>
          </w:p>
        </w:tc>
        <w:tc>
          <w:tcPr>
            <w:tcW w:w="1520" w:type="dxa"/>
            <w:vAlign w:val="bottom"/>
            <w:tcBorders>
              <w:bottom w:val="single" w:sz="8" w:color="0D64EF"/>
            </w:tcBorders>
          </w:tcPr>
          <w:p>
            <w:pPr>
              <w:spacing w:after="0"/>
              <w:rPr>
                <w:sz w:val="2"/>
                <w:szCs w:val="2"/>
                <w:color w:val="auto"/>
              </w:rPr>
            </w:pPr>
          </w:p>
        </w:tc>
        <w:tc>
          <w:tcPr>
            <w:tcW w:w="2660" w:type="dxa"/>
            <w:vAlign w:val="bottom"/>
            <w:tcBorders>
              <w:bottom w:val="single" w:sz="8" w:color="0D64EF"/>
            </w:tcBorders>
          </w:tcPr>
          <w:p>
            <w:pPr>
              <w:spacing w:after="0"/>
              <w:rPr>
                <w:sz w:val="2"/>
                <w:szCs w:val="2"/>
                <w:color w:val="auto"/>
              </w:rPr>
            </w:pPr>
          </w:p>
        </w:tc>
        <w:tc>
          <w:tcPr>
            <w:tcW w:w="2720" w:type="dxa"/>
            <w:vAlign w:val="bottom"/>
            <w:tcBorders>
              <w:bottom w:val="single" w:sz="8" w:color="0D64E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DSUs are credited quarterly, in arrears, using the closing price of TC Energy shares on the TSX at the end of each quarter.</w:t>
      </w:r>
    </w:p>
    <w:p>
      <w:pPr>
        <w:spacing w:after="0" w:line="165" w:lineRule="exact"/>
        <w:rPr>
          <w:sz w:val="20"/>
          <w:szCs w:val="20"/>
          <w:color w:val="auto"/>
        </w:rPr>
      </w:pPr>
    </w:p>
    <w:p>
      <w:pPr>
        <w:ind w:right="20"/>
        <w:spacing w:after="0" w:line="322" w:lineRule="auto"/>
        <w:rPr>
          <w:sz w:val="20"/>
          <w:szCs w:val="20"/>
          <w:color w:val="auto"/>
        </w:rPr>
      </w:pPr>
      <w:r>
        <w:rPr>
          <w:rFonts w:ascii="Arial" w:cs="Arial" w:eastAsia="Arial" w:hAnsi="Arial"/>
          <w:sz w:val="16"/>
          <w:szCs w:val="16"/>
          <w:color w:val="auto"/>
        </w:rPr>
        <w:t>Following the 2025 director compensation review conducted by the Governance Committee, effective January 1, 2026, the annual cash portion of the retainer for directors (excluding the Chair) will be increased by U.S.$10,000, resulting in a total cash retainer of U.S.$125,000 and the retainer paid to the chair of each committee of the Board (excluding the Chair) be increased by U.S.$5,000. These changes are intended to align director compensation with current market practices and enhance our ability to attract and retain directors globally.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97" w:right="339" w:bottom="1440" w:gutter="0" w:footer="0" w:header="0"/>
        </w:sectPr>
      </w:pPr>
    </w:p>
    <w:bookmarkStart w:id="86" w:name="page87"/>
    <w:bookmarkEnd w:id="86"/>
    <w:p>
      <w:pPr>
        <w:spacing w:after="0"/>
        <w:rPr>
          <w:sz w:val="20"/>
          <w:szCs w:val="20"/>
          <w:color w:val="auto"/>
        </w:rPr>
      </w:pPr>
      <w:r>
        <w:rPr>
          <w:rFonts w:ascii="Arial" w:cs="Arial" w:eastAsia="Arial" w:hAnsi="Arial"/>
          <w:sz w:val="29"/>
          <w:szCs w:val="29"/>
          <w:color w:val="0D64EF"/>
        </w:rPr>
        <w:t>Director Compensation – 2025 Details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total director compensation awarded, credited or paid in 2025.</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DIRECTOR COMPENSATION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Borders>
              <w:top w:val="single" w:sz="8" w:color="0D64EF"/>
            </w:tcBorders>
            <w:shd w:val="clear" w:color="auto" w:fill="D1D0CF"/>
          </w:tcPr>
          <w:p>
            <w:pPr>
              <w:spacing w:after="0"/>
              <w:rPr>
                <w:sz w:val="14"/>
                <w:szCs w:val="14"/>
                <w:color w:val="auto"/>
              </w:rPr>
            </w:pPr>
          </w:p>
        </w:tc>
        <w:tc>
          <w:tcPr>
            <w:tcW w:w="1580" w:type="dxa"/>
            <w:vAlign w:val="bottom"/>
            <w:tcBorders>
              <w:top w:val="single" w:sz="8" w:color="0D64EF"/>
            </w:tcBorders>
            <w:vMerge w:val="restart"/>
            <w:shd w:val="clear" w:color="auto" w:fill="D1D0CF"/>
          </w:tcPr>
          <w:p>
            <w:pPr>
              <w:jc w:val="right"/>
              <w:ind w:right="308"/>
              <w:spacing w:after="0"/>
              <w:rPr>
                <w:sz w:val="20"/>
                <w:szCs w:val="20"/>
                <w:color w:val="auto"/>
              </w:rPr>
            </w:pPr>
            <w:r>
              <w:rPr>
                <w:rFonts w:ascii="Arial" w:cs="Arial" w:eastAsia="Arial" w:hAnsi="Arial"/>
                <w:sz w:val="14"/>
                <w:szCs w:val="14"/>
                <w:b w:val="1"/>
                <w:bCs w:val="1"/>
                <w:color w:val="auto"/>
              </w:rPr>
              <w:t>Fees</w:t>
            </w:r>
          </w:p>
        </w:tc>
        <w:tc>
          <w:tcPr>
            <w:tcW w:w="1280" w:type="dxa"/>
            <w:vAlign w:val="bottom"/>
            <w:tcBorders>
              <w:top w:val="single" w:sz="8" w:color="0D64EF"/>
            </w:tcBorders>
            <w:shd w:val="clear" w:color="auto" w:fill="D1D0CF"/>
          </w:tcPr>
          <w:p>
            <w:pPr>
              <w:jc w:val="right"/>
              <w:ind w:right="328"/>
              <w:spacing w:after="0"/>
              <w:rPr>
                <w:sz w:val="20"/>
                <w:szCs w:val="20"/>
                <w:color w:val="auto"/>
              </w:rPr>
            </w:pPr>
            <w:r>
              <w:rPr>
                <w:rFonts w:ascii="Arial" w:cs="Arial" w:eastAsia="Arial" w:hAnsi="Arial"/>
                <w:sz w:val="14"/>
                <w:szCs w:val="14"/>
                <w:b w:val="1"/>
                <w:bCs w:val="1"/>
                <w:color w:val="auto"/>
              </w:rPr>
              <w:t>Share-</w:t>
            </w:r>
          </w:p>
        </w:tc>
        <w:tc>
          <w:tcPr>
            <w:tcW w:w="1160" w:type="dxa"/>
            <w:vAlign w:val="bottom"/>
            <w:tcBorders>
              <w:top w:val="single" w:sz="8" w:color="0D64EF"/>
            </w:tcBorders>
            <w:shd w:val="clear" w:color="auto" w:fill="D1D0CF"/>
          </w:tcPr>
          <w:p>
            <w:pPr>
              <w:jc w:val="right"/>
              <w:ind w:right="228"/>
              <w:spacing w:after="0"/>
              <w:rPr>
                <w:sz w:val="20"/>
                <w:szCs w:val="20"/>
                <w:color w:val="auto"/>
              </w:rPr>
            </w:pPr>
            <w:r>
              <w:rPr>
                <w:rFonts w:ascii="Arial" w:cs="Arial" w:eastAsia="Arial" w:hAnsi="Arial"/>
                <w:sz w:val="14"/>
                <w:szCs w:val="14"/>
                <w:b w:val="1"/>
                <w:bCs w:val="1"/>
                <w:color w:val="auto"/>
              </w:rPr>
              <w:t>Option-</w:t>
            </w:r>
          </w:p>
        </w:tc>
        <w:tc>
          <w:tcPr>
            <w:tcW w:w="1540" w:type="dxa"/>
            <w:vAlign w:val="bottom"/>
            <w:tcBorders>
              <w:top w:val="single" w:sz="8" w:color="0D64EF"/>
            </w:tcBorders>
            <w:shd w:val="clear" w:color="auto" w:fill="D1D0CF"/>
          </w:tcPr>
          <w:p>
            <w:pPr>
              <w:jc w:val="right"/>
              <w:ind w:right="228"/>
              <w:spacing w:after="0"/>
              <w:rPr>
                <w:sz w:val="20"/>
                <w:szCs w:val="20"/>
                <w:color w:val="auto"/>
              </w:rPr>
            </w:pPr>
            <w:r>
              <w:rPr>
                <w:rFonts w:ascii="Arial" w:cs="Arial" w:eastAsia="Arial" w:hAnsi="Arial"/>
                <w:sz w:val="14"/>
                <w:szCs w:val="14"/>
                <w:b w:val="1"/>
                <w:bCs w:val="1"/>
                <w:color w:val="auto"/>
              </w:rPr>
              <w:t>Non-equity</w:t>
            </w:r>
          </w:p>
        </w:tc>
        <w:tc>
          <w:tcPr>
            <w:tcW w:w="1020" w:type="dxa"/>
            <w:vAlign w:val="bottom"/>
            <w:tcBorders>
              <w:top w:val="single" w:sz="8" w:color="0D64EF"/>
            </w:tcBorders>
            <w:vMerge w:val="restart"/>
            <w:shd w:val="clear" w:color="auto" w:fill="D1D0CF"/>
          </w:tcPr>
          <w:p>
            <w:pPr>
              <w:jc w:val="right"/>
              <w:ind w:right="128"/>
              <w:spacing w:after="0"/>
              <w:rPr>
                <w:sz w:val="20"/>
                <w:szCs w:val="20"/>
                <w:color w:val="auto"/>
              </w:rPr>
            </w:pPr>
            <w:r>
              <w:rPr>
                <w:rFonts w:ascii="Arial" w:cs="Arial" w:eastAsia="Arial" w:hAnsi="Arial"/>
                <w:sz w:val="14"/>
                <w:szCs w:val="14"/>
                <w:b w:val="1"/>
                <w:bCs w:val="1"/>
                <w:color w:val="auto"/>
              </w:rPr>
              <w:t>Pension</w:t>
            </w:r>
          </w:p>
        </w:tc>
        <w:tc>
          <w:tcPr>
            <w:tcW w:w="1520" w:type="dxa"/>
            <w:vAlign w:val="bottom"/>
            <w:tcBorders>
              <w:top w:val="single" w:sz="8" w:color="0D64EF"/>
            </w:tcBorders>
            <w:vMerge w:val="restart"/>
            <w:shd w:val="clear" w:color="auto" w:fill="D1D0CF"/>
          </w:tcPr>
          <w:p>
            <w:pPr>
              <w:jc w:val="right"/>
              <w:ind w:right="308"/>
              <w:spacing w:after="0"/>
              <w:rPr>
                <w:sz w:val="20"/>
                <w:szCs w:val="20"/>
                <w:color w:val="auto"/>
              </w:rPr>
            </w:pPr>
            <w:r>
              <w:rPr>
                <w:rFonts w:ascii="Arial" w:cs="Arial" w:eastAsia="Arial" w:hAnsi="Arial"/>
                <w:sz w:val="14"/>
                <w:szCs w:val="14"/>
                <w:b w:val="1"/>
                <w:bCs w:val="1"/>
                <w:color w:val="auto"/>
              </w:rPr>
              <w:t>All other</w:t>
            </w:r>
          </w:p>
        </w:tc>
        <w:tc>
          <w:tcPr>
            <w:tcW w:w="920" w:type="dxa"/>
            <w:vAlign w:val="bottom"/>
            <w:tcBorders>
              <w:top w:val="single" w:sz="8" w:color="0D64EF"/>
            </w:tcBorders>
            <w:shd w:val="clear" w:color="auto" w:fill="D1D0C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D1D0CF"/>
          </w:tcPr>
          <w:p>
            <w:pPr>
              <w:spacing w:after="0"/>
              <w:rPr>
                <w:sz w:val="12"/>
                <w:szCs w:val="12"/>
                <w:color w:val="auto"/>
              </w:rPr>
            </w:pPr>
          </w:p>
        </w:tc>
        <w:tc>
          <w:tcPr>
            <w:tcW w:w="1580" w:type="dxa"/>
            <w:vAlign w:val="bottom"/>
            <w:vMerge w:val="continue"/>
            <w:shd w:val="clear" w:color="auto" w:fill="D1D0CF"/>
          </w:tcPr>
          <w:p>
            <w:pPr>
              <w:spacing w:after="0"/>
              <w:rPr>
                <w:sz w:val="12"/>
                <w:szCs w:val="12"/>
                <w:color w:val="auto"/>
              </w:rPr>
            </w:pPr>
          </w:p>
        </w:tc>
        <w:tc>
          <w:tcPr>
            <w:tcW w:w="1280" w:type="dxa"/>
            <w:vAlign w:val="bottom"/>
            <w:shd w:val="clear" w:color="auto" w:fill="D1D0CF"/>
          </w:tcPr>
          <w:p>
            <w:pPr>
              <w:jc w:val="right"/>
              <w:ind w:right="328"/>
              <w:spacing w:after="0" w:line="148" w:lineRule="exact"/>
              <w:rPr>
                <w:sz w:val="20"/>
                <w:szCs w:val="20"/>
                <w:color w:val="auto"/>
              </w:rPr>
            </w:pPr>
            <w:r>
              <w:rPr>
                <w:rFonts w:ascii="Arial" w:cs="Arial" w:eastAsia="Arial" w:hAnsi="Arial"/>
                <w:sz w:val="14"/>
                <w:szCs w:val="14"/>
                <w:b w:val="1"/>
                <w:bCs w:val="1"/>
                <w:color w:val="auto"/>
              </w:rPr>
              <w:t>based</w:t>
            </w:r>
          </w:p>
        </w:tc>
        <w:tc>
          <w:tcPr>
            <w:tcW w:w="1160" w:type="dxa"/>
            <w:vAlign w:val="bottom"/>
            <w:shd w:val="clear" w:color="auto" w:fill="D1D0CF"/>
          </w:tcPr>
          <w:p>
            <w:pPr>
              <w:jc w:val="right"/>
              <w:ind w:right="228"/>
              <w:spacing w:after="0" w:line="148" w:lineRule="exact"/>
              <w:rPr>
                <w:sz w:val="20"/>
                <w:szCs w:val="20"/>
                <w:color w:val="auto"/>
              </w:rPr>
            </w:pPr>
            <w:r>
              <w:rPr>
                <w:rFonts w:ascii="Arial" w:cs="Arial" w:eastAsia="Arial" w:hAnsi="Arial"/>
                <w:sz w:val="14"/>
                <w:szCs w:val="14"/>
                <w:b w:val="1"/>
                <w:bCs w:val="1"/>
                <w:color w:val="auto"/>
              </w:rPr>
              <w:t>based</w:t>
            </w:r>
          </w:p>
        </w:tc>
        <w:tc>
          <w:tcPr>
            <w:tcW w:w="1540" w:type="dxa"/>
            <w:vAlign w:val="bottom"/>
            <w:shd w:val="clear" w:color="auto" w:fill="D1D0CF"/>
          </w:tcPr>
          <w:p>
            <w:pPr>
              <w:jc w:val="right"/>
              <w:ind w:right="228"/>
              <w:spacing w:after="0" w:line="148" w:lineRule="exact"/>
              <w:rPr>
                <w:sz w:val="20"/>
                <w:szCs w:val="20"/>
                <w:color w:val="auto"/>
              </w:rPr>
            </w:pPr>
            <w:r>
              <w:rPr>
                <w:rFonts w:ascii="Arial" w:cs="Arial" w:eastAsia="Arial" w:hAnsi="Arial"/>
                <w:sz w:val="14"/>
                <w:szCs w:val="14"/>
                <w:b w:val="1"/>
                <w:bCs w:val="1"/>
                <w:color w:val="auto"/>
              </w:rPr>
              <w:t>incentive plan</w:t>
            </w:r>
          </w:p>
        </w:tc>
        <w:tc>
          <w:tcPr>
            <w:tcW w:w="1020" w:type="dxa"/>
            <w:vAlign w:val="bottom"/>
            <w:vMerge w:val="continue"/>
            <w:shd w:val="clear" w:color="auto" w:fill="D1D0CF"/>
          </w:tcPr>
          <w:p>
            <w:pPr>
              <w:spacing w:after="0"/>
              <w:rPr>
                <w:sz w:val="12"/>
                <w:szCs w:val="12"/>
                <w:color w:val="auto"/>
              </w:rPr>
            </w:pPr>
          </w:p>
        </w:tc>
        <w:tc>
          <w:tcPr>
            <w:tcW w:w="1520" w:type="dxa"/>
            <w:vAlign w:val="bottom"/>
            <w:vMerge w:val="continue"/>
            <w:shd w:val="clear" w:color="auto" w:fill="D1D0CF"/>
          </w:tcPr>
          <w:p>
            <w:pPr>
              <w:spacing w:after="0"/>
              <w:rPr>
                <w:sz w:val="12"/>
                <w:szCs w:val="12"/>
                <w:color w:val="auto"/>
              </w:rPr>
            </w:pPr>
          </w:p>
        </w:tc>
        <w:tc>
          <w:tcPr>
            <w:tcW w:w="92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220" w:type="dxa"/>
            <w:vAlign w:val="bottom"/>
            <w:vMerge w:val="restart"/>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1580" w:type="dxa"/>
            <w:vAlign w:val="bottom"/>
            <w:shd w:val="clear" w:color="auto" w:fill="D1D0CF"/>
          </w:tcPr>
          <w:p>
            <w:pPr>
              <w:jc w:val="right"/>
              <w:ind w:right="308"/>
              <w:spacing w:after="0" w:line="135" w:lineRule="exact"/>
              <w:rPr>
                <w:sz w:val="20"/>
                <w:szCs w:val="20"/>
                <w:color w:val="auto"/>
              </w:rPr>
            </w:pPr>
            <w:r>
              <w:rPr>
                <w:rFonts w:ascii="Arial" w:cs="Arial" w:eastAsia="Arial" w:hAnsi="Arial"/>
                <w:sz w:val="14"/>
                <w:szCs w:val="14"/>
                <w:b w:val="1"/>
                <w:bCs w:val="1"/>
                <w:color w:val="auto"/>
              </w:rPr>
              <w:t>earned</w:t>
            </w:r>
          </w:p>
        </w:tc>
        <w:tc>
          <w:tcPr>
            <w:tcW w:w="1280" w:type="dxa"/>
            <w:vAlign w:val="bottom"/>
            <w:shd w:val="clear" w:color="auto" w:fill="D1D0CF"/>
          </w:tcPr>
          <w:p>
            <w:pPr>
              <w:jc w:val="right"/>
              <w:ind w:right="328"/>
              <w:spacing w:after="0" w:line="135" w:lineRule="exact"/>
              <w:rPr>
                <w:sz w:val="20"/>
                <w:szCs w:val="20"/>
                <w:color w:val="auto"/>
              </w:rPr>
            </w:pPr>
            <w:r>
              <w:rPr>
                <w:rFonts w:ascii="Arial" w:cs="Arial" w:eastAsia="Arial" w:hAnsi="Arial"/>
                <w:sz w:val="14"/>
                <w:szCs w:val="14"/>
                <w:b w:val="1"/>
                <w:bCs w:val="1"/>
                <w:color w:val="auto"/>
              </w:rPr>
              <w:t>awards</w:t>
            </w:r>
          </w:p>
        </w:tc>
        <w:tc>
          <w:tcPr>
            <w:tcW w:w="1160" w:type="dxa"/>
            <w:vAlign w:val="bottom"/>
            <w:shd w:val="clear" w:color="auto" w:fill="D1D0CF"/>
          </w:tcPr>
          <w:p>
            <w:pPr>
              <w:jc w:val="right"/>
              <w:ind w:right="228"/>
              <w:spacing w:after="0" w:line="135" w:lineRule="exact"/>
              <w:rPr>
                <w:sz w:val="20"/>
                <w:szCs w:val="20"/>
                <w:color w:val="auto"/>
              </w:rPr>
            </w:pPr>
            <w:r>
              <w:rPr>
                <w:rFonts w:ascii="Arial" w:cs="Arial" w:eastAsia="Arial" w:hAnsi="Arial"/>
                <w:sz w:val="14"/>
                <w:szCs w:val="14"/>
                <w:b w:val="1"/>
                <w:bCs w:val="1"/>
                <w:color w:val="auto"/>
              </w:rPr>
              <w:t>awards</w:t>
            </w:r>
          </w:p>
        </w:tc>
        <w:tc>
          <w:tcPr>
            <w:tcW w:w="1540" w:type="dxa"/>
            <w:vAlign w:val="bottom"/>
            <w:shd w:val="clear" w:color="auto" w:fill="D1D0CF"/>
          </w:tcPr>
          <w:p>
            <w:pPr>
              <w:jc w:val="right"/>
              <w:ind w:right="228"/>
              <w:spacing w:after="0" w:line="135" w:lineRule="exact"/>
              <w:rPr>
                <w:sz w:val="20"/>
                <w:szCs w:val="20"/>
                <w:color w:val="auto"/>
              </w:rPr>
            </w:pPr>
            <w:r>
              <w:rPr>
                <w:rFonts w:ascii="Arial" w:cs="Arial" w:eastAsia="Arial" w:hAnsi="Arial"/>
                <w:sz w:val="14"/>
                <w:szCs w:val="14"/>
                <w:b w:val="1"/>
                <w:bCs w:val="1"/>
                <w:color w:val="auto"/>
              </w:rPr>
              <w:t>compensation</w:t>
            </w:r>
          </w:p>
        </w:tc>
        <w:tc>
          <w:tcPr>
            <w:tcW w:w="1020" w:type="dxa"/>
            <w:vAlign w:val="bottom"/>
            <w:shd w:val="clear" w:color="auto" w:fill="D1D0CF"/>
          </w:tcPr>
          <w:p>
            <w:pPr>
              <w:jc w:val="right"/>
              <w:ind w:right="128"/>
              <w:spacing w:after="0" w:line="135" w:lineRule="exact"/>
              <w:rPr>
                <w:sz w:val="20"/>
                <w:szCs w:val="20"/>
                <w:color w:val="auto"/>
              </w:rPr>
            </w:pPr>
            <w:r>
              <w:rPr>
                <w:rFonts w:ascii="Arial" w:cs="Arial" w:eastAsia="Arial" w:hAnsi="Arial"/>
                <w:sz w:val="14"/>
                <w:szCs w:val="14"/>
                <w:b w:val="1"/>
                <w:bCs w:val="1"/>
                <w:color w:val="auto"/>
              </w:rPr>
              <w:t>value</w:t>
            </w:r>
          </w:p>
        </w:tc>
        <w:tc>
          <w:tcPr>
            <w:tcW w:w="1520" w:type="dxa"/>
            <w:vAlign w:val="bottom"/>
            <w:shd w:val="clear" w:color="auto" w:fill="D1D0CF"/>
          </w:tcPr>
          <w:p>
            <w:pPr>
              <w:jc w:val="right"/>
              <w:ind w:right="308"/>
              <w:spacing w:after="0" w:line="135" w:lineRule="exact"/>
              <w:rPr>
                <w:sz w:val="20"/>
                <w:szCs w:val="20"/>
                <w:color w:val="auto"/>
              </w:rPr>
            </w:pPr>
            <w:r>
              <w:rPr>
                <w:rFonts w:ascii="Arial" w:cs="Arial" w:eastAsia="Arial" w:hAnsi="Arial"/>
                <w:sz w:val="14"/>
                <w:szCs w:val="14"/>
                <w:b w:val="1"/>
                <w:bCs w:val="1"/>
                <w:color w:val="auto"/>
              </w:rPr>
              <w:t>compensation</w:t>
            </w:r>
          </w:p>
        </w:tc>
        <w:tc>
          <w:tcPr>
            <w:tcW w:w="920" w:type="dxa"/>
            <w:vAlign w:val="bottom"/>
            <w:vMerge w:val="continue"/>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220" w:type="dxa"/>
            <w:vAlign w:val="bottom"/>
            <w:vMerge w:val="continue"/>
            <w:shd w:val="clear" w:color="auto" w:fill="D1D0CF"/>
          </w:tcPr>
          <w:p>
            <w:pPr>
              <w:spacing w:after="0"/>
              <w:rPr>
                <w:sz w:val="17"/>
                <w:szCs w:val="17"/>
                <w:color w:val="auto"/>
              </w:rPr>
            </w:pPr>
          </w:p>
        </w:tc>
        <w:tc>
          <w:tcPr>
            <w:tcW w:w="1580" w:type="dxa"/>
            <w:vAlign w:val="bottom"/>
            <w:shd w:val="clear" w:color="auto" w:fill="D1D0CF"/>
          </w:tcPr>
          <w:p>
            <w:pPr>
              <w:jc w:val="right"/>
              <w:ind w:right="26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D1D0CF"/>
          </w:tcPr>
          <w:p>
            <w:pPr>
              <w:jc w:val="right"/>
              <w:ind w:right="28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D1D0CF"/>
          </w:tcPr>
          <w:p>
            <w:pPr>
              <w:ind w:left="720"/>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D1D0CF"/>
          </w:tcPr>
          <w:p>
            <w:pPr>
              <w:ind w:left="110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1D0CF"/>
          </w:tcPr>
          <w:p>
            <w:pPr>
              <w:ind w:left="680"/>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D1D0CF"/>
          </w:tcPr>
          <w:p>
            <w:pPr>
              <w:ind w:left="10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9"/>
        </w:trPr>
        <w:tc>
          <w:tcPr>
            <w:tcW w:w="2220" w:type="dxa"/>
            <w:vAlign w:val="bottom"/>
            <w:tcBorders>
              <w:bottom w:val="single" w:sz="8" w:color="0D64EF"/>
            </w:tcBorders>
            <w:shd w:val="clear" w:color="auto" w:fill="D1D0CF"/>
          </w:tcPr>
          <w:p>
            <w:pPr>
              <w:spacing w:after="0"/>
              <w:rPr>
                <w:sz w:val="5"/>
                <w:szCs w:val="5"/>
                <w:color w:val="auto"/>
              </w:rPr>
            </w:pPr>
          </w:p>
        </w:tc>
        <w:tc>
          <w:tcPr>
            <w:tcW w:w="1580" w:type="dxa"/>
            <w:vAlign w:val="bottom"/>
            <w:tcBorders>
              <w:bottom w:val="single" w:sz="8" w:color="0D64EF"/>
            </w:tcBorders>
            <w:shd w:val="clear" w:color="auto" w:fill="D1D0CF"/>
          </w:tcPr>
          <w:p>
            <w:pPr>
              <w:spacing w:after="0"/>
              <w:rPr>
                <w:sz w:val="5"/>
                <w:szCs w:val="5"/>
                <w:color w:val="auto"/>
              </w:rPr>
            </w:pPr>
          </w:p>
        </w:tc>
        <w:tc>
          <w:tcPr>
            <w:tcW w:w="1280" w:type="dxa"/>
            <w:vAlign w:val="bottom"/>
            <w:tcBorders>
              <w:bottom w:val="single" w:sz="8" w:color="0D64EF"/>
            </w:tcBorders>
            <w:shd w:val="clear" w:color="auto" w:fill="D1D0CF"/>
          </w:tcPr>
          <w:p>
            <w:pPr>
              <w:spacing w:after="0"/>
              <w:rPr>
                <w:sz w:val="5"/>
                <w:szCs w:val="5"/>
                <w:color w:val="auto"/>
              </w:rPr>
            </w:pPr>
          </w:p>
        </w:tc>
        <w:tc>
          <w:tcPr>
            <w:tcW w:w="1160" w:type="dxa"/>
            <w:vAlign w:val="bottom"/>
            <w:tcBorders>
              <w:bottom w:val="single" w:sz="8" w:color="0D64EF"/>
            </w:tcBorders>
            <w:shd w:val="clear" w:color="auto" w:fill="D1D0CF"/>
          </w:tcPr>
          <w:p>
            <w:pPr>
              <w:spacing w:after="0"/>
              <w:rPr>
                <w:sz w:val="5"/>
                <w:szCs w:val="5"/>
                <w:color w:val="auto"/>
              </w:rPr>
            </w:pPr>
          </w:p>
        </w:tc>
        <w:tc>
          <w:tcPr>
            <w:tcW w:w="1540" w:type="dxa"/>
            <w:vAlign w:val="bottom"/>
            <w:tcBorders>
              <w:bottom w:val="single" w:sz="8" w:color="0D64EF"/>
            </w:tcBorders>
            <w:shd w:val="clear" w:color="auto" w:fill="D1D0CF"/>
          </w:tcPr>
          <w:p>
            <w:pPr>
              <w:spacing w:after="0"/>
              <w:rPr>
                <w:sz w:val="5"/>
                <w:szCs w:val="5"/>
                <w:color w:val="auto"/>
              </w:rPr>
            </w:pPr>
          </w:p>
        </w:tc>
        <w:tc>
          <w:tcPr>
            <w:tcW w:w="1020" w:type="dxa"/>
            <w:vAlign w:val="bottom"/>
            <w:tcBorders>
              <w:bottom w:val="single" w:sz="8" w:color="0D64EF"/>
            </w:tcBorders>
            <w:shd w:val="clear" w:color="auto" w:fill="D1D0CF"/>
          </w:tcPr>
          <w:p>
            <w:pPr>
              <w:spacing w:after="0"/>
              <w:rPr>
                <w:sz w:val="5"/>
                <w:szCs w:val="5"/>
                <w:color w:val="auto"/>
              </w:rPr>
            </w:pPr>
          </w:p>
        </w:tc>
        <w:tc>
          <w:tcPr>
            <w:tcW w:w="1520" w:type="dxa"/>
            <w:vAlign w:val="bottom"/>
            <w:tcBorders>
              <w:bottom w:val="single" w:sz="8" w:color="0D64EF"/>
            </w:tcBorders>
            <w:shd w:val="clear" w:color="auto" w:fill="D1D0CF"/>
          </w:tcPr>
          <w:p>
            <w:pPr>
              <w:spacing w:after="0"/>
              <w:rPr>
                <w:sz w:val="5"/>
                <w:szCs w:val="5"/>
                <w:color w:val="auto"/>
              </w:rPr>
            </w:pPr>
          </w:p>
        </w:tc>
        <w:tc>
          <w:tcPr>
            <w:tcW w:w="920" w:type="dxa"/>
            <w:vAlign w:val="bottom"/>
            <w:tcBorders>
              <w:bottom w:val="single" w:sz="8" w:color="0D64EF"/>
            </w:tcBorders>
            <w:shd w:val="clear" w:color="auto" w:fill="D1D0C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2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Scott Bonham</w:t>
            </w:r>
          </w:p>
        </w:tc>
        <w:tc>
          <w:tcPr>
            <w:tcW w:w="15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166,241</w:t>
            </w:r>
          </w:p>
        </w:tc>
        <w:tc>
          <w:tcPr>
            <w:tcW w:w="12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236,496</w:t>
            </w:r>
          </w:p>
        </w:tc>
        <w:tc>
          <w:tcPr>
            <w:tcW w:w="1160" w:type="dxa"/>
            <w:vAlign w:val="bottom"/>
            <w:tcBorders>
              <w:bottom w:val="single" w:sz="8" w:color="B2B2B2"/>
            </w:tcBorders>
          </w:tcPr>
          <w:p>
            <w:pPr>
              <w:ind w:left="7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B2B2B2"/>
            </w:tcBorders>
          </w:tcPr>
          <w:p>
            <w:pPr>
              <w:ind w:left="10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ind w:left="68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2B2B2"/>
            </w:tcBorders>
          </w:tcPr>
          <w:p>
            <w:pPr>
              <w:ind w:left="10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402,737</w:t>
            </w:r>
          </w:p>
        </w:tc>
        <w:tc>
          <w:tcPr>
            <w:tcW w:w="0" w:type="dxa"/>
            <w:vAlign w:val="bottom"/>
          </w:tcPr>
          <w:p>
            <w:pPr>
              <w:spacing w:after="0"/>
              <w:rPr>
                <w:sz w:val="1"/>
                <w:szCs w:val="1"/>
                <w:color w:val="auto"/>
              </w:rPr>
            </w:pPr>
          </w:p>
        </w:tc>
      </w:tr>
      <w:tr>
        <w:trPr>
          <w:trHeight w:val="195"/>
        </w:trPr>
        <w:tc>
          <w:tcPr>
            <w:tcW w:w="22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Cheryl F. Campbell</w:t>
            </w:r>
          </w:p>
        </w:tc>
        <w:tc>
          <w:tcPr>
            <w:tcW w:w="15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166,241</w:t>
            </w:r>
          </w:p>
        </w:tc>
        <w:tc>
          <w:tcPr>
            <w:tcW w:w="12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236,496</w:t>
            </w:r>
          </w:p>
        </w:tc>
        <w:tc>
          <w:tcPr>
            <w:tcW w:w="1160" w:type="dxa"/>
            <w:vAlign w:val="bottom"/>
            <w:tcBorders>
              <w:bottom w:val="single" w:sz="8" w:color="B2B2B2"/>
            </w:tcBorders>
          </w:tcPr>
          <w:p>
            <w:pPr>
              <w:ind w:left="7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B2B2B2"/>
            </w:tcBorders>
          </w:tcPr>
          <w:p>
            <w:pPr>
              <w:ind w:left="10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ind w:left="68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2B2B2"/>
            </w:tcBorders>
          </w:tcPr>
          <w:p>
            <w:pPr>
              <w:ind w:left="10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402,737</w:t>
            </w:r>
          </w:p>
        </w:tc>
        <w:tc>
          <w:tcPr>
            <w:tcW w:w="0" w:type="dxa"/>
            <w:vAlign w:val="bottom"/>
          </w:tcPr>
          <w:p>
            <w:pPr>
              <w:spacing w:after="0"/>
              <w:rPr>
                <w:sz w:val="1"/>
                <w:szCs w:val="1"/>
                <w:color w:val="auto"/>
              </w:rPr>
            </w:pPr>
          </w:p>
        </w:tc>
      </w:tr>
      <w:tr>
        <w:trPr>
          <w:trHeight w:val="195"/>
        </w:trPr>
        <w:tc>
          <w:tcPr>
            <w:tcW w:w="22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Michael R. Culbert</w:t>
            </w:r>
          </w:p>
        </w:tc>
        <w:tc>
          <w:tcPr>
            <w:tcW w:w="15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164,185</w:t>
            </w:r>
          </w:p>
        </w:tc>
        <w:tc>
          <w:tcPr>
            <w:tcW w:w="12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236,496</w:t>
            </w:r>
          </w:p>
        </w:tc>
        <w:tc>
          <w:tcPr>
            <w:tcW w:w="1160" w:type="dxa"/>
            <w:vAlign w:val="bottom"/>
            <w:tcBorders>
              <w:bottom w:val="single" w:sz="8" w:color="B2B2B2"/>
            </w:tcBorders>
          </w:tcPr>
          <w:p>
            <w:pPr>
              <w:ind w:left="7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B2B2B2"/>
            </w:tcBorders>
          </w:tcPr>
          <w:p>
            <w:pPr>
              <w:ind w:left="10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ind w:left="68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2B2B2"/>
            </w:tcBorders>
          </w:tcPr>
          <w:p>
            <w:pPr>
              <w:ind w:left="10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400,681</w:t>
            </w:r>
          </w:p>
        </w:tc>
        <w:tc>
          <w:tcPr>
            <w:tcW w:w="0" w:type="dxa"/>
            <w:vAlign w:val="bottom"/>
          </w:tcPr>
          <w:p>
            <w:pPr>
              <w:spacing w:after="0"/>
              <w:rPr>
                <w:sz w:val="1"/>
                <w:szCs w:val="1"/>
                <w:color w:val="auto"/>
              </w:rPr>
            </w:pPr>
          </w:p>
        </w:tc>
      </w:tr>
      <w:tr>
        <w:trPr>
          <w:trHeight w:val="218"/>
        </w:trPr>
        <w:tc>
          <w:tcPr>
            <w:tcW w:w="2220" w:type="dxa"/>
            <w:vAlign w:val="bottom"/>
          </w:tcPr>
          <w:p>
            <w:pPr>
              <w:ind w:left="20"/>
              <w:spacing w:after="0"/>
              <w:rPr>
                <w:sz w:val="20"/>
                <w:szCs w:val="20"/>
                <w:color w:val="auto"/>
              </w:rPr>
            </w:pPr>
            <w:r>
              <w:rPr>
                <w:rFonts w:ascii="Arial" w:cs="Arial" w:eastAsia="Arial" w:hAnsi="Arial"/>
                <w:sz w:val="14"/>
                <w:szCs w:val="14"/>
                <w:color w:val="auto"/>
              </w:rPr>
              <w:t>William D. Johnson</w:t>
            </w:r>
          </w:p>
        </w:tc>
        <w:tc>
          <w:tcPr>
            <w:tcW w:w="1580" w:type="dxa"/>
            <w:vAlign w:val="bottom"/>
          </w:tcPr>
          <w:p>
            <w:pPr>
              <w:jc w:val="right"/>
              <w:ind w:right="328"/>
              <w:spacing w:after="0"/>
              <w:rPr>
                <w:sz w:val="20"/>
                <w:szCs w:val="20"/>
                <w:color w:val="auto"/>
              </w:rPr>
            </w:pPr>
            <w:r>
              <w:rPr>
                <w:rFonts w:ascii="Arial" w:cs="Arial" w:eastAsia="Arial" w:hAnsi="Arial"/>
                <w:sz w:val="14"/>
                <w:szCs w:val="14"/>
                <w:color w:val="auto"/>
              </w:rPr>
              <w:t>194,064</w:t>
            </w: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236,496</w:t>
            </w:r>
          </w:p>
        </w:tc>
        <w:tc>
          <w:tcPr>
            <w:tcW w:w="1160" w:type="dxa"/>
            <w:vAlign w:val="bottom"/>
          </w:tcPr>
          <w:p>
            <w:pPr>
              <w:ind w:left="720"/>
              <w:spacing w:after="0"/>
              <w:rPr>
                <w:sz w:val="20"/>
                <w:szCs w:val="20"/>
                <w:color w:val="auto"/>
              </w:rPr>
            </w:pPr>
            <w:r>
              <w:rPr>
                <w:rFonts w:ascii="Arial" w:cs="Arial" w:eastAsia="Arial" w:hAnsi="Arial"/>
                <w:sz w:val="14"/>
                <w:szCs w:val="14"/>
                <w:color w:val="auto"/>
              </w:rPr>
              <w:t>—</w:t>
            </w:r>
          </w:p>
        </w:tc>
        <w:tc>
          <w:tcPr>
            <w:tcW w:w="1540" w:type="dxa"/>
            <w:vAlign w:val="bottom"/>
          </w:tcPr>
          <w:p>
            <w:pPr>
              <w:ind w:left="1080"/>
              <w:spacing w:after="0"/>
              <w:rPr>
                <w:sz w:val="20"/>
                <w:szCs w:val="20"/>
                <w:color w:val="auto"/>
              </w:rPr>
            </w:pPr>
            <w:r>
              <w:rPr>
                <w:rFonts w:ascii="Arial" w:cs="Arial" w:eastAsia="Arial" w:hAnsi="Arial"/>
                <w:sz w:val="14"/>
                <w:szCs w:val="14"/>
                <w:color w:val="auto"/>
              </w:rPr>
              <w:t>—</w:t>
            </w:r>
          </w:p>
        </w:tc>
        <w:tc>
          <w:tcPr>
            <w:tcW w:w="1020" w:type="dxa"/>
            <w:vAlign w:val="bottom"/>
          </w:tcPr>
          <w:p>
            <w:pPr>
              <w:ind w:left="680"/>
              <w:spacing w:after="0"/>
              <w:rPr>
                <w:sz w:val="20"/>
                <w:szCs w:val="20"/>
                <w:color w:val="auto"/>
              </w:rPr>
            </w:pPr>
            <w:r>
              <w:rPr>
                <w:rFonts w:ascii="Arial" w:cs="Arial" w:eastAsia="Arial" w:hAnsi="Arial"/>
                <w:sz w:val="14"/>
                <w:szCs w:val="14"/>
                <w:color w:val="auto"/>
              </w:rPr>
              <w:t>—</w:t>
            </w:r>
          </w:p>
        </w:tc>
        <w:tc>
          <w:tcPr>
            <w:tcW w:w="1520" w:type="dxa"/>
            <w:vAlign w:val="bottom"/>
          </w:tcPr>
          <w:p>
            <w:pPr>
              <w:ind w:left="10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430,560</w:t>
            </w:r>
          </w:p>
        </w:tc>
        <w:tc>
          <w:tcPr>
            <w:tcW w:w="0" w:type="dxa"/>
            <w:vAlign w:val="bottom"/>
          </w:tcPr>
          <w:p>
            <w:pPr>
              <w:spacing w:after="0"/>
              <w:rPr>
                <w:sz w:val="1"/>
                <w:szCs w:val="1"/>
                <w:color w:val="auto"/>
              </w:rPr>
            </w:pPr>
          </w:p>
        </w:tc>
      </w:tr>
      <w:tr>
        <w:trPr>
          <w:trHeight w:val="48"/>
        </w:trPr>
        <w:tc>
          <w:tcPr>
            <w:tcW w:w="2220" w:type="dxa"/>
            <w:vAlign w:val="bottom"/>
            <w:tcBorders>
              <w:bottom w:val="single" w:sz="8" w:color="B2B2B2"/>
            </w:tcBorders>
          </w:tcPr>
          <w:p>
            <w:pPr>
              <w:spacing w:after="0"/>
              <w:rPr>
                <w:sz w:val="4"/>
                <w:szCs w:val="4"/>
                <w:color w:val="auto"/>
              </w:rPr>
            </w:pPr>
          </w:p>
        </w:tc>
        <w:tc>
          <w:tcPr>
            <w:tcW w:w="1580" w:type="dxa"/>
            <w:vAlign w:val="bottom"/>
            <w:tcBorders>
              <w:bottom w:val="single" w:sz="8" w:color="B2B2B2"/>
            </w:tcBorders>
          </w:tcPr>
          <w:p>
            <w:pPr>
              <w:spacing w:after="0"/>
              <w:rPr>
                <w:sz w:val="4"/>
                <w:szCs w:val="4"/>
                <w:color w:val="auto"/>
              </w:rPr>
            </w:pPr>
          </w:p>
        </w:tc>
        <w:tc>
          <w:tcPr>
            <w:tcW w:w="128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154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2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Susan C. Jones</w:t>
            </w:r>
          </w:p>
        </w:tc>
        <w:tc>
          <w:tcPr>
            <w:tcW w:w="15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164,185</w:t>
            </w:r>
          </w:p>
        </w:tc>
        <w:tc>
          <w:tcPr>
            <w:tcW w:w="12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236,496</w:t>
            </w:r>
          </w:p>
        </w:tc>
        <w:tc>
          <w:tcPr>
            <w:tcW w:w="1160" w:type="dxa"/>
            <w:vAlign w:val="bottom"/>
            <w:tcBorders>
              <w:bottom w:val="single" w:sz="8" w:color="B2B2B2"/>
            </w:tcBorders>
          </w:tcPr>
          <w:p>
            <w:pPr>
              <w:ind w:left="7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B2B2B2"/>
            </w:tcBorders>
          </w:tcPr>
          <w:p>
            <w:pPr>
              <w:ind w:left="10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ind w:left="68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2B2B2"/>
            </w:tcBorders>
          </w:tcPr>
          <w:p>
            <w:pPr>
              <w:ind w:left="10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400,681</w:t>
            </w:r>
          </w:p>
        </w:tc>
        <w:tc>
          <w:tcPr>
            <w:tcW w:w="0" w:type="dxa"/>
            <w:vAlign w:val="bottom"/>
          </w:tcPr>
          <w:p>
            <w:pPr>
              <w:spacing w:after="0"/>
              <w:rPr>
                <w:sz w:val="1"/>
                <w:szCs w:val="1"/>
                <w:color w:val="auto"/>
              </w:rPr>
            </w:pPr>
          </w:p>
        </w:tc>
      </w:tr>
      <w:tr>
        <w:trPr>
          <w:trHeight w:val="218"/>
        </w:trPr>
        <w:tc>
          <w:tcPr>
            <w:tcW w:w="2220" w:type="dxa"/>
            <w:vAlign w:val="bottom"/>
          </w:tcPr>
          <w:p>
            <w:pPr>
              <w:ind w:left="20"/>
              <w:spacing w:after="0"/>
              <w:rPr>
                <w:sz w:val="20"/>
                <w:szCs w:val="20"/>
                <w:color w:val="auto"/>
              </w:rPr>
            </w:pPr>
            <w:r>
              <w:rPr>
                <w:rFonts w:ascii="Arial" w:cs="Arial" w:eastAsia="Arial" w:hAnsi="Arial"/>
                <w:sz w:val="14"/>
                <w:szCs w:val="14"/>
                <w:color w:val="auto"/>
              </w:rPr>
              <w:t>John Lowe</w:t>
            </w:r>
          </w:p>
        </w:tc>
        <w:tc>
          <w:tcPr>
            <w:tcW w:w="1580" w:type="dxa"/>
            <w:vAlign w:val="bottom"/>
          </w:tcPr>
          <w:p>
            <w:pPr>
              <w:jc w:val="right"/>
              <w:ind w:right="328"/>
              <w:spacing w:after="0"/>
              <w:rPr>
                <w:sz w:val="20"/>
                <w:szCs w:val="20"/>
                <w:color w:val="auto"/>
              </w:rPr>
            </w:pPr>
            <w:r>
              <w:rPr>
                <w:rFonts w:ascii="Arial" w:cs="Arial" w:eastAsia="Arial" w:hAnsi="Arial"/>
                <w:sz w:val="14"/>
                <w:szCs w:val="14"/>
                <w:color w:val="auto"/>
              </w:rPr>
              <w:t>285,770</w:t>
            </w: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403,434</w:t>
            </w:r>
          </w:p>
        </w:tc>
        <w:tc>
          <w:tcPr>
            <w:tcW w:w="1160" w:type="dxa"/>
            <w:vAlign w:val="bottom"/>
          </w:tcPr>
          <w:p>
            <w:pPr>
              <w:ind w:left="720"/>
              <w:spacing w:after="0"/>
              <w:rPr>
                <w:sz w:val="20"/>
                <w:szCs w:val="20"/>
                <w:color w:val="auto"/>
              </w:rPr>
            </w:pPr>
            <w:r>
              <w:rPr>
                <w:rFonts w:ascii="Arial" w:cs="Arial" w:eastAsia="Arial" w:hAnsi="Arial"/>
                <w:sz w:val="14"/>
                <w:szCs w:val="14"/>
                <w:color w:val="auto"/>
              </w:rPr>
              <w:t>—</w:t>
            </w:r>
          </w:p>
        </w:tc>
        <w:tc>
          <w:tcPr>
            <w:tcW w:w="1540" w:type="dxa"/>
            <w:vAlign w:val="bottom"/>
          </w:tcPr>
          <w:p>
            <w:pPr>
              <w:ind w:left="1080"/>
              <w:spacing w:after="0"/>
              <w:rPr>
                <w:sz w:val="20"/>
                <w:szCs w:val="20"/>
                <w:color w:val="auto"/>
              </w:rPr>
            </w:pPr>
            <w:r>
              <w:rPr>
                <w:rFonts w:ascii="Arial" w:cs="Arial" w:eastAsia="Arial" w:hAnsi="Arial"/>
                <w:sz w:val="14"/>
                <w:szCs w:val="14"/>
                <w:color w:val="auto"/>
              </w:rPr>
              <w:t>—</w:t>
            </w:r>
          </w:p>
        </w:tc>
        <w:tc>
          <w:tcPr>
            <w:tcW w:w="1020" w:type="dxa"/>
            <w:vAlign w:val="bottom"/>
          </w:tcPr>
          <w:p>
            <w:pPr>
              <w:ind w:left="680"/>
              <w:spacing w:after="0"/>
              <w:rPr>
                <w:sz w:val="20"/>
                <w:szCs w:val="20"/>
                <w:color w:val="auto"/>
              </w:rPr>
            </w:pPr>
            <w:r>
              <w:rPr>
                <w:rFonts w:ascii="Arial" w:cs="Arial" w:eastAsia="Arial" w:hAnsi="Arial"/>
                <w:sz w:val="14"/>
                <w:szCs w:val="14"/>
                <w:color w:val="auto"/>
              </w:rPr>
              <w:t>—</w:t>
            </w:r>
          </w:p>
        </w:tc>
        <w:tc>
          <w:tcPr>
            <w:tcW w:w="1520" w:type="dxa"/>
            <w:vAlign w:val="bottom"/>
          </w:tcPr>
          <w:p>
            <w:pPr>
              <w:ind w:left="10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689,204</w:t>
            </w:r>
          </w:p>
        </w:tc>
        <w:tc>
          <w:tcPr>
            <w:tcW w:w="0" w:type="dxa"/>
            <w:vAlign w:val="bottom"/>
          </w:tcPr>
          <w:p>
            <w:pPr>
              <w:spacing w:after="0"/>
              <w:rPr>
                <w:sz w:val="1"/>
                <w:szCs w:val="1"/>
                <w:color w:val="auto"/>
              </w:rPr>
            </w:pPr>
          </w:p>
        </w:tc>
      </w:tr>
      <w:tr>
        <w:trPr>
          <w:trHeight w:val="48"/>
        </w:trPr>
        <w:tc>
          <w:tcPr>
            <w:tcW w:w="2220" w:type="dxa"/>
            <w:vAlign w:val="bottom"/>
            <w:tcBorders>
              <w:bottom w:val="single" w:sz="8" w:color="B2B2B2"/>
            </w:tcBorders>
          </w:tcPr>
          <w:p>
            <w:pPr>
              <w:spacing w:after="0"/>
              <w:rPr>
                <w:sz w:val="4"/>
                <w:szCs w:val="4"/>
                <w:color w:val="auto"/>
              </w:rPr>
            </w:pPr>
          </w:p>
        </w:tc>
        <w:tc>
          <w:tcPr>
            <w:tcW w:w="1580" w:type="dxa"/>
            <w:vAlign w:val="bottom"/>
            <w:tcBorders>
              <w:bottom w:val="single" w:sz="8" w:color="B2B2B2"/>
            </w:tcBorders>
          </w:tcPr>
          <w:p>
            <w:pPr>
              <w:spacing w:after="0"/>
              <w:rPr>
                <w:sz w:val="4"/>
                <w:szCs w:val="4"/>
                <w:color w:val="auto"/>
              </w:rPr>
            </w:pPr>
          </w:p>
        </w:tc>
        <w:tc>
          <w:tcPr>
            <w:tcW w:w="128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154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220" w:type="dxa"/>
            <w:vAlign w:val="bottom"/>
          </w:tcPr>
          <w:p>
            <w:pPr>
              <w:ind w:left="20"/>
              <w:spacing w:after="0" w:line="141" w:lineRule="exact"/>
              <w:rPr>
                <w:sz w:val="20"/>
                <w:szCs w:val="20"/>
                <w:color w:val="auto"/>
              </w:rPr>
            </w:pPr>
            <w:r>
              <w:rPr>
                <w:rFonts w:ascii="Arial" w:cs="Arial" w:eastAsia="Arial" w:hAnsi="Arial"/>
                <w:sz w:val="14"/>
                <w:szCs w:val="14"/>
                <w:color w:val="auto"/>
              </w:rPr>
              <w:t>David MacNaughton</w:t>
            </w:r>
          </w:p>
        </w:tc>
        <w:tc>
          <w:tcPr>
            <w:tcW w:w="1580" w:type="dxa"/>
            <w:vAlign w:val="bottom"/>
            <w:vMerge w:val="restart"/>
          </w:tcPr>
          <w:p>
            <w:pPr>
              <w:jc w:val="right"/>
              <w:ind w:right="328"/>
              <w:spacing w:after="0"/>
              <w:rPr>
                <w:sz w:val="20"/>
                <w:szCs w:val="20"/>
                <w:color w:val="auto"/>
              </w:rPr>
            </w:pPr>
            <w:r>
              <w:rPr>
                <w:rFonts w:ascii="Arial" w:cs="Arial" w:eastAsia="Arial" w:hAnsi="Arial"/>
                <w:sz w:val="14"/>
                <w:szCs w:val="14"/>
                <w:color w:val="auto"/>
              </w:rPr>
              <w:t>59,866</w:t>
            </w:r>
          </w:p>
        </w:tc>
        <w:tc>
          <w:tcPr>
            <w:tcW w:w="1280" w:type="dxa"/>
            <w:vAlign w:val="bottom"/>
            <w:vMerge w:val="restart"/>
          </w:tcPr>
          <w:p>
            <w:pPr>
              <w:jc w:val="right"/>
              <w:ind w:right="328"/>
              <w:spacing w:after="0"/>
              <w:rPr>
                <w:sz w:val="20"/>
                <w:szCs w:val="20"/>
                <w:color w:val="auto"/>
              </w:rPr>
            </w:pPr>
            <w:r>
              <w:rPr>
                <w:rFonts w:ascii="Arial" w:cs="Arial" w:eastAsia="Arial" w:hAnsi="Arial"/>
                <w:sz w:val="14"/>
                <w:szCs w:val="14"/>
                <w:color w:val="auto"/>
              </w:rPr>
              <w:t>85,311</w:t>
            </w:r>
          </w:p>
        </w:tc>
        <w:tc>
          <w:tcPr>
            <w:tcW w:w="116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1520" w:type="dxa"/>
            <w:vAlign w:val="bottom"/>
            <w:vMerge w:val="restart"/>
          </w:tcPr>
          <w:p>
            <w:pPr>
              <w:ind w:left="10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145,177</w:t>
            </w:r>
          </w:p>
        </w:tc>
        <w:tc>
          <w:tcPr>
            <w:tcW w:w="0" w:type="dxa"/>
            <w:vAlign w:val="bottom"/>
          </w:tcPr>
          <w:p>
            <w:pPr>
              <w:spacing w:after="0"/>
              <w:rPr>
                <w:sz w:val="1"/>
                <w:szCs w:val="1"/>
                <w:color w:val="auto"/>
              </w:rPr>
            </w:pPr>
          </w:p>
        </w:tc>
      </w:tr>
      <w:tr>
        <w:trPr>
          <w:trHeight w:val="100"/>
        </w:trPr>
        <w:tc>
          <w:tcPr>
            <w:tcW w:w="2220" w:type="dxa"/>
            <w:vAlign w:val="bottom"/>
            <w:vMerge w:val="restart"/>
          </w:tcPr>
          <w:p>
            <w:pPr>
              <w:ind w:left="20"/>
              <w:spacing w:after="0"/>
              <w:rPr>
                <w:sz w:val="20"/>
                <w:szCs w:val="20"/>
                <w:color w:val="auto"/>
              </w:rPr>
            </w:pPr>
            <w:r>
              <w:rPr>
                <w:rFonts w:ascii="Arial" w:cs="Arial" w:eastAsia="Arial" w:hAnsi="Arial"/>
                <w:sz w:val="13"/>
                <w:szCs w:val="13"/>
                <w:color w:val="auto"/>
              </w:rPr>
              <w:t>(retired May 8, 2025)</w:t>
            </w: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220" w:type="dxa"/>
            <w:vAlign w:val="bottom"/>
            <w:tcBorders>
              <w:bottom w:val="single" w:sz="8" w:color="B2B2B2"/>
            </w:tcBorders>
            <w:vMerge w:val="continue"/>
          </w:tcPr>
          <w:p>
            <w:pPr>
              <w:spacing w:after="0"/>
              <w:rPr>
                <w:sz w:val="6"/>
                <w:szCs w:val="6"/>
                <w:color w:val="auto"/>
              </w:rPr>
            </w:pPr>
          </w:p>
        </w:tc>
        <w:tc>
          <w:tcPr>
            <w:tcW w:w="1580" w:type="dxa"/>
            <w:vAlign w:val="bottom"/>
            <w:tcBorders>
              <w:bottom w:val="single" w:sz="8" w:color="B2B2B2"/>
            </w:tcBorders>
          </w:tcPr>
          <w:p>
            <w:pPr>
              <w:spacing w:after="0"/>
              <w:rPr>
                <w:sz w:val="6"/>
                <w:szCs w:val="6"/>
                <w:color w:val="auto"/>
              </w:rPr>
            </w:pPr>
          </w:p>
        </w:tc>
        <w:tc>
          <w:tcPr>
            <w:tcW w:w="1280" w:type="dxa"/>
            <w:vAlign w:val="bottom"/>
            <w:tcBorders>
              <w:bottom w:val="single" w:sz="8" w:color="B2B2B2"/>
            </w:tcBorders>
          </w:tcPr>
          <w:p>
            <w:pPr>
              <w:spacing w:after="0"/>
              <w:rPr>
                <w:sz w:val="6"/>
                <w:szCs w:val="6"/>
                <w:color w:val="auto"/>
              </w:rPr>
            </w:pPr>
          </w:p>
        </w:tc>
        <w:tc>
          <w:tcPr>
            <w:tcW w:w="1160" w:type="dxa"/>
            <w:vAlign w:val="bottom"/>
            <w:tcBorders>
              <w:bottom w:val="single" w:sz="8" w:color="B2B2B2"/>
            </w:tcBorders>
          </w:tcPr>
          <w:p>
            <w:pPr>
              <w:spacing w:after="0"/>
              <w:rPr>
                <w:sz w:val="6"/>
                <w:szCs w:val="6"/>
                <w:color w:val="auto"/>
              </w:rPr>
            </w:pPr>
          </w:p>
        </w:tc>
        <w:tc>
          <w:tcPr>
            <w:tcW w:w="1540" w:type="dxa"/>
            <w:vAlign w:val="bottom"/>
            <w:tcBorders>
              <w:bottom w:val="single" w:sz="8" w:color="B2B2B2"/>
            </w:tcBorders>
          </w:tcPr>
          <w:p>
            <w:pPr>
              <w:spacing w:after="0"/>
              <w:rPr>
                <w:sz w:val="6"/>
                <w:szCs w:val="6"/>
                <w:color w:val="auto"/>
              </w:rPr>
            </w:pPr>
          </w:p>
        </w:tc>
        <w:tc>
          <w:tcPr>
            <w:tcW w:w="1020" w:type="dxa"/>
            <w:vAlign w:val="bottom"/>
            <w:tcBorders>
              <w:bottom w:val="single" w:sz="8" w:color="B2B2B2"/>
            </w:tcBorders>
          </w:tcPr>
          <w:p>
            <w:pPr>
              <w:spacing w:after="0"/>
              <w:rPr>
                <w:sz w:val="6"/>
                <w:szCs w:val="6"/>
                <w:color w:val="auto"/>
              </w:rPr>
            </w:pPr>
          </w:p>
        </w:tc>
        <w:tc>
          <w:tcPr>
            <w:tcW w:w="1520" w:type="dxa"/>
            <w:vAlign w:val="bottom"/>
            <w:tcBorders>
              <w:bottom w:val="single" w:sz="8" w:color="B2B2B2"/>
            </w:tcBorders>
          </w:tcPr>
          <w:p>
            <w:pPr>
              <w:spacing w:after="0"/>
              <w:rPr>
                <w:sz w:val="6"/>
                <w:szCs w:val="6"/>
                <w:color w:val="auto"/>
              </w:rPr>
            </w:pPr>
          </w:p>
        </w:tc>
        <w:tc>
          <w:tcPr>
            <w:tcW w:w="92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Dawn Madahbee Leach</w:t>
            </w:r>
          </w:p>
        </w:tc>
        <w:tc>
          <w:tcPr>
            <w:tcW w:w="15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166,241</w:t>
            </w:r>
          </w:p>
        </w:tc>
        <w:tc>
          <w:tcPr>
            <w:tcW w:w="12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236,496</w:t>
            </w:r>
          </w:p>
        </w:tc>
        <w:tc>
          <w:tcPr>
            <w:tcW w:w="1160" w:type="dxa"/>
            <w:vAlign w:val="bottom"/>
            <w:tcBorders>
              <w:bottom w:val="single" w:sz="8" w:color="B2B2B2"/>
            </w:tcBorders>
          </w:tcPr>
          <w:p>
            <w:pPr>
              <w:ind w:left="7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B2B2B2"/>
            </w:tcBorders>
          </w:tcPr>
          <w:p>
            <w:pPr>
              <w:ind w:left="10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ind w:left="68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2B2B2"/>
            </w:tcBorders>
          </w:tcPr>
          <w:p>
            <w:pPr>
              <w:ind w:left="10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402,737</w:t>
            </w:r>
          </w:p>
        </w:tc>
        <w:tc>
          <w:tcPr>
            <w:tcW w:w="0" w:type="dxa"/>
            <w:vAlign w:val="bottom"/>
          </w:tcPr>
          <w:p>
            <w:pPr>
              <w:spacing w:after="0"/>
              <w:rPr>
                <w:sz w:val="1"/>
                <w:szCs w:val="1"/>
                <w:color w:val="auto"/>
              </w:rPr>
            </w:pPr>
          </w:p>
        </w:tc>
      </w:tr>
      <w:tr>
        <w:trPr>
          <w:trHeight w:val="195"/>
        </w:trPr>
        <w:tc>
          <w:tcPr>
            <w:tcW w:w="22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Una Power</w:t>
            </w:r>
          </w:p>
        </w:tc>
        <w:tc>
          <w:tcPr>
            <w:tcW w:w="15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201,020</w:t>
            </w:r>
          </w:p>
        </w:tc>
        <w:tc>
          <w:tcPr>
            <w:tcW w:w="12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236,496</w:t>
            </w:r>
          </w:p>
        </w:tc>
        <w:tc>
          <w:tcPr>
            <w:tcW w:w="1160" w:type="dxa"/>
            <w:vAlign w:val="bottom"/>
            <w:tcBorders>
              <w:bottom w:val="single" w:sz="8" w:color="B2B2B2"/>
            </w:tcBorders>
          </w:tcPr>
          <w:p>
            <w:pPr>
              <w:ind w:left="7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B2B2B2"/>
            </w:tcBorders>
          </w:tcPr>
          <w:p>
            <w:pPr>
              <w:ind w:left="10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ind w:left="68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2B2B2"/>
            </w:tcBorders>
          </w:tcPr>
          <w:p>
            <w:pPr>
              <w:ind w:left="10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437,516</w:t>
            </w:r>
          </w:p>
        </w:tc>
        <w:tc>
          <w:tcPr>
            <w:tcW w:w="0" w:type="dxa"/>
            <w:vAlign w:val="bottom"/>
          </w:tcPr>
          <w:p>
            <w:pPr>
              <w:spacing w:after="0"/>
              <w:rPr>
                <w:sz w:val="1"/>
                <w:szCs w:val="1"/>
                <w:color w:val="auto"/>
              </w:rPr>
            </w:pPr>
          </w:p>
        </w:tc>
      </w:tr>
      <w:tr>
        <w:trPr>
          <w:trHeight w:val="218"/>
        </w:trPr>
        <w:tc>
          <w:tcPr>
            <w:tcW w:w="2220" w:type="dxa"/>
            <w:vAlign w:val="bottom"/>
          </w:tcPr>
          <w:p>
            <w:pPr>
              <w:ind w:left="20"/>
              <w:spacing w:after="0"/>
              <w:rPr>
                <w:sz w:val="20"/>
                <w:szCs w:val="20"/>
                <w:color w:val="auto"/>
              </w:rPr>
            </w:pPr>
            <w:r>
              <w:rPr>
                <w:rFonts w:ascii="Arial" w:cs="Arial" w:eastAsia="Arial" w:hAnsi="Arial"/>
                <w:sz w:val="14"/>
                <w:szCs w:val="14"/>
                <w:color w:val="auto"/>
              </w:rPr>
              <w:t>Mary Pat Salomone</w:t>
            </w:r>
          </w:p>
        </w:tc>
        <w:tc>
          <w:tcPr>
            <w:tcW w:w="1580" w:type="dxa"/>
            <w:vAlign w:val="bottom"/>
          </w:tcPr>
          <w:p>
            <w:pPr>
              <w:jc w:val="right"/>
              <w:ind w:right="328"/>
              <w:spacing w:after="0"/>
              <w:rPr>
                <w:sz w:val="20"/>
                <w:szCs w:val="20"/>
                <w:color w:val="auto"/>
              </w:rPr>
            </w:pPr>
            <w:r>
              <w:rPr>
                <w:rFonts w:ascii="Arial" w:cs="Arial" w:eastAsia="Arial" w:hAnsi="Arial"/>
                <w:sz w:val="14"/>
                <w:szCs w:val="14"/>
                <w:color w:val="auto"/>
              </w:rPr>
              <w:t>194,064</w:t>
            </w: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236,496</w:t>
            </w:r>
          </w:p>
        </w:tc>
        <w:tc>
          <w:tcPr>
            <w:tcW w:w="1160" w:type="dxa"/>
            <w:vAlign w:val="bottom"/>
          </w:tcPr>
          <w:p>
            <w:pPr>
              <w:ind w:left="720"/>
              <w:spacing w:after="0"/>
              <w:rPr>
                <w:sz w:val="20"/>
                <w:szCs w:val="20"/>
                <w:color w:val="auto"/>
              </w:rPr>
            </w:pPr>
            <w:r>
              <w:rPr>
                <w:rFonts w:ascii="Arial" w:cs="Arial" w:eastAsia="Arial" w:hAnsi="Arial"/>
                <w:sz w:val="14"/>
                <w:szCs w:val="14"/>
                <w:color w:val="auto"/>
              </w:rPr>
              <w:t>—</w:t>
            </w:r>
          </w:p>
        </w:tc>
        <w:tc>
          <w:tcPr>
            <w:tcW w:w="1540" w:type="dxa"/>
            <w:vAlign w:val="bottom"/>
          </w:tcPr>
          <w:p>
            <w:pPr>
              <w:ind w:left="1080"/>
              <w:spacing w:after="0"/>
              <w:rPr>
                <w:sz w:val="20"/>
                <w:szCs w:val="20"/>
                <w:color w:val="auto"/>
              </w:rPr>
            </w:pPr>
            <w:r>
              <w:rPr>
                <w:rFonts w:ascii="Arial" w:cs="Arial" w:eastAsia="Arial" w:hAnsi="Arial"/>
                <w:sz w:val="14"/>
                <w:szCs w:val="14"/>
                <w:color w:val="auto"/>
              </w:rPr>
              <w:t>—</w:t>
            </w:r>
          </w:p>
        </w:tc>
        <w:tc>
          <w:tcPr>
            <w:tcW w:w="1020" w:type="dxa"/>
            <w:vAlign w:val="bottom"/>
          </w:tcPr>
          <w:p>
            <w:pPr>
              <w:ind w:left="680"/>
              <w:spacing w:after="0"/>
              <w:rPr>
                <w:sz w:val="20"/>
                <w:szCs w:val="20"/>
                <w:color w:val="auto"/>
              </w:rPr>
            </w:pPr>
            <w:r>
              <w:rPr>
                <w:rFonts w:ascii="Arial" w:cs="Arial" w:eastAsia="Arial" w:hAnsi="Arial"/>
                <w:sz w:val="14"/>
                <w:szCs w:val="14"/>
                <w:color w:val="auto"/>
              </w:rPr>
              <w:t>—</w:t>
            </w:r>
          </w:p>
        </w:tc>
        <w:tc>
          <w:tcPr>
            <w:tcW w:w="1520" w:type="dxa"/>
            <w:vAlign w:val="bottom"/>
          </w:tcPr>
          <w:p>
            <w:pPr>
              <w:ind w:left="10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430,560</w:t>
            </w:r>
          </w:p>
        </w:tc>
        <w:tc>
          <w:tcPr>
            <w:tcW w:w="0" w:type="dxa"/>
            <w:vAlign w:val="bottom"/>
          </w:tcPr>
          <w:p>
            <w:pPr>
              <w:spacing w:after="0"/>
              <w:rPr>
                <w:sz w:val="1"/>
                <w:szCs w:val="1"/>
                <w:color w:val="auto"/>
              </w:rPr>
            </w:pPr>
          </w:p>
        </w:tc>
      </w:tr>
      <w:tr>
        <w:trPr>
          <w:trHeight w:val="48"/>
        </w:trPr>
        <w:tc>
          <w:tcPr>
            <w:tcW w:w="2220" w:type="dxa"/>
            <w:vAlign w:val="bottom"/>
            <w:tcBorders>
              <w:bottom w:val="single" w:sz="8" w:color="B2B2B2"/>
            </w:tcBorders>
          </w:tcPr>
          <w:p>
            <w:pPr>
              <w:spacing w:after="0"/>
              <w:rPr>
                <w:sz w:val="4"/>
                <w:szCs w:val="4"/>
                <w:color w:val="auto"/>
              </w:rPr>
            </w:pPr>
          </w:p>
        </w:tc>
        <w:tc>
          <w:tcPr>
            <w:tcW w:w="1580" w:type="dxa"/>
            <w:vAlign w:val="bottom"/>
            <w:tcBorders>
              <w:bottom w:val="single" w:sz="8" w:color="B2B2B2"/>
            </w:tcBorders>
          </w:tcPr>
          <w:p>
            <w:pPr>
              <w:spacing w:after="0"/>
              <w:rPr>
                <w:sz w:val="4"/>
                <w:szCs w:val="4"/>
                <w:color w:val="auto"/>
              </w:rPr>
            </w:pPr>
          </w:p>
        </w:tc>
        <w:tc>
          <w:tcPr>
            <w:tcW w:w="128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154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220" w:type="dxa"/>
            <w:vAlign w:val="bottom"/>
          </w:tcPr>
          <w:p>
            <w:pPr>
              <w:ind w:left="20"/>
              <w:spacing w:after="0" w:line="141" w:lineRule="exact"/>
              <w:rPr>
                <w:sz w:val="20"/>
                <w:szCs w:val="20"/>
                <w:color w:val="auto"/>
              </w:rPr>
            </w:pPr>
            <w:r>
              <w:rPr>
                <w:rFonts w:ascii="Arial" w:cs="Arial" w:eastAsia="Arial" w:hAnsi="Arial"/>
                <w:sz w:val="14"/>
                <w:szCs w:val="14"/>
                <w:color w:val="auto"/>
              </w:rPr>
              <w:t>Indira Samarasekera</w:t>
            </w:r>
          </w:p>
        </w:tc>
        <w:tc>
          <w:tcPr>
            <w:tcW w:w="1580" w:type="dxa"/>
            <w:vAlign w:val="bottom"/>
            <w:vMerge w:val="restart"/>
          </w:tcPr>
          <w:p>
            <w:pPr>
              <w:jc w:val="right"/>
              <w:ind w:right="328"/>
              <w:spacing w:after="0"/>
              <w:rPr>
                <w:sz w:val="20"/>
                <w:szCs w:val="20"/>
                <w:color w:val="auto"/>
              </w:rPr>
            </w:pPr>
            <w:r>
              <w:rPr>
                <w:rFonts w:ascii="Arial" w:cs="Arial" w:eastAsia="Arial" w:hAnsi="Arial"/>
                <w:sz w:val="14"/>
                <w:szCs w:val="14"/>
                <w:color w:val="auto"/>
              </w:rPr>
              <w:t>59,866</w:t>
            </w:r>
          </w:p>
        </w:tc>
        <w:tc>
          <w:tcPr>
            <w:tcW w:w="1280" w:type="dxa"/>
            <w:vAlign w:val="bottom"/>
            <w:vMerge w:val="restart"/>
          </w:tcPr>
          <w:p>
            <w:pPr>
              <w:jc w:val="right"/>
              <w:ind w:right="328"/>
              <w:spacing w:after="0"/>
              <w:rPr>
                <w:sz w:val="20"/>
                <w:szCs w:val="20"/>
                <w:color w:val="auto"/>
              </w:rPr>
            </w:pPr>
            <w:r>
              <w:rPr>
                <w:rFonts w:ascii="Arial" w:cs="Arial" w:eastAsia="Arial" w:hAnsi="Arial"/>
                <w:sz w:val="14"/>
                <w:szCs w:val="14"/>
                <w:color w:val="auto"/>
              </w:rPr>
              <w:t>85,311</w:t>
            </w:r>
          </w:p>
        </w:tc>
        <w:tc>
          <w:tcPr>
            <w:tcW w:w="116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1520" w:type="dxa"/>
            <w:vAlign w:val="bottom"/>
            <w:vMerge w:val="restart"/>
          </w:tcPr>
          <w:p>
            <w:pPr>
              <w:ind w:left="10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145,177</w:t>
            </w:r>
          </w:p>
        </w:tc>
        <w:tc>
          <w:tcPr>
            <w:tcW w:w="0" w:type="dxa"/>
            <w:vAlign w:val="bottom"/>
          </w:tcPr>
          <w:p>
            <w:pPr>
              <w:spacing w:after="0"/>
              <w:rPr>
                <w:sz w:val="1"/>
                <w:szCs w:val="1"/>
                <w:color w:val="auto"/>
              </w:rPr>
            </w:pPr>
          </w:p>
        </w:tc>
      </w:tr>
      <w:tr>
        <w:trPr>
          <w:trHeight w:val="165"/>
        </w:trPr>
        <w:tc>
          <w:tcPr>
            <w:tcW w:w="2220" w:type="dxa"/>
            <w:vAlign w:val="bottom"/>
          </w:tcPr>
          <w:p>
            <w:pPr>
              <w:ind w:left="20"/>
              <w:spacing w:after="0"/>
              <w:rPr>
                <w:sz w:val="20"/>
                <w:szCs w:val="20"/>
                <w:color w:val="auto"/>
              </w:rPr>
            </w:pPr>
            <w:r>
              <w:rPr>
                <w:rFonts w:ascii="Arial" w:cs="Arial" w:eastAsia="Arial" w:hAnsi="Arial"/>
                <w:sz w:val="13"/>
                <w:szCs w:val="13"/>
                <w:color w:val="auto"/>
              </w:rPr>
              <w:t>(retired May 8, 2025)</w:t>
            </w:r>
          </w:p>
        </w:tc>
        <w:tc>
          <w:tcPr>
            <w:tcW w:w="15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20" w:type="dxa"/>
            <w:vAlign w:val="bottom"/>
            <w:tcBorders>
              <w:bottom w:val="single" w:sz="8" w:color="B2B2B2"/>
            </w:tcBorders>
          </w:tcPr>
          <w:p>
            <w:pPr>
              <w:spacing w:after="0"/>
              <w:rPr>
                <w:sz w:val="6"/>
                <w:szCs w:val="6"/>
                <w:color w:val="auto"/>
              </w:rPr>
            </w:pPr>
          </w:p>
        </w:tc>
        <w:tc>
          <w:tcPr>
            <w:tcW w:w="1580" w:type="dxa"/>
            <w:vAlign w:val="bottom"/>
            <w:tcBorders>
              <w:bottom w:val="single" w:sz="8" w:color="B2B2B2"/>
            </w:tcBorders>
          </w:tcPr>
          <w:p>
            <w:pPr>
              <w:spacing w:after="0"/>
              <w:rPr>
                <w:sz w:val="6"/>
                <w:szCs w:val="6"/>
                <w:color w:val="auto"/>
              </w:rPr>
            </w:pPr>
          </w:p>
        </w:tc>
        <w:tc>
          <w:tcPr>
            <w:tcW w:w="1280" w:type="dxa"/>
            <w:vAlign w:val="bottom"/>
            <w:tcBorders>
              <w:bottom w:val="single" w:sz="8" w:color="B2B2B2"/>
            </w:tcBorders>
          </w:tcPr>
          <w:p>
            <w:pPr>
              <w:spacing w:after="0"/>
              <w:rPr>
                <w:sz w:val="6"/>
                <w:szCs w:val="6"/>
                <w:color w:val="auto"/>
              </w:rPr>
            </w:pPr>
          </w:p>
        </w:tc>
        <w:tc>
          <w:tcPr>
            <w:tcW w:w="1160" w:type="dxa"/>
            <w:vAlign w:val="bottom"/>
            <w:tcBorders>
              <w:bottom w:val="single" w:sz="8" w:color="B2B2B2"/>
            </w:tcBorders>
          </w:tcPr>
          <w:p>
            <w:pPr>
              <w:spacing w:after="0"/>
              <w:rPr>
                <w:sz w:val="6"/>
                <w:szCs w:val="6"/>
                <w:color w:val="auto"/>
              </w:rPr>
            </w:pPr>
          </w:p>
        </w:tc>
        <w:tc>
          <w:tcPr>
            <w:tcW w:w="1540" w:type="dxa"/>
            <w:vAlign w:val="bottom"/>
            <w:tcBorders>
              <w:bottom w:val="single" w:sz="8" w:color="B2B2B2"/>
            </w:tcBorders>
          </w:tcPr>
          <w:p>
            <w:pPr>
              <w:spacing w:after="0"/>
              <w:rPr>
                <w:sz w:val="6"/>
                <w:szCs w:val="6"/>
                <w:color w:val="auto"/>
              </w:rPr>
            </w:pPr>
          </w:p>
        </w:tc>
        <w:tc>
          <w:tcPr>
            <w:tcW w:w="1020" w:type="dxa"/>
            <w:vAlign w:val="bottom"/>
            <w:tcBorders>
              <w:bottom w:val="single" w:sz="8" w:color="B2B2B2"/>
            </w:tcBorders>
          </w:tcPr>
          <w:p>
            <w:pPr>
              <w:spacing w:after="0"/>
              <w:rPr>
                <w:sz w:val="6"/>
                <w:szCs w:val="6"/>
                <w:color w:val="auto"/>
              </w:rPr>
            </w:pPr>
          </w:p>
        </w:tc>
        <w:tc>
          <w:tcPr>
            <w:tcW w:w="1520" w:type="dxa"/>
            <w:vAlign w:val="bottom"/>
            <w:tcBorders>
              <w:bottom w:val="single" w:sz="8" w:color="B2B2B2"/>
            </w:tcBorders>
          </w:tcPr>
          <w:p>
            <w:pPr>
              <w:spacing w:after="0"/>
              <w:rPr>
                <w:sz w:val="6"/>
                <w:szCs w:val="6"/>
                <w:color w:val="auto"/>
              </w:rPr>
            </w:pPr>
          </w:p>
        </w:tc>
        <w:tc>
          <w:tcPr>
            <w:tcW w:w="92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2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Siim A. Vanaselja</w:t>
            </w:r>
          </w:p>
        </w:tc>
        <w:tc>
          <w:tcPr>
            <w:tcW w:w="15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166,241</w:t>
            </w:r>
          </w:p>
        </w:tc>
        <w:tc>
          <w:tcPr>
            <w:tcW w:w="128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236,496</w:t>
            </w:r>
          </w:p>
        </w:tc>
        <w:tc>
          <w:tcPr>
            <w:tcW w:w="1160" w:type="dxa"/>
            <w:vAlign w:val="bottom"/>
            <w:tcBorders>
              <w:bottom w:val="single" w:sz="8" w:color="B2B2B2"/>
            </w:tcBorders>
          </w:tcPr>
          <w:p>
            <w:pPr>
              <w:ind w:left="7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B2B2B2"/>
            </w:tcBorders>
          </w:tcPr>
          <w:p>
            <w:pPr>
              <w:ind w:left="10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ind w:left="68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2B2B2"/>
            </w:tcBorders>
          </w:tcPr>
          <w:p>
            <w:pPr>
              <w:ind w:left="10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402,737</w:t>
            </w:r>
          </w:p>
        </w:tc>
        <w:tc>
          <w:tcPr>
            <w:tcW w:w="0" w:type="dxa"/>
            <w:vAlign w:val="bottom"/>
          </w:tcPr>
          <w:p>
            <w:pPr>
              <w:spacing w:after="0"/>
              <w:rPr>
                <w:sz w:val="1"/>
                <w:szCs w:val="1"/>
                <w:color w:val="auto"/>
              </w:rPr>
            </w:pPr>
          </w:p>
        </w:tc>
      </w:tr>
      <w:tr>
        <w:trPr>
          <w:trHeight w:val="218"/>
        </w:trPr>
        <w:tc>
          <w:tcPr>
            <w:tcW w:w="2220" w:type="dxa"/>
            <w:vAlign w:val="bottom"/>
          </w:tcPr>
          <w:p>
            <w:pPr>
              <w:ind w:left="20"/>
              <w:spacing w:after="0"/>
              <w:rPr>
                <w:sz w:val="20"/>
                <w:szCs w:val="20"/>
                <w:color w:val="auto"/>
              </w:rPr>
            </w:pPr>
            <w:r>
              <w:rPr>
                <w:rFonts w:ascii="Arial" w:cs="Arial" w:eastAsia="Arial" w:hAnsi="Arial"/>
                <w:sz w:val="14"/>
                <w:szCs w:val="14"/>
                <w:color w:val="auto"/>
              </w:rPr>
              <w:t>Thierry Vandal</w:t>
            </w:r>
          </w:p>
        </w:tc>
        <w:tc>
          <w:tcPr>
            <w:tcW w:w="1580" w:type="dxa"/>
            <w:vAlign w:val="bottom"/>
          </w:tcPr>
          <w:p>
            <w:pPr>
              <w:jc w:val="right"/>
              <w:ind w:right="328"/>
              <w:spacing w:after="0"/>
              <w:rPr>
                <w:sz w:val="20"/>
                <w:szCs w:val="20"/>
                <w:color w:val="auto"/>
              </w:rPr>
            </w:pPr>
            <w:r>
              <w:rPr>
                <w:rFonts w:ascii="Arial" w:cs="Arial" w:eastAsia="Arial" w:hAnsi="Arial"/>
                <w:sz w:val="14"/>
                <w:szCs w:val="14"/>
                <w:color w:val="auto"/>
              </w:rPr>
              <w:t>192,008</w:t>
            </w: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236,496</w:t>
            </w:r>
          </w:p>
        </w:tc>
        <w:tc>
          <w:tcPr>
            <w:tcW w:w="1160" w:type="dxa"/>
            <w:vAlign w:val="bottom"/>
          </w:tcPr>
          <w:p>
            <w:pPr>
              <w:ind w:left="720"/>
              <w:spacing w:after="0"/>
              <w:rPr>
                <w:sz w:val="20"/>
                <w:szCs w:val="20"/>
                <w:color w:val="auto"/>
              </w:rPr>
            </w:pPr>
            <w:r>
              <w:rPr>
                <w:rFonts w:ascii="Arial" w:cs="Arial" w:eastAsia="Arial" w:hAnsi="Arial"/>
                <w:sz w:val="14"/>
                <w:szCs w:val="14"/>
                <w:color w:val="auto"/>
              </w:rPr>
              <w:t>—</w:t>
            </w:r>
          </w:p>
        </w:tc>
        <w:tc>
          <w:tcPr>
            <w:tcW w:w="1540" w:type="dxa"/>
            <w:vAlign w:val="bottom"/>
          </w:tcPr>
          <w:p>
            <w:pPr>
              <w:ind w:left="1080"/>
              <w:spacing w:after="0"/>
              <w:rPr>
                <w:sz w:val="20"/>
                <w:szCs w:val="20"/>
                <w:color w:val="auto"/>
              </w:rPr>
            </w:pPr>
            <w:r>
              <w:rPr>
                <w:rFonts w:ascii="Arial" w:cs="Arial" w:eastAsia="Arial" w:hAnsi="Arial"/>
                <w:sz w:val="14"/>
                <w:szCs w:val="14"/>
                <w:color w:val="auto"/>
              </w:rPr>
              <w:t>—</w:t>
            </w:r>
          </w:p>
        </w:tc>
        <w:tc>
          <w:tcPr>
            <w:tcW w:w="1020" w:type="dxa"/>
            <w:vAlign w:val="bottom"/>
          </w:tcPr>
          <w:p>
            <w:pPr>
              <w:ind w:left="680"/>
              <w:spacing w:after="0"/>
              <w:rPr>
                <w:sz w:val="20"/>
                <w:szCs w:val="20"/>
                <w:color w:val="auto"/>
              </w:rPr>
            </w:pPr>
            <w:r>
              <w:rPr>
                <w:rFonts w:ascii="Arial" w:cs="Arial" w:eastAsia="Arial" w:hAnsi="Arial"/>
                <w:sz w:val="14"/>
                <w:szCs w:val="14"/>
                <w:color w:val="auto"/>
              </w:rPr>
              <w:t>—</w:t>
            </w:r>
          </w:p>
        </w:tc>
        <w:tc>
          <w:tcPr>
            <w:tcW w:w="1520" w:type="dxa"/>
            <w:vAlign w:val="bottom"/>
          </w:tcPr>
          <w:p>
            <w:pPr>
              <w:ind w:left="10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428,504</w:t>
            </w:r>
          </w:p>
        </w:tc>
        <w:tc>
          <w:tcPr>
            <w:tcW w:w="0" w:type="dxa"/>
            <w:vAlign w:val="bottom"/>
          </w:tcPr>
          <w:p>
            <w:pPr>
              <w:spacing w:after="0"/>
              <w:rPr>
                <w:sz w:val="1"/>
                <w:szCs w:val="1"/>
                <w:color w:val="auto"/>
              </w:rPr>
            </w:pPr>
          </w:p>
        </w:tc>
      </w:tr>
      <w:tr>
        <w:trPr>
          <w:trHeight w:val="35"/>
        </w:trPr>
        <w:tc>
          <w:tcPr>
            <w:tcW w:w="2220" w:type="dxa"/>
            <w:vAlign w:val="bottom"/>
            <w:tcBorders>
              <w:bottom w:val="single" w:sz="8" w:color="B2B2B2"/>
            </w:tcBorders>
          </w:tcPr>
          <w:p>
            <w:pPr>
              <w:spacing w:after="0"/>
              <w:rPr>
                <w:sz w:val="3"/>
                <w:szCs w:val="3"/>
                <w:color w:val="auto"/>
              </w:rPr>
            </w:pPr>
          </w:p>
        </w:tc>
        <w:tc>
          <w:tcPr>
            <w:tcW w:w="1580" w:type="dxa"/>
            <w:vAlign w:val="bottom"/>
            <w:tcBorders>
              <w:bottom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c>
          <w:tcPr>
            <w:tcW w:w="1160" w:type="dxa"/>
            <w:vAlign w:val="bottom"/>
            <w:tcBorders>
              <w:bottom w:val="single" w:sz="8" w:color="B2B2B2"/>
            </w:tcBorders>
          </w:tcPr>
          <w:p>
            <w:pPr>
              <w:spacing w:after="0"/>
              <w:rPr>
                <w:sz w:val="3"/>
                <w:szCs w:val="3"/>
                <w:color w:val="auto"/>
              </w:rPr>
            </w:pPr>
          </w:p>
        </w:tc>
        <w:tc>
          <w:tcPr>
            <w:tcW w:w="154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22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Dheeraj "D" Verma</w:t>
            </w:r>
          </w:p>
        </w:tc>
        <w:tc>
          <w:tcPr>
            <w:tcW w:w="1580" w:type="dxa"/>
            <w:vAlign w:val="bottom"/>
            <w:tcBorders>
              <w:bottom w:val="single" w:sz="8" w:color="0D64EF"/>
            </w:tcBorders>
          </w:tcPr>
          <w:p>
            <w:pPr>
              <w:jc w:val="right"/>
              <w:ind w:right="328"/>
              <w:spacing w:after="0"/>
              <w:rPr>
                <w:sz w:val="20"/>
                <w:szCs w:val="20"/>
                <w:color w:val="auto"/>
              </w:rPr>
            </w:pPr>
            <w:r>
              <w:rPr>
                <w:rFonts w:ascii="Arial" w:cs="Arial" w:eastAsia="Arial" w:hAnsi="Arial"/>
                <w:sz w:val="14"/>
                <w:szCs w:val="14"/>
                <w:color w:val="auto"/>
              </w:rPr>
              <w:t>164,085</w:t>
            </w:r>
          </w:p>
        </w:tc>
        <w:tc>
          <w:tcPr>
            <w:tcW w:w="1280" w:type="dxa"/>
            <w:vAlign w:val="bottom"/>
            <w:tcBorders>
              <w:bottom w:val="single" w:sz="8" w:color="0D64EF"/>
            </w:tcBorders>
          </w:tcPr>
          <w:p>
            <w:pPr>
              <w:jc w:val="right"/>
              <w:ind w:right="328"/>
              <w:spacing w:after="0"/>
              <w:rPr>
                <w:sz w:val="20"/>
                <w:szCs w:val="20"/>
                <w:color w:val="auto"/>
              </w:rPr>
            </w:pPr>
            <w:r>
              <w:rPr>
                <w:rFonts w:ascii="Arial" w:cs="Arial" w:eastAsia="Arial" w:hAnsi="Arial"/>
                <w:sz w:val="14"/>
                <w:szCs w:val="14"/>
                <w:color w:val="auto"/>
              </w:rPr>
              <w:t>236,496</w:t>
            </w:r>
          </w:p>
        </w:tc>
        <w:tc>
          <w:tcPr>
            <w:tcW w:w="1160" w:type="dxa"/>
            <w:vAlign w:val="bottom"/>
            <w:tcBorders>
              <w:bottom w:val="single" w:sz="8" w:color="0D64EF"/>
            </w:tcBorders>
          </w:tcPr>
          <w:p>
            <w:pPr>
              <w:ind w:left="7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0D64EF"/>
            </w:tcBorders>
          </w:tcPr>
          <w:p>
            <w:pPr>
              <w:ind w:left="10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D64EF"/>
            </w:tcBorders>
          </w:tcPr>
          <w:p>
            <w:pPr>
              <w:ind w:left="68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0D64EF"/>
            </w:tcBorders>
          </w:tcPr>
          <w:p>
            <w:pPr>
              <w:ind w:left="10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400,581</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40" w:hanging="133"/>
        <w:spacing w:after="0"/>
        <w:tabs>
          <w:tab w:leader="none" w:pos="14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The directors' share-based awards, retainers and travel fees are determined in U.S. dollars. The values presented in this table are in Canadian dollars and reflect a U.S./Canadian foreign exchange</w:t>
      </w:r>
    </w:p>
    <w:p>
      <w:pPr>
        <w:spacing w:after="0" w:line="61" w:lineRule="exact"/>
        <w:rPr>
          <w:rFonts w:ascii="Arial" w:cs="Arial" w:eastAsia="Arial" w:hAnsi="Arial"/>
          <w:sz w:val="11"/>
          <w:szCs w:val="11"/>
          <w:color w:val="auto"/>
        </w:rPr>
      </w:pPr>
    </w:p>
    <w:p>
      <w:pPr>
        <w:ind w:left="160" w:right="4740"/>
        <w:spacing w:after="0" w:line="291" w:lineRule="auto"/>
        <w:rPr>
          <w:rFonts w:ascii="Arial" w:cs="Arial" w:eastAsia="Arial" w:hAnsi="Arial"/>
          <w:sz w:val="11"/>
          <w:szCs w:val="11"/>
          <w:color w:val="auto"/>
        </w:rPr>
      </w:pPr>
      <w:r>
        <w:rPr>
          <w:rFonts w:ascii="Arial" w:cs="Arial" w:eastAsia="Arial" w:hAnsi="Arial"/>
          <w:sz w:val="13"/>
          <w:szCs w:val="13"/>
          <w:color w:val="auto"/>
        </w:rPr>
        <w:t>rate of 1.4376 as at March 31, 2025, 1.3643 as at June 30, 2025, 1.3921 as at September 29, 2025 and 1.3706 as at December 31, 2025.</w:t>
      </w:r>
    </w:p>
    <w:p>
      <w:pPr>
        <w:ind w:left="140" w:hanging="133"/>
        <w:spacing w:after="0"/>
        <w:tabs>
          <w:tab w:leader="none" w:pos="1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 2025, Mr. Poirier was compensated in his role as President and CEO and did not receive any director compensation.</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Fees earned includes Board and Committee chair retainers and travel fees paid in cash, including the portion directors chose to receive as DSUs.</w:t>
      </w:r>
    </w:p>
    <w:p>
      <w:pPr>
        <w:spacing w:after="0" w:line="38" w:lineRule="exact"/>
        <w:rPr>
          <w:rFonts w:ascii="Arial" w:cs="Arial" w:eastAsia="Arial" w:hAnsi="Arial"/>
          <w:sz w:val="13"/>
          <w:szCs w:val="13"/>
          <w:color w:val="auto"/>
        </w:rPr>
      </w:pPr>
    </w:p>
    <w:p>
      <w:pPr>
        <w:ind w:left="140" w:hanging="133"/>
        <w:spacing w:after="0"/>
        <w:tabs>
          <w:tab w:leader="none" w:pos="1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Share-based awards include the portion of the Board retainer (U.S.$170,000) and the Chair of the Board retainer (U.S.$290,000) that we automatically pay</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DSUs. There were no additional grants of DSUs in 2025.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81</w:t>
      </w:r>
    </w:p>
    <w:p>
      <w:pPr>
        <w:sectPr>
          <w:pgSz w:w="11900" w:h="16838" w:orient="portrait"/>
          <w:cols w:equalWidth="0" w:num="1">
            <w:col w:w="11240"/>
          </w:cols>
          <w:pgMar w:left="320" w:top="1048" w:right="339" w:bottom="1440" w:gutter="0" w:footer="0" w:header="0"/>
        </w:sectPr>
      </w:pPr>
    </w:p>
    <w:bookmarkStart w:id="87" w:name="page88"/>
    <w:bookmarkEnd w:id="87"/>
    <w:p>
      <w:pPr>
        <w:ind w:right="200"/>
        <w:spacing w:after="0" w:line="326" w:lineRule="auto"/>
        <w:rPr>
          <w:sz w:val="20"/>
          <w:szCs w:val="20"/>
          <w:color w:val="auto"/>
        </w:rPr>
      </w:pPr>
      <w:r>
        <w:rPr>
          <w:rFonts w:ascii="Arial" w:cs="Arial" w:eastAsia="Arial" w:hAnsi="Arial"/>
          <w:sz w:val="16"/>
          <w:szCs w:val="16"/>
          <w:color w:val="auto"/>
        </w:rPr>
        <w:t xml:space="preserve">The table below is a breakdown of director compensation by component. It includes the total fees paid in cash and the DSUs credited as at the grant date, unless stated otherwise. </w:t>
      </w:r>
      <w:r>
        <w:rPr>
          <w:rFonts w:ascii="Arial" w:cs="Arial" w:eastAsia="Arial" w:hAnsi="Arial"/>
          <w:sz w:val="16"/>
          <w:szCs w:val="16"/>
          <w:i w:val="1"/>
          <w:iCs w:val="1"/>
          <w:color w:val="auto"/>
        </w:rPr>
        <w:t>DSUs credited</w:t>
      </w:r>
      <w:r>
        <w:rPr>
          <w:rFonts w:ascii="Arial" w:cs="Arial" w:eastAsia="Arial" w:hAnsi="Arial"/>
          <w:sz w:val="16"/>
          <w:szCs w:val="16"/>
          <w:color w:val="auto"/>
        </w:rPr>
        <w:t xml:space="preserve"> includes the minimum portion of the Board retainer paid in DSUs and the retainers, meeting and travel fees that directors chose to receive as DSUs in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Borders>
              <w:top w:val="single" w:sz="8" w:color="0D64EF"/>
              <w:bottom w:val="single" w:sz="8" w:color="D1D0CF"/>
            </w:tcBorders>
            <w:shd w:val="clear" w:color="auto" w:fill="D1D0CF"/>
          </w:tcPr>
          <w:p>
            <w:pPr>
              <w:spacing w:after="0"/>
              <w:rPr>
                <w:sz w:val="19"/>
                <w:szCs w:val="19"/>
                <w:color w:val="auto"/>
              </w:rPr>
            </w:pPr>
          </w:p>
        </w:tc>
        <w:tc>
          <w:tcPr>
            <w:tcW w:w="1900" w:type="dxa"/>
            <w:vAlign w:val="bottom"/>
            <w:tcBorders>
              <w:top w:val="single" w:sz="8" w:color="0D64EF"/>
              <w:bottom w:val="single" w:sz="8" w:color="0D64EF"/>
            </w:tcBorders>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Retainers</w:t>
            </w:r>
          </w:p>
        </w:tc>
        <w:tc>
          <w:tcPr>
            <w:tcW w:w="1420" w:type="dxa"/>
            <w:vAlign w:val="bottom"/>
            <w:tcBorders>
              <w:top w:val="single" w:sz="8" w:color="0D64EF"/>
              <w:bottom w:val="single" w:sz="8" w:color="0D64EF"/>
            </w:tcBorders>
            <w:shd w:val="clear" w:color="auto" w:fill="D1D0CF"/>
          </w:tcPr>
          <w:p>
            <w:pPr>
              <w:spacing w:after="0"/>
              <w:rPr>
                <w:sz w:val="19"/>
                <w:szCs w:val="19"/>
                <w:color w:val="auto"/>
              </w:rPr>
            </w:pPr>
          </w:p>
        </w:tc>
        <w:tc>
          <w:tcPr>
            <w:tcW w:w="1360" w:type="dxa"/>
            <w:vAlign w:val="bottom"/>
            <w:tcBorders>
              <w:top w:val="single" w:sz="8" w:color="0D64EF"/>
              <w:bottom w:val="single" w:sz="8" w:color="0D64EF"/>
            </w:tcBorders>
            <w:shd w:val="clear" w:color="auto" w:fill="D1D0CF"/>
          </w:tcPr>
          <w:p>
            <w:pPr>
              <w:ind w:left="520"/>
              <w:spacing w:after="0"/>
              <w:rPr>
                <w:sz w:val="20"/>
                <w:szCs w:val="20"/>
                <w:color w:val="auto"/>
              </w:rPr>
            </w:pPr>
            <w:r>
              <w:rPr>
                <w:rFonts w:ascii="Arial" w:cs="Arial" w:eastAsia="Arial" w:hAnsi="Arial"/>
                <w:sz w:val="14"/>
                <w:szCs w:val="14"/>
                <w:b w:val="1"/>
                <w:bCs w:val="1"/>
                <w:color w:val="auto"/>
              </w:rPr>
              <w:t>Travel</w:t>
            </w:r>
          </w:p>
        </w:tc>
        <w:tc>
          <w:tcPr>
            <w:tcW w:w="1260" w:type="dxa"/>
            <w:vAlign w:val="bottom"/>
            <w:tcBorders>
              <w:top w:val="single" w:sz="8" w:color="0D64EF"/>
              <w:bottom w:val="single" w:sz="8" w:color="0D64EF"/>
            </w:tcBorders>
            <w:shd w:val="clear" w:color="auto" w:fill="D1D0CF"/>
          </w:tcPr>
          <w:p>
            <w:pPr>
              <w:spacing w:after="0"/>
              <w:rPr>
                <w:sz w:val="19"/>
                <w:szCs w:val="19"/>
                <w:color w:val="auto"/>
              </w:rPr>
            </w:pPr>
          </w:p>
        </w:tc>
        <w:tc>
          <w:tcPr>
            <w:tcW w:w="1180" w:type="dxa"/>
            <w:vAlign w:val="bottom"/>
            <w:tcBorders>
              <w:top w:val="single" w:sz="8" w:color="0D64EF"/>
              <w:bottom w:val="single" w:sz="8" w:color="0D64EF"/>
            </w:tcBorders>
            <w:shd w:val="clear" w:color="auto" w:fill="D1D0CF"/>
          </w:tcPr>
          <w:p>
            <w:pPr>
              <w:jc w:val="right"/>
              <w:ind w:right="428"/>
              <w:spacing w:after="0"/>
              <w:rPr>
                <w:sz w:val="20"/>
                <w:szCs w:val="20"/>
                <w:color w:val="auto"/>
              </w:rPr>
            </w:pPr>
            <w:r>
              <w:rPr>
                <w:rFonts w:ascii="Arial" w:cs="Arial" w:eastAsia="Arial" w:hAnsi="Arial"/>
                <w:sz w:val="14"/>
                <w:szCs w:val="14"/>
                <w:b w:val="1"/>
                <w:bCs w:val="1"/>
                <w:color w:val="auto"/>
              </w:rPr>
              <w:t>Totals</w:t>
            </w:r>
          </w:p>
        </w:tc>
        <w:tc>
          <w:tcPr>
            <w:tcW w:w="1420" w:type="dxa"/>
            <w:vAlign w:val="bottom"/>
            <w:tcBorders>
              <w:top w:val="single" w:sz="8" w:color="0D64EF"/>
              <w:bottom w:val="single" w:sz="8" w:color="0D64EF"/>
            </w:tcBorders>
            <w:shd w:val="clear" w:color="auto" w:fill="D1D0C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D1D0CF"/>
          </w:tcPr>
          <w:p>
            <w:pPr>
              <w:spacing w:after="0"/>
              <w:rPr>
                <w:sz w:val="12"/>
                <w:szCs w:val="12"/>
                <w:color w:val="auto"/>
              </w:rPr>
            </w:pPr>
          </w:p>
        </w:tc>
        <w:tc>
          <w:tcPr>
            <w:tcW w:w="1900" w:type="dxa"/>
            <w:vAlign w:val="bottom"/>
            <w:shd w:val="clear" w:color="auto" w:fill="D1D0CF"/>
          </w:tcPr>
          <w:p>
            <w:pPr>
              <w:spacing w:after="0"/>
              <w:rPr>
                <w:sz w:val="12"/>
                <w:szCs w:val="12"/>
                <w:color w:val="auto"/>
              </w:rPr>
            </w:pPr>
          </w:p>
        </w:tc>
        <w:tc>
          <w:tcPr>
            <w:tcW w:w="1420" w:type="dxa"/>
            <w:vAlign w:val="bottom"/>
            <w:vMerge w:val="restart"/>
            <w:shd w:val="clear" w:color="auto" w:fill="D1D0CF"/>
          </w:tcPr>
          <w:p>
            <w:pPr>
              <w:jc w:val="right"/>
              <w:ind w:right="448"/>
              <w:spacing w:after="0"/>
              <w:rPr>
                <w:sz w:val="20"/>
                <w:szCs w:val="20"/>
                <w:color w:val="auto"/>
              </w:rPr>
            </w:pPr>
            <w:r>
              <w:rPr>
                <w:rFonts w:ascii="Arial" w:cs="Arial" w:eastAsia="Arial" w:hAnsi="Arial"/>
                <w:sz w:val="14"/>
                <w:szCs w:val="14"/>
                <w:b w:val="1"/>
                <w:bCs w:val="1"/>
                <w:color w:val="auto"/>
              </w:rPr>
              <w:t>Committee</w:t>
            </w:r>
          </w:p>
        </w:tc>
        <w:tc>
          <w:tcPr>
            <w:tcW w:w="1360" w:type="dxa"/>
            <w:vAlign w:val="bottom"/>
            <w:vMerge w:val="restart"/>
            <w:shd w:val="clear" w:color="auto" w:fill="D1D0CF"/>
          </w:tcPr>
          <w:p>
            <w:pPr>
              <w:ind w:left="480"/>
              <w:spacing w:after="0"/>
              <w:rPr>
                <w:sz w:val="20"/>
                <w:szCs w:val="20"/>
                <w:color w:val="auto"/>
              </w:rPr>
            </w:pPr>
            <w:r>
              <w:rPr>
                <w:rFonts w:ascii="Arial" w:cs="Arial" w:eastAsia="Arial" w:hAnsi="Arial"/>
                <w:sz w:val="14"/>
                <w:szCs w:val="14"/>
                <w:b w:val="1"/>
                <w:bCs w:val="1"/>
                <w:color w:val="auto"/>
              </w:rPr>
              <w:t>Travel</w:t>
            </w:r>
          </w:p>
        </w:tc>
        <w:tc>
          <w:tcPr>
            <w:tcW w:w="1260" w:type="dxa"/>
            <w:vAlign w:val="bottom"/>
            <w:shd w:val="clear" w:color="auto" w:fill="D1D0CF"/>
          </w:tcPr>
          <w:p>
            <w:pPr>
              <w:jc w:val="right"/>
              <w:ind w:right="228"/>
              <w:spacing w:after="0" w:line="148" w:lineRule="exact"/>
              <w:rPr>
                <w:sz w:val="20"/>
                <w:szCs w:val="20"/>
                <w:color w:val="auto"/>
              </w:rPr>
            </w:pPr>
            <w:r>
              <w:rPr>
                <w:rFonts w:ascii="Arial" w:cs="Arial" w:eastAsia="Arial" w:hAnsi="Arial"/>
                <w:sz w:val="14"/>
                <w:szCs w:val="14"/>
                <w:b w:val="1"/>
                <w:bCs w:val="1"/>
                <w:color w:val="auto"/>
              </w:rPr>
              <w:t>Fees</w:t>
            </w:r>
          </w:p>
        </w:tc>
        <w:tc>
          <w:tcPr>
            <w:tcW w:w="118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DSUs</w:t>
            </w:r>
          </w:p>
        </w:tc>
        <w:tc>
          <w:tcPr>
            <w:tcW w:w="142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Total cash &amp;</w:t>
            </w:r>
          </w:p>
        </w:tc>
        <w:tc>
          <w:tcPr>
            <w:tcW w:w="0" w:type="dxa"/>
            <w:vAlign w:val="bottom"/>
          </w:tcPr>
          <w:p>
            <w:pPr>
              <w:spacing w:after="0"/>
              <w:rPr>
                <w:sz w:val="1"/>
                <w:szCs w:val="1"/>
                <w:color w:val="auto"/>
              </w:rPr>
            </w:pPr>
          </w:p>
        </w:tc>
      </w:tr>
      <w:tr>
        <w:trPr>
          <w:trHeight w:val="148"/>
        </w:trPr>
        <w:tc>
          <w:tcPr>
            <w:tcW w:w="2640" w:type="dxa"/>
            <w:vAlign w:val="bottom"/>
            <w:shd w:val="clear" w:color="auto" w:fill="D1D0CF"/>
          </w:tcPr>
          <w:p>
            <w:pPr>
              <w:spacing w:after="0"/>
              <w:rPr>
                <w:sz w:val="12"/>
                <w:szCs w:val="12"/>
                <w:color w:val="auto"/>
              </w:rPr>
            </w:pPr>
          </w:p>
        </w:tc>
        <w:tc>
          <w:tcPr>
            <w:tcW w:w="1900" w:type="dxa"/>
            <w:vAlign w:val="bottom"/>
            <w:vMerge w:val="restart"/>
            <w:shd w:val="clear" w:color="auto" w:fill="D1D0CF"/>
          </w:tcPr>
          <w:p>
            <w:pPr>
              <w:jc w:val="right"/>
              <w:ind w:right="468"/>
              <w:spacing w:after="0"/>
              <w:rPr>
                <w:sz w:val="20"/>
                <w:szCs w:val="20"/>
                <w:color w:val="auto"/>
              </w:rPr>
            </w:pPr>
            <w:r>
              <w:rPr>
                <w:rFonts w:ascii="Arial" w:cs="Arial" w:eastAsia="Arial" w:hAnsi="Arial"/>
                <w:sz w:val="14"/>
                <w:szCs w:val="14"/>
                <w:b w:val="1"/>
                <w:bCs w:val="1"/>
                <w:color w:val="auto"/>
              </w:rPr>
              <w:t>Board</w:t>
            </w:r>
          </w:p>
        </w:tc>
        <w:tc>
          <w:tcPr>
            <w:tcW w:w="1420" w:type="dxa"/>
            <w:vAlign w:val="bottom"/>
            <w:vMerge w:val="continue"/>
            <w:shd w:val="clear" w:color="auto" w:fill="D1D0CF"/>
          </w:tcPr>
          <w:p>
            <w:pPr>
              <w:spacing w:after="0"/>
              <w:rPr>
                <w:sz w:val="12"/>
                <w:szCs w:val="12"/>
                <w:color w:val="auto"/>
              </w:rPr>
            </w:pPr>
          </w:p>
        </w:tc>
        <w:tc>
          <w:tcPr>
            <w:tcW w:w="1360" w:type="dxa"/>
            <w:vAlign w:val="bottom"/>
            <w:vMerge w:val="continue"/>
            <w:shd w:val="clear" w:color="auto" w:fill="D1D0CF"/>
          </w:tcPr>
          <w:p>
            <w:pPr>
              <w:spacing w:after="0"/>
              <w:rPr>
                <w:sz w:val="12"/>
                <w:szCs w:val="12"/>
                <w:color w:val="auto"/>
              </w:rPr>
            </w:pPr>
          </w:p>
        </w:tc>
        <w:tc>
          <w:tcPr>
            <w:tcW w:w="1260" w:type="dxa"/>
            <w:vAlign w:val="bottom"/>
            <w:shd w:val="clear" w:color="auto" w:fill="D1D0CF"/>
          </w:tcPr>
          <w:p>
            <w:pPr>
              <w:jc w:val="right"/>
              <w:ind w:right="228"/>
              <w:spacing w:after="0" w:line="148" w:lineRule="exact"/>
              <w:rPr>
                <w:sz w:val="20"/>
                <w:szCs w:val="20"/>
                <w:color w:val="auto"/>
              </w:rPr>
            </w:pPr>
            <w:r>
              <w:rPr>
                <w:rFonts w:ascii="Arial" w:cs="Arial" w:eastAsia="Arial" w:hAnsi="Arial"/>
                <w:sz w:val="14"/>
                <w:szCs w:val="14"/>
                <w:b w:val="1"/>
                <w:bCs w:val="1"/>
                <w:color w:val="auto"/>
              </w:rPr>
              <w:t>paid in</w:t>
            </w:r>
          </w:p>
        </w:tc>
        <w:tc>
          <w:tcPr>
            <w:tcW w:w="1180" w:type="dxa"/>
            <w:vAlign w:val="bottom"/>
            <w:vMerge w:val="continue"/>
            <w:shd w:val="clear" w:color="auto" w:fill="D1D0CF"/>
          </w:tcPr>
          <w:p>
            <w:pPr>
              <w:spacing w:after="0"/>
              <w:rPr>
                <w:sz w:val="12"/>
                <w:szCs w:val="12"/>
                <w:color w:val="auto"/>
              </w:rPr>
            </w:pPr>
          </w:p>
        </w:tc>
        <w:tc>
          <w:tcPr>
            <w:tcW w:w="142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DSUs</w:t>
            </w:r>
          </w:p>
        </w:tc>
        <w:tc>
          <w:tcPr>
            <w:tcW w:w="0" w:type="dxa"/>
            <w:vAlign w:val="bottom"/>
          </w:tcPr>
          <w:p>
            <w:pPr>
              <w:spacing w:after="0"/>
              <w:rPr>
                <w:sz w:val="1"/>
                <w:szCs w:val="1"/>
                <w:color w:val="auto"/>
              </w:rPr>
            </w:pPr>
          </w:p>
        </w:tc>
      </w:tr>
      <w:tr>
        <w:trPr>
          <w:trHeight w:val="148"/>
        </w:trPr>
        <w:tc>
          <w:tcPr>
            <w:tcW w:w="2640" w:type="dxa"/>
            <w:vAlign w:val="bottom"/>
            <w:vMerge w:val="restart"/>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1900" w:type="dxa"/>
            <w:vAlign w:val="bottom"/>
            <w:vMerge w:val="continue"/>
            <w:shd w:val="clear" w:color="auto" w:fill="D1D0CF"/>
          </w:tcPr>
          <w:p>
            <w:pPr>
              <w:spacing w:after="0"/>
              <w:rPr>
                <w:sz w:val="12"/>
                <w:szCs w:val="12"/>
                <w:color w:val="auto"/>
              </w:rPr>
            </w:pPr>
          </w:p>
        </w:tc>
        <w:tc>
          <w:tcPr>
            <w:tcW w:w="1420" w:type="dxa"/>
            <w:vAlign w:val="bottom"/>
            <w:shd w:val="clear" w:color="auto" w:fill="D1D0CF"/>
          </w:tcPr>
          <w:p>
            <w:pPr>
              <w:jc w:val="right"/>
              <w:ind w:right="448"/>
              <w:spacing w:after="0" w:line="148" w:lineRule="exact"/>
              <w:rPr>
                <w:sz w:val="20"/>
                <w:szCs w:val="20"/>
                <w:color w:val="auto"/>
              </w:rPr>
            </w:pPr>
            <w:r>
              <w:rPr>
                <w:rFonts w:ascii="Arial" w:cs="Arial" w:eastAsia="Arial" w:hAnsi="Arial"/>
                <w:sz w:val="14"/>
                <w:szCs w:val="14"/>
                <w:b w:val="1"/>
                <w:bCs w:val="1"/>
                <w:color w:val="auto"/>
              </w:rPr>
              <w:t>chair</w:t>
            </w:r>
          </w:p>
        </w:tc>
        <w:tc>
          <w:tcPr>
            <w:tcW w:w="1360" w:type="dxa"/>
            <w:vAlign w:val="bottom"/>
            <w:shd w:val="clear" w:color="auto" w:fill="D1D0CF"/>
          </w:tcPr>
          <w:p>
            <w:pPr>
              <w:ind w:left="680"/>
              <w:spacing w:after="0" w:line="148" w:lineRule="exact"/>
              <w:rPr>
                <w:sz w:val="20"/>
                <w:szCs w:val="20"/>
                <w:color w:val="auto"/>
              </w:rPr>
            </w:pPr>
            <w:r>
              <w:rPr>
                <w:rFonts w:ascii="Arial" w:cs="Arial" w:eastAsia="Arial" w:hAnsi="Arial"/>
                <w:sz w:val="14"/>
                <w:szCs w:val="14"/>
                <w:b w:val="1"/>
                <w:bCs w:val="1"/>
                <w:color w:val="auto"/>
              </w:rPr>
              <w:t>fee</w:t>
            </w:r>
          </w:p>
        </w:tc>
        <w:tc>
          <w:tcPr>
            <w:tcW w:w="1260" w:type="dxa"/>
            <w:vAlign w:val="bottom"/>
            <w:shd w:val="clear" w:color="auto" w:fill="D1D0CF"/>
          </w:tcPr>
          <w:p>
            <w:pPr>
              <w:jc w:val="right"/>
              <w:ind w:right="228"/>
              <w:spacing w:after="0" w:line="148" w:lineRule="exact"/>
              <w:rPr>
                <w:sz w:val="20"/>
                <w:szCs w:val="20"/>
                <w:color w:val="auto"/>
              </w:rPr>
            </w:pPr>
            <w:r>
              <w:rPr>
                <w:rFonts w:ascii="Arial" w:cs="Arial" w:eastAsia="Arial" w:hAnsi="Arial"/>
                <w:sz w:val="14"/>
                <w:szCs w:val="14"/>
                <w:b w:val="1"/>
                <w:bCs w:val="1"/>
                <w:color w:val="auto"/>
              </w:rPr>
              <w:t>cash</w:t>
            </w:r>
          </w:p>
        </w:tc>
        <w:tc>
          <w:tcPr>
            <w:tcW w:w="118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credited</w:t>
            </w:r>
          </w:p>
        </w:tc>
        <w:tc>
          <w:tcPr>
            <w:tcW w:w="1420" w:type="dxa"/>
            <w:vAlign w:val="bottom"/>
            <w:shd w:val="clear" w:color="auto" w:fill="D1D0CF"/>
          </w:tcPr>
          <w:p>
            <w:pPr>
              <w:jc w:val="center"/>
              <w:ind w:left="688"/>
              <w:spacing w:after="0" w:line="148" w:lineRule="exact"/>
              <w:rPr>
                <w:sz w:val="20"/>
                <w:szCs w:val="20"/>
                <w:color w:val="auto"/>
              </w:rPr>
            </w:pPr>
            <w:r>
              <w:rPr>
                <w:rFonts w:ascii="Arial" w:cs="Arial" w:eastAsia="Arial" w:hAnsi="Arial"/>
                <w:sz w:val="14"/>
                <w:szCs w:val="14"/>
                <w:b w:val="1"/>
                <w:bCs w:val="1"/>
                <w:color w:val="auto"/>
                <w:w w:val="99"/>
              </w:rPr>
              <w:t>credited</w:t>
            </w:r>
          </w:p>
        </w:tc>
        <w:tc>
          <w:tcPr>
            <w:tcW w:w="0" w:type="dxa"/>
            <w:vAlign w:val="bottom"/>
          </w:tcPr>
          <w:p>
            <w:pPr>
              <w:spacing w:after="0"/>
              <w:rPr>
                <w:sz w:val="1"/>
                <w:szCs w:val="1"/>
                <w:color w:val="auto"/>
              </w:rPr>
            </w:pPr>
          </w:p>
        </w:tc>
      </w:tr>
      <w:tr>
        <w:trPr>
          <w:trHeight w:val="188"/>
        </w:trPr>
        <w:tc>
          <w:tcPr>
            <w:tcW w:w="2640" w:type="dxa"/>
            <w:vAlign w:val="bottom"/>
            <w:tcBorders>
              <w:bottom w:val="single" w:sz="8" w:color="0D64EF"/>
            </w:tcBorders>
            <w:vMerge w:val="continue"/>
            <w:shd w:val="clear" w:color="auto" w:fill="D1D0CF"/>
          </w:tcPr>
          <w:p>
            <w:pPr>
              <w:spacing w:after="0"/>
              <w:rPr>
                <w:sz w:val="16"/>
                <w:szCs w:val="16"/>
                <w:color w:val="auto"/>
              </w:rPr>
            </w:pPr>
          </w:p>
        </w:tc>
        <w:tc>
          <w:tcPr>
            <w:tcW w:w="1900" w:type="dxa"/>
            <w:vAlign w:val="bottom"/>
            <w:tcBorders>
              <w:bottom w:val="single" w:sz="8" w:color="0D64EF"/>
            </w:tcBorders>
            <w:shd w:val="clear" w:color="auto" w:fill="D1D0CF"/>
          </w:tcPr>
          <w:p>
            <w:pPr>
              <w:jc w:val="right"/>
              <w:ind w:right="42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0D64EF"/>
            </w:tcBorders>
            <w:shd w:val="clear" w:color="auto" w:fill="D1D0CF"/>
          </w:tcPr>
          <w:p>
            <w:pPr>
              <w:jc w:val="right"/>
              <w:ind w:right="40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0D64EF"/>
            </w:tcBorders>
            <w:shd w:val="clear" w:color="auto" w:fill="D1D0CF"/>
          </w:tcPr>
          <w:p>
            <w:pPr>
              <w:ind w:left="76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0D64EF"/>
            </w:tcBorders>
            <w:shd w:val="clear" w:color="auto" w:fill="D1D0C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1"/>
        </w:trPr>
        <w:tc>
          <w:tcPr>
            <w:tcW w:w="26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Scott Bonham</w:t>
            </w:r>
          </w:p>
        </w:tc>
        <w:tc>
          <w:tcPr>
            <w:tcW w:w="19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159,982</w:t>
            </w:r>
          </w:p>
        </w:tc>
        <w:tc>
          <w:tcPr>
            <w:tcW w:w="142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tcBorders>
          </w:tcPr>
          <w:p>
            <w:pPr>
              <w:ind w:left="520"/>
              <w:spacing w:after="0"/>
              <w:rPr>
                <w:sz w:val="20"/>
                <w:szCs w:val="20"/>
                <w:color w:val="auto"/>
              </w:rPr>
            </w:pPr>
            <w:r>
              <w:rPr>
                <w:rFonts w:ascii="Arial" w:cs="Arial" w:eastAsia="Arial" w:hAnsi="Arial"/>
                <w:sz w:val="14"/>
                <w:szCs w:val="14"/>
                <w:color w:val="auto"/>
              </w:rPr>
              <w:t>6,259</w:t>
            </w:r>
          </w:p>
        </w:tc>
        <w:tc>
          <w:tcPr>
            <w:tcW w:w="126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402,737</w:t>
            </w:r>
          </w:p>
        </w:tc>
        <w:tc>
          <w:tcPr>
            <w:tcW w:w="1420" w:type="dxa"/>
            <w:vAlign w:val="bottom"/>
            <w:tcBorders>
              <w:bottom w:val="single" w:sz="8" w:color="B2B2B2"/>
            </w:tcBorders>
          </w:tcPr>
          <w:p>
            <w:pPr>
              <w:jc w:val="center"/>
              <w:ind w:left="708"/>
              <w:spacing w:after="0"/>
              <w:rPr>
                <w:sz w:val="20"/>
                <w:szCs w:val="20"/>
                <w:color w:val="auto"/>
              </w:rPr>
            </w:pPr>
            <w:r>
              <w:rPr>
                <w:rFonts w:ascii="Arial" w:cs="Arial" w:eastAsia="Arial" w:hAnsi="Arial"/>
                <w:sz w:val="14"/>
                <w:szCs w:val="14"/>
                <w:color w:val="auto"/>
              </w:rPr>
              <w:t>402,737</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Cheryl F. Campbell</w:t>
            </w:r>
          </w:p>
        </w:tc>
        <w:tc>
          <w:tcPr>
            <w:tcW w:w="19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159,982</w:t>
            </w:r>
          </w:p>
        </w:tc>
        <w:tc>
          <w:tcPr>
            <w:tcW w:w="142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tcBorders>
          </w:tcPr>
          <w:p>
            <w:pPr>
              <w:ind w:left="520"/>
              <w:spacing w:after="0"/>
              <w:rPr>
                <w:sz w:val="20"/>
                <w:szCs w:val="20"/>
                <w:color w:val="auto"/>
              </w:rPr>
            </w:pPr>
            <w:r>
              <w:rPr>
                <w:rFonts w:ascii="Arial" w:cs="Arial" w:eastAsia="Arial" w:hAnsi="Arial"/>
                <w:sz w:val="14"/>
                <w:szCs w:val="14"/>
                <w:color w:val="auto"/>
              </w:rPr>
              <w:t>6,259</w:t>
            </w:r>
          </w:p>
        </w:tc>
        <w:tc>
          <w:tcPr>
            <w:tcW w:w="126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color w:val="auto"/>
              </w:rPr>
              <w:t>159,982</w:t>
            </w: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242,755</w:t>
            </w:r>
          </w:p>
        </w:tc>
        <w:tc>
          <w:tcPr>
            <w:tcW w:w="1420" w:type="dxa"/>
            <w:vAlign w:val="bottom"/>
            <w:tcBorders>
              <w:bottom w:val="single" w:sz="8" w:color="B2B2B2"/>
            </w:tcBorders>
          </w:tcPr>
          <w:p>
            <w:pPr>
              <w:jc w:val="center"/>
              <w:ind w:left="708"/>
              <w:spacing w:after="0"/>
              <w:rPr>
                <w:sz w:val="20"/>
                <w:szCs w:val="20"/>
                <w:color w:val="auto"/>
              </w:rPr>
            </w:pPr>
            <w:r>
              <w:rPr>
                <w:rFonts w:ascii="Arial" w:cs="Arial" w:eastAsia="Arial" w:hAnsi="Arial"/>
                <w:sz w:val="14"/>
                <w:szCs w:val="14"/>
                <w:color w:val="auto"/>
              </w:rPr>
              <w:t>402,737</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Michael R. Culbert</w:t>
            </w:r>
          </w:p>
        </w:tc>
        <w:tc>
          <w:tcPr>
            <w:tcW w:w="19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159,982</w:t>
            </w:r>
          </w:p>
        </w:tc>
        <w:tc>
          <w:tcPr>
            <w:tcW w:w="142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tcBorders>
          </w:tcPr>
          <w:p>
            <w:pPr>
              <w:ind w:left="520"/>
              <w:spacing w:after="0"/>
              <w:rPr>
                <w:sz w:val="20"/>
                <w:szCs w:val="20"/>
                <w:color w:val="auto"/>
              </w:rPr>
            </w:pPr>
            <w:r>
              <w:rPr>
                <w:rFonts w:ascii="Arial" w:cs="Arial" w:eastAsia="Arial" w:hAnsi="Arial"/>
                <w:sz w:val="14"/>
                <w:szCs w:val="14"/>
                <w:color w:val="auto"/>
              </w:rPr>
              <w:t>4,203</w:t>
            </w:r>
          </w:p>
        </w:tc>
        <w:tc>
          <w:tcPr>
            <w:tcW w:w="126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color w:val="auto"/>
              </w:rPr>
              <w:t>79,991</w:t>
            </w: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320,690</w:t>
            </w:r>
          </w:p>
        </w:tc>
        <w:tc>
          <w:tcPr>
            <w:tcW w:w="1420" w:type="dxa"/>
            <w:vAlign w:val="bottom"/>
            <w:tcBorders>
              <w:bottom w:val="single" w:sz="8" w:color="B2B2B2"/>
            </w:tcBorders>
          </w:tcPr>
          <w:p>
            <w:pPr>
              <w:jc w:val="center"/>
              <w:ind w:left="708"/>
              <w:spacing w:after="0"/>
              <w:rPr>
                <w:sz w:val="20"/>
                <w:szCs w:val="20"/>
                <w:color w:val="auto"/>
              </w:rPr>
            </w:pPr>
            <w:r>
              <w:rPr>
                <w:rFonts w:ascii="Arial" w:cs="Arial" w:eastAsia="Arial" w:hAnsi="Arial"/>
                <w:sz w:val="14"/>
                <w:szCs w:val="14"/>
                <w:color w:val="auto"/>
              </w:rPr>
              <w:t>400,681</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William D. Johnson</w:t>
            </w:r>
          </w:p>
        </w:tc>
        <w:tc>
          <w:tcPr>
            <w:tcW w:w="19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159,982</w:t>
            </w:r>
          </w:p>
        </w:tc>
        <w:tc>
          <w:tcPr>
            <w:tcW w:w="142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27,823</w:t>
            </w:r>
          </w:p>
        </w:tc>
        <w:tc>
          <w:tcPr>
            <w:tcW w:w="1360" w:type="dxa"/>
            <w:vAlign w:val="bottom"/>
            <w:tcBorders>
              <w:bottom w:val="single" w:sz="8" w:color="B6B6B6"/>
            </w:tcBorders>
          </w:tcPr>
          <w:p>
            <w:pPr>
              <w:ind w:left="520"/>
              <w:spacing w:after="0"/>
              <w:rPr>
                <w:sz w:val="20"/>
                <w:szCs w:val="20"/>
                <w:color w:val="auto"/>
              </w:rPr>
            </w:pPr>
            <w:r>
              <w:rPr>
                <w:rFonts w:ascii="Arial" w:cs="Arial" w:eastAsia="Arial" w:hAnsi="Arial"/>
                <w:sz w:val="14"/>
                <w:szCs w:val="14"/>
                <w:color w:val="auto"/>
              </w:rPr>
              <w:t>6,259</w:t>
            </w:r>
          </w:p>
        </w:tc>
        <w:tc>
          <w:tcPr>
            <w:tcW w:w="126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430,560</w:t>
            </w:r>
          </w:p>
        </w:tc>
        <w:tc>
          <w:tcPr>
            <w:tcW w:w="1420" w:type="dxa"/>
            <w:vAlign w:val="bottom"/>
            <w:tcBorders>
              <w:bottom w:val="single" w:sz="8" w:color="B2B2B2"/>
            </w:tcBorders>
          </w:tcPr>
          <w:p>
            <w:pPr>
              <w:jc w:val="center"/>
              <w:ind w:left="708"/>
              <w:spacing w:after="0"/>
              <w:rPr>
                <w:sz w:val="20"/>
                <w:szCs w:val="20"/>
                <w:color w:val="auto"/>
              </w:rPr>
            </w:pPr>
            <w:r>
              <w:rPr>
                <w:rFonts w:ascii="Arial" w:cs="Arial" w:eastAsia="Arial" w:hAnsi="Arial"/>
                <w:sz w:val="14"/>
                <w:szCs w:val="14"/>
                <w:color w:val="auto"/>
              </w:rPr>
              <w:t>430,560</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Susan C. Jones</w:t>
            </w:r>
          </w:p>
        </w:tc>
        <w:tc>
          <w:tcPr>
            <w:tcW w:w="19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159,982</w:t>
            </w:r>
          </w:p>
        </w:tc>
        <w:tc>
          <w:tcPr>
            <w:tcW w:w="142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tcBorders>
          </w:tcPr>
          <w:p>
            <w:pPr>
              <w:ind w:left="520"/>
              <w:spacing w:after="0"/>
              <w:rPr>
                <w:sz w:val="20"/>
                <w:szCs w:val="20"/>
                <w:color w:val="auto"/>
              </w:rPr>
            </w:pPr>
            <w:r>
              <w:rPr>
                <w:rFonts w:ascii="Arial" w:cs="Arial" w:eastAsia="Arial" w:hAnsi="Arial"/>
                <w:sz w:val="14"/>
                <w:szCs w:val="14"/>
                <w:color w:val="auto"/>
              </w:rPr>
              <w:t>4,203</w:t>
            </w:r>
          </w:p>
        </w:tc>
        <w:tc>
          <w:tcPr>
            <w:tcW w:w="126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400,681</w:t>
            </w:r>
          </w:p>
        </w:tc>
        <w:tc>
          <w:tcPr>
            <w:tcW w:w="1420" w:type="dxa"/>
            <w:vAlign w:val="bottom"/>
            <w:tcBorders>
              <w:bottom w:val="single" w:sz="8" w:color="B2B2B2"/>
            </w:tcBorders>
          </w:tcPr>
          <w:p>
            <w:pPr>
              <w:jc w:val="center"/>
              <w:ind w:left="708"/>
              <w:spacing w:after="0"/>
              <w:rPr>
                <w:sz w:val="20"/>
                <w:szCs w:val="20"/>
                <w:color w:val="auto"/>
              </w:rPr>
            </w:pPr>
            <w:r>
              <w:rPr>
                <w:rFonts w:ascii="Arial" w:cs="Arial" w:eastAsia="Arial" w:hAnsi="Arial"/>
                <w:sz w:val="14"/>
                <w:szCs w:val="14"/>
                <w:color w:val="auto"/>
              </w:rPr>
              <w:t>400,681</w:t>
            </w:r>
          </w:p>
        </w:tc>
        <w:tc>
          <w:tcPr>
            <w:tcW w:w="0" w:type="dxa"/>
            <w:vAlign w:val="bottom"/>
          </w:tcPr>
          <w:p>
            <w:pPr>
              <w:spacing w:after="0"/>
              <w:rPr>
                <w:sz w:val="1"/>
                <w:szCs w:val="1"/>
                <w:color w:val="auto"/>
              </w:rPr>
            </w:pPr>
          </w:p>
        </w:tc>
      </w:tr>
      <w:tr>
        <w:trPr>
          <w:trHeight w:val="218"/>
        </w:trPr>
        <w:tc>
          <w:tcPr>
            <w:tcW w:w="2640" w:type="dxa"/>
            <w:vAlign w:val="bottom"/>
          </w:tcPr>
          <w:p>
            <w:pPr>
              <w:ind w:left="20"/>
              <w:spacing w:after="0"/>
              <w:rPr>
                <w:sz w:val="20"/>
                <w:szCs w:val="20"/>
                <w:color w:val="auto"/>
              </w:rPr>
            </w:pPr>
            <w:r>
              <w:rPr>
                <w:rFonts w:ascii="Arial" w:cs="Arial" w:eastAsia="Arial" w:hAnsi="Arial"/>
                <w:sz w:val="14"/>
                <w:szCs w:val="14"/>
                <w:color w:val="auto"/>
              </w:rPr>
              <w:t>John E. Lowe</w:t>
            </w:r>
          </w:p>
        </w:tc>
        <w:tc>
          <w:tcPr>
            <w:tcW w:w="1900" w:type="dxa"/>
            <w:vAlign w:val="bottom"/>
          </w:tcPr>
          <w:p>
            <w:pPr>
              <w:jc w:val="right"/>
              <w:ind w:right="468"/>
              <w:spacing w:after="0"/>
              <w:rPr>
                <w:sz w:val="20"/>
                <w:szCs w:val="20"/>
                <w:color w:val="auto"/>
              </w:rPr>
            </w:pPr>
            <w:r>
              <w:rPr>
                <w:rFonts w:ascii="Arial" w:cs="Arial" w:eastAsia="Arial" w:hAnsi="Arial"/>
                <w:sz w:val="14"/>
                <w:szCs w:val="14"/>
                <w:color w:val="auto"/>
              </w:rPr>
              <w:t>279,621</w:t>
            </w:r>
          </w:p>
        </w:tc>
        <w:tc>
          <w:tcPr>
            <w:tcW w:w="142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tcPr>
          <w:p>
            <w:pPr>
              <w:ind w:left="520"/>
              <w:spacing w:after="0"/>
              <w:rPr>
                <w:sz w:val="20"/>
                <w:szCs w:val="20"/>
                <w:color w:val="auto"/>
              </w:rPr>
            </w:pPr>
            <w:r>
              <w:rPr>
                <w:rFonts w:ascii="Arial" w:cs="Arial" w:eastAsia="Arial" w:hAnsi="Arial"/>
                <w:sz w:val="14"/>
                <w:szCs w:val="14"/>
                <w:color w:val="auto"/>
              </w:rPr>
              <w:t>6,149</w:t>
            </w: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285,770</w:t>
            </w:r>
          </w:p>
        </w:tc>
        <w:tc>
          <w:tcPr>
            <w:tcW w:w="1180" w:type="dxa"/>
            <w:vAlign w:val="bottom"/>
          </w:tcPr>
          <w:p>
            <w:pPr>
              <w:jc w:val="right"/>
              <w:spacing w:after="0"/>
              <w:rPr>
                <w:sz w:val="20"/>
                <w:szCs w:val="20"/>
                <w:color w:val="auto"/>
              </w:rPr>
            </w:pPr>
            <w:r>
              <w:rPr>
                <w:rFonts w:ascii="Arial" w:cs="Arial" w:eastAsia="Arial" w:hAnsi="Arial"/>
                <w:sz w:val="14"/>
                <w:szCs w:val="14"/>
                <w:color w:val="auto"/>
              </w:rPr>
              <w:t>403,434</w:t>
            </w:r>
          </w:p>
        </w:tc>
        <w:tc>
          <w:tcPr>
            <w:tcW w:w="1420" w:type="dxa"/>
            <w:vAlign w:val="bottom"/>
          </w:tcPr>
          <w:p>
            <w:pPr>
              <w:jc w:val="center"/>
              <w:ind w:left="708"/>
              <w:spacing w:after="0"/>
              <w:rPr>
                <w:sz w:val="20"/>
                <w:szCs w:val="20"/>
                <w:color w:val="auto"/>
              </w:rPr>
            </w:pPr>
            <w:r>
              <w:rPr>
                <w:rFonts w:ascii="Arial" w:cs="Arial" w:eastAsia="Arial" w:hAnsi="Arial"/>
                <w:sz w:val="14"/>
                <w:szCs w:val="14"/>
                <w:color w:val="auto"/>
              </w:rPr>
              <w:t>689,204</w:t>
            </w:r>
          </w:p>
        </w:tc>
        <w:tc>
          <w:tcPr>
            <w:tcW w:w="0" w:type="dxa"/>
            <w:vAlign w:val="bottom"/>
          </w:tcPr>
          <w:p>
            <w:pPr>
              <w:spacing w:after="0"/>
              <w:rPr>
                <w:sz w:val="1"/>
                <w:szCs w:val="1"/>
                <w:color w:val="auto"/>
              </w:rPr>
            </w:pPr>
          </w:p>
        </w:tc>
      </w:tr>
      <w:tr>
        <w:trPr>
          <w:trHeight w:val="48"/>
        </w:trPr>
        <w:tc>
          <w:tcPr>
            <w:tcW w:w="2640" w:type="dxa"/>
            <w:vAlign w:val="bottom"/>
            <w:tcBorders>
              <w:bottom w:val="single" w:sz="8" w:color="B6B6B6"/>
            </w:tcBorders>
          </w:tcPr>
          <w:p>
            <w:pPr>
              <w:spacing w:after="0"/>
              <w:rPr>
                <w:sz w:val="4"/>
                <w:szCs w:val="4"/>
                <w:color w:val="auto"/>
              </w:rPr>
            </w:pPr>
          </w:p>
        </w:tc>
        <w:tc>
          <w:tcPr>
            <w:tcW w:w="1900" w:type="dxa"/>
            <w:vAlign w:val="bottom"/>
            <w:tcBorders>
              <w:bottom w:val="single" w:sz="8" w:color="B6B6B6"/>
            </w:tcBorders>
          </w:tcPr>
          <w:p>
            <w:pPr>
              <w:spacing w:after="0"/>
              <w:rPr>
                <w:sz w:val="4"/>
                <w:szCs w:val="4"/>
                <w:color w:val="auto"/>
              </w:rPr>
            </w:pPr>
          </w:p>
        </w:tc>
        <w:tc>
          <w:tcPr>
            <w:tcW w:w="142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1260" w:type="dxa"/>
            <w:vAlign w:val="bottom"/>
            <w:tcBorders>
              <w:bottom w:val="single" w:sz="8" w:color="B6B6B6"/>
            </w:tcBorders>
          </w:tcPr>
          <w:p>
            <w:pPr>
              <w:spacing w:after="0"/>
              <w:rPr>
                <w:sz w:val="4"/>
                <w:szCs w:val="4"/>
                <w:color w:val="auto"/>
              </w:rPr>
            </w:pPr>
          </w:p>
        </w:tc>
        <w:tc>
          <w:tcPr>
            <w:tcW w:w="1180" w:type="dxa"/>
            <w:vAlign w:val="bottom"/>
            <w:tcBorders>
              <w:bottom w:val="single" w:sz="8" w:color="B6B6B6"/>
            </w:tcBorders>
          </w:tcPr>
          <w:p>
            <w:pPr>
              <w:spacing w:after="0"/>
              <w:rPr>
                <w:sz w:val="4"/>
                <w:szCs w:val="4"/>
                <w:color w:val="auto"/>
              </w:rPr>
            </w:pPr>
          </w:p>
        </w:tc>
        <w:tc>
          <w:tcPr>
            <w:tcW w:w="14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640" w:type="dxa"/>
            <w:vAlign w:val="bottom"/>
          </w:tcPr>
          <w:p>
            <w:pPr>
              <w:ind w:left="20"/>
              <w:spacing w:after="0" w:line="141" w:lineRule="exact"/>
              <w:rPr>
                <w:sz w:val="20"/>
                <w:szCs w:val="20"/>
                <w:color w:val="auto"/>
              </w:rPr>
            </w:pPr>
            <w:r>
              <w:rPr>
                <w:rFonts w:ascii="Arial" w:cs="Arial" w:eastAsia="Arial" w:hAnsi="Arial"/>
                <w:sz w:val="14"/>
                <w:szCs w:val="14"/>
                <w:color w:val="auto"/>
              </w:rPr>
              <w:t>David MacNaughton</w:t>
            </w:r>
          </w:p>
        </w:tc>
        <w:tc>
          <w:tcPr>
            <w:tcW w:w="1900" w:type="dxa"/>
            <w:vAlign w:val="bottom"/>
            <w:vMerge w:val="restart"/>
          </w:tcPr>
          <w:p>
            <w:pPr>
              <w:jc w:val="right"/>
              <w:ind w:right="468"/>
              <w:spacing w:after="0"/>
              <w:rPr>
                <w:sz w:val="20"/>
                <w:szCs w:val="20"/>
                <w:color w:val="auto"/>
              </w:rPr>
            </w:pPr>
            <w:r>
              <w:rPr>
                <w:rFonts w:ascii="Arial" w:cs="Arial" w:eastAsia="Arial" w:hAnsi="Arial"/>
                <w:sz w:val="14"/>
                <w:szCs w:val="14"/>
                <w:color w:val="auto"/>
              </w:rPr>
              <w:t>57,710</w:t>
            </w:r>
          </w:p>
        </w:tc>
        <w:tc>
          <w:tcPr>
            <w:tcW w:w="14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2,156</w:t>
            </w:r>
          </w:p>
        </w:tc>
        <w:tc>
          <w:tcPr>
            <w:tcW w:w="126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145,177</w:t>
            </w:r>
          </w:p>
        </w:tc>
        <w:tc>
          <w:tcPr>
            <w:tcW w:w="1420" w:type="dxa"/>
            <w:vAlign w:val="bottom"/>
            <w:vMerge w:val="restart"/>
          </w:tcPr>
          <w:p>
            <w:pPr>
              <w:jc w:val="center"/>
              <w:ind w:left="708"/>
              <w:spacing w:after="0"/>
              <w:rPr>
                <w:sz w:val="20"/>
                <w:szCs w:val="20"/>
                <w:color w:val="auto"/>
              </w:rPr>
            </w:pPr>
            <w:r>
              <w:rPr>
                <w:rFonts w:ascii="Arial" w:cs="Arial" w:eastAsia="Arial" w:hAnsi="Arial"/>
                <w:sz w:val="14"/>
                <w:szCs w:val="14"/>
                <w:color w:val="auto"/>
              </w:rPr>
              <w:t>145,177</w:t>
            </w:r>
          </w:p>
        </w:tc>
        <w:tc>
          <w:tcPr>
            <w:tcW w:w="0" w:type="dxa"/>
            <w:vAlign w:val="bottom"/>
          </w:tcPr>
          <w:p>
            <w:pPr>
              <w:spacing w:after="0"/>
              <w:rPr>
                <w:sz w:val="1"/>
                <w:szCs w:val="1"/>
                <w:color w:val="auto"/>
              </w:rPr>
            </w:pPr>
          </w:p>
        </w:tc>
      </w:tr>
      <w:tr>
        <w:trPr>
          <w:trHeight w:val="100"/>
        </w:trPr>
        <w:tc>
          <w:tcPr>
            <w:tcW w:w="2640" w:type="dxa"/>
            <w:vAlign w:val="bottom"/>
            <w:vMerge w:val="restart"/>
          </w:tcPr>
          <w:p>
            <w:pPr>
              <w:ind w:left="20"/>
              <w:spacing w:after="0"/>
              <w:rPr>
                <w:sz w:val="20"/>
                <w:szCs w:val="20"/>
                <w:color w:val="auto"/>
              </w:rPr>
            </w:pPr>
            <w:r>
              <w:rPr>
                <w:rFonts w:ascii="Arial" w:cs="Arial" w:eastAsia="Arial" w:hAnsi="Arial"/>
                <w:sz w:val="13"/>
                <w:szCs w:val="13"/>
                <w:color w:val="auto"/>
              </w:rPr>
              <w:t>(retired May 8, 2025)</w:t>
            </w:r>
          </w:p>
        </w:tc>
        <w:tc>
          <w:tcPr>
            <w:tcW w:w="190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640" w:type="dxa"/>
            <w:vAlign w:val="bottom"/>
            <w:tcBorders>
              <w:bottom w:val="single" w:sz="8" w:color="B6B6B6"/>
            </w:tcBorders>
            <w:vMerge w:val="continue"/>
          </w:tcPr>
          <w:p>
            <w:pPr>
              <w:spacing w:after="0"/>
              <w:rPr>
                <w:sz w:val="6"/>
                <w:szCs w:val="6"/>
                <w:color w:val="auto"/>
              </w:rPr>
            </w:pPr>
          </w:p>
        </w:tc>
        <w:tc>
          <w:tcPr>
            <w:tcW w:w="1900" w:type="dxa"/>
            <w:vAlign w:val="bottom"/>
            <w:tcBorders>
              <w:bottom w:val="single" w:sz="8" w:color="B6B6B6"/>
            </w:tcBorders>
          </w:tcPr>
          <w:p>
            <w:pPr>
              <w:spacing w:after="0"/>
              <w:rPr>
                <w:sz w:val="6"/>
                <w:szCs w:val="6"/>
                <w:color w:val="auto"/>
              </w:rPr>
            </w:pPr>
          </w:p>
        </w:tc>
        <w:tc>
          <w:tcPr>
            <w:tcW w:w="1420" w:type="dxa"/>
            <w:vAlign w:val="bottom"/>
            <w:tcBorders>
              <w:bottom w:val="single" w:sz="8" w:color="B6B6B6"/>
            </w:tcBorders>
          </w:tcPr>
          <w:p>
            <w:pPr>
              <w:spacing w:after="0"/>
              <w:rPr>
                <w:sz w:val="6"/>
                <w:szCs w:val="6"/>
                <w:color w:val="auto"/>
              </w:rPr>
            </w:pPr>
          </w:p>
        </w:tc>
        <w:tc>
          <w:tcPr>
            <w:tcW w:w="1360" w:type="dxa"/>
            <w:vAlign w:val="bottom"/>
            <w:tcBorders>
              <w:bottom w:val="single" w:sz="8" w:color="B6B6B6"/>
            </w:tcBorders>
          </w:tcPr>
          <w:p>
            <w:pPr>
              <w:spacing w:after="0"/>
              <w:rPr>
                <w:sz w:val="6"/>
                <w:szCs w:val="6"/>
                <w:color w:val="auto"/>
              </w:rPr>
            </w:pPr>
          </w:p>
        </w:tc>
        <w:tc>
          <w:tcPr>
            <w:tcW w:w="1260" w:type="dxa"/>
            <w:vAlign w:val="bottom"/>
            <w:tcBorders>
              <w:bottom w:val="single" w:sz="8" w:color="B6B6B6"/>
            </w:tcBorders>
          </w:tcPr>
          <w:p>
            <w:pPr>
              <w:spacing w:after="0"/>
              <w:rPr>
                <w:sz w:val="6"/>
                <w:szCs w:val="6"/>
                <w:color w:val="auto"/>
              </w:rPr>
            </w:pPr>
          </w:p>
        </w:tc>
        <w:tc>
          <w:tcPr>
            <w:tcW w:w="1180" w:type="dxa"/>
            <w:vAlign w:val="bottom"/>
            <w:tcBorders>
              <w:bottom w:val="single" w:sz="8" w:color="B6B6B6"/>
            </w:tcBorders>
          </w:tcPr>
          <w:p>
            <w:pPr>
              <w:spacing w:after="0"/>
              <w:rPr>
                <w:sz w:val="6"/>
                <w:szCs w:val="6"/>
                <w:color w:val="auto"/>
              </w:rPr>
            </w:pPr>
          </w:p>
        </w:tc>
        <w:tc>
          <w:tcPr>
            <w:tcW w:w="142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Dawn Madahbee Leach</w:t>
            </w:r>
          </w:p>
        </w:tc>
        <w:tc>
          <w:tcPr>
            <w:tcW w:w="19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159,982</w:t>
            </w:r>
          </w:p>
        </w:tc>
        <w:tc>
          <w:tcPr>
            <w:tcW w:w="142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tcBorders>
          </w:tcPr>
          <w:p>
            <w:pPr>
              <w:ind w:left="520"/>
              <w:spacing w:after="0"/>
              <w:rPr>
                <w:sz w:val="20"/>
                <w:szCs w:val="20"/>
                <w:color w:val="auto"/>
              </w:rPr>
            </w:pPr>
            <w:r>
              <w:rPr>
                <w:rFonts w:ascii="Arial" w:cs="Arial" w:eastAsia="Arial" w:hAnsi="Arial"/>
                <w:sz w:val="14"/>
                <w:szCs w:val="14"/>
                <w:color w:val="auto"/>
              </w:rPr>
              <w:t>6,259</w:t>
            </w:r>
          </w:p>
        </w:tc>
        <w:tc>
          <w:tcPr>
            <w:tcW w:w="126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color w:val="auto"/>
              </w:rPr>
              <w:t>78,251</w:t>
            </w: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324,486</w:t>
            </w:r>
          </w:p>
        </w:tc>
        <w:tc>
          <w:tcPr>
            <w:tcW w:w="1420" w:type="dxa"/>
            <w:vAlign w:val="bottom"/>
            <w:tcBorders>
              <w:bottom w:val="single" w:sz="8" w:color="B2B2B2"/>
            </w:tcBorders>
          </w:tcPr>
          <w:p>
            <w:pPr>
              <w:jc w:val="center"/>
              <w:ind w:left="708"/>
              <w:spacing w:after="0"/>
              <w:rPr>
                <w:sz w:val="20"/>
                <w:szCs w:val="20"/>
                <w:color w:val="auto"/>
              </w:rPr>
            </w:pPr>
            <w:r>
              <w:rPr>
                <w:rFonts w:ascii="Arial" w:cs="Arial" w:eastAsia="Arial" w:hAnsi="Arial"/>
                <w:sz w:val="14"/>
                <w:szCs w:val="14"/>
                <w:color w:val="auto"/>
              </w:rPr>
              <w:t>402,737</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Una Power</w:t>
            </w:r>
          </w:p>
        </w:tc>
        <w:tc>
          <w:tcPr>
            <w:tcW w:w="19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159,982</w:t>
            </w:r>
          </w:p>
        </w:tc>
        <w:tc>
          <w:tcPr>
            <w:tcW w:w="142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34,779</w:t>
            </w:r>
          </w:p>
        </w:tc>
        <w:tc>
          <w:tcPr>
            <w:tcW w:w="1360" w:type="dxa"/>
            <w:vAlign w:val="bottom"/>
            <w:tcBorders>
              <w:bottom w:val="single" w:sz="8" w:color="B6B6B6"/>
            </w:tcBorders>
          </w:tcPr>
          <w:p>
            <w:pPr>
              <w:ind w:left="520"/>
              <w:spacing w:after="0"/>
              <w:rPr>
                <w:sz w:val="20"/>
                <w:szCs w:val="20"/>
                <w:color w:val="auto"/>
              </w:rPr>
            </w:pPr>
            <w:r>
              <w:rPr>
                <w:rFonts w:ascii="Arial" w:cs="Arial" w:eastAsia="Arial" w:hAnsi="Arial"/>
                <w:sz w:val="14"/>
                <w:szCs w:val="14"/>
                <w:color w:val="auto"/>
              </w:rPr>
              <w:t>6,259</w:t>
            </w:r>
          </w:p>
        </w:tc>
        <w:tc>
          <w:tcPr>
            <w:tcW w:w="126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437,516</w:t>
            </w:r>
          </w:p>
        </w:tc>
        <w:tc>
          <w:tcPr>
            <w:tcW w:w="1420" w:type="dxa"/>
            <w:vAlign w:val="bottom"/>
            <w:tcBorders>
              <w:bottom w:val="single" w:sz="8" w:color="B2B2B2"/>
            </w:tcBorders>
          </w:tcPr>
          <w:p>
            <w:pPr>
              <w:jc w:val="center"/>
              <w:ind w:left="708"/>
              <w:spacing w:after="0"/>
              <w:rPr>
                <w:sz w:val="20"/>
                <w:szCs w:val="20"/>
                <w:color w:val="auto"/>
              </w:rPr>
            </w:pPr>
            <w:r>
              <w:rPr>
                <w:rFonts w:ascii="Arial" w:cs="Arial" w:eastAsia="Arial" w:hAnsi="Arial"/>
                <w:sz w:val="14"/>
                <w:szCs w:val="14"/>
                <w:color w:val="auto"/>
              </w:rPr>
              <w:t>437,516</w:t>
            </w:r>
          </w:p>
        </w:tc>
        <w:tc>
          <w:tcPr>
            <w:tcW w:w="0" w:type="dxa"/>
            <w:vAlign w:val="bottom"/>
          </w:tcPr>
          <w:p>
            <w:pPr>
              <w:spacing w:after="0"/>
              <w:rPr>
                <w:sz w:val="1"/>
                <w:szCs w:val="1"/>
                <w:color w:val="auto"/>
              </w:rPr>
            </w:pPr>
          </w:p>
        </w:tc>
      </w:tr>
      <w:tr>
        <w:trPr>
          <w:trHeight w:val="218"/>
        </w:trPr>
        <w:tc>
          <w:tcPr>
            <w:tcW w:w="2640" w:type="dxa"/>
            <w:vAlign w:val="bottom"/>
          </w:tcPr>
          <w:p>
            <w:pPr>
              <w:ind w:left="20"/>
              <w:spacing w:after="0"/>
              <w:rPr>
                <w:sz w:val="20"/>
                <w:szCs w:val="20"/>
                <w:color w:val="auto"/>
              </w:rPr>
            </w:pPr>
            <w:r>
              <w:rPr>
                <w:rFonts w:ascii="Arial" w:cs="Arial" w:eastAsia="Arial" w:hAnsi="Arial"/>
                <w:sz w:val="14"/>
                <w:szCs w:val="14"/>
                <w:color w:val="auto"/>
              </w:rPr>
              <w:t>Mary Pat Salomone</w:t>
            </w:r>
          </w:p>
        </w:tc>
        <w:tc>
          <w:tcPr>
            <w:tcW w:w="1900" w:type="dxa"/>
            <w:vAlign w:val="bottom"/>
          </w:tcPr>
          <w:p>
            <w:pPr>
              <w:jc w:val="right"/>
              <w:ind w:right="468"/>
              <w:spacing w:after="0"/>
              <w:rPr>
                <w:sz w:val="20"/>
                <w:szCs w:val="20"/>
                <w:color w:val="auto"/>
              </w:rPr>
            </w:pPr>
            <w:r>
              <w:rPr>
                <w:rFonts w:ascii="Arial" w:cs="Arial" w:eastAsia="Arial" w:hAnsi="Arial"/>
                <w:sz w:val="14"/>
                <w:szCs w:val="14"/>
                <w:color w:val="auto"/>
              </w:rPr>
              <w:t>159,982</w:t>
            </w:r>
          </w:p>
        </w:tc>
        <w:tc>
          <w:tcPr>
            <w:tcW w:w="1420" w:type="dxa"/>
            <w:vAlign w:val="bottom"/>
          </w:tcPr>
          <w:p>
            <w:pPr>
              <w:jc w:val="right"/>
              <w:ind w:right="468"/>
              <w:spacing w:after="0"/>
              <w:rPr>
                <w:sz w:val="20"/>
                <w:szCs w:val="20"/>
                <w:color w:val="auto"/>
              </w:rPr>
            </w:pPr>
            <w:r>
              <w:rPr>
                <w:rFonts w:ascii="Arial" w:cs="Arial" w:eastAsia="Arial" w:hAnsi="Arial"/>
                <w:sz w:val="14"/>
                <w:szCs w:val="14"/>
                <w:color w:val="auto"/>
              </w:rPr>
              <w:t>27,823</w:t>
            </w:r>
          </w:p>
        </w:tc>
        <w:tc>
          <w:tcPr>
            <w:tcW w:w="1360" w:type="dxa"/>
            <w:vAlign w:val="bottom"/>
          </w:tcPr>
          <w:p>
            <w:pPr>
              <w:ind w:left="520"/>
              <w:spacing w:after="0"/>
              <w:rPr>
                <w:sz w:val="20"/>
                <w:szCs w:val="20"/>
                <w:color w:val="auto"/>
              </w:rPr>
            </w:pPr>
            <w:r>
              <w:rPr>
                <w:rFonts w:ascii="Arial" w:cs="Arial" w:eastAsia="Arial" w:hAnsi="Arial"/>
                <w:sz w:val="14"/>
                <w:szCs w:val="14"/>
                <w:color w:val="auto"/>
              </w:rPr>
              <w:t>6,259</w:t>
            </w: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194,064</w:t>
            </w:r>
          </w:p>
        </w:tc>
        <w:tc>
          <w:tcPr>
            <w:tcW w:w="1180" w:type="dxa"/>
            <w:vAlign w:val="bottom"/>
          </w:tcPr>
          <w:p>
            <w:pPr>
              <w:jc w:val="right"/>
              <w:spacing w:after="0"/>
              <w:rPr>
                <w:sz w:val="20"/>
                <w:szCs w:val="20"/>
                <w:color w:val="auto"/>
              </w:rPr>
            </w:pPr>
            <w:r>
              <w:rPr>
                <w:rFonts w:ascii="Arial" w:cs="Arial" w:eastAsia="Arial" w:hAnsi="Arial"/>
                <w:sz w:val="14"/>
                <w:szCs w:val="14"/>
                <w:color w:val="auto"/>
              </w:rPr>
              <w:t>236,496</w:t>
            </w:r>
          </w:p>
        </w:tc>
        <w:tc>
          <w:tcPr>
            <w:tcW w:w="1420" w:type="dxa"/>
            <w:vAlign w:val="bottom"/>
          </w:tcPr>
          <w:p>
            <w:pPr>
              <w:jc w:val="center"/>
              <w:ind w:left="708"/>
              <w:spacing w:after="0"/>
              <w:rPr>
                <w:sz w:val="20"/>
                <w:szCs w:val="20"/>
                <w:color w:val="auto"/>
              </w:rPr>
            </w:pPr>
            <w:r>
              <w:rPr>
                <w:rFonts w:ascii="Arial" w:cs="Arial" w:eastAsia="Arial" w:hAnsi="Arial"/>
                <w:sz w:val="14"/>
                <w:szCs w:val="14"/>
                <w:color w:val="auto"/>
              </w:rPr>
              <w:t>430,560</w:t>
            </w:r>
          </w:p>
        </w:tc>
        <w:tc>
          <w:tcPr>
            <w:tcW w:w="0" w:type="dxa"/>
            <w:vAlign w:val="bottom"/>
          </w:tcPr>
          <w:p>
            <w:pPr>
              <w:spacing w:after="0"/>
              <w:rPr>
                <w:sz w:val="1"/>
                <w:szCs w:val="1"/>
                <w:color w:val="auto"/>
              </w:rPr>
            </w:pPr>
          </w:p>
        </w:tc>
      </w:tr>
      <w:tr>
        <w:trPr>
          <w:trHeight w:val="48"/>
        </w:trPr>
        <w:tc>
          <w:tcPr>
            <w:tcW w:w="2640" w:type="dxa"/>
            <w:vAlign w:val="bottom"/>
            <w:tcBorders>
              <w:bottom w:val="single" w:sz="8" w:color="B6B6B6"/>
            </w:tcBorders>
          </w:tcPr>
          <w:p>
            <w:pPr>
              <w:spacing w:after="0"/>
              <w:rPr>
                <w:sz w:val="4"/>
                <w:szCs w:val="4"/>
                <w:color w:val="auto"/>
              </w:rPr>
            </w:pPr>
          </w:p>
        </w:tc>
        <w:tc>
          <w:tcPr>
            <w:tcW w:w="1900" w:type="dxa"/>
            <w:vAlign w:val="bottom"/>
            <w:tcBorders>
              <w:bottom w:val="single" w:sz="8" w:color="B6B6B6"/>
            </w:tcBorders>
          </w:tcPr>
          <w:p>
            <w:pPr>
              <w:spacing w:after="0"/>
              <w:rPr>
                <w:sz w:val="4"/>
                <w:szCs w:val="4"/>
                <w:color w:val="auto"/>
              </w:rPr>
            </w:pPr>
          </w:p>
        </w:tc>
        <w:tc>
          <w:tcPr>
            <w:tcW w:w="142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1260" w:type="dxa"/>
            <w:vAlign w:val="bottom"/>
            <w:tcBorders>
              <w:bottom w:val="single" w:sz="8" w:color="B6B6B6"/>
            </w:tcBorders>
          </w:tcPr>
          <w:p>
            <w:pPr>
              <w:spacing w:after="0"/>
              <w:rPr>
                <w:sz w:val="4"/>
                <w:szCs w:val="4"/>
                <w:color w:val="auto"/>
              </w:rPr>
            </w:pPr>
          </w:p>
        </w:tc>
        <w:tc>
          <w:tcPr>
            <w:tcW w:w="1180" w:type="dxa"/>
            <w:vAlign w:val="bottom"/>
            <w:tcBorders>
              <w:bottom w:val="single" w:sz="8" w:color="B6B6B6"/>
            </w:tcBorders>
          </w:tcPr>
          <w:p>
            <w:pPr>
              <w:spacing w:after="0"/>
              <w:rPr>
                <w:sz w:val="4"/>
                <w:szCs w:val="4"/>
                <w:color w:val="auto"/>
              </w:rPr>
            </w:pPr>
          </w:p>
        </w:tc>
        <w:tc>
          <w:tcPr>
            <w:tcW w:w="14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640" w:type="dxa"/>
            <w:vAlign w:val="bottom"/>
          </w:tcPr>
          <w:p>
            <w:pPr>
              <w:ind w:left="20"/>
              <w:spacing w:after="0" w:line="141" w:lineRule="exact"/>
              <w:rPr>
                <w:sz w:val="20"/>
                <w:szCs w:val="20"/>
                <w:color w:val="auto"/>
              </w:rPr>
            </w:pPr>
            <w:r>
              <w:rPr>
                <w:rFonts w:ascii="Arial" w:cs="Arial" w:eastAsia="Arial" w:hAnsi="Arial"/>
                <w:sz w:val="14"/>
                <w:szCs w:val="14"/>
                <w:color w:val="auto"/>
              </w:rPr>
              <w:t>Indira Samarasekera</w:t>
            </w:r>
          </w:p>
        </w:tc>
        <w:tc>
          <w:tcPr>
            <w:tcW w:w="1900" w:type="dxa"/>
            <w:vAlign w:val="bottom"/>
            <w:vMerge w:val="restart"/>
          </w:tcPr>
          <w:p>
            <w:pPr>
              <w:jc w:val="right"/>
              <w:ind w:right="468"/>
              <w:spacing w:after="0"/>
              <w:rPr>
                <w:sz w:val="20"/>
                <w:szCs w:val="20"/>
                <w:color w:val="auto"/>
              </w:rPr>
            </w:pPr>
            <w:r>
              <w:rPr>
                <w:rFonts w:ascii="Arial" w:cs="Arial" w:eastAsia="Arial" w:hAnsi="Arial"/>
                <w:sz w:val="14"/>
                <w:szCs w:val="14"/>
                <w:color w:val="auto"/>
              </w:rPr>
              <w:t>57,710</w:t>
            </w:r>
          </w:p>
        </w:tc>
        <w:tc>
          <w:tcPr>
            <w:tcW w:w="14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ind w:left="520"/>
              <w:spacing w:after="0"/>
              <w:rPr>
                <w:sz w:val="20"/>
                <w:szCs w:val="20"/>
                <w:color w:val="auto"/>
              </w:rPr>
            </w:pPr>
            <w:r>
              <w:rPr>
                <w:rFonts w:ascii="Arial" w:cs="Arial" w:eastAsia="Arial" w:hAnsi="Arial"/>
                <w:sz w:val="14"/>
                <w:szCs w:val="14"/>
                <w:color w:val="auto"/>
              </w:rPr>
              <w:t>2,156</w:t>
            </w:r>
          </w:p>
        </w:tc>
        <w:tc>
          <w:tcPr>
            <w:tcW w:w="1260" w:type="dxa"/>
            <w:vAlign w:val="bottom"/>
            <w:vMerge w:val="restart"/>
          </w:tcPr>
          <w:p>
            <w:pPr>
              <w:jc w:val="right"/>
              <w:ind w:right="228"/>
              <w:spacing w:after="0"/>
              <w:rPr>
                <w:sz w:val="20"/>
                <w:szCs w:val="20"/>
                <w:color w:val="auto"/>
              </w:rPr>
            </w:pPr>
            <w:r>
              <w:rPr>
                <w:rFonts w:ascii="Arial" w:cs="Arial" w:eastAsia="Arial" w:hAnsi="Arial"/>
                <w:sz w:val="14"/>
                <w:szCs w:val="14"/>
                <w:color w:val="auto"/>
              </w:rPr>
              <w:t>59,866</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85,311</w:t>
            </w:r>
          </w:p>
        </w:tc>
        <w:tc>
          <w:tcPr>
            <w:tcW w:w="1420" w:type="dxa"/>
            <w:vAlign w:val="bottom"/>
            <w:vMerge w:val="restart"/>
          </w:tcPr>
          <w:p>
            <w:pPr>
              <w:jc w:val="center"/>
              <w:ind w:left="708"/>
              <w:spacing w:after="0"/>
              <w:rPr>
                <w:sz w:val="20"/>
                <w:szCs w:val="20"/>
                <w:color w:val="auto"/>
              </w:rPr>
            </w:pPr>
            <w:r>
              <w:rPr>
                <w:rFonts w:ascii="Arial" w:cs="Arial" w:eastAsia="Arial" w:hAnsi="Arial"/>
                <w:sz w:val="14"/>
                <w:szCs w:val="14"/>
                <w:color w:val="auto"/>
              </w:rPr>
              <w:t>145,177</w:t>
            </w:r>
          </w:p>
        </w:tc>
        <w:tc>
          <w:tcPr>
            <w:tcW w:w="0" w:type="dxa"/>
            <w:vAlign w:val="bottom"/>
          </w:tcPr>
          <w:p>
            <w:pPr>
              <w:spacing w:after="0"/>
              <w:rPr>
                <w:sz w:val="1"/>
                <w:szCs w:val="1"/>
                <w:color w:val="auto"/>
              </w:rPr>
            </w:pPr>
          </w:p>
        </w:tc>
      </w:tr>
      <w:tr>
        <w:trPr>
          <w:trHeight w:val="165"/>
        </w:trPr>
        <w:tc>
          <w:tcPr>
            <w:tcW w:w="2640" w:type="dxa"/>
            <w:vAlign w:val="bottom"/>
          </w:tcPr>
          <w:p>
            <w:pPr>
              <w:ind w:left="20"/>
              <w:spacing w:after="0"/>
              <w:rPr>
                <w:sz w:val="20"/>
                <w:szCs w:val="20"/>
                <w:color w:val="auto"/>
              </w:rPr>
            </w:pPr>
            <w:r>
              <w:rPr>
                <w:rFonts w:ascii="Arial" w:cs="Arial" w:eastAsia="Arial" w:hAnsi="Arial"/>
                <w:sz w:val="13"/>
                <w:szCs w:val="13"/>
                <w:color w:val="auto"/>
              </w:rPr>
              <w:t>(retired May 8, 2025)</w:t>
            </w:r>
          </w:p>
        </w:tc>
        <w:tc>
          <w:tcPr>
            <w:tcW w:w="19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640" w:type="dxa"/>
            <w:vAlign w:val="bottom"/>
            <w:tcBorders>
              <w:bottom w:val="single" w:sz="8" w:color="B6B6B6"/>
            </w:tcBorders>
          </w:tcPr>
          <w:p>
            <w:pPr>
              <w:spacing w:after="0"/>
              <w:rPr>
                <w:sz w:val="6"/>
                <w:szCs w:val="6"/>
                <w:color w:val="auto"/>
              </w:rPr>
            </w:pPr>
          </w:p>
        </w:tc>
        <w:tc>
          <w:tcPr>
            <w:tcW w:w="1900" w:type="dxa"/>
            <w:vAlign w:val="bottom"/>
            <w:tcBorders>
              <w:bottom w:val="single" w:sz="8" w:color="B6B6B6"/>
            </w:tcBorders>
          </w:tcPr>
          <w:p>
            <w:pPr>
              <w:spacing w:after="0"/>
              <w:rPr>
                <w:sz w:val="6"/>
                <w:szCs w:val="6"/>
                <w:color w:val="auto"/>
              </w:rPr>
            </w:pPr>
          </w:p>
        </w:tc>
        <w:tc>
          <w:tcPr>
            <w:tcW w:w="1420" w:type="dxa"/>
            <w:vAlign w:val="bottom"/>
            <w:tcBorders>
              <w:bottom w:val="single" w:sz="8" w:color="B6B6B6"/>
            </w:tcBorders>
          </w:tcPr>
          <w:p>
            <w:pPr>
              <w:spacing w:after="0"/>
              <w:rPr>
                <w:sz w:val="6"/>
                <w:szCs w:val="6"/>
                <w:color w:val="auto"/>
              </w:rPr>
            </w:pPr>
          </w:p>
        </w:tc>
        <w:tc>
          <w:tcPr>
            <w:tcW w:w="1360" w:type="dxa"/>
            <w:vAlign w:val="bottom"/>
            <w:tcBorders>
              <w:bottom w:val="single" w:sz="8" w:color="B6B6B6"/>
            </w:tcBorders>
          </w:tcPr>
          <w:p>
            <w:pPr>
              <w:spacing w:after="0"/>
              <w:rPr>
                <w:sz w:val="6"/>
                <w:szCs w:val="6"/>
                <w:color w:val="auto"/>
              </w:rPr>
            </w:pPr>
          </w:p>
        </w:tc>
        <w:tc>
          <w:tcPr>
            <w:tcW w:w="1260" w:type="dxa"/>
            <w:vAlign w:val="bottom"/>
            <w:tcBorders>
              <w:bottom w:val="single" w:sz="8" w:color="B6B6B6"/>
            </w:tcBorders>
          </w:tcPr>
          <w:p>
            <w:pPr>
              <w:spacing w:after="0"/>
              <w:rPr>
                <w:sz w:val="6"/>
                <w:szCs w:val="6"/>
                <w:color w:val="auto"/>
              </w:rPr>
            </w:pPr>
          </w:p>
        </w:tc>
        <w:tc>
          <w:tcPr>
            <w:tcW w:w="1180" w:type="dxa"/>
            <w:vAlign w:val="bottom"/>
            <w:tcBorders>
              <w:bottom w:val="single" w:sz="8" w:color="B6B6B6"/>
            </w:tcBorders>
          </w:tcPr>
          <w:p>
            <w:pPr>
              <w:spacing w:after="0"/>
              <w:rPr>
                <w:sz w:val="6"/>
                <w:szCs w:val="6"/>
                <w:color w:val="auto"/>
              </w:rPr>
            </w:pPr>
          </w:p>
        </w:tc>
        <w:tc>
          <w:tcPr>
            <w:tcW w:w="142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6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Siim A. Vanaselja</w:t>
            </w:r>
          </w:p>
        </w:tc>
        <w:tc>
          <w:tcPr>
            <w:tcW w:w="19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159,982</w:t>
            </w:r>
          </w:p>
        </w:tc>
        <w:tc>
          <w:tcPr>
            <w:tcW w:w="142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tcBorders>
          </w:tcPr>
          <w:p>
            <w:pPr>
              <w:ind w:left="520"/>
              <w:spacing w:after="0"/>
              <w:rPr>
                <w:sz w:val="20"/>
                <w:szCs w:val="20"/>
                <w:color w:val="auto"/>
              </w:rPr>
            </w:pPr>
            <w:r>
              <w:rPr>
                <w:rFonts w:ascii="Arial" w:cs="Arial" w:eastAsia="Arial" w:hAnsi="Arial"/>
                <w:sz w:val="14"/>
                <w:szCs w:val="14"/>
                <w:color w:val="auto"/>
              </w:rPr>
              <w:t>6,259</w:t>
            </w:r>
          </w:p>
        </w:tc>
        <w:tc>
          <w:tcPr>
            <w:tcW w:w="126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402,737</w:t>
            </w:r>
          </w:p>
        </w:tc>
        <w:tc>
          <w:tcPr>
            <w:tcW w:w="1420" w:type="dxa"/>
            <w:vAlign w:val="bottom"/>
            <w:tcBorders>
              <w:bottom w:val="single" w:sz="8" w:color="B2B2B2"/>
            </w:tcBorders>
          </w:tcPr>
          <w:p>
            <w:pPr>
              <w:jc w:val="center"/>
              <w:ind w:left="708"/>
              <w:spacing w:after="0"/>
              <w:rPr>
                <w:sz w:val="20"/>
                <w:szCs w:val="20"/>
                <w:color w:val="auto"/>
              </w:rPr>
            </w:pPr>
            <w:r>
              <w:rPr>
                <w:rFonts w:ascii="Arial" w:cs="Arial" w:eastAsia="Arial" w:hAnsi="Arial"/>
                <w:sz w:val="14"/>
                <w:szCs w:val="14"/>
                <w:color w:val="auto"/>
              </w:rPr>
              <w:t>402,737</w:t>
            </w:r>
          </w:p>
        </w:tc>
        <w:tc>
          <w:tcPr>
            <w:tcW w:w="0" w:type="dxa"/>
            <w:vAlign w:val="bottom"/>
          </w:tcPr>
          <w:p>
            <w:pPr>
              <w:spacing w:after="0"/>
              <w:rPr>
                <w:sz w:val="1"/>
                <w:szCs w:val="1"/>
                <w:color w:val="auto"/>
              </w:rPr>
            </w:pPr>
          </w:p>
        </w:tc>
      </w:tr>
      <w:tr>
        <w:trPr>
          <w:trHeight w:val="218"/>
        </w:trPr>
        <w:tc>
          <w:tcPr>
            <w:tcW w:w="2640" w:type="dxa"/>
            <w:vAlign w:val="bottom"/>
          </w:tcPr>
          <w:p>
            <w:pPr>
              <w:ind w:left="20"/>
              <w:spacing w:after="0"/>
              <w:rPr>
                <w:sz w:val="20"/>
                <w:szCs w:val="20"/>
                <w:color w:val="auto"/>
              </w:rPr>
            </w:pPr>
            <w:r>
              <w:rPr>
                <w:rFonts w:ascii="Arial" w:cs="Arial" w:eastAsia="Arial" w:hAnsi="Arial"/>
                <w:sz w:val="14"/>
                <w:szCs w:val="14"/>
                <w:color w:val="auto"/>
              </w:rPr>
              <w:t>Thierry Vandal</w:t>
            </w:r>
          </w:p>
        </w:tc>
        <w:tc>
          <w:tcPr>
            <w:tcW w:w="1900" w:type="dxa"/>
            <w:vAlign w:val="bottom"/>
          </w:tcPr>
          <w:p>
            <w:pPr>
              <w:jc w:val="right"/>
              <w:ind w:right="468"/>
              <w:spacing w:after="0"/>
              <w:rPr>
                <w:sz w:val="20"/>
                <w:szCs w:val="20"/>
                <w:color w:val="auto"/>
              </w:rPr>
            </w:pPr>
            <w:r>
              <w:rPr>
                <w:rFonts w:ascii="Arial" w:cs="Arial" w:eastAsia="Arial" w:hAnsi="Arial"/>
                <w:sz w:val="14"/>
                <w:szCs w:val="14"/>
                <w:color w:val="auto"/>
              </w:rPr>
              <w:t>159,982</w:t>
            </w:r>
          </w:p>
        </w:tc>
        <w:tc>
          <w:tcPr>
            <w:tcW w:w="1420" w:type="dxa"/>
            <w:vAlign w:val="bottom"/>
          </w:tcPr>
          <w:p>
            <w:pPr>
              <w:jc w:val="right"/>
              <w:ind w:right="468"/>
              <w:spacing w:after="0"/>
              <w:rPr>
                <w:sz w:val="20"/>
                <w:szCs w:val="20"/>
                <w:color w:val="auto"/>
              </w:rPr>
            </w:pPr>
            <w:r>
              <w:rPr>
                <w:rFonts w:ascii="Arial" w:cs="Arial" w:eastAsia="Arial" w:hAnsi="Arial"/>
                <w:sz w:val="14"/>
                <w:szCs w:val="14"/>
                <w:color w:val="auto"/>
              </w:rPr>
              <w:t>27,823</w:t>
            </w:r>
          </w:p>
        </w:tc>
        <w:tc>
          <w:tcPr>
            <w:tcW w:w="1360" w:type="dxa"/>
            <w:vAlign w:val="bottom"/>
          </w:tcPr>
          <w:p>
            <w:pPr>
              <w:ind w:left="520"/>
              <w:spacing w:after="0"/>
              <w:rPr>
                <w:sz w:val="20"/>
                <w:szCs w:val="20"/>
                <w:color w:val="auto"/>
              </w:rPr>
            </w:pPr>
            <w:r>
              <w:rPr>
                <w:rFonts w:ascii="Arial" w:cs="Arial" w:eastAsia="Arial" w:hAnsi="Arial"/>
                <w:sz w:val="14"/>
                <w:szCs w:val="14"/>
                <w:color w:val="auto"/>
              </w:rPr>
              <w:t>4,203</w:t>
            </w: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428,504</w:t>
            </w:r>
          </w:p>
        </w:tc>
        <w:tc>
          <w:tcPr>
            <w:tcW w:w="1420" w:type="dxa"/>
            <w:vAlign w:val="bottom"/>
          </w:tcPr>
          <w:p>
            <w:pPr>
              <w:jc w:val="center"/>
              <w:ind w:left="708"/>
              <w:spacing w:after="0"/>
              <w:rPr>
                <w:sz w:val="20"/>
                <w:szCs w:val="20"/>
                <w:color w:val="auto"/>
              </w:rPr>
            </w:pPr>
            <w:r>
              <w:rPr>
                <w:rFonts w:ascii="Arial" w:cs="Arial" w:eastAsia="Arial" w:hAnsi="Arial"/>
                <w:sz w:val="14"/>
                <w:szCs w:val="14"/>
                <w:color w:val="auto"/>
              </w:rPr>
              <w:t>428,504</w:t>
            </w:r>
          </w:p>
        </w:tc>
        <w:tc>
          <w:tcPr>
            <w:tcW w:w="0" w:type="dxa"/>
            <w:vAlign w:val="bottom"/>
          </w:tcPr>
          <w:p>
            <w:pPr>
              <w:spacing w:after="0"/>
              <w:rPr>
                <w:sz w:val="1"/>
                <w:szCs w:val="1"/>
                <w:color w:val="auto"/>
              </w:rPr>
            </w:pPr>
          </w:p>
        </w:tc>
      </w:tr>
      <w:tr>
        <w:trPr>
          <w:trHeight w:val="35"/>
        </w:trPr>
        <w:tc>
          <w:tcPr>
            <w:tcW w:w="2640" w:type="dxa"/>
            <w:vAlign w:val="bottom"/>
            <w:tcBorders>
              <w:bottom w:val="single" w:sz="8" w:color="B6B6B6"/>
            </w:tcBorders>
          </w:tcPr>
          <w:p>
            <w:pPr>
              <w:spacing w:after="0"/>
              <w:rPr>
                <w:sz w:val="3"/>
                <w:szCs w:val="3"/>
                <w:color w:val="auto"/>
              </w:rPr>
            </w:pPr>
          </w:p>
        </w:tc>
        <w:tc>
          <w:tcPr>
            <w:tcW w:w="1900" w:type="dxa"/>
            <w:vAlign w:val="bottom"/>
            <w:tcBorders>
              <w:bottom w:val="single" w:sz="8" w:color="B6B6B6"/>
            </w:tcBorders>
          </w:tcPr>
          <w:p>
            <w:pPr>
              <w:spacing w:after="0"/>
              <w:rPr>
                <w:sz w:val="3"/>
                <w:szCs w:val="3"/>
                <w:color w:val="auto"/>
              </w:rPr>
            </w:pPr>
          </w:p>
        </w:tc>
        <w:tc>
          <w:tcPr>
            <w:tcW w:w="1420" w:type="dxa"/>
            <w:vAlign w:val="bottom"/>
            <w:tcBorders>
              <w:bottom w:val="single" w:sz="8" w:color="B6B6B6"/>
            </w:tcBorders>
          </w:tcPr>
          <w:p>
            <w:pPr>
              <w:spacing w:after="0"/>
              <w:rPr>
                <w:sz w:val="3"/>
                <w:szCs w:val="3"/>
                <w:color w:val="auto"/>
              </w:rPr>
            </w:pPr>
          </w:p>
        </w:tc>
        <w:tc>
          <w:tcPr>
            <w:tcW w:w="1360" w:type="dxa"/>
            <w:vAlign w:val="bottom"/>
            <w:tcBorders>
              <w:bottom w:val="single" w:sz="8" w:color="B6B6B6"/>
            </w:tcBorders>
          </w:tcPr>
          <w:p>
            <w:pPr>
              <w:spacing w:after="0"/>
              <w:rPr>
                <w:sz w:val="3"/>
                <w:szCs w:val="3"/>
                <w:color w:val="auto"/>
              </w:rPr>
            </w:pPr>
          </w:p>
        </w:tc>
        <w:tc>
          <w:tcPr>
            <w:tcW w:w="1260" w:type="dxa"/>
            <w:vAlign w:val="bottom"/>
            <w:tcBorders>
              <w:bottom w:val="single" w:sz="8" w:color="B6B6B6"/>
            </w:tcBorders>
          </w:tcPr>
          <w:p>
            <w:pPr>
              <w:spacing w:after="0"/>
              <w:rPr>
                <w:sz w:val="3"/>
                <w:szCs w:val="3"/>
                <w:color w:val="auto"/>
              </w:rPr>
            </w:pPr>
          </w:p>
        </w:tc>
        <w:tc>
          <w:tcPr>
            <w:tcW w:w="1180" w:type="dxa"/>
            <w:vAlign w:val="bottom"/>
            <w:tcBorders>
              <w:bottom w:val="single" w:sz="8" w:color="B6B6B6"/>
            </w:tcBorders>
          </w:tcPr>
          <w:p>
            <w:pPr>
              <w:spacing w:after="0"/>
              <w:rPr>
                <w:sz w:val="3"/>
                <w:szCs w:val="3"/>
                <w:color w:val="auto"/>
              </w:rPr>
            </w:pPr>
          </w:p>
        </w:tc>
        <w:tc>
          <w:tcPr>
            <w:tcW w:w="142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4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Dheeraj "D" Verma</w:t>
            </w:r>
          </w:p>
        </w:tc>
        <w:tc>
          <w:tcPr>
            <w:tcW w:w="1900" w:type="dxa"/>
            <w:vAlign w:val="bottom"/>
            <w:tcBorders>
              <w:bottom w:val="single" w:sz="8" w:color="0D64EF"/>
            </w:tcBorders>
          </w:tcPr>
          <w:p>
            <w:pPr>
              <w:jc w:val="right"/>
              <w:ind w:right="468"/>
              <w:spacing w:after="0"/>
              <w:rPr>
                <w:sz w:val="20"/>
                <w:szCs w:val="20"/>
                <w:color w:val="auto"/>
              </w:rPr>
            </w:pPr>
            <w:r>
              <w:rPr>
                <w:rFonts w:ascii="Arial" w:cs="Arial" w:eastAsia="Arial" w:hAnsi="Arial"/>
                <w:sz w:val="14"/>
                <w:szCs w:val="14"/>
                <w:color w:val="auto"/>
              </w:rPr>
              <w:t>159,982</w:t>
            </w:r>
          </w:p>
        </w:tc>
        <w:tc>
          <w:tcPr>
            <w:tcW w:w="1420" w:type="dxa"/>
            <w:vAlign w:val="bottom"/>
            <w:tcBorders>
              <w:bottom w:val="single" w:sz="8" w:color="0D64EF"/>
            </w:tcBorders>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D64EF"/>
            </w:tcBorders>
          </w:tcPr>
          <w:p>
            <w:pPr>
              <w:ind w:left="520"/>
              <w:spacing w:after="0"/>
              <w:rPr>
                <w:sz w:val="20"/>
                <w:szCs w:val="20"/>
                <w:color w:val="auto"/>
              </w:rPr>
            </w:pPr>
            <w:r>
              <w:rPr>
                <w:rFonts w:ascii="Arial" w:cs="Arial" w:eastAsia="Arial" w:hAnsi="Arial"/>
                <w:sz w:val="14"/>
                <w:szCs w:val="14"/>
                <w:color w:val="auto"/>
              </w:rPr>
              <w:t>4,102</w:t>
            </w:r>
          </w:p>
        </w:tc>
        <w:tc>
          <w:tcPr>
            <w:tcW w:w="1260" w:type="dxa"/>
            <w:vAlign w:val="bottom"/>
            <w:tcBorders>
              <w:bottom w:val="single" w:sz="8" w:color="0D64EF"/>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400,581</w:t>
            </w:r>
          </w:p>
        </w:tc>
        <w:tc>
          <w:tcPr>
            <w:tcW w:w="1420" w:type="dxa"/>
            <w:vAlign w:val="bottom"/>
            <w:tcBorders>
              <w:bottom w:val="single" w:sz="8" w:color="0D64EF"/>
            </w:tcBorders>
          </w:tcPr>
          <w:p>
            <w:pPr>
              <w:jc w:val="center"/>
              <w:ind w:left="708"/>
              <w:spacing w:after="0"/>
              <w:rPr>
                <w:sz w:val="20"/>
                <w:szCs w:val="20"/>
                <w:color w:val="auto"/>
              </w:rPr>
            </w:pPr>
            <w:r>
              <w:rPr>
                <w:rFonts w:ascii="Arial" w:cs="Arial" w:eastAsia="Arial" w:hAnsi="Arial"/>
                <w:sz w:val="14"/>
                <w:szCs w:val="14"/>
                <w:color w:val="auto"/>
              </w:rPr>
              <w:t>400,581</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The Board received their share-based awards, retainers and travel fees in U.S. dollars. The values presented in this table are in Canadian dollars and reflect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U.S./Canadian foreign exchange rate of 1.4376 as at March 31, 2025, 1.3643 as at June 30, 2025, 1.3921 as at September 29, 2025 and 1.3706 as at December 31, 2025.</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DSUs credited include all share-based awards vested or earned by the directors in 2025. The minimum portion of the Board retainer paid in DSUs in 2025</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was U.S.$290,000 for the Chair and U.S.$170,000 for the other directors. DSUs credited also includes the portion of the retainers and travel fees directors chose to receive in DSUs in 2025.</w:t>
      </w:r>
    </w:p>
    <w:p>
      <w:pPr>
        <w:spacing w:after="0" w:line="39" w:lineRule="exact"/>
        <w:rPr>
          <w:sz w:val="20"/>
          <w:szCs w:val="20"/>
          <w:color w:val="auto"/>
        </w:rPr>
      </w:pPr>
    </w:p>
    <w:p>
      <w:pPr>
        <w:ind w:left="140" w:hanging="133"/>
        <w:spacing w:after="0"/>
        <w:tabs>
          <w:tab w:leader="none" w:pos="1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Total cash and DSUs credited is the total dollar amount paid for duties performed on the TC Energy and TCPL boards.</w:t>
      </w:r>
    </w:p>
    <w:p>
      <w:pPr>
        <w:spacing w:after="0" w:line="38" w:lineRule="exact"/>
        <w:rPr>
          <w:rFonts w:ascii="Arial" w:cs="Arial" w:eastAsia="Arial" w:hAnsi="Arial"/>
          <w:sz w:val="13"/>
          <w:szCs w:val="13"/>
          <w:color w:val="auto"/>
        </w:rPr>
      </w:pPr>
    </w:p>
    <w:p>
      <w:pPr>
        <w:ind w:left="160" w:right="120" w:hanging="153"/>
        <w:spacing w:after="0" w:line="291" w:lineRule="auto"/>
        <w:tabs>
          <w:tab w:leader="none" w:pos="137" w:val="left"/>
        </w:tabs>
        <w:numPr>
          <w:ilvl w:val="0"/>
          <w:numId w:val="105"/>
        </w:numPr>
        <w:rPr>
          <w:rFonts w:ascii="Arial" w:cs="Arial" w:eastAsia="Arial" w:hAnsi="Arial"/>
          <w:sz w:val="13"/>
          <w:szCs w:val="13"/>
          <w:color w:val="auto"/>
        </w:rPr>
      </w:pPr>
      <w:r>
        <w:rPr>
          <w:rFonts w:ascii="Arial" w:cs="Arial" w:eastAsia="Arial" w:hAnsi="Arial"/>
          <w:sz w:val="13"/>
          <w:szCs w:val="13"/>
          <w:color w:val="auto"/>
        </w:rPr>
        <w:t>DSUs were paid quarterly based on share prices of $67.96, $66.48, $75.67 and $75.58, the closing prices of TC Energy shares on the TSX at the end of each quarter in 2025, respectively. Directors are able to redeem their DSUs when they leave the Board.</w:t>
      </w:r>
    </w:p>
    <w:p>
      <w:pPr>
        <w:ind w:left="140" w:hanging="133"/>
        <w:spacing w:after="0"/>
        <w:tabs>
          <w:tab w:leader="none" w:pos="1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 2025, Mr. Poirier was compensated in his role as President and CEO and did not receive any director compensation.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180"/>
          </w:cols>
          <w:pgMar w:left="320" w:top="1039" w:right="399" w:bottom="1440" w:gutter="0" w:footer="0" w:header="0"/>
        </w:sectPr>
      </w:pPr>
    </w:p>
    <w:bookmarkStart w:id="88" w:name="page89"/>
    <w:bookmarkEnd w:id="88"/>
    <w:p>
      <w:pPr>
        <w:spacing w:after="0"/>
        <w:rPr>
          <w:sz w:val="20"/>
          <w:szCs w:val="20"/>
          <w:color w:val="auto"/>
        </w:rPr>
      </w:pPr>
      <w:r>
        <w:rPr>
          <w:rFonts w:ascii="Arial" w:cs="Arial" w:eastAsia="Arial" w:hAnsi="Arial"/>
          <w:sz w:val="20"/>
          <w:szCs w:val="20"/>
          <w:b w:val="1"/>
          <w:bCs w:val="1"/>
          <w:color w:val="0D64EF"/>
        </w:rPr>
        <w:t>AT-RISK INVESTMENT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table on the next page shows:</w:t>
      </w:r>
    </w:p>
    <w:p>
      <w:pPr>
        <w:spacing w:after="0" w:line="152" w:lineRule="exact"/>
        <w:rPr>
          <w:sz w:val="20"/>
          <w:szCs w:val="20"/>
          <w:color w:val="auto"/>
        </w:rPr>
      </w:pPr>
    </w:p>
    <w:p>
      <w:pPr>
        <w:ind w:left="140" w:hanging="133"/>
        <w:spacing w:after="0"/>
        <w:tabs>
          <w:tab w:leader="none" w:pos="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total value of each director’s shares and DSUs or shares of our affiliates, including the DSUs credited as dividend equivalents up to January 30, 2026,</w:t>
      </w:r>
    </w:p>
    <w:p>
      <w:pPr>
        <w:spacing w:after="0" w:line="138" w:lineRule="exact"/>
        <w:rPr>
          <w:rFonts w:ascii="Arial" w:cs="Arial" w:eastAsia="Arial" w:hAnsi="Arial"/>
          <w:sz w:val="16"/>
          <w:szCs w:val="16"/>
          <w:color w:val="auto"/>
        </w:rPr>
      </w:pPr>
    </w:p>
    <w:p>
      <w:pPr>
        <w:ind w:left="140" w:hanging="133"/>
        <w:spacing w:after="0"/>
        <w:tabs>
          <w:tab w:leader="none" w:pos="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their holdings as a percentage of their 2025 annual retainer, and</w:t>
      </w:r>
    </w:p>
    <w:p>
      <w:pPr>
        <w:spacing w:after="0" w:line="151" w:lineRule="exact"/>
        <w:rPr>
          <w:rFonts w:ascii="Arial" w:cs="Arial" w:eastAsia="Arial" w:hAnsi="Arial"/>
          <w:sz w:val="16"/>
          <w:szCs w:val="16"/>
          <w:color w:val="auto"/>
        </w:rPr>
      </w:pPr>
    </w:p>
    <w:p>
      <w:pPr>
        <w:ind w:left="140" w:hanging="133"/>
        <w:spacing w:after="0"/>
        <w:tabs>
          <w:tab w:leader="none" w:pos="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minimum equity investment required, as a multiple of their annual retainer.</w:t>
      </w:r>
    </w:p>
    <w:p>
      <w:pPr>
        <w:spacing w:after="0" w:line="138" w:lineRule="exact"/>
        <w:rPr>
          <w:sz w:val="20"/>
          <w:szCs w:val="20"/>
          <w:color w:val="auto"/>
        </w:rPr>
      </w:pPr>
    </w:p>
    <w:p>
      <w:pPr>
        <w:ind w:right="180"/>
        <w:spacing w:after="0" w:line="354" w:lineRule="auto"/>
        <w:rPr>
          <w:sz w:val="20"/>
          <w:szCs w:val="20"/>
          <w:color w:val="auto"/>
        </w:rPr>
      </w:pPr>
      <w:r>
        <w:rPr>
          <w:rFonts w:ascii="Arial" w:cs="Arial" w:eastAsia="Arial" w:hAnsi="Arial"/>
          <w:sz w:val="16"/>
          <w:szCs w:val="16"/>
          <w:color w:val="auto"/>
        </w:rPr>
        <w:t>The change in value represents the value of DSUs received in 2025, including dividend equivalents credited up to January 30, 2026, plus any additional TC Energy shares acquired in 2025. The change in value also includes increases and decreases in market value.</w:t>
      </w:r>
    </w:p>
    <w:p>
      <w:pPr>
        <w:spacing w:after="0" w:line="22" w:lineRule="exact"/>
        <w:rPr>
          <w:sz w:val="20"/>
          <w:szCs w:val="20"/>
          <w:color w:val="auto"/>
        </w:rPr>
      </w:pPr>
    </w:p>
    <w:p>
      <w:pPr>
        <w:ind w:right="240"/>
        <w:spacing w:after="0" w:line="354" w:lineRule="auto"/>
        <w:rPr>
          <w:sz w:val="20"/>
          <w:szCs w:val="20"/>
          <w:color w:val="auto"/>
        </w:rPr>
      </w:pPr>
      <w:r>
        <w:rPr>
          <w:rFonts w:ascii="Arial" w:cs="Arial" w:eastAsia="Arial" w:hAnsi="Arial"/>
          <w:sz w:val="16"/>
          <w:szCs w:val="16"/>
          <w:color w:val="auto"/>
        </w:rPr>
        <w:t xml:space="preserve">Mr. Poirier's at-risk investment is not included in this section due to his role as an executive officer. For more information on Mr. Poirier's at-risk investment, see Mr. Poirier's director profile in </w:t>
      </w:r>
      <w:r>
        <w:rPr>
          <w:rFonts w:ascii="Arial" w:cs="Arial" w:eastAsia="Arial" w:hAnsi="Arial"/>
          <w:sz w:val="16"/>
          <w:szCs w:val="16"/>
          <w:i w:val="1"/>
          <w:iCs w:val="1"/>
          <w:color w:val="auto"/>
        </w:rPr>
        <w:t>Business of the Meeting - Election of Directors</w:t>
      </w:r>
      <w:r>
        <w:rPr>
          <w:rFonts w:ascii="Arial" w:cs="Arial" w:eastAsia="Arial" w:hAnsi="Arial"/>
          <w:sz w:val="16"/>
          <w:szCs w:val="16"/>
          <w:color w:val="auto"/>
        </w:rPr>
        <w:t xml:space="preserve"> on page 27.</w:t>
      </w:r>
    </w:p>
    <w:p>
      <w:pPr>
        <w:spacing w:after="0" w:line="22" w:lineRule="exact"/>
        <w:rPr>
          <w:sz w:val="20"/>
          <w:szCs w:val="20"/>
          <w:color w:val="auto"/>
        </w:rPr>
      </w:pPr>
    </w:p>
    <w:p>
      <w:pPr>
        <w:ind w:right="400"/>
        <w:spacing w:after="0" w:line="354" w:lineRule="auto"/>
        <w:rPr>
          <w:sz w:val="20"/>
          <w:szCs w:val="20"/>
          <w:color w:val="auto"/>
        </w:rPr>
      </w:pPr>
      <w:r>
        <w:rPr>
          <w:rFonts w:ascii="Arial" w:cs="Arial" w:eastAsia="Arial" w:hAnsi="Arial"/>
          <w:sz w:val="16"/>
          <w:szCs w:val="16"/>
          <w:color w:val="auto"/>
        </w:rPr>
        <w:t>As of the date of this Circular, all of our directors are in compliance with our Director Share Ownership Policy. See pages 79 and 93 for more information about our share ownership requirements for directors and executives.</w:t>
      </w:r>
    </w:p>
    <w:p>
      <w:pPr>
        <w:spacing w:after="0" w:line="22" w:lineRule="exact"/>
        <w:rPr>
          <w:sz w:val="20"/>
          <w:szCs w:val="20"/>
          <w:color w:val="auto"/>
        </w:rPr>
      </w:pPr>
    </w:p>
    <w:p>
      <w:pPr>
        <w:ind w:right="160"/>
        <w:spacing w:after="0" w:line="354" w:lineRule="auto"/>
        <w:rPr>
          <w:sz w:val="20"/>
          <w:szCs w:val="20"/>
          <w:color w:val="auto"/>
        </w:rPr>
      </w:pPr>
      <w:r>
        <w:rPr>
          <w:rFonts w:ascii="Arial" w:cs="Arial" w:eastAsia="Arial" w:hAnsi="Arial"/>
          <w:sz w:val="16"/>
          <w:szCs w:val="16"/>
          <w:color w:val="auto"/>
        </w:rPr>
        <w:t>None of the nominated directors (or all of our directors and executives as a group) own more than one per cent of TC Energy shares, or any class of shares of its subsidiaries and affiliates.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In the table:</w:t>
      </w:r>
    </w:p>
    <w:p>
      <w:pPr>
        <w:spacing w:after="0" w:line="152" w:lineRule="exact"/>
        <w:rPr>
          <w:sz w:val="20"/>
          <w:szCs w:val="20"/>
          <w:color w:val="auto"/>
        </w:rPr>
      </w:pPr>
    </w:p>
    <w:p>
      <w:pPr>
        <w:ind w:left="160" w:hanging="153"/>
        <w:spacing w:after="0"/>
        <w:tabs>
          <w:tab w:leader="none" w:pos="160" w:val="left"/>
        </w:tabs>
        <w:numPr>
          <w:ilvl w:val="0"/>
          <w:numId w:val="10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DSUs </w:t>
      </w:r>
      <w:r>
        <w:rPr>
          <w:rFonts w:ascii="Arial" w:cs="Arial" w:eastAsia="Arial" w:hAnsi="Arial"/>
          <w:sz w:val="16"/>
          <w:szCs w:val="16"/>
          <w:color w:val="auto"/>
        </w:rPr>
        <w:t>include DSUs credited as dividend equivalents up to January 30, 2026.</w:t>
      </w:r>
    </w:p>
    <w:p>
      <w:pPr>
        <w:spacing w:after="0" w:line="138" w:lineRule="exact"/>
        <w:rPr>
          <w:rFonts w:ascii="Arial" w:cs="Arial" w:eastAsia="Arial" w:hAnsi="Arial"/>
          <w:sz w:val="16"/>
          <w:szCs w:val="16"/>
          <w:i w:val="1"/>
          <w:iCs w:val="1"/>
          <w:color w:val="auto"/>
        </w:rPr>
      </w:pPr>
    </w:p>
    <w:p>
      <w:pPr>
        <w:ind w:left="160" w:hanging="153"/>
        <w:spacing w:after="0"/>
        <w:tabs>
          <w:tab w:leader="none" w:pos="160" w:val="left"/>
        </w:tabs>
        <w:numPr>
          <w:ilvl w:val="0"/>
          <w:numId w:val="10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Total market value </w:t>
      </w:r>
      <w:r>
        <w:rPr>
          <w:rFonts w:ascii="Arial" w:cs="Arial" w:eastAsia="Arial" w:hAnsi="Arial"/>
          <w:sz w:val="16"/>
          <w:szCs w:val="16"/>
          <w:color w:val="auto"/>
        </w:rPr>
        <w:t>is the market value of TC Energy shares and DSUs, calculated using a closing share price on the</w:t>
      </w:r>
    </w:p>
    <w:p>
      <w:pPr>
        <w:spacing w:after="0" w:line="57" w:lineRule="exact"/>
        <w:rPr>
          <w:rFonts w:ascii="Arial" w:cs="Arial" w:eastAsia="Arial" w:hAnsi="Arial"/>
          <w:sz w:val="16"/>
          <w:szCs w:val="16"/>
          <w:i w:val="1"/>
          <w:iCs w:val="1"/>
          <w:color w:val="auto"/>
        </w:rPr>
      </w:pPr>
    </w:p>
    <w:p>
      <w:pPr>
        <w:ind w:left="160"/>
        <w:spacing w:after="0"/>
        <w:rPr>
          <w:rFonts w:ascii="Arial" w:cs="Arial" w:eastAsia="Arial" w:hAnsi="Arial"/>
          <w:sz w:val="16"/>
          <w:szCs w:val="16"/>
          <w:i w:val="1"/>
          <w:iCs w:val="1"/>
          <w:color w:val="auto"/>
        </w:rPr>
      </w:pPr>
      <w:r>
        <w:rPr>
          <w:rFonts w:ascii="Arial" w:cs="Arial" w:eastAsia="Arial" w:hAnsi="Arial"/>
          <w:sz w:val="16"/>
          <w:szCs w:val="16"/>
          <w:color w:val="auto"/>
        </w:rPr>
        <w:t>TSX of $67.71 on March 14, 2025 and $87.24 on March 5, 2026. It includes DSUs credited as dividend equivalents up to January 30, 2026.</w:t>
      </w:r>
    </w:p>
    <w:p>
      <w:pPr>
        <w:spacing w:after="0" w:line="138" w:lineRule="exact"/>
        <w:rPr>
          <w:rFonts w:ascii="Arial" w:cs="Arial" w:eastAsia="Arial" w:hAnsi="Arial"/>
          <w:sz w:val="16"/>
          <w:szCs w:val="16"/>
          <w:i w:val="1"/>
          <w:iCs w:val="1"/>
          <w:color w:val="auto"/>
        </w:rPr>
      </w:pPr>
    </w:p>
    <w:p>
      <w:pPr>
        <w:ind w:left="160" w:right="360" w:hanging="153"/>
        <w:spacing w:after="0" w:line="354" w:lineRule="auto"/>
        <w:tabs>
          <w:tab w:leader="none" w:pos="137" w:val="left"/>
        </w:tabs>
        <w:numPr>
          <w:ilvl w:val="0"/>
          <w:numId w:val="107"/>
        </w:numPr>
        <w:rPr>
          <w:rFonts w:ascii="Arial" w:cs="Arial" w:eastAsia="Arial" w:hAnsi="Arial"/>
          <w:sz w:val="13"/>
          <w:szCs w:val="13"/>
          <w:color w:val="auto"/>
        </w:rPr>
      </w:pPr>
      <w:r>
        <w:rPr>
          <w:rFonts w:ascii="Arial" w:cs="Arial" w:eastAsia="Arial" w:hAnsi="Arial"/>
          <w:sz w:val="16"/>
          <w:szCs w:val="16"/>
          <w:color w:val="auto"/>
        </w:rPr>
        <w:t xml:space="preserve">The values presented in </w:t>
      </w:r>
      <w:r>
        <w:rPr>
          <w:rFonts w:ascii="Arial" w:cs="Arial" w:eastAsia="Arial" w:hAnsi="Arial"/>
          <w:sz w:val="16"/>
          <w:szCs w:val="16"/>
          <w:i w:val="1"/>
          <w:iCs w:val="1"/>
          <w:color w:val="auto"/>
        </w:rPr>
        <w:t>As a multiple of annual retainer</w:t>
      </w:r>
      <w:r>
        <w:rPr>
          <w:rFonts w:ascii="Arial" w:cs="Arial" w:eastAsia="Arial" w:hAnsi="Arial"/>
          <w:sz w:val="16"/>
          <w:szCs w:val="16"/>
          <w:color w:val="auto"/>
        </w:rPr>
        <w:t xml:space="preserve"> and </w:t>
      </w:r>
      <w:r>
        <w:rPr>
          <w:rFonts w:ascii="Arial" w:cs="Arial" w:eastAsia="Arial" w:hAnsi="Arial"/>
          <w:sz w:val="16"/>
          <w:szCs w:val="16"/>
          <w:i w:val="1"/>
          <w:iCs w:val="1"/>
          <w:color w:val="auto"/>
        </w:rPr>
        <w:t>Total value of minimum investment</w:t>
      </w:r>
      <w:r>
        <w:rPr>
          <w:rFonts w:ascii="Arial" w:cs="Arial" w:eastAsia="Arial" w:hAnsi="Arial"/>
          <w:sz w:val="16"/>
          <w:szCs w:val="16"/>
          <w:color w:val="auto"/>
        </w:rPr>
        <w:t xml:space="preserve"> reflect an annual retainer value using a U.S./Canadian foreign exchange rate of 1.4388 as at March 14, 2025 and 1.3677 as at March 5,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83</w:t>
      </w:r>
    </w:p>
    <w:p>
      <w:pPr>
        <w:sectPr>
          <w:pgSz w:w="11900" w:h="16838" w:orient="portrait"/>
          <w:cols w:equalWidth="0" w:num="1">
            <w:col w:w="11240"/>
          </w:cols>
          <w:pgMar w:left="320" w:top="109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0D64EF"/>
        </w:rPr>
        <w:t>At-risk investment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20" w:type="dxa"/>
            <w:vAlign w:val="bottom"/>
            <w:tcBorders>
              <w:top w:val="single" w:sz="8" w:color="0D64EF"/>
            </w:tcBorders>
            <w:shd w:val="clear" w:color="auto" w:fill="D1D0CF"/>
          </w:tcPr>
          <w:p>
            <w:pPr>
              <w:spacing w:after="0"/>
              <w:rPr>
                <w:sz w:val="18"/>
                <w:szCs w:val="18"/>
                <w:color w:val="auto"/>
              </w:rPr>
            </w:pPr>
          </w:p>
        </w:tc>
        <w:tc>
          <w:tcPr>
            <w:tcW w:w="920" w:type="dxa"/>
            <w:vAlign w:val="bottom"/>
            <w:tcBorders>
              <w:top w:val="single" w:sz="8" w:color="0D64EF"/>
            </w:tcBorders>
            <w:shd w:val="clear" w:color="auto" w:fill="D1D0CF"/>
          </w:tcPr>
          <w:p>
            <w:pPr>
              <w:spacing w:after="0"/>
              <w:rPr>
                <w:sz w:val="18"/>
                <w:szCs w:val="18"/>
                <w:color w:val="auto"/>
              </w:rPr>
            </w:pPr>
          </w:p>
        </w:tc>
        <w:tc>
          <w:tcPr>
            <w:tcW w:w="1300" w:type="dxa"/>
            <w:vAlign w:val="bottom"/>
            <w:tcBorders>
              <w:top w:val="single" w:sz="8" w:color="0D64EF"/>
            </w:tcBorders>
            <w:shd w:val="clear" w:color="auto" w:fill="D1D0CF"/>
          </w:tcPr>
          <w:p>
            <w:pPr>
              <w:spacing w:after="0"/>
              <w:rPr>
                <w:sz w:val="18"/>
                <w:szCs w:val="18"/>
                <w:color w:val="auto"/>
              </w:rPr>
            </w:pPr>
          </w:p>
        </w:tc>
        <w:tc>
          <w:tcPr>
            <w:tcW w:w="1020" w:type="dxa"/>
            <w:vAlign w:val="bottom"/>
            <w:tcBorders>
              <w:top w:val="single" w:sz="8" w:color="0D64EF"/>
            </w:tcBorders>
            <w:shd w:val="clear" w:color="auto" w:fill="D1D0CF"/>
          </w:tcPr>
          <w:p>
            <w:pPr>
              <w:spacing w:after="0"/>
              <w:rPr>
                <w:sz w:val="18"/>
                <w:szCs w:val="18"/>
                <w:color w:val="auto"/>
              </w:rPr>
            </w:pPr>
          </w:p>
        </w:tc>
        <w:tc>
          <w:tcPr>
            <w:tcW w:w="1120" w:type="dxa"/>
            <w:vAlign w:val="bottom"/>
            <w:tcBorders>
              <w:top w:val="single" w:sz="8" w:color="0D64EF"/>
            </w:tcBorders>
            <w:shd w:val="clear" w:color="auto" w:fill="D1D0CF"/>
          </w:tcPr>
          <w:p>
            <w:pPr>
              <w:spacing w:after="0"/>
              <w:rPr>
                <w:sz w:val="18"/>
                <w:szCs w:val="18"/>
                <w:color w:val="auto"/>
              </w:rPr>
            </w:pPr>
          </w:p>
        </w:tc>
        <w:tc>
          <w:tcPr>
            <w:tcW w:w="2600" w:type="dxa"/>
            <w:vAlign w:val="bottom"/>
            <w:tcBorders>
              <w:top w:val="single" w:sz="8" w:color="0D64EF"/>
            </w:tcBorders>
            <w:gridSpan w:val="3"/>
            <w:shd w:val="clear" w:color="auto" w:fill="D1D0CF"/>
          </w:tcPr>
          <w:p>
            <w:pPr>
              <w:ind w:left="620"/>
              <w:spacing w:after="0"/>
              <w:rPr>
                <w:sz w:val="20"/>
                <w:szCs w:val="20"/>
                <w:color w:val="auto"/>
              </w:rPr>
            </w:pPr>
            <w:r>
              <w:rPr>
                <w:rFonts w:ascii="Arial" w:cs="Arial" w:eastAsia="Arial" w:hAnsi="Arial"/>
                <w:sz w:val="14"/>
                <w:szCs w:val="14"/>
                <w:b w:val="1"/>
                <w:bCs w:val="1"/>
                <w:color w:val="auto"/>
              </w:rPr>
              <w:t>At-risk investment</w:t>
            </w:r>
          </w:p>
        </w:tc>
        <w:tc>
          <w:tcPr>
            <w:tcW w:w="2360" w:type="dxa"/>
            <w:vAlign w:val="bottom"/>
            <w:tcBorders>
              <w:top w:val="single" w:sz="8" w:color="0D64EF"/>
            </w:tcBorders>
            <w:gridSpan w:val="2"/>
            <w:shd w:val="clear" w:color="auto" w:fill="D1D0CF"/>
          </w:tcPr>
          <w:p>
            <w:pPr>
              <w:jc w:val="right"/>
              <w:ind w:right="88"/>
              <w:spacing w:after="0"/>
              <w:rPr>
                <w:sz w:val="20"/>
                <w:szCs w:val="20"/>
                <w:color w:val="auto"/>
              </w:rPr>
            </w:pPr>
            <w:r>
              <w:rPr>
                <w:rFonts w:ascii="Arial" w:cs="Arial" w:eastAsia="Arial" w:hAnsi="Arial"/>
                <w:sz w:val="14"/>
                <w:szCs w:val="14"/>
                <w:b w:val="1"/>
                <w:bCs w:val="1"/>
                <w:color w:val="auto"/>
              </w:rPr>
              <w:t>Minimum investment required</w:t>
            </w:r>
          </w:p>
        </w:tc>
        <w:tc>
          <w:tcPr>
            <w:tcW w:w="0" w:type="dxa"/>
            <w:vAlign w:val="bottom"/>
          </w:tcPr>
          <w:p>
            <w:pPr>
              <w:spacing w:after="0"/>
              <w:rPr>
                <w:sz w:val="1"/>
                <w:szCs w:val="1"/>
                <w:color w:val="auto"/>
              </w:rPr>
            </w:pPr>
          </w:p>
        </w:tc>
      </w:tr>
      <w:tr>
        <w:trPr>
          <w:trHeight w:val="69"/>
        </w:trPr>
        <w:tc>
          <w:tcPr>
            <w:tcW w:w="1920" w:type="dxa"/>
            <w:vAlign w:val="bottom"/>
            <w:tcBorders>
              <w:bottom w:val="single" w:sz="8" w:color="D1D0CF"/>
            </w:tcBorders>
            <w:shd w:val="clear" w:color="auto" w:fill="D1D0CF"/>
          </w:tcPr>
          <w:p>
            <w:pPr>
              <w:spacing w:after="0"/>
              <w:rPr>
                <w:sz w:val="5"/>
                <w:szCs w:val="5"/>
                <w:color w:val="auto"/>
              </w:rPr>
            </w:pPr>
          </w:p>
        </w:tc>
        <w:tc>
          <w:tcPr>
            <w:tcW w:w="920" w:type="dxa"/>
            <w:vAlign w:val="bottom"/>
            <w:tcBorders>
              <w:bottom w:val="single" w:sz="8" w:color="D1D0CF"/>
            </w:tcBorders>
            <w:shd w:val="clear" w:color="auto" w:fill="D1D0CF"/>
          </w:tcPr>
          <w:p>
            <w:pPr>
              <w:spacing w:after="0"/>
              <w:rPr>
                <w:sz w:val="5"/>
                <w:szCs w:val="5"/>
                <w:color w:val="auto"/>
              </w:rPr>
            </w:pPr>
          </w:p>
        </w:tc>
        <w:tc>
          <w:tcPr>
            <w:tcW w:w="1300" w:type="dxa"/>
            <w:vAlign w:val="bottom"/>
            <w:tcBorders>
              <w:bottom w:val="single" w:sz="8" w:color="D1D0CF"/>
            </w:tcBorders>
            <w:shd w:val="clear" w:color="auto" w:fill="D1D0CF"/>
          </w:tcPr>
          <w:p>
            <w:pPr>
              <w:spacing w:after="0"/>
              <w:rPr>
                <w:sz w:val="5"/>
                <w:szCs w:val="5"/>
                <w:color w:val="auto"/>
              </w:rPr>
            </w:pPr>
          </w:p>
        </w:tc>
        <w:tc>
          <w:tcPr>
            <w:tcW w:w="1020" w:type="dxa"/>
            <w:vAlign w:val="bottom"/>
            <w:tcBorders>
              <w:bottom w:val="single" w:sz="8" w:color="D1D0CF"/>
            </w:tcBorders>
            <w:shd w:val="clear" w:color="auto" w:fill="D1D0CF"/>
          </w:tcPr>
          <w:p>
            <w:pPr>
              <w:spacing w:after="0"/>
              <w:rPr>
                <w:sz w:val="5"/>
                <w:szCs w:val="5"/>
                <w:color w:val="auto"/>
              </w:rPr>
            </w:pPr>
          </w:p>
        </w:tc>
        <w:tc>
          <w:tcPr>
            <w:tcW w:w="1120" w:type="dxa"/>
            <w:vAlign w:val="bottom"/>
            <w:tcBorders>
              <w:bottom w:val="single" w:sz="8" w:color="D1D0CF"/>
            </w:tcBorders>
            <w:vMerge w:val="restart"/>
            <w:shd w:val="clear" w:color="auto" w:fill="D1D0CF"/>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460" w:type="dxa"/>
            <w:vAlign w:val="bottom"/>
            <w:tcBorders>
              <w:bottom w:val="single" w:sz="8" w:color="0D64EF"/>
            </w:tcBorders>
            <w:shd w:val="clear" w:color="auto" w:fill="D1D0CF"/>
          </w:tcPr>
          <w:p>
            <w:pPr>
              <w:spacing w:after="0"/>
              <w:rPr>
                <w:sz w:val="5"/>
                <w:szCs w:val="5"/>
                <w:color w:val="auto"/>
              </w:rPr>
            </w:pPr>
          </w:p>
        </w:tc>
        <w:tc>
          <w:tcPr>
            <w:tcW w:w="1040" w:type="dxa"/>
            <w:vAlign w:val="bottom"/>
            <w:tcBorders>
              <w:bottom w:val="single" w:sz="8" w:color="0D64EF"/>
            </w:tcBorders>
            <w:shd w:val="clear" w:color="auto" w:fill="D1D0CF"/>
          </w:tcPr>
          <w:p>
            <w:pPr>
              <w:spacing w:after="0"/>
              <w:rPr>
                <w:sz w:val="5"/>
                <w:szCs w:val="5"/>
                <w:color w:val="auto"/>
              </w:rPr>
            </w:pPr>
          </w:p>
        </w:tc>
        <w:tc>
          <w:tcPr>
            <w:tcW w:w="100" w:type="dxa"/>
            <w:vAlign w:val="bottom"/>
            <w:tcBorders>
              <w:bottom w:val="single" w:sz="8" w:color="B2B2B2"/>
            </w:tcBorders>
            <w:shd w:val="clear" w:color="auto" w:fill="D1D0CF"/>
          </w:tcPr>
          <w:p>
            <w:pPr>
              <w:spacing w:after="0"/>
              <w:rPr>
                <w:sz w:val="5"/>
                <w:szCs w:val="5"/>
                <w:color w:val="auto"/>
              </w:rPr>
            </w:pPr>
          </w:p>
        </w:tc>
        <w:tc>
          <w:tcPr>
            <w:tcW w:w="1440" w:type="dxa"/>
            <w:vAlign w:val="bottom"/>
            <w:tcBorders>
              <w:bottom w:val="single" w:sz="8" w:color="0D64EF"/>
            </w:tcBorders>
            <w:shd w:val="clear" w:color="auto" w:fill="D1D0CF"/>
          </w:tcPr>
          <w:p>
            <w:pPr>
              <w:spacing w:after="0"/>
              <w:rPr>
                <w:sz w:val="5"/>
                <w:szCs w:val="5"/>
                <w:color w:val="auto"/>
              </w:rPr>
            </w:pPr>
          </w:p>
        </w:tc>
        <w:tc>
          <w:tcPr>
            <w:tcW w:w="920" w:type="dxa"/>
            <w:vAlign w:val="bottom"/>
            <w:tcBorders>
              <w:bottom w:val="single" w:sz="8" w:color="0D64EF"/>
            </w:tcBorders>
            <w:shd w:val="clear" w:color="auto" w:fill="D1D0CF"/>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D1D0CF"/>
          </w:tcPr>
          <w:p>
            <w:pPr>
              <w:spacing w:after="0"/>
              <w:rPr>
                <w:sz w:val="12"/>
                <w:szCs w:val="12"/>
                <w:color w:val="auto"/>
              </w:rPr>
            </w:pPr>
          </w:p>
        </w:tc>
        <w:tc>
          <w:tcPr>
            <w:tcW w:w="920" w:type="dxa"/>
            <w:vAlign w:val="bottom"/>
            <w:shd w:val="clear" w:color="auto" w:fill="D1D0CF"/>
          </w:tcPr>
          <w:p>
            <w:pPr>
              <w:spacing w:after="0"/>
              <w:rPr>
                <w:sz w:val="12"/>
                <w:szCs w:val="12"/>
                <w:color w:val="auto"/>
              </w:rPr>
            </w:pPr>
          </w:p>
        </w:tc>
        <w:tc>
          <w:tcPr>
            <w:tcW w:w="1300" w:type="dxa"/>
            <w:vAlign w:val="bottom"/>
            <w:shd w:val="clear" w:color="auto" w:fill="D1D0CF"/>
          </w:tcPr>
          <w:p>
            <w:pPr>
              <w:spacing w:after="0"/>
              <w:rPr>
                <w:sz w:val="12"/>
                <w:szCs w:val="12"/>
                <w:color w:val="auto"/>
              </w:rPr>
            </w:pPr>
          </w:p>
        </w:tc>
        <w:tc>
          <w:tcPr>
            <w:tcW w:w="1020" w:type="dxa"/>
            <w:vAlign w:val="bottom"/>
            <w:shd w:val="clear" w:color="auto" w:fill="D1D0CF"/>
          </w:tcPr>
          <w:p>
            <w:pPr>
              <w:spacing w:after="0"/>
              <w:rPr>
                <w:sz w:val="12"/>
                <w:szCs w:val="12"/>
                <w:color w:val="auto"/>
              </w:rPr>
            </w:pPr>
          </w:p>
        </w:tc>
        <w:tc>
          <w:tcPr>
            <w:tcW w:w="1120" w:type="dxa"/>
            <w:vAlign w:val="bottom"/>
            <w:vMerge w:val="continue"/>
            <w:shd w:val="clear" w:color="auto" w:fill="D1D0CF"/>
          </w:tcPr>
          <w:p>
            <w:pPr>
              <w:spacing w:after="0"/>
              <w:rPr>
                <w:sz w:val="12"/>
                <w:szCs w:val="12"/>
                <w:color w:val="auto"/>
              </w:rPr>
            </w:pPr>
          </w:p>
        </w:tc>
        <w:tc>
          <w:tcPr>
            <w:tcW w:w="1460" w:type="dxa"/>
            <w:vAlign w:val="bottom"/>
            <w:shd w:val="clear" w:color="auto" w:fill="D1D0CF"/>
          </w:tcPr>
          <w:p>
            <w:pPr>
              <w:jc w:val="right"/>
              <w:ind w:right="228"/>
              <w:spacing w:after="0" w:line="145" w:lineRule="exact"/>
              <w:rPr>
                <w:sz w:val="20"/>
                <w:szCs w:val="20"/>
                <w:color w:val="auto"/>
              </w:rPr>
            </w:pPr>
            <w:r>
              <w:rPr>
                <w:rFonts w:ascii="Arial" w:cs="Arial" w:eastAsia="Arial" w:hAnsi="Arial"/>
                <w:sz w:val="14"/>
                <w:szCs w:val="14"/>
                <w:b w:val="1"/>
                <w:bCs w:val="1"/>
                <w:color w:val="auto"/>
              </w:rPr>
              <w:t>Total</w:t>
            </w:r>
          </w:p>
        </w:tc>
        <w:tc>
          <w:tcPr>
            <w:tcW w:w="1140" w:type="dxa"/>
            <w:vAlign w:val="bottom"/>
            <w:gridSpan w:val="2"/>
            <w:shd w:val="clear" w:color="auto" w:fill="D1D0CF"/>
          </w:tcPr>
          <w:p>
            <w:pPr>
              <w:jc w:val="right"/>
              <w:ind w:right="160"/>
              <w:spacing w:after="0" w:line="145" w:lineRule="exact"/>
              <w:rPr>
                <w:sz w:val="20"/>
                <w:szCs w:val="20"/>
                <w:color w:val="auto"/>
              </w:rPr>
            </w:pPr>
            <w:r>
              <w:rPr>
                <w:rFonts w:ascii="Arial" w:cs="Arial" w:eastAsia="Arial" w:hAnsi="Arial"/>
                <w:sz w:val="14"/>
                <w:szCs w:val="14"/>
                <w:b w:val="1"/>
                <w:bCs w:val="1"/>
                <w:color w:val="auto"/>
              </w:rPr>
              <w:t>As a</w:t>
            </w:r>
          </w:p>
        </w:tc>
        <w:tc>
          <w:tcPr>
            <w:tcW w:w="1440" w:type="dxa"/>
            <w:vAlign w:val="bottom"/>
            <w:shd w:val="clear" w:color="auto" w:fill="D1D0CF"/>
          </w:tcPr>
          <w:p>
            <w:pPr>
              <w:jc w:val="right"/>
              <w:ind w:right="128"/>
              <w:spacing w:after="0" w:line="145" w:lineRule="exact"/>
              <w:rPr>
                <w:sz w:val="20"/>
                <w:szCs w:val="20"/>
                <w:color w:val="auto"/>
              </w:rPr>
            </w:pPr>
            <w:r>
              <w:rPr>
                <w:rFonts w:ascii="Arial" w:cs="Arial" w:eastAsia="Arial" w:hAnsi="Arial"/>
                <w:sz w:val="14"/>
                <w:szCs w:val="14"/>
                <w:b w:val="1"/>
                <w:bCs w:val="1"/>
                <w:color w:val="auto"/>
              </w:rPr>
              <w:t>Total value</w:t>
            </w:r>
          </w:p>
        </w:tc>
        <w:tc>
          <w:tcPr>
            <w:tcW w:w="920" w:type="dxa"/>
            <w:vAlign w:val="bottom"/>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shd w:val="clear" w:color="auto" w:fill="D1D0CF"/>
          </w:tcPr>
          <w:p>
            <w:pPr>
              <w:spacing w:after="0"/>
              <w:rPr>
                <w:sz w:val="12"/>
                <w:szCs w:val="12"/>
                <w:color w:val="auto"/>
              </w:rPr>
            </w:pPr>
          </w:p>
        </w:tc>
        <w:tc>
          <w:tcPr>
            <w:tcW w:w="920" w:type="dxa"/>
            <w:vAlign w:val="bottom"/>
            <w:shd w:val="clear" w:color="auto" w:fill="D1D0CF"/>
          </w:tcPr>
          <w:p>
            <w:pPr>
              <w:spacing w:after="0"/>
              <w:rPr>
                <w:sz w:val="12"/>
                <w:szCs w:val="12"/>
                <w:color w:val="auto"/>
              </w:rPr>
            </w:pPr>
          </w:p>
        </w:tc>
        <w:tc>
          <w:tcPr>
            <w:tcW w:w="1300" w:type="dxa"/>
            <w:vAlign w:val="bottom"/>
            <w:vMerge w:val="restart"/>
            <w:shd w:val="clear" w:color="auto" w:fill="D1D0CF"/>
          </w:tcPr>
          <w:p>
            <w:pPr>
              <w:jc w:val="right"/>
              <w:ind w:right="208"/>
              <w:spacing w:after="0"/>
              <w:rPr>
                <w:sz w:val="20"/>
                <w:szCs w:val="20"/>
                <w:color w:val="auto"/>
              </w:rPr>
            </w:pPr>
            <w:r>
              <w:rPr>
                <w:rFonts w:ascii="Arial" w:cs="Arial" w:eastAsia="Arial" w:hAnsi="Arial"/>
                <w:sz w:val="14"/>
                <w:szCs w:val="14"/>
                <w:b w:val="1"/>
                <w:bCs w:val="1"/>
                <w:color w:val="auto"/>
              </w:rPr>
              <w:t>Common</w:t>
            </w:r>
          </w:p>
        </w:tc>
        <w:tc>
          <w:tcPr>
            <w:tcW w:w="1020" w:type="dxa"/>
            <w:vAlign w:val="bottom"/>
            <w:shd w:val="clear" w:color="auto" w:fill="D1D0CF"/>
          </w:tcPr>
          <w:p>
            <w:pPr>
              <w:spacing w:after="0"/>
              <w:rPr>
                <w:sz w:val="12"/>
                <w:szCs w:val="12"/>
                <w:color w:val="auto"/>
              </w:rPr>
            </w:pPr>
          </w:p>
        </w:tc>
        <w:tc>
          <w:tcPr>
            <w:tcW w:w="1120" w:type="dxa"/>
            <w:vAlign w:val="bottom"/>
            <w:shd w:val="clear" w:color="auto" w:fill="D1D0CF"/>
          </w:tcPr>
          <w:p>
            <w:pPr>
              <w:jc w:val="right"/>
              <w:ind w:right="208"/>
              <w:spacing w:after="0" w:line="144" w:lineRule="exact"/>
              <w:rPr>
                <w:sz w:val="20"/>
                <w:szCs w:val="20"/>
                <w:color w:val="auto"/>
              </w:rPr>
            </w:pPr>
            <w:r>
              <w:rPr>
                <w:rFonts w:ascii="Arial" w:cs="Arial" w:eastAsia="Arial" w:hAnsi="Arial"/>
                <w:sz w:val="14"/>
                <w:szCs w:val="14"/>
                <w:b w:val="1"/>
                <w:bCs w:val="1"/>
                <w:color w:val="auto"/>
              </w:rPr>
              <w:t>common</w:t>
            </w:r>
          </w:p>
        </w:tc>
        <w:tc>
          <w:tcPr>
            <w:tcW w:w="1460" w:type="dxa"/>
            <w:vAlign w:val="bottom"/>
            <w:shd w:val="clear" w:color="auto" w:fill="D1D0CF"/>
          </w:tcPr>
          <w:p>
            <w:pPr>
              <w:jc w:val="right"/>
              <w:ind w:right="228"/>
              <w:spacing w:after="0" w:line="144" w:lineRule="exact"/>
              <w:rPr>
                <w:sz w:val="20"/>
                <w:szCs w:val="20"/>
                <w:color w:val="auto"/>
              </w:rPr>
            </w:pPr>
            <w:r>
              <w:rPr>
                <w:rFonts w:ascii="Arial" w:cs="Arial" w:eastAsia="Arial" w:hAnsi="Arial"/>
                <w:sz w:val="14"/>
                <w:szCs w:val="14"/>
                <w:b w:val="1"/>
                <w:bCs w:val="1"/>
                <w:color w:val="auto"/>
              </w:rPr>
              <w:t>market</w:t>
            </w:r>
          </w:p>
        </w:tc>
        <w:tc>
          <w:tcPr>
            <w:tcW w:w="1140" w:type="dxa"/>
            <w:vAlign w:val="bottom"/>
            <w:gridSpan w:val="2"/>
            <w:shd w:val="clear" w:color="auto" w:fill="D1D0CF"/>
          </w:tcPr>
          <w:p>
            <w:pPr>
              <w:jc w:val="right"/>
              <w:ind w:right="160"/>
              <w:spacing w:after="0" w:line="144" w:lineRule="exact"/>
              <w:rPr>
                <w:sz w:val="20"/>
                <w:szCs w:val="20"/>
                <w:color w:val="auto"/>
              </w:rPr>
            </w:pPr>
            <w:r>
              <w:rPr>
                <w:rFonts w:ascii="Arial" w:cs="Arial" w:eastAsia="Arial" w:hAnsi="Arial"/>
                <w:sz w:val="14"/>
                <w:szCs w:val="14"/>
                <w:b w:val="1"/>
                <w:bCs w:val="1"/>
                <w:color w:val="auto"/>
              </w:rPr>
              <w:t>multiple of</w:t>
            </w:r>
          </w:p>
        </w:tc>
        <w:tc>
          <w:tcPr>
            <w:tcW w:w="1440" w:type="dxa"/>
            <w:vAlign w:val="bottom"/>
            <w:shd w:val="clear" w:color="auto" w:fill="D1D0CF"/>
          </w:tcPr>
          <w:p>
            <w:pPr>
              <w:jc w:val="right"/>
              <w:ind w:right="128"/>
              <w:spacing w:after="0" w:line="144" w:lineRule="exact"/>
              <w:rPr>
                <w:sz w:val="20"/>
                <w:szCs w:val="20"/>
                <w:color w:val="auto"/>
              </w:rPr>
            </w:pPr>
            <w:r>
              <w:rPr>
                <w:rFonts w:ascii="Arial" w:cs="Arial" w:eastAsia="Arial" w:hAnsi="Arial"/>
                <w:sz w:val="14"/>
                <w:szCs w:val="14"/>
                <w:b w:val="1"/>
                <w:bCs w:val="1"/>
                <w:color w:val="auto"/>
              </w:rPr>
              <w:t>of minimum</w:t>
            </w:r>
          </w:p>
        </w:tc>
        <w:tc>
          <w:tcPr>
            <w:tcW w:w="92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Multiple of</w:t>
            </w:r>
          </w:p>
        </w:tc>
        <w:tc>
          <w:tcPr>
            <w:tcW w:w="0" w:type="dxa"/>
            <w:vAlign w:val="bottom"/>
          </w:tcPr>
          <w:p>
            <w:pPr>
              <w:spacing w:after="0"/>
              <w:rPr>
                <w:sz w:val="1"/>
                <w:szCs w:val="1"/>
                <w:color w:val="auto"/>
              </w:rPr>
            </w:pPr>
          </w:p>
        </w:tc>
      </w:tr>
      <w:tr>
        <w:trPr>
          <w:trHeight w:val="139"/>
        </w:trPr>
        <w:tc>
          <w:tcPr>
            <w:tcW w:w="1920" w:type="dxa"/>
            <w:vAlign w:val="bottom"/>
            <w:vMerge w:val="restart"/>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920" w:type="dxa"/>
            <w:vAlign w:val="bottom"/>
            <w:vMerge w:val="restart"/>
            <w:shd w:val="clear" w:color="auto" w:fill="D1D0CF"/>
          </w:tcPr>
          <w:p>
            <w:pPr>
              <w:ind w:left="20"/>
              <w:spacing w:after="0"/>
              <w:rPr>
                <w:sz w:val="20"/>
                <w:szCs w:val="20"/>
                <w:color w:val="auto"/>
              </w:rPr>
            </w:pPr>
            <w:r>
              <w:rPr>
                <w:rFonts w:ascii="Arial" w:cs="Arial" w:eastAsia="Arial" w:hAnsi="Arial"/>
                <w:sz w:val="14"/>
                <w:szCs w:val="14"/>
                <w:b w:val="1"/>
                <w:bCs w:val="1"/>
                <w:color w:val="auto"/>
              </w:rPr>
              <w:t>Date</w:t>
            </w:r>
          </w:p>
        </w:tc>
        <w:tc>
          <w:tcPr>
            <w:tcW w:w="1300" w:type="dxa"/>
            <w:vAlign w:val="bottom"/>
            <w:vMerge w:val="continue"/>
            <w:shd w:val="clear" w:color="auto" w:fill="D1D0CF"/>
          </w:tcPr>
          <w:p>
            <w:pPr>
              <w:spacing w:after="0"/>
              <w:rPr>
                <w:sz w:val="12"/>
                <w:szCs w:val="12"/>
                <w:color w:val="auto"/>
              </w:rPr>
            </w:pPr>
          </w:p>
        </w:tc>
        <w:tc>
          <w:tcPr>
            <w:tcW w:w="1020" w:type="dxa"/>
            <w:vAlign w:val="bottom"/>
            <w:vMerge w:val="restart"/>
            <w:shd w:val="clear" w:color="auto" w:fill="D1D0CF"/>
          </w:tcPr>
          <w:p>
            <w:pPr>
              <w:jc w:val="right"/>
              <w:ind w:right="128"/>
              <w:spacing w:after="0"/>
              <w:rPr>
                <w:sz w:val="20"/>
                <w:szCs w:val="20"/>
                <w:color w:val="auto"/>
              </w:rPr>
            </w:pPr>
            <w:r>
              <w:rPr>
                <w:rFonts w:ascii="Arial" w:cs="Arial" w:eastAsia="Arial" w:hAnsi="Arial"/>
                <w:sz w:val="14"/>
                <w:szCs w:val="14"/>
                <w:b w:val="1"/>
                <w:bCs w:val="1"/>
                <w:color w:val="auto"/>
              </w:rPr>
              <w:t>DSUs</w:t>
            </w:r>
          </w:p>
        </w:tc>
        <w:tc>
          <w:tcPr>
            <w:tcW w:w="1120" w:type="dxa"/>
            <w:vAlign w:val="bottom"/>
            <w:shd w:val="clear" w:color="auto" w:fill="D1D0CF"/>
          </w:tcPr>
          <w:p>
            <w:pPr>
              <w:jc w:val="right"/>
              <w:ind w:right="208"/>
              <w:spacing w:after="0" w:line="139" w:lineRule="exact"/>
              <w:rPr>
                <w:sz w:val="20"/>
                <w:szCs w:val="20"/>
                <w:color w:val="auto"/>
              </w:rPr>
            </w:pPr>
            <w:r>
              <w:rPr>
                <w:rFonts w:ascii="Arial" w:cs="Arial" w:eastAsia="Arial" w:hAnsi="Arial"/>
                <w:sz w:val="14"/>
                <w:szCs w:val="14"/>
                <w:b w:val="1"/>
                <w:bCs w:val="1"/>
                <w:color w:val="auto"/>
              </w:rPr>
              <w:t>shares</w:t>
            </w:r>
          </w:p>
        </w:tc>
        <w:tc>
          <w:tcPr>
            <w:tcW w:w="1460" w:type="dxa"/>
            <w:vAlign w:val="bottom"/>
            <w:shd w:val="clear" w:color="auto" w:fill="D1D0CF"/>
          </w:tcPr>
          <w:p>
            <w:pPr>
              <w:jc w:val="right"/>
              <w:ind w:right="228"/>
              <w:spacing w:after="0" w:line="139" w:lineRule="exact"/>
              <w:rPr>
                <w:sz w:val="20"/>
                <w:szCs w:val="20"/>
                <w:color w:val="auto"/>
              </w:rPr>
            </w:pPr>
            <w:r>
              <w:rPr>
                <w:rFonts w:ascii="Arial" w:cs="Arial" w:eastAsia="Arial" w:hAnsi="Arial"/>
                <w:sz w:val="14"/>
                <w:szCs w:val="14"/>
                <w:b w:val="1"/>
                <w:bCs w:val="1"/>
                <w:color w:val="auto"/>
              </w:rPr>
              <w:t>value</w:t>
            </w:r>
          </w:p>
        </w:tc>
        <w:tc>
          <w:tcPr>
            <w:tcW w:w="1140" w:type="dxa"/>
            <w:vAlign w:val="bottom"/>
            <w:gridSpan w:val="2"/>
            <w:shd w:val="clear" w:color="auto" w:fill="D1D0CF"/>
          </w:tcPr>
          <w:p>
            <w:pPr>
              <w:jc w:val="right"/>
              <w:ind w:right="160"/>
              <w:spacing w:after="0" w:line="139" w:lineRule="exact"/>
              <w:rPr>
                <w:sz w:val="20"/>
                <w:szCs w:val="20"/>
                <w:color w:val="auto"/>
              </w:rPr>
            </w:pPr>
            <w:r>
              <w:rPr>
                <w:rFonts w:ascii="Arial" w:cs="Arial" w:eastAsia="Arial" w:hAnsi="Arial"/>
                <w:sz w:val="14"/>
                <w:szCs w:val="14"/>
                <w:b w:val="1"/>
                <w:bCs w:val="1"/>
                <w:color w:val="auto"/>
              </w:rPr>
              <w:t>annual</w:t>
            </w:r>
          </w:p>
        </w:tc>
        <w:tc>
          <w:tcPr>
            <w:tcW w:w="1440" w:type="dxa"/>
            <w:vAlign w:val="bottom"/>
            <w:shd w:val="clear" w:color="auto" w:fill="D1D0CF"/>
          </w:tcPr>
          <w:p>
            <w:pPr>
              <w:jc w:val="right"/>
              <w:ind w:right="128"/>
              <w:spacing w:after="0" w:line="139" w:lineRule="exact"/>
              <w:rPr>
                <w:sz w:val="20"/>
                <w:szCs w:val="20"/>
                <w:color w:val="auto"/>
              </w:rPr>
            </w:pPr>
            <w:r>
              <w:rPr>
                <w:rFonts w:ascii="Arial" w:cs="Arial" w:eastAsia="Arial" w:hAnsi="Arial"/>
                <w:sz w:val="14"/>
                <w:szCs w:val="14"/>
                <w:b w:val="1"/>
                <w:bCs w:val="1"/>
                <w:color w:val="auto"/>
              </w:rPr>
              <w:t>investment</w:t>
            </w:r>
          </w:p>
        </w:tc>
        <w:tc>
          <w:tcPr>
            <w:tcW w:w="920" w:type="dxa"/>
            <w:vAlign w:val="bottom"/>
            <w:vMerge w:val="continue"/>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20" w:type="dxa"/>
            <w:vAlign w:val="bottom"/>
            <w:vMerge w:val="continue"/>
            <w:shd w:val="clear" w:color="auto" w:fill="D1D0CF"/>
          </w:tcPr>
          <w:p>
            <w:pPr>
              <w:spacing w:after="0"/>
              <w:rPr>
                <w:sz w:val="17"/>
                <w:szCs w:val="17"/>
                <w:color w:val="auto"/>
              </w:rPr>
            </w:pPr>
          </w:p>
        </w:tc>
        <w:tc>
          <w:tcPr>
            <w:tcW w:w="920" w:type="dxa"/>
            <w:vAlign w:val="bottom"/>
            <w:vMerge w:val="continue"/>
            <w:shd w:val="clear" w:color="auto" w:fill="D1D0CF"/>
          </w:tcPr>
          <w:p>
            <w:pPr>
              <w:spacing w:after="0"/>
              <w:rPr>
                <w:sz w:val="17"/>
                <w:szCs w:val="17"/>
                <w:color w:val="auto"/>
              </w:rPr>
            </w:pPr>
          </w:p>
        </w:tc>
        <w:tc>
          <w:tcPr>
            <w:tcW w:w="1300" w:type="dxa"/>
            <w:vAlign w:val="bottom"/>
            <w:shd w:val="clear" w:color="auto" w:fill="D1D0CF"/>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20" w:type="dxa"/>
            <w:vAlign w:val="bottom"/>
            <w:vMerge w:val="continue"/>
            <w:shd w:val="clear" w:color="auto" w:fill="D1D0CF"/>
          </w:tcPr>
          <w:p>
            <w:pPr>
              <w:spacing w:after="0"/>
              <w:rPr>
                <w:sz w:val="17"/>
                <w:szCs w:val="17"/>
                <w:color w:val="auto"/>
              </w:rPr>
            </w:pPr>
          </w:p>
        </w:tc>
        <w:tc>
          <w:tcPr>
            <w:tcW w:w="1120" w:type="dxa"/>
            <w:vAlign w:val="bottom"/>
            <w:shd w:val="clear" w:color="auto" w:fill="D1D0CF"/>
          </w:tcPr>
          <w:p>
            <w:pPr>
              <w:jc w:val="right"/>
              <w:ind w:right="168"/>
              <w:spacing w:after="0"/>
              <w:rPr>
                <w:sz w:val="20"/>
                <w:szCs w:val="20"/>
                <w:color w:val="auto"/>
              </w:rPr>
            </w:pPr>
            <w:r>
              <w:rPr>
                <w:rFonts w:ascii="Arial" w:cs="Arial" w:eastAsia="Arial" w:hAnsi="Arial"/>
                <w:sz w:val="14"/>
                <w:szCs w:val="14"/>
                <w:b w:val="1"/>
                <w:bCs w:val="1"/>
                <w:color w:val="auto"/>
              </w:rPr>
              <w:t>and DSUs</w:t>
            </w:r>
          </w:p>
        </w:tc>
        <w:tc>
          <w:tcPr>
            <w:tcW w:w="1460" w:type="dxa"/>
            <w:vAlign w:val="bottom"/>
            <w:shd w:val="clear" w:color="auto" w:fill="D1D0C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D1D0CF"/>
          </w:tcPr>
          <w:p>
            <w:pPr>
              <w:ind w:left="500"/>
              <w:spacing w:after="0"/>
              <w:rPr>
                <w:sz w:val="20"/>
                <w:szCs w:val="20"/>
                <w:color w:val="auto"/>
              </w:rPr>
            </w:pPr>
            <w:r>
              <w:rPr>
                <w:rFonts w:ascii="Arial" w:cs="Arial" w:eastAsia="Arial" w:hAnsi="Arial"/>
                <w:sz w:val="14"/>
                <w:szCs w:val="14"/>
                <w:b w:val="1"/>
                <w:bCs w:val="1"/>
                <w:color w:val="auto"/>
              </w:rPr>
              <w:t>retainer</w:t>
            </w:r>
          </w:p>
        </w:tc>
        <w:tc>
          <w:tcPr>
            <w:tcW w:w="1440" w:type="dxa"/>
            <w:vAlign w:val="bottom"/>
            <w:shd w:val="clear" w:color="auto" w:fill="D1D0C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D1D0CF"/>
          </w:tcPr>
          <w:p>
            <w:pPr>
              <w:jc w:val="right"/>
              <w:spacing w:after="0"/>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69"/>
        </w:trPr>
        <w:tc>
          <w:tcPr>
            <w:tcW w:w="1920" w:type="dxa"/>
            <w:vAlign w:val="bottom"/>
            <w:tcBorders>
              <w:bottom w:val="single" w:sz="8" w:color="0D64EF"/>
            </w:tcBorders>
            <w:shd w:val="clear" w:color="auto" w:fill="D1D0CF"/>
          </w:tcPr>
          <w:p>
            <w:pPr>
              <w:spacing w:after="0"/>
              <w:rPr>
                <w:sz w:val="5"/>
                <w:szCs w:val="5"/>
                <w:color w:val="auto"/>
              </w:rPr>
            </w:pPr>
          </w:p>
        </w:tc>
        <w:tc>
          <w:tcPr>
            <w:tcW w:w="920" w:type="dxa"/>
            <w:vAlign w:val="bottom"/>
            <w:tcBorders>
              <w:bottom w:val="single" w:sz="8" w:color="0D64EF"/>
            </w:tcBorders>
            <w:shd w:val="clear" w:color="auto" w:fill="D1D0CF"/>
          </w:tcPr>
          <w:p>
            <w:pPr>
              <w:spacing w:after="0"/>
              <w:rPr>
                <w:sz w:val="5"/>
                <w:szCs w:val="5"/>
                <w:color w:val="auto"/>
              </w:rPr>
            </w:pPr>
          </w:p>
        </w:tc>
        <w:tc>
          <w:tcPr>
            <w:tcW w:w="1300" w:type="dxa"/>
            <w:vAlign w:val="bottom"/>
            <w:tcBorders>
              <w:bottom w:val="single" w:sz="8" w:color="0D64EF"/>
            </w:tcBorders>
            <w:shd w:val="clear" w:color="auto" w:fill="D1D0CF"/>
          </w:tcPr>
          <w:p>
            <w:pPr>
              <w:spacing w:after="0"/>
              <w:rPr>
                <w:sz w:val="5"/>
                <w:szCs w:val="5"/>
                <w:color w:val="auto"/>
              </w:rPr>
            </w:pPr>
          </w:p>
        </w:tc>
        <w:tc>
          <w:tcPr>
            <w:tcW w:w="1020" w:type="dxa"/>
            <w:vAlign w:val="bottom"/>
            <w:tcBorders>
              <w:bottom w:val="single" w:sz="8" w:color="0D64EF"/>
            </w:tcBorders>
            <w:shd w:val="clear" w:color="auto" w:fill="D1D0CF"/>
          </w:tcPr>
          <w:p>
            <w:pPr>
              <w:spacing w:after="0"/>
              <w:rPr>
                <w:sz w:val="5"/>
                <w:szCs w:val="5"/>
                <w:color w:val="auto"/>
              </w:rPr>
            </w:pPr>
          </w:p>
        </w:tc>
        <w:tc>
          <w:tcPr>
            <w:tcW w:w="1120" w:type="dxa"/>
            <w:vAlign w:val="bottom"/>
            <w:tcBorders>
              <w:bottom w:val="single" w:sz="8" w:color="0D64EF"/>
            </w:tcBorders>
            <w:shd w:val="clear" w:color="auto" w:fill="D1D0CF"/>
          </w:tcPr>
          <w:p>
            <w:pPr>
              <w:spacing w:after="0"/>
              <w:rPr>
                <w:sz w:val="5"/>
                <w:szCs w:val="5"/>
                <w:color w:val="auto"/>
              </w:rPr>
            </w:pPr>
          </w:p>
        </w:tc>
        <w:tc>
          <w:tcPr>
            <w:tcW w:w="1460" w:type="dxa"/>
            <w:vAlign w:val="bottom"/>
            <w:tcBorders>
              <w:bottom w:val="single" w:sz="8" w:color="0D64EF"/>
            </w:tcBorders>
            <w:shd w:val="clear" w:color="auto" w:fill="D1D0CF"/>
          </w:tcPr>
          <w:p>
            <w:pPr>
              <w:spacing w:after="0"/>
              <w:rPr>
                <w:sz w:val="5"/>
                <w:szCs w:val="5"/>
                <w:color w:val="auto"/>
              </w:rPr>
            </w:pPr>
          </w:p>
        </w:tc>
        <w:tc>
          <w:tcPr>
            <w:tcW w:w="1040" w:type="dxa"/>
            <w:vAlign w:val="bottom"/>
            <w:tcBorders>
              <w:bottom w:val="single" w:sz="8" w:color="0D64EF"/>
            </w:tcBorders>
            <w:shd w:val="clear" w:color="auto" w:fill="D1D0CF"/>
          </w:tcPr>
          <w:p>
            <w:pPr>
              <w:spacing w:after="0"/>
              <w:rPr>
                <w:sz w:val="5"/>
                <w:szCs w:val="5"/>
                <w:color w:val="auto"/>
              </w:rPr>
            </w:pPr>
          </w:p>
        </w:tc>
        <w:tc>
          <w:tcPr>
            <w:tcW w:w="100" w:type="dxa"/>
            <w:vAlign w:val="bottom"/>
            <w:tcBorders>
              <w:bottom w:val="single" w:sz="8" w:color="0D64EF"/>
            </w:tcBorders>
            <w:shd w:val="clear" w:color="auto" w:fill="D1D0CF"/>
          </w:tcPr>
          <w:p>
            <w:pPr>
              <w:spacing w:after="0"/>
              <w:rPr>
                <w:sz w:val="5"/>
                <w:szCs w:val="5"/>
                <w:color w:val="auto"/>
              </w:rPr>
            </w:pPr>
          </w:p>
        </w:tc>
        <w:tc>
          <w:tcPr>
            <w:tcW w:w="1440" w:type="dxa"/>
            <w:vAlign w:val="bottom"/>
            <w:tcBorders>
              <w:bottom w:val="single" w:sz="8" w:color="0D64EF"/>
            </w:tcBorders>
            <w:shd w:val="clear" w:color="auto" w:fill="D1D0CF"/>
          </w:tcPr>
          <w:p>
            <w:pPr>
              <w:spacing w:after="0"/>
              <w:rPr>
                <w:sz w:val="5"/>
                <w:szCs w:val="5"/>
                <w:color w:val="auto"/>
              </w:rPr>
            </w:pPr>
          </w:p>
        </w:tc>
        <w:tc>
          <w:tcPr>
            <w:tcW w:w="920" w:type="dxa"/>
            <w:vAlign w:val="bottom"/>
            <w:tcBorders>
              <w:bottom w:val="single" w:sz="8" w:color="0D64EF"/>
            </w:tcBorders>
            <w:shd w:val="clear" w:color="auto" w:fill="D1D0CF"/>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Scott Bonham</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6,893</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6,893</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601,345</w:t>
            </w:r>
          </w:p>
        </w:tc>
        <w:tc>
          <w:tcPr>
            <w:tcW w:w="104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1,559,178</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1,010</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1,010</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68,387</w:t>
            </w:r>
          </w:p>
        </w:tc>
        <w:tc>
          <w:tcPr>
            <w:tcW w:w="104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1,640,232</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5,883</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5,883</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532,958</w:t>
            </w:r>
          </w:p>
        </w:tc>
        <w:tc>
          <w:tcPr>
            <w:tcW w:w="104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Cheryl F. Campbell</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6,231</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19,717</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25,948</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2,263,704</w:t>
            </w:r>
          </w:p>
        </w:tc>
        <w:tc>
          <w:tcPr>
            <w:tcW w:w="104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1,559,178</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5,921</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15,449</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21,370</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1,446,963</w:t>
            </w:r>
          </w:p>
        </w:tc>
        <w:tc>
          <w:tcPr>
            <w:tcW w:w="104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1,640,232</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310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4,268</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4,578</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816,741</w:t>
            </w:r>
          </w:p>
        </w:tc>
        <w:tc>
          <w:tcPr>
            <w:tcW w:w="104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Michael R. Culbert</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10,500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35,666</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46,166</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4,027,522</w:t>
            </w:r>
          </w:p>
        </w:tc>
        <w:tc>
          <w:tcPr>
            <w:tcW w:w="1040" w:type="dxa"/>
            <w:vAlign w:val="bottom"/>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1,559,178</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10,500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29,580</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40,080</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2,713,817</w:t>
            </w:r>
          </w:p>
        </w:tc>
        <w:tc>
          <w:tcPr>
            <w:tcW w:w="1040" w:type="dxa"/>
            <w:vAlign w:val="bottom"/>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1,640,232</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6,086</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6,086</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1,313,705</w:t>
            </w:r>
          </w:p>
        </w:tc>
        <w:tc>
          <w:tcPr>
            <w:tcW w:w="1040" w:type="dxa"/>
            <w:vAlign w:val="bottom"/>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William D. Johnson</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34,437</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34,437</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3,004,284</w:t>
            </w:r>
          </w:p>
        </w:tc>
        <w:tc>
          <w:tcPr>
            <w:tcW w:w="1040" w:type="dxa"/>
            <w:vAlign w:val="bottom"/>
          </w:tcPr>
          <w:p>
            <w:pPr>
              <w:jc w:val="right"/>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1,559,178</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26,892</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26,892</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1,820,857</w:t>
            </w:r>
          </w:p>
        </w:tc>
        <w:tc>
          <w:tcPr>
            <w:tcW w:w="1040" w:type="dxa"/>
            <w:vAlign w:val="bottom"/>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1,640,232</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7,545</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7,545</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1,183,427</w:t>
            </w:r>
          </w:p>
        </w:tc>
        <w:tc>
          <w:tcPr>
            <w:tcW w:w="104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Susan C. Jones</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34,576</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42,861</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77,437</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6,755,604</w:t>
            </w:r>
          </w:p>
        </w:tc>
        <w:tc>
          <w:tcPr>
            <w:tcW w:w="1040" w:type="dxa"/>
            <w:vAlign w:val="bottom"/>
          </w:tcPr>
          <w:p>
            <w:pPr>
              <w:jc w:val="right"/>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1,559,178</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14,166</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35,337</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49,503</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3,351,848</w:t>
            </w:r>
          </w:p>
        </w:tc>
        <w:tc>
          <w:tcPr>
            <w:tcW w:w="1040" w:type="dxa"/>
            <w:vAlign w:val="bottom"/>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1,640,232</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20,410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7,524</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27,934</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3,403,756</w:t>
            </w:r>
          </w:p>
        </w:tc>
        <w:tc>
          <w:tcPr>
            <w:tcW w:w="104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John E. Lowe</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30,000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58,883</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88,883</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7,754,153</w:t>
            </w:r>
          </w:p>
        </w:tc>
        <w:tc>
          <w:tcPr>
            <w:tcW w:w="1040" w:type="dxa"/>
            <w:vAlign w:val="bottom"/>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2,686,163</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30,000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50,582</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80,582</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5,456,207</w:t>
            </w:r>
          </w:p>
        </w:tc>
        <w:tc>
          <w:tcPr>
            <w:tcW w:w="1040" w:type="dxa"/>
            <w:vAlign w:val="bottom"/>
          </w:tcPr>
          <w:p>
            <w:pPr>
              <w:jc w:val="right"/>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2,825,803</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8,301</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8,301</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2,297,946</w:t>
            </w:r>
          </w:p>
        </w:tc>
        <w:tc>
          <w:tcPr>
            <w:tcW w:w="104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Dawn Madahbee Leach</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5,538</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5,538</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483,135</w:t>
            </w: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1,559,178</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800</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800</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54,168</w:t>
            </w:r>
          </w:p>
        </w:tc>
        <w:tc>
          <w:tcPr>
            <w:tcW w:w="104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1,640,232</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4,738</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4,738</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428,967</w:t>
            </w:r>
          </w:p>
        </w:tc>
        <w:tc>
          <w:tcPr>
            <w:tcW w:w="104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Una Power</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6,360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53,059</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59,419</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5,183,714</w:t>
            </w:r>
          </w:p>
        </w:tc>
        <w:tc>
          <w:tcPr>
            <w:tcW w:w="1040" w:type="dxa"/>
            <w:vAlign w:val="bottom"/>
          </w:tcPr>
          <w:p>
            <w:pPr>
              <w:jc w:val="right"/>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1,559,178</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6,360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44,555</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50,915</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3,447,455</w:t>
            </w:r>
          </w:p>
        </w:tc>
        <w:tc>
          <w:tcPr>
            <w:tcW w:w="1040" w:type="dxa"/>
            <w:vAlign w:val="bottom"/>
          </w:tcPr>
          <w:p>
            <w:pPr>
              <w:jc w:val="right"/>
              <w:spacing w:after="0"/>
              <w:rPr>
                <w:sz w:val="20"/>
                <w:szCs w:val="20"/>
                <w:color w:val="auto"/>
              </w:rPr>
            </w:pPr>
            <w:r>
              <w:rPr>
                <w:rFonts w:ascii="Arial" w:cs="Arial" w:eastAsia="Arial" w:hAnsi="Arial"/>
                <w:sz w:val="14"/>
                <w:szCs w:val="14"/>
                <w:color w:val="auto"/>
              </w:rPr>
              <w:t>8.41</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1,640,232</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8,504</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8,504</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1,736,259</w:t>
            </w:r>
          </w:p>
        </w:tc>
        <w:tc>
          <w:tcPr>
            <w:tcW w:w="104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Mary Pat Salomone</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4,500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59,170</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63,670</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5,554,571</w:t>
            </w:r>
          </w:p>
        </w:tc>
        <w:tc>
          <w:tcPr>
            <w:tcW w:w="1040" w:type="dxa"/>
            <w:vAlign w:val="bottom"/>
          </w:tcPr>
          <w:p>
            <w:pPr>
              <w:jc w:val="right"/>
              <w:spacing w:after="0"/>
              <w:rPr>
                <w:sz w:val="20"/>
                <w:szCs w:val="20"/>
                <w:color w:val="auto"/>
              </w:rPr>
            </w:pPr>
            <w:r>
              <w:rPr>
                <w:rFonts w:ascii="Arial" w:cs="Arial" w:eastAsia="Arial" w:hAnsi="Arial"/>
                <w:sz w:val="14"/>
                <w:szCs w:val="14"/>
                <w:color w:val="auto"/>
              </w:rPr>
              <w:t>14.25</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1,559,178</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4,500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53,162</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57,662</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3,904,294</w:t>
            </w:r>
          </w:p>
        </w:tc>
        <w:tc>
          <w:tcPr>
            <w:tcW w:w="1040" w:type="dxa"/>
            <w:vAlign w:val="bottom"/>
          </w:tcPr>
          <w:p>
            <w:pPr>
              <w:jc w:val="right"/>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1,640,232</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6,008</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6,008</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1,650,277</w:t>
            </w:r>
          </w:p>
        </w:tc>
        <w:tc>
          <w:tcPr>
            <w:tcW w:w="104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Siim A. Vanaselja</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12,000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134,627</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146,627</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12,791,739</w:t>
            </w:r>
          </w:p>
        </w:tc>
        <w:tc>
          <w:tcPr>
            <w:tcW w:w="1040" w:type="dxa"/>
            <w:vAlign w:val="bottom"/>
          </w:tcPr>
          <w:p>
            <w:pPr>
              <w:jc w:val="right"/>
              <w:spacing w:after="0"/>
              <w:rPr>
                <w:sz w:val="20"/>
                <w:szCs w:val="20"/>
                <w:color w:val="auto"/>
              </w:rPr>
            </w:pPr>
            <w:r>
              <w:rPr>
                <w:rFonts w:ascii="Arial" w:cs="Arial" w:eastAsia="Arial" w:hAnsi="Arial"/>
                <w:sz w:val="14"/>
                <w:szCs w:val="14"/>
                <w:color w:val="auto"/>
              </w:rPr>
              <w:t>32.82</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1,559,178</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52,000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122,824</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174,824</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11,837,333</w:t>
            </w:r>
          </w:p>
        </w:tc>
        <w:tc>
          <w:tcPr>
            <w:tcW w:w="1040" w:type="dxa"/>
            <w:vAlign w:val="bottom"/>
          </w:tcPr>
          <w:p>
            <w:pPr>
              <w:jc w:val="right"/>
              <w:spacing w:after="0"/>
              <w:rPr>
                <w:sz w:val="20"/>
                <w:szCs w:val="20"/>
                <w:color w:val="auto"/>
              </w:rPr>
            </w:pPr>
            <w:r>
              <w:rPr>
                <w:rFonts w:ascii="Arial" w:cs="Arial" w:eastAsia="Arial" w:hAnsi="Arial"/>
                <w:sz w:val="14"/>
                <w:szCs w:val="14"/>
                <w:color w:val="auto"/>
              </w:rPr>
              <w:t>28.87</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1,640,232</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(40,000)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11,803</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(28,197)</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954,406</w:t>
            </w:r>
          </w:p>
        </w:tc>
        <w:tc>
          <w:tcPr>
            <w:tcW w:w="104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Thierry Vandal</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316</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67,587</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67,903</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5,923,858</w:t>
            </w:r>
          </w:p>
        </w:tc>
        <w:tc>
          <w:tcPr>
            <w:tcW w:w="1040" w:type="dxa"/>
            <w:vAlign w:val="bottom"/>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1,559,178</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296</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58,506</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58,802</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3,981,483</w:t>
            </w:r>
          </w:p>
        </w:tc>
        <w:tc>
          <w:tcPr>
            <w:tcW w:w="104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1,640,232</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9,081</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9,101</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1,942,375</w:t>
            </w:r>
          </w:p>
        </w:tc>
        <w:tc>
          <w:tcPr>
            <w:tcW w:w="104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color w:val="auto"/>
              </w:rPr>
              <w:t>Dheeraj "D" Verma</w:t>
            </w:r>
          </w:p>
        </w:tc>
        <w:tc>
          <w:tcPr>
            <w:tcW w:w="920" w:type="dxa"/>
            <w:vAlign w:val="bottom"/>
          </w:tcPr>
          <w:p>
            <w:pPr>
              <w:ind w:left="20"/>
              <w:spacing w:after="0"/>
              <w:rPr>
                <w:sz w:val="20"/>
                <w:szCs w:val="20"/>
                <w:color w:val="auto"/>
              </w:rPr>
            </w:pPr>
            <w:r>
              <w:rPr>
                <w:rFonts w:ascii="Arial" w:cs="Arial" w:eastAsia="Arial" w:hAnsi="Arial"/>
                <w:sz w:val="14"/>
                <w:szCs w:val="14"/>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85,000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27,253</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112,253</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9,792,952</w:t>
            </w:r>
          </w:p>
        </w:tc>
        <w:tc>
          <w:tcPr>
            <w:tcW w:w="1040" w:type="dxa"/>
            <w:vAlign w:val="bottom"/>
          </w:tcPr>
          <w:p>
            <w:pPr>
              <w:jc w:val="right"/>
              <w:spacing w:after="0"/>
              <w:rPr>
                <w:sz w:val="20"/>
                <w:szCs w:val="20"/>
                <w:color w:val="auto"/>
              </w:rPr>
            </w:pPr>
            <w:r>
              <w:rPr>
                <w:rFonts w:ascii="Arial" w:cs="Arial" w:eastAsia="Arial" w:hAnsi="Arial"/>
                <w:sz w:val="14"/>
                <w:szCs w:val="14"/>
                <w:color w:val="auto"/>
              </w:rPr>
              <w:t>25.12</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1,559,178</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85,000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20,457</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105,457</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7,140,493</w:t>
            </w:r>
          </w:p>
        </w:tc>
        <w:tc>
          <w:tcPr>
            <w:tcW w:w="1040" w:type="dxa"/>
            <w:vAlign w:val="bottom"/>
          </w:tcPr>
          <w:p>
            <w:pPr>
              <w:jc w:val="right"/>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17"/>
                <w:szCs w:val="17"/>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1,640,232</w:t>
            </w:r>
          </w:p>
        </w:tc>
        <w:tc>
          <w:tcPr>
            <w:tcW w:w="920" w:type="dxa"/>
            <w:vAlign w:val="bottom"/>
          </w:tcPr>
          <w:p>
            <w:pPr>
              <w:jc w:val="right"/>
              <w:spacing w:after="0"/>
              <w:rPr>
                <w:sz w:val="20"/>
                <w:szCs w:val="20"/>
                <w:color w:val="auto"/>
              </w:rPr>
            </w:pPr>
            <w:r>
              <w:rPr>
                <w:rFonts w:ascii="Arial" w:cs="Arial" w:eastAsia="Arial" w:hAnsi="Arial"/>
                <w:sz w:val="14"/>
                <w:szCs w:val="14"/>
                <w:color w:val="auto"/>
              </w:rPr>
              <w:t>4x</w:t>
            </w:r>
          </w:p>
        </w:tc>
        <w:tc>
          <w:tcPr>
            <w:tcW w:w="0" w:type="dxa"/>
            <w:vAlign w:val="bottom"/>
          </w:tcPr>
          <w:p>
            <w:pPr>
              <w:spacing w:after="0"/>
              <w:rPr>
                <w:sz w:val="1"/>
                <w:szCs w:val="1"/>
                <w:color w:val="auto"/>
              </w:rPr>
            </w:pPr>
          </w:p>
        </w:tc>
      </w:tr>
      <w:tr>
        <w:trPr>
          <w:trHeight w:val="35"/>
        </w:trPr>
        <w:tc>
          <w:tcPr>
            <w:tcW w:w="1920" w:type="dxa"/>
            <w:vAlign w:val="bottom"/>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130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120" w:type="dxa"/>
            <w:vAlign w:val="bottom"/>
            <w:tcBorders>
              <w:bottom w:val="single" w:sz="8" w:color="B2B2B2"/>
            </w:tcBorders>
          </w:tcPr>
          <w:p>
            <w:pPr>
              <w:spacing w:after="0"/>
              <w:rPr>
                <w:sz w:val="3"/>
                <w:szCs w:val="3"/>
                <w:color w:val="auto"/>
              </w:rPr>
            </w:pPr>
          </w:p>
        </w:tc>
        <w:tc>
          <w:tcPr>
            <w:tcW w:w="146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Change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6,796</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6,796</w:t>
            </w: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2,652,459</w:t>
            </w:r>
          </w:p>
        </w:tc>
        <w:tc>
          <w:tcPr>
            <w:tcW w:w="1040" w:type="dxa"/>
            <w:vAlign w:val="bottom"/>
          </w:tcPr>
          <w:p>
            <w:pPr>
              <w:jc w:val="right"/>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20" w:type="dxa"/>
            <w:vAlign w:val="bottom"/>
            <w:tcBorders>
              <w:bottom w:val="single" w:sz="8" w:color="B6B6B6"/>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2026</w:t>
            </w: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189,483</w:t>
            </w: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545,691</w:t>
            </w: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735,174</w:t>
            </w:r>
          </w:p>
        </w:tc>
        <w:tc>
          <w:tcPr>
            <w:tcW w:w="1460" w:type="dxa"/>
            <w:vAlign w:val="bottom"/>
          </w:tcPr>
          <w:p>
            <w:pPr>
              <w:jc w:val="right"/>
              <w:ind w:right="228"/>
              <w:spacing w:after="0"/>
              <w:rPr>
                <w:sz w:val="20"/>
                <w:szCs w:val="20"/>
                <w:color w:val="auto"/>
              </w:rPr>
            </w:pPr>
            <w:r>
              <w:rPr>
                <w:rFonts w:ascii="Arial" w:cs="Arial" w:eastAsia="Arial" w:hAnsi="Arial"/>
                <w:sz w:val="14"/>
                <w:szCs w:val="14"/>
                <w:b w:val="1"/>
                <w:bCs w:val="1"/>
                <w:color w:val="auto"/>
              </w:rPr>
              <w:t>64,136,581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920" w:type="dxa"/>
            <w:vAlign w:val="bottom"/>
            <w:tcBorders>
              <w:bottom w:val="single" w:sz="8" w:color="B2B2B2"/>
            </w:tcBorders>
          </w:tcPr>
          <w:p>
            <w:pPr>
              <w:spacing w:after="0"/>
              <w:rPr>
                <w:sz w:val="2"/>
                <w:szCs w:val="2"/>
                <w:color w:val="auto"/>
              </w:rPr>
            </w:pPr>
          </w:p>
        </w:tc>
        <w:tc>
          <w:tcPr>
            <w:tcW w:w="130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112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104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440" w:type="dxa"/>
            <w:vAlign w:val="bottom"/>
            <w:tcBorders>
              <w:bottom w:val="single" w:sz="8" w:color="B2B2B2"/>
            </w:tcBorders>
          </w:tcPr>
          <w:p>
            <w:pPr>
              <w:spacing w:after="0"/>
              <w:rPr>
                <w:sz w:val="2"/>
                <w:szCs w:val="2"/>
                <w:color w:val="auto"/>
              </w:rPr>
            </w:pPr>
          </w:p>
        </w:tc>
        <w:tc>
          <w:tcPr>
            <w:tcW w:w="9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9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208,743</w:t>
            </w: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459,154</w:t>
            </w: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667,897</w:t>
            </w:r>
          </w:p>
        </w:tc>
        <w:tc>
          <w:tcPr>
            <w:tcW w:w="1460" w:type="dxa"/>
            <w:vAlign w:val="bottom"/>
          </w:tcPr>
          <w:p>
            <w:pPr>
              <w:jc w:val="right"/>
              <w:ind w:right="228"/>
              <w:spacing w:after="0"/>
              <w:rPr>
                <w:sz w:val="20"/>
                <w:szCs w:val="20"/>
                <w:color w:val="auto"/>
              </w:rPr>
            </w:pPr>
            <w:r>
              <w:rPr>
                <w:rFonts w:ascii="Arial" w:cs="Arial" w:eastAsia="Arial" w:hAnsi="Arial"/>
                <w:sz w:val="14"/>
                <w:szCs w:val="14"/>
                <w:b w:val="1"/>
                <w:bCs w:val="1"/>
                <w:color w:val="auto"/>
              </w:rPr>
              <w:t>45,223,305</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920" w:type="dxa"/>
            <w:vAlign w:val="bottom"/>
            <w:tcBorders>
              <w:bottom w:val="single" w:sz="8" w:color="B2B2B2"/>
            </w:tcBorders>
          </w:tcPr>
          <w:p>
            <w:pPr>
              <w:spacing w:after="0"/>
              <w:rPr>
                <w:sz w:val="2"/>
                <w:szCs w:val="2"/>
                <w:color w:val="auto"/>
              </w:rPr>
            </w:pPr>
          </w:p>
        </w:tc>
        <w:tc>
          <w:tcPr>
            <w:tcW w:w="1300" w:type="dxa"/>
            <w:vAlign w:val="bottom"/>
            <w:tcBorders>
              <w:bottom w:val="single" w:sz="8" w:color="B2B2B2"/>
            </w:tcBorders>
          </w:tcPr>
          <w:p>
            <w:pPr>
              <w:spacing w:after="0"/>
              <w:rPr>
                <w:sz w:val="2"/>
                <w:szCs w:val="2"/>
                <w:color w:val="auto"/>
              </w:rPr>
            </w:pPr>
          </w:p>
        </w:tc>
        <w:tc>
          <w:tcPr>
            <w:tcW w:w="1020" w:type="dxa"/>
            <w:vAlign w:val="bottom"/>
            <w:tcBorders>
              <w:bottom w:val="single" w:sz="8" w:color="B2B2B2"/>
            </w:tcBorders>
          </w:tcPr>
          <w:p>
            <w:pPr>
              <w:spacing w:after="0"/>
              <w:rPr>
                <w:sz w:val="2"/>
                <w:szCs w:val="2"/>
                <w:color w:val="auto"/>
              </w:rPr>
            </w:pPr>
          </w:p>
        </w:tc>
        <w:tc>
          <w:tcPr>
            <w:tcW w:w="112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104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440" w:type="dxa"/>
            <w:vAlign w:val="bottom"/>
            <w:tcBorders>
              <w:bottom w:val="single" w:sz="8" w:color="B2B2B2"/>
            </w:tcBorders>
          </w:tcPr>
          <w:p>
            <w:pPr>
              <w:spacing w:after="0"/>
              <w:rPr>
                <w:sz w:val="2"/>
                <w:szCs w:val="2"/>
                <w:color w:val="auto"/>
              </w:rPr>
            </w:pPr>
          </w:p>
        </w:tc>
        <w:tc>
          <w:tcPr>
            <w:tcW w:w="9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9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(19,260)</w:t>
            </w: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86,537</w:t>
            </w: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67,277</w:t>
            </w:r>
          </w:p>
        </w:tc>
        <w:tc>
          <w:tcPr>
            <w:tcW w:w="1460" w:type="dxa"/>
            <w:vAlign w:val="bottom"/>
          </w:tcPr>
          <w:p>
            <w:pPr>
              <w:jc w:val="right"/>
              <w:ind w:right="228"/>
              <w:spacing w:after="0"/>
              <w:rPr>
                <w:sz w:val="20"/>
                <w:szCs w:val="20"/>
                <w:color w:val="auto"/>
              </w:rPr>
            </w:pPr>
            <w:r>
              <w:rPr>
                <w:rFonts w:ascii="Arial" w:cs="Arial" w:eastAsia="Arial" w:hAnsi="Arial"/>
                <w:sz w:val="14"/>
                <w:szCs w:val="14"/>
                <w:b w:val="1"/>
                <w:bCs w:val="1"/>
                <w:color w:val="auto"/>
              </w:rPr>
              <w:t>18,913,276</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1920" w:type="dxa"/>
            <w:vAlign w:val="bottom"/>
            <w:tcBorders>
              <w:bottom w:val="single" w:sz="8" w:color="0D64EF"/>
            </w:tcBorders>
          </w:tcPr>
          <w:p>
            <w:pPr>
              <w:spacing w:after="0"/>
              <w:rPr>
                <w:sz w:val="3"/>
                <w:szCs w:val="3"/>
                <w:color w:val="auto"/>
              </w:rPr>
            </w:pPr>
          </w:p>
        </w:tc>
        <w:tc>
          <w:tcPr>
            <w:tcW w:w="920" w:type="dxa"/>
            <w:vAlign w:val="bottom"/>
            <w:tcBorders>
              <w:bottom w:val="single" w:sz="8" w:color="0D64EF"/>
            </w:tcBorders>
          </w:tcPr>
          <w:p>
            <w:pPr>
              <w:spacing w:after="0"/>
              <w:rPr>
                <w:sz w:val="3"/>
                <w:szCs w:val="3"/>
                <w:color w:val="auto"/>
              </w:rPr>
            </w:pPr>
          </w:p>
        </w:tc>
        <w:tc>
          <w:tcPr>
            <w:tcW w:w="1300" w:type="dxa"/>
            <w:vAlign w:val="bottom"/>
            <w:tcBorders>
              <w:bottom w:val="single" w:sz="8" w:color="0D64EF"/>
            </w:tcBorders>
          </w:tcPr>
          <w:p>
            <w:pPr>
              <w:spacing w:after="0"/>
              <w:rPr>
                <w:sz w:val="3"/>
                <w:szCs w:val="3"/>
                <w:color w:val="auto"/>
              </w:rPr>
            </w:pPr>
          </w:p>
        </w:tc>
        <w:tc>
          <w:tcPr>
            <w:tcW w:w="1020" w:type="dxa"/>
            <w:vAlign w:val="bottom"/>
            <w:tcBorders>
              <w:bottom w:val="single" w:sz="8" w:color="0D64EF"/>
            </w:tcBorders>
          </w:tcPr>
          <w:p>
            <w:pPr>
              <w:spacing w:after="0"/>
              <w:rPr>
                <w:sz w:val="3"/>
                <w:szCs w:val="3"/>
                <w:color w:val="auto"/>
              </w:rPr>
            </w:pPr>
          </w:p>
        </w:tc>
        <w:tc>
          <w:tcPr>
            <w:tcW w:w="1120" w:type="dxa"/>
            <w:vAlign w:val="bottom"/>
            <w:tcBorders>
              <w:bottom w:val="single" w:sz="8" w:color="0D64EF"/>
            </w:tcBorders>
          </w:tcPr>
          <w:p>
            <w:pPr>
              <w:spacing w:after="0"/>
              <w:rPr>
                <w:sz w:val="3"/>
                <w:szCs w:val="3"/>
                <w:color w:val="auto"/>
              </w:rPr>
            </w:pPr>
          </w:p>
        </w:tc>
        <w:tc>
          <w:tcPr>
            <w:tcW w:w="1460" w:type="dxa"/>
            <w:vAlign w:val="bottom"/>
            <w:tcBorders>
              <w:bottom w:val="single" w:sz="8" w:color="0D64EF"/>
            </w:tcBorders>
          </w:tcPr>
          <w:p>
            <w:pPr>
              <w:spacing w:after="0"/>
              <w:rPr>
                <w:sz w:val="3"/>
                <w:szCs w:val="3"/>
                <w:color w:val="auto"/>
              </w:rPr>
            </w:pPr>
          </w:p>
        </w:tc>
        <w:tc>
          <w:tcPr>
            <w:tcW w:w="1040" w:type="dxa"/>
            <w:vAlign w:val="bottom"/>
            <w:tcBorders>
              <w:bottom w:val="single" w:sz="8" w:color="0D64EF"/>
            </w:tcBorders>
          </w:tcPr>
          <w:p>
            <w:pPr>
              <w:spacing w:after="0"/>
              <w:rPr>
                <w:sz w:val="3"/>
                <w:szCs w:val="3"/>
                <w:color w:val="auto"/>
              </w:rPr>
            </w:pPr>
          </w:p>
        </w:tc>
        <w:tc>
          <w:tcPr>
            <w:tcW w:w="100" w:type="dxa"/>
            <w:vAlign w:val="bottom"/>
            <w:tcBorders>
              <w:bottom w:val="single" w:sz="8" w:color="0D64EF"/>
            </w:tcBorders>
          </w:tcPr>
          <w:p>
            <w:pPr>
              <w:spacing w:after="0"/>
              <w:rPr>
                <w:sz w:val="3"/>
                <w:szCs w:val="3"/>
                <w:color w:val="auto"/>
              </w:rPr>
            </w:pPr>
          </w:p>
        </w:tc>
        <w:tc>
          <w:tcPr>
            <w:tcW w:w="1440" w:type="dxa"/>
            <w:vAlign w:val="bottom"/>
            <w:tcBorders>
              <w:bottom w:val="single" w:sz="8" w:color="0D64EF"/>
            </w:tcBorders>
          </w:tcPr>
          <w:p>
            <w:pPr>
              <w:spacing w:after="0"/>
              <w:rPr>
                <w:sz w:val="3"/>
                <w:szCs w:val="3"/>
                <w:color w:val="auto"/>
              </w:rPr>
            </w:pPr>
          </w:p>
        </w:tc>
        <w:tc>
          <w:tcPr>
            <w:tcW w:w="920" w:type="dxa"/>
            <w:vAlign w:val="bottom"/>
            <w:tcBorders>
              <w:bottom w:val="single" w:sz="8" w:color="0D64E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168"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b w:val="1"/>
          <w:bCs w:val="1"/>
          <w:color w:val="0D64EF"/>
        </w:rPr>
        <w:t>INCENTIVE PLAN AWARDS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Outstanding option-based and share-based awards</w:t>
      </w:r>
    </w:p>
    <w:p>
      <w:pPr>
        <w:spacing w:after="0" w:line="40" w:lineRule="exact"/>
        <w:rPr>
          <w:sz w:val="20"/>
          <w:szCs w:val="20"/>
          <w:color w:val="auto"/>
        </w:rPr>
      </w:pPr>
    </w:p>
    <w:p>
      <w:pPr>
        <w:jc w:val="both"/>
        <w:ind w:right="80"/>
        <w:spacing w:after="0" w:line="326" w:lineRule="auto"/>
        <w:rPr>
          <w:sz w:val="20"/>
          <w:szCs w:val="20"/>
          <w:color w:val="auto"/>
        </w:rPr>
      </w:pPr>
      <w:r>
        <w:rPr>
          <w:rFonts w:ascii="Arial" w:cs="Arial" w:eastAsia="Arial" w:hAnsi="Arial"/>
          <w:sz w:val="16"/>
          <w:szCs w:val="16"/>
          <w:color w:val="auto"/>
        </w:rPr>
        <w:t>The table below shows all outstanding share-based awards previously granted to the directors that were outstanding at the end of 2025. Year-end values are based on $75.58 being the closing price of TC Energy shares on the TSX at December 31, 2025. Non-executive directors are not eligible to participate in the Stock Option Plan and, accordingly, none of our non-executive directors have outstanding option-based awards.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551"/>
        </w:trPr>
        <w:tc>
          <w:tcPr>
            <w:tcW w:w="1720" w:type="dxa"/>
            <w:vAlign w:val="bottom"/>
            <w:tcBorders>
              <w:top w:val="single" w:sz="8" w:color="0D64EF"/>
            </w:tcBorders>
            <w:shd w:val="clear" w:color="auto" w:fill="D0D0CE"/>
          </w:tcPr>
          <w:p>
            <w:pPr>
              <w:spacing w:after="0"/>
              <w:rPr>
                <w:sz w:val="24"/>
                <w:szCs w:val="24"/>
                <w:color w:val="auto"/>
              </w:rPr>
            </w:pPr>
          </w:p>
        </w:tc>
        <w:tc>
          <w:tcPr>
            <w:tcW w:w="1520" w:type="dxa"/>
            <w:vAlign w:val="bottom"/>
            <w:tcBorders>
              <w:top w:val="single" w:sz="8" w:color="0D64EF"/>
            </w:tcBorders>
            <w:vMerge w:val="restart"/>
            <w:shd w:val="clear" w:color="auto" w:fill="D0D0CE"/>
          </w:tcPr>
          <w:p>
            <w:pPr>
              <w:jc w:val="right"/>
              <w:ind w:right="68"/>
              <w:spacing w:after="0"/>
              <w:rPr>
                <w:sz w:val="20"/>
                <w:szCs w:val="20"/>
                <w:color w:val="auto"/>
              </w:rPr>
            </w:pPr>
            <w:r>
              <w:rPr>
                <w:rFonts w:ascii="Arial" w:cs="Arial" w:eastAsia="Arial" w:hAnsi="Arial"/>
                <w:sz w:val="14"/>
                <w:szCs w:val="14"/>
                <w:b w:val="1"/>
                <w:bCs w:val="1"/>
                <w:color w:val="auto"/>
              </w:rPr>
              <w:t>Number of shares</w:t>
            </w:r>
          </w:p>
        </w:tc>
        <w:tc>
          <w:tcPr>
            <w:tcW w:w="1320" w:type="dxa"/>
            <w:vAlign w:val="bottom"/>
            <w:tcBorders>
              <w:top w:val="single" w:sz="8" w:color="0D64EF"/>
            </w:tcBorders>
            <w:shd w:val="clear" w:color="auto" w:fill="D0D0CE"/>
          </w:tcPr>
          <w:p>
            <w:pPr>
              <w:jc w:val="right"/>
              <w:spacing w:after="0"/>
              <w:rPr>
                <w:sz w:val="20"/>
                <w:szCs w:val="20"/>
                <w:color w:val="auto"/>
              </w:rPr>
            </w:pPr>
            <w:r>
              <w:rPr>
                <w:rFonts w:ascii="Arial" w:cs="Arial" w:eastAsia="Arial" w:hAnsi="Arial"/>
                <w:sz w:val="14"/>
                <w:szCs w:val="14"/>
                <w:b w:val="1"/>
                <w:bCs w:val="1"/>
                <w:color w:val="auto"/>
              </w:rPr>
              <w:t>Market or payout</w:t>
            </w:r>
          </w:p>
        </w:tc>
        <w:tc>
          <w:tcPr>
            <w:tcW w:w="1360" w:type="dxa"/>
            <w:vAlign w:val="bottom"/>
            <w:tcBorders>
              <w:top w:val="single" w:sz="8" w:color="0D64EF"/>
            </w:tcBorders>
            <w:vMerge w:val="restart"/>
            <w:shd w:val="clear" w:color="auto" w:fill="D0D0CE"/>
          </w:tcPr>
          <w:p>
            <w:pPr>
              <w:jc w:val="right"/>
              <w:ind w:right="28"/>
              <w:spacing w:after="0"/>
              <w:rPr>
                <w:sz w:val="20"/>
                <w:szCs w:val="20"/>
                <w:color w:val="auto"/>
              </w:rPr>
            </w:pPr>
            <w:r>
              <w:rPr>
                <w:rFonts w:ascii="Arial" w:cs="Arial" w:eastAsia="Arial" w:hAnsi="Arial"/>
                <w:sz w:val="14"/>
                <w:szCs w:val="14"/>
                <w:b w:val="1"/>
                <w:bCs w:val="1"/>
                <w:color w:val="auto"/>
              </w:rPr>
              <w:t>Number of shares</w:t>
            </w:r>
          </w:p>
        </w:tc>
        <w:tc>
          <w:tcPr>
            <w:tcW w:w="1320" w:type="dxa"/>
            <w:vAlign w:val="bottom"/>
            <w:tcBorders>
              <w:top w:val="single" w:sz="8" w:color="0D64EF"/>
            </w:tcBorders>
            <w:vMerge w:val="restart"/>
            <w:shd w:val="clear" w:color="auto" w:fill="D0D0CE"/>
          </w:tcPr>
          <w:p>
            <w:pPr>
              <w:jc w:val="right"/>
              <w:spacing w:after="0"/>
              <w:rPr>
                <w:sz w:val="20"/>
                <w:szCs w:val="20"/>
                <w:color w:val="auto"/>
              </w:rPr>
            </w:pPr>
            <w:r>
              <w:rPr>
                <w:rFonts w:ascii="Arial" w:cs="Arial" w:eastAsia="Arial" w:hAnsi="Arial"/>
                <w:sz w:val="14"/>
                <w:szCs w:val="14"/>
                <w:b w:val="1"/>
                <w:bCs w:val="1"/>
                <w:color w:val="auto"/>
              </w:rPr>
              <w:t>Market or payout</w:t>
            </w:r>
          </w:p>
        </w:tc>
        <w:tc>
          <w:tcPr>
            <w:tcW w:w="1360" w:type="dxa"/>
            <w:vAlign w:val="bottom"/>
            <w:tcBorders>
              <w:top w:val="single" w:sz="8" w:color="0D64EF"/>
            </w:tcBorders>
            <w:shd w:val="clear" w:color="auto" w:fill="D0D0CE"/>
          </w:tcPr>
          <w:p>
            <w:pPr>
              <w:spacing w:after="0"/>
              <w:rPr>
                <w:sz w:val="24"/>
                <w:szCs w:val="24"/>
                <w:color w:val="auto"/>
              </w:rPr>
            </w:pPr>
          </w:p>
        </w:tc>
        <w:tc>
          <w:tcPr>
            <w:tcW w:w="1360" w:type="dxa"/>
            <w:vAlign w:val="bottom"/>
            <w:tcBorders>
              <w:top w:val="single" w:sz="8" w:color="0D64EF"/>
            </w:tcBorders>
            <w:shd w:val="clear" w:color="auto" w:fill="D0D0C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D0D0CE"/>
          </w:tcPr>
          <w:p>
            <w:pPr>
              <w:spacing w:after="0"/>
              <w:rPr>
                <w:sz w:val="12"/>
                <w:szCs w:val="12"/>
                <w:color w:val="auto"/>
              </w:rPr>
            </w:pPr>
          </w:p>
        </w:tc>
        <w:tc>
          <w:tcPr>
            <w:tcW w:w="1520" w:type="dxa"/>
            <w:vAlign w:val="bottom"/>
            <w:vMerge w:val="continue"/>
            <w:shd w:val="clear" w:color="auto" w:fill="D0D0CE"/>
          </w:tcPr>
          <w:p>
            <w:pPr>
              <w:spacing w:after="0"/>
              <w:rPr>
                <w:sz w:val="12"/>
                <w:szCs w:val="12"/>
                <w:color w:val="auto"/>
              </w:rPr>
            </w:pPr>
          </w:p>
        </w:tc>
        <w:tc>
          <w:tcPr>
            <w:tcW w:w="1320" w:type="dxa"/>
            <w:vAlign w:val="bottom"/>
            <w:shd w:val="clear" w:color="auto" w:fill="D0D0CE"/>
          </w:tcPr>
          <w:p>
            <w:pPr>
              <w:jc w:val="right"/>
              <w:ind w:right="28"/>
              <w:spacing w:after="0" w:line="148" w:lineRule="exact"/>
              <w:rPr>
                <w:sz w:val="20"/>
                <w:szCs w:val="20"/>
                <w:color w:val="auto"/>
              </w:rPr>
            </w:pPr>
            <w:r>
              <w:rPr>
                <w:rFonts w:ascii="Arial" w:cs="Arial" w:eastAsia="Arial" w:hAnsi="Arial"/>
                <w:sz w:val="14"/>
                <w:szCs w:val="14"/>
                <w:b w:val="1"/>
                <w:bCs w:val="1"/>
                <w:color w:val="auto"/>
              </w:rPr>
              <w:t>value</w:t>
            </w:r>
          </w:p>
        </w:tc>
        <w:tc>
          <w:tcPr>
            <w:tcW w:w="1360" w:type="dxa"/>
            <w:vAlign w:val="bottom"/>
            <w:vMerge w:val="continue"/>
            <w:shd w:val="clear" w:color="auto" w:fill="D0D0CE"/>
          </w:tcPr>
          <w:p>
            <w:pPr>
              <w:spacing w:after="0"/>
              <w:rPr>
                <w:sz w:val="12"/>
                <w:szCs w:val="12"/>
                <w:color w:val="auto"/>
              </w:rPr>
            </w:pPr>
          </w:p>
        </w:tc>
        <w:tc>
          <w:tcPr>
            <w:tcW w:w="1320" w:type="dxa"/>
            <w:vAlign w:val="bottom"/>
            <w:vMerge w:val="continue"/>
            <w:shd w:val="clear" w:color="auto" w:fill="D0D0CE"/>
          </w:tcPr>
          <w:p>
            <w:pPr>
              <w:spacing w:after="0"/>
              <w:rPr>
                <w:sz w:val="12"/>
                <w:szCs w:val="12"/>
                <w:color w:val="auto"/>
              </w:rPr>
            </w:pPr>
          </w:p>
        </w:tc>
        <w:tc>
          <w:tcPr>
            <w:tcW w:w="1360" w:type="dxa"/>
            <w:vAlign w:val="bottom"/>
            <w:shd w:val="clear" w:color="auto" w:fill="D0D0CE"/>
          </w:tcPr>
          <w:p>
            <w:pPr>
              <w:spacing w:after="0"/>
              <w:rPr>
                <w:sz w:val="12"/>
                <w:szCs w:val="12"/>
                <w:color w:val="auto"/>
              </w:rPr>
            </w:pPr>
          </w:p>
        </w:tc>
        <w:tc>
          <w:tcPr>
            <w:tcW w:w="1360" w:type="dxa"/>
            <w:vAlign w:val="bottom"/>
            <w:shd w:val="clear" w:color="auto" w:fill="D0D0C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shd w:val="clear" w:color="auto" w:fill="D0D0CE"/>
          </w:tcPr>
          <w:p>
            <w:pPr>
              <w:spacing w:after="0"/>
              <w:rPr>
                <w:sz w:val="12"/>
                <w:szCs w:val="12"/>
                <w:color w:val="auto"/>
              </w:rPr>
            </w:pPr>
          </w:p>
        </w:tc>
        <w:tc>
          <w:tcPr>
            <w:tcW w:w="1520" w:type="dxa"/>
            <w:vAlign w:val="bottom"/>
            <w:shd w:val="clear" w:color="auto" w:fill="D0D0CE"/>
          </w:tcPr>
          <w:p>
            <w:pPr>
              <w:jc w:val="right"/>
              <w:ind w:right="68"/>
              <w:spacing w:after="0" w:line="139" w:lineRule="exact"/>
              <w:rPr>
                <w:sz w:val="20"/>
                <w:szCs w:val="20"/>
                <w:color w:val="auto"/>
              </w:rPr>
            </w:pPr>
            <w:r>
              <w:rPr>
                <w:rFonts w:ascii="Arial" w:cs="Arial" w:eastAsia="Arial" w:hAnsi="Arial"/>
                <w:sz w:val="14"/>
                <w:szCs w:val="14"/>
                <w:b w:val="1"/>
                <w:bCs w:val="1"/>
                <w:color w:val="auto"/>
              </w:rPr>
              <w:t>or units of share-</w:t>
            </w:r>
          </w:p>
        </w:tc>
        <w:tc>
          <w:tcPr>
            <w:tcW w:w="1320" w:type="dxa"/>
            <w:vAlign w:val="bottom"/>
            <w:shd w:val="clear" w:color="auto" w:fill="D0D0CE"/>
          </w:tcPr>
          <w:p>
            <w:pPr>
              <w:jc w:val="right"/>
              <w:spacing w:after="0" w:line="139" w:lineRule="exact"/>
              <w:rPr>
                <w:sz w:val="20"/>
                <w:szCs w:val="20"/>
                <w:color w:val="auto"/>
              </w:rPr>
            </w:pPr>
            <w:r>
              <w:rPr>
                <w:rFonts w:ascii="Arial" w:cs="Arial" w:eastAsia="Arial" w:hAnsi="Arial"/>
                <w:sz w:val="14"/>
                <w:szCs w:val="14"/>
                <w:b w:val="1"/>
                <w:bCs w:val="1"/>
                <w:color w:val="auto"/>
              </w:rPr>
              <w:t>of share-based</w:t>
            </w:r>
          </w:p>
        </w:tc>
        <w:tc>
          <w:tcPr>
            <w:tcW w:w="1360" w:type="dxa"/>
            <w:vAlign w:val="bottom"/>
            <w:shd w:val="clear" w:color="auto" w:fill="D0D0CE"/>
          </w:tcPr>
          <w:p>
            <w:pPr>
              <w:jc w:val="right"/>
              <w:ind w:right="28"/>
              <w:spacing w:after="0" w:line="139" w:lineRule="exact"/>
              <w:rPr>
                <w:sz w:val="20"/>
                <w:szCs w:val="20"/>
                <w:color w:val="auto"/>
              </w:rPr>
            </w:pPr>
            <w:r>
              <w:rPr>
                <w:rFonts w:ascii="Arial" w:cs="Arial" w:eastAsia="Arial" w:hAnsi="Arial"/>
                <w:sz w:val="14"/>
                <w:szCs w:val="14"/>
                <w:b w:val="1"/>
                <w:bCs w:val="1"/>
                <w:color w:val="auto"/>
              </w:rPr>
              <w:t>or units of vested</w:t>
            </w:r>
          </w:p>
        </w:tc>
        <w:tc>
          <w:tcPr>
            <w:tcW w:w="1320" w:type="dxa"/>
            <w:vAlign w:val="bottom"/>
            <w:shd w:val="clear" w:color="auto" w:fill="D0D0CE"/>
          </w:tcPr>
          <w:p>
            <w:pPr>
              <w:jc w:val="right"/>
              <w:spacing w:after="0" w:line="139" w:lineRule="exact"/>
              <w:rPr>
                <w:sz w:val="20"/>
                <w:szCs w:val="20"/>
                <w:color w:val="auto"/>
              </w:rPr>
            </w:pPr>
            <w:r>
              <w:rPr>
                <w:rFonts w:ascii="Arial" w:cs="Arial" w:eastAsia="Arial" w:hAnsi="Arial"/>
                <w:sz w:val="14"/>
                <w:szCs w:val="14"/>
                <w:b w:val="1"/>
                <w:bCs w:val="1"/>
                <w:color w:val="auto"/>
              </w:rPr>
              <w:t>value of vested</w:t>
            </w:r>
          </w:p>
        </w:tc>
        <w:tc>
          <w:tcPr>
            <w:tcW w:w="1360" w:type="dxa"/>
            <w:vAlign w:val="bottom"/>
            <w:shd w:val="clear" w:color="auto" w:fill="D0D0CE"/>
          </w:tcPr>
          <w:p>
            <w:pPr>
              <w:spacing w:after="0"/>
              <w:rPr>
                <w:sz w:val="12"/>
                <w:szCs w:val="12"/>
                <w:color w:val="auto"/>
              </w:rPr>
            </w:pPr>
          </w:p>
        </w:tc>
        <w:tc>
          <w:tcPr>
            <w:tcW w:w="1360" w:type="dxa"/>
            <w:vAlign w:val="bottom"/>
            <w:vMerge w:val="restart"/>
            <w:shd w:val="clear" w:color="auto" w:fill="D0D0CE"/>
          </w:tcPr>
          <w:p>
            <w:pPr>
              <w:jc w:val="right"/>
              <w:spacing w:after="0"/>
              <w:rPr>
                <w:sz w:val="20"/>
                <w:szCs w:val="20"/>
                <w:color w:val="auto"/>
              </w:rPr>
            </w:pPr>
            <w:r>
              <w:rPr>
                <w:rFonts w:ascii="Arial" w:cs="Arial" w:eastAsia="Arial" w:hAnsi="Arial"/>
                <w:sz w:val="14"/>
                <w:szCs w:val="14"/>
                <w:b w:val="1"/>
                <w:bCs w:val="1"/>
                <w:color w:val="auto"/>
              </w:rPr>
              <w:t>Share-based</w:t>
            </w:r>
          </w:p>
        </w:tc>
        <w:tc>
          <w:tcPr>
            <w:tcW w:w="0" w:type="dxa"/>
            <w:vAlign w:val="bottom"/>
          </w:tcPr>
          <w:p>
            <w:pPr>
              <w:spacing w:after="0"/>
              <w:rPr>
                <w:sz w:val="1"/>
                <w:szCs w:val="1"/>
                <w:color w:val="auto"/>
              </w:rPr>
            </w:pPr>
          </w:p>
        </w:tc>
      </w:tr>
      <w:tr>
        <w:trPr>
          <w:trHeight w:val="76"/>
        </w:trPr>
        <w:tc>
          <w:tcPr>
            <w:tcW w:w="1720" w:type="dxa"/>
            <w:vAlign w:val="bottom"/>
            <w:shd w:val="clear" w:color="auto" w:fill="D0D0CE"/>
          </w:tcPr>
          <w:p>
            <w:pPr>
              <w:spacing w:after="0"/>
              <w:rPr>
                <w:sz w:val="6"/>
                <w:szCs w:val="6"/>
                <w:color w:val="auto"/>
              </w:rPr>
            </w:pPr>
          </w:p>
        </w:tc>
        <w:tc>
          <w:tcPr>
            <w:tcW w:w="1520" w:type="dxa"/>
            <w:vAlign w:val="bottom"/>
            <w:vMerge w:val="restart"/>
            <w:shd w:val="clear" w:color="auto" w:fill="D0D0CE"/>
          </w:tcPr>
          <w:p>
            <w:pPr>
              <w:jc w:val="right"/>
              <w:ind w:right="68"/>
              <w:spacing w:after="0" w:line="144" w:lineRule="exact"/>
              <w:rPr>
                <w:sz w:val="20"/>
                <w:szCs w:val="20"/>
                <w:color w:val="auto"/>
              </w:rPr>
            </w:pPr>
            <w:r>
              <w:rPr>
                <w:rFonts w:ascii="Arial" w:cs="Arial" w:eastAsia="Arial" w:hAnsi="Arial"/>
                <w:sz w:val="14"/>
                <w:szCs w:val="14"/>
                <w:b w:val="1"/>
                <w:bCs w:val="1"/>
                <w:color w:val="auto"/>
              </w:rPr>
              <w:t>based awards</w:t>
            </w:r>
          </w:p>
        </w:tc>
        <w:tc>
          <w:tcPr>
            <w:tcW w:w="1320" w:type="dxa"/>
            <w:vAlign w:val="bottom"/>
            <w:vMerge w:val="restart"/>
            <w:shd w:val="clear" w:color="auto" w:fill="D0D0CE"/>
          </w:tcPr>
          <w:p>
            <w:pPr>
              <w:jc w:val="right"/>
              <w:ind w:right="28"/>
              <w:spacing w:after="0" w:line="144" w:lineRule="exact"/>
              <w:rPr>
                <w:sz w:val="20"/>
                <w:szCs w:val="20"/>
                <w:color w:val="auto"/>
              </w:rPr>
            </w:pPr>
            <w:r>
              <w:rPr>
                <w:rFonts w:ascii="Arial" w:cs="Arial" w:eastAsia="Arial" w:hAnsi="Arial"/>
                <w:sz w:val="14"/>
                <w:szCs w:val="14"/>
                <w:b w:val="1"/>
                <w:bCs w:val="1"/>
                <w:color w:val="auto"/>
              </w:rPr>
              <w:t>awards</w:t>
            </w:r>
          </w:p>
        </w:tc>
        <w:tc>
          <w:tcPr>
            <w:tcW w:w="1360" w:type="dxa"/>
            <w:vAlign w:val="bottom"/>
            <w:vMerge w:val="restart"/>
            <w:shd w:val="clear" w:color="auto" w:fill="D0D0CE"/>
          </w:tcPr>
          <w:p>
            <w:pPr>
              <w:jc w:val="right"/>
              <w:ind w:right="28"/>
              <w:spacing w:after="0" w:line="144" w:lineRule="exact"/>
              <w:rPr>
                <w:sz w:val="20"/>
                <w:szCs w:val="20"/>
                <w:color w:val="auto"/>
              </w:rPr>
            </w:pPr>
            <w:r>
              <w:rPr>
                <w:rFonts w:ascii="Arial" w:cs="Arial" w:eastAsia="Arial" w:hAnsi="Arial"/>
                <w:sz w:val="14"/>
                <w:szCs w:val="14"/>
                <w:b w:val="1"/>
                <w:bCs w:val="1"/>
                <w:color w:val="auto"/>
              </w:rPr>
              <w:t>share-based</w:t>
            </w:r>
          </w:p>
        </w:tc>
        <w:tc>
          <w:tcPr>
            <w:tcW w:w="1320" w:type="dxa"/>
            <w:vAlign w:val="bottom"/>
            <w:vMerge w:val="restart"/>
            <w:shd w:val="clear" w:color="auto" w:fill="D0D0CE"/>
          </w:tcPr>
          <w:p>
            <w:pPr>
              <w:jc w:val="right"/>
              <w:spacing w:after="0" w:line="144" w:lineRule="exact"/>
              <w:rPr>
                <w:sz w:val="20"/>
                <w:szCs w:val="20"/>
                <w:color w:val="auto"/>
              </w:rPr>
            </w:pPr>
            <w:r>
              <w:rPr>
                <w:rFonts w:ascii="Arial" w:cs="Arial" w:eastAsia="Arial" w:hAnsi="Arial"/>
                <w:sz w:val="14"/>
                <w:szCs w:val="14"/>
                <w:b w:val="1"/>
                <w:bCs w:val="1"/>
                <w:color w:val="auto"/>
              </w:rPr>
              <w:t>share-based</w:t>
            </w:r>
          </w:p>
        </w:tc>
        <w:tc>
          <w:tcPr>
            <w:tcW w:w="1360" w:type="dxa"/>
            <w:vAlign w:val="bottom"/>
            <w:vMerge w:val="restart"/>
            <w:shd w:val="clear" w:color="auto" w:fill="D0D0CE"/>
          </w:tcPr>
          <w:p>
            <w:pPr>
              <w:jc w:val="right"/>
              <w:spacing w:after="0" w:line="144" w:lineRule="exact"/>
              <w:rPr>
                <w:sz w:val="20"/>
                <w:szCs w:val="20"/>
                <w:color w:val="auto"/>
              </w:rPr>
            </w:pPr>
            <w:r>
              <w:rPr>
                <w:rFonts w:ascii="Arial" w:cs="Arial" w:eastAsia="Arial" w:hAnsi="Arial"/>
                <w:sz w:val="14"/>
                <w:szCs w:val="14"/>
                <w:b w:val="1"/>
                <w:bCs w:val="1"/>
                <w:color w:val="auto"/>
              </w:rPr>
              <w:t>Number of share-</w:t>
            </w:r>
          </w:p>
        </w:tc>
        <w:tc>
          <w:tcPr>
            <w:tcW w:w="1360" w:type="dxa"/>
            <w:vAlign w:val="bottom"/>
            <w:vMerge w:val="continue"/>
            <w:shd w:val="clear" w:color="auto" w:fill="D0D0C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720" w:type="dxa"/>
            <w:vAlign w:val="bottom"/>
            <w:shd w:val="clear" w:color="auto" w:fill="D0D0CE"/>
          </w:tcPr>
          <w:p>
            <w:pPr>
              <w:spacing w:after="0"/>
              <w:rPr>
                <w:sz w:val="5"/>
                <w:szCs w:val="5"/>
                <w:color w:val="auto"/>
              </w:rPr>
            </w:pPr>
          </w:p>
        </w:tc>
        <w:tc>
          <w:tcPr>
            <w:tcW w:w="1520" w:type="dxa"/>
            <w:vAlign w:val="bottom"/>
            <w:vMerge w:val="continue"/>
            <w:shd w:val="clear" w:color="auto" w:fill="D0D0CE"/>
          </w:tcPr>
          <w:p>
            <w:pPr>
              <w:spacing w:after="0"/>
              <w:rPr>
                <w:sz w:val="5"/>
                <w:szCs w:val="5"/>
                <w:color w:val="auto"/>
              </w:rPr>
            </w:pPr>
          </w:p>
        </w:tc>
        <w:tc>
          <w:tcPr>
            <w:tcW w:w="1320" w:type="dxa"/>
            <w:vAlign w:val="bottom"/>
            <w:vMerge w:val="continue"/>
            <w:shd w:val="clear" w:color="auto" w:fill="D0D0CE"/>
          </w:tcPr>
          <w:p>
            <w:pPr>
              <w:spacing w:after="0"/>
              <w:rPr>
                <w:sz w:val="5"/>
                <w:szCs w:val="5"/>
                <w:color w:val="auto"/>
              </w:rPr>
            </w:pPr>
          </w:p>
        </w:tc>
        <w:tc>
          <w:tcPr>
            <w:tcW w:w="1360" w:type="dxa"/>
            <w:vAlign w:val="bottom"/>
            <w:vMerge w:val="continue"/>
            <w:shd w:val="clear" w:color="auto" w:fill="D0D0CE"/>
          </w:tcPr>
          <w:p>
            <w:pPr>
              <w:spacing w:after="0"/>
              <w:rPr>
                <w:sz w:val="5"/>
                <w:szCs w:val="5"/>
                <w:color w:val="auto"/>
              </w:rPr>
            </w:pPr>
          </w:p>
        </w:tc>
        <w:tc>
          <w:tcPr>
            <w:tcW w:w="1320" w:type="dxa"/>
            <w:vAlign w:val="bottom"/>
            <w:vMerge w:val="continue"/>
            <w:shd w:val="clear" w:color="auto" w:fill="D0D0CE"/>
          </w:tcPr>
          <w:p>
            <w:pPr>
              <w:spacing w:after="0"/>
              <w:rPr>
                <w:sz w:val="5"/>
                <w:szCs w:val="5"/>
                <w:color w:val="auto"/>
              </w:rPr>
            </w:pPr>
          </w:p>
        </w:tc>
        <w:tc>
          <w:tcPr>
            <w:tcW w:w="1360" w:type="dxa"/>
            <w:vAlign w:val="bottom"/>
            <w:vMerge w:val="continue"/>
            <w:shd w:val="clear" w:color="auto" w:fill="D0D0CE"/>
          </w:tcPr>
          <w:p>
            <w:pPr>
              <w:spacing w:after="0"/>
              <w:rPr>
                <w:sz w:val="5"/>
                <w:szCs w:val="5"/>
                <w:color w:val="auto"/>
              </w:rPr>
            </w:pPr>
          </w:p>
        </w:tc>
        <w:tc>
          <w:tcPr>
            <w:tcW w:w="1360" w:type="dxa"/>
            <w:vAlign w:val="bottom"/>
            <w:vMerge w:val="restart"/>
            <w:shd w:val="clear" w:color="auto" w:fill="D0D0CE"/>
          </w:tcPr>
          <w:p>
            <w:pPr>
              <w:jc w:val="right"/>
              <w:spacing w:after="0" w:line="139" w:lineRule="exact"/>
              <w:rPr>
                <w:sz w:val="20"/>
                <w:szCs w:val="20"/>
                <w:color w:val="auto"/>
              </w:rPr>
            </w:pPr>
            <w:r>
              <w:rPr>
                <w:rFonts w:ascii="Arial" w:cs="Arial" w:eastAsia="Arial" w:hAnsi="Arial"/>
                <w:sz w:val="14"/>
                <w:szCs w:val="14"/>
                <w:b w:val="1"/>
                <w:bCs w:val="1"/>
                <w:color w:val="auto"/>
              </w:rPr>
              <w:t>awards- value</w:t>
            </w:r>
          </w:p>
        </w:tc>
        <w:tc>
          <w:tcPr>
            <w:tcW w:w="0" w:type="dxa"/>
            <w:vAlign w:val="bottom"/>
          </w:tcPr>
          <w:p>
            <w:pPr>
              <w:spacing w:after="0"/>
              <w:rPr>
                <w:sz w:val="1"/>
                <w:szCs w:val="1"/>
                <w:color w:val="auto"/>
              </w:rPr>
            </w:pPr>
          </w:p>
        </w:tc>
      </w:tr>
      <w:tr>
        <w:trPr>
          <w:trHeight w:val="71"/>
        </w:trPr>
        <w:tc>
          <w:tcPr>
            <w:tcW w:w="1720" w:type="dxa"/>
            <w:vAlign w:val="bottom"/>
            <w:shd w:val="clear" w:color="auto" w:fill="D0D0CE"/>
          </w:tcPr>
          <w:p>
            <w:pPr>
              <w:spacing w:after="0"/>
              <w:rPr>
                <w:sz w:val="6"/>
                <w:szCs w:val="6"/>
                <w:color w:val="auto"/>
              </w:rPr>
            </w:pPr>
          </w:p>
        </w:tc>
        <w:tc>
          <w:tcPr>
            <w:tcW w:w="1520" w:type="dxa"/>
            <w:vAlign w:val="bottom"/>
            <w:vMerge w:val="restart"/>
            <w:shd w:val="clear" w:color="auto" w:fill="D0D0CE"/>
          </w:tcPr>
          <w:p>
            <w:pPr>
              <w:jc w:val="right"/>
              <w:ind w:right="28"/>
              <w:spacing w:after="0" w:line="148" w:lineRule="exact"/>
              <w:rPr>
                <w:sz w:val="20"/>
                <w:szCs w:val="20"/>
                <w:color w:val="auto"/>
              </w:rPr>
            </w:pPr>
            <w:r>
              <w:rPr>
                <w:rFonts w:ascii="Arial" w:cs="Arial" w:eastAsia="Arial" w:hAnsi="Arial"/>
                <w:sz w:val="14"/>
                <w:szCs w:val="14"/>
                <w:b w:val="1"/>
                <w:bCs w:val="1"/>
                <w:color w:val="auto"/>
              </w:rPr>
              <w:t>that have not</w:t>
            </w:r>
          </w:p>
        </w:tc>
        <w:tc>
          <w:tcPr>
            <w:tcW w:w="1320" w:type="dxa"/>
            <w:vAlign w:val="bottom"/>
            <w:vMerge w:val="restart"/>
            <w:shd w:val="clear" w:color="auto" w:fill="D0D0CE"/>
          </w:tcPr>
          <w:p>
            <w:pPr>
              <w:jc w:val="right"/>
              <w:spacing w:after="0" w:line="148" w:lineRule="exact"/>
              <w:rPr>
                <w:sz w:val="20"/>
                <w:szCs w:val="20"/>
                <w:color w:val="auto"/>
              </w:rPr>
            </w:pPr>
            <w:r>
              <w:rPr>
                <w:rFonts w:ascii="Arial" w:cs="Arial" w:eastAsia="Arial" w:hAnsi="Arial"/>
                <w:sz w:val="14"/>
                <w:szCs w:val="14"/>
                <w:b w:val="1"/>
                <w:bCs w:val="1"/>
                <w:color w:val="auto"/>
              </w:rPr>
              <w:t>that have not</w:t>
            </w:r>
          </w:p>
        </w:tc>
        <w:tc>
          <w:tcPr>
            <w:tcW w:w="1360" w:type="dxa"/>
            <w:vAlign w:val="bottom"/>
            <w:vMerge w:val="restart"/>
            <w:shd w:val="clear" w:color="auto" w:fill="D0D0CE"/>
          </w:tcPr>
          <w:p>
            <w:pPr>
              <w:jc w:val="right"/>
              <w:ind w:right="28"/>
              <w:spacing w:after="0" w:line="148" w:lineRule="exact"/>
              <w:rPr>
                <w:sz w:val="20"/>
                <w:szCs w:val="20"/>
                <w:color w:val="auto"/>
              </w:rPr>
            </w:pPr>
            <w:r>
              <w:rPr>
                <w:rFonts w:ascii="Arial" w:cs="Arial" w:eastAsia="Arial" w:hAnsi="Arial"/>
                <w:sz w:val="14"/>
                <w:szCs w:val="14"/>
                <w:b w:val="1"/>
                <w:bCs w:val="1"/>
                <w:color w:val="auto"/>
              </w:rPr>
              <w:t>awards not paid</w:t>
            </w:r>
          </w:p>
        </w:tc>
        <w:tc>
          <w:tcPr>
            <w:tcW w:w="1320" w:type="dxa"/>
            <w:vAlign w:val="bottom"/>
            <w:vMerge w:val="restart"/>
            <w:shd w:val="clear" w:color="auto" w:fill="D0D0CE"/>
          </w:tcPr>
          <w:p>
            <w:pPr>
              <w:jc w:val="right"/>
              <w:spacing w:after="0" w:line="148" w:lineRule="exact"/>
              <w:rPr>
                <w:sz w:val="20"/>
                <w:szCs w:val="20"/>
                <w:color w:val="auto"/>
              </w:rPr>
            </w:pPr>
            <w:r>
              <w:rPr>
                <w:rFonts w:ascii="Arial" w:cs="Arial" w:eastAsia="Arial" w:hAnsi="Arial"/>
                <w:sz w:val="14"/>
                <w:szCs w:val="14"/>
                <w:b w:val="1"/>
                <w:bCs w:val="1"/>
                <w:color w:val="auto"/>
              </w:rPr>
              <w:t>awards not paid</w:t>
            </w:r>
          </w:p>
        </w:tc>
        <w:tc>
          <w:tcPr>
            <w:tcW w:w="1360" w:type="dxa"/>
            <w:vAlign w:val="bottom"/>
            <w:vMerge w:val="restart"/>
            <w:shd w:val="clear" w:color="auto" w:fill="D0D0CE"/>
          </w:tcPr>
          <w:p>
            <w:pPr>
              <w:jc w:val="right"/>
              <w:spacing w:after="0" w:line="148" w:lineRule="exact"/>
              <w:rPr>
                <w:sz w:val="20"/>
                <w:szCs w:val="20"/>
                <w:color w:val="auto"/>
              </w:rPr>
            </w:pPr>
            <w:r>
              <w:rPr>
                <w:rFonts w:ascii="Arial" w:cs="Arial" w:eastAsia="Arial" w:hAnsi="Arial"/>
                <w:sz w:val="14"/>
                <w:szCs w:val="14"/>
                <w:b w:val="1"/>
                <w:bCs w:val="1"/>
                <w:color w:val="auto"/>
              </w:rPr>
              <w:t>based awards</w:t>
            </w:r>
          </w:p>
        </w:tc>
        <w:tc>
          <w:tcPr>
            <w:tcW w:w="1360" w:type="dxa"/>
            <w:vAlign w:val="bottom"/>
            <w:vMerge w:val="continue"/>
            <w:shd w:val="clear" w:color="auto" w:fill="D0D0C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720" w:type="dxa"/>
            <w:vAlign w:val="bottom"/>
            <w:shd w:val="clear" w:color="auto" w:fill="D0D0CE"/>
          </w:tcPr>
          <w:p>
            <w:pPr>
              <w:spacing w:after="0"/>
              <w:rPr>
                <w:sz w:val="6"/>
                <w:szCs w:val="6"/>
                <w:color w:val="auto"/>
              </w:rPr>
            </w:pPr>
          </w:p>
        </w:tc>
        <w:tc>
          <w:tcPr>
            <w:tcW w:w="1520" w:type="dxa"/>
            <w:vAlign w:val="bottom"/>
            <w:vMerge w:val="continue"/>
            <w:shd w:val="clear" w:color="auto" w:fill="D0D0CE"/>
          </w:tcPr>
          <w:p>
            <w:pPr>
              <w:spacing w:after="0"/>
              <w:rPr>
                <w:sz w:val="6"/>
                <w:szCs w:val="6"/>
                <w:color w:val="auto"/>
              </w:rPr>
            </w:pPr>
          </w:p>
        </w:tc>
        <w:tc>
          <w:tcPr>
            <w:tcW w:w="1320" w:type="dxa"/>
            <w:vAlign w:val="bottom"/>
            <w:vMerge w:val="continue"/>
            <w:shd w:val="clear" w:color="auto" w:fill="D0D0CE"/>
          </w:tcPr>
          <w:p>
            <w:pPr>
              <w:spacing w:after="0"/>
              <w:rPr>
                <w:sz w:val="6"/>
                <w:szCs w:val="6"/>
                <w:color w:val="auto"/>
              </w:rPr>
            </w:pPr>
          </w:p>
        </w:tc>
        <w:tc>
          <w:tcPr>
            <w:tcW w:w="1360" w:type="dxa"/>
            <w:vAlign w:val="bottom"/>
            <w:vMerge w:val="continue"/>
            <w:shd w:val="clear" w:color="auto" w:fill="D0D0CE"/>
          </w:tcPr>
          <w:p>
            <w:pPr>
              <w:spacing w:after="0"/>
              <w:rPr>
                <w:sz w:val="6"/>
                <w:szCs w:val="6"/>
                <w:color w:val="auto"/>
              </w:rPr>
            </w:pPr>
          </w:p>
        </w:tc>
        <w:tc>
          <w:tcPr>
            <w:tcW w:w="1320" w:type="dxa"/>
            <w:vAlign w:val="bottom"/>
            <w:vMerge w:val="continue"/>
            <w:shd w:val="clear" w:color="auto" w:fill="D0D0CE"/>
          </w:tcPr>
          <w:p>
            <w:pPr>
              <w:spacing w:after="0"/>
              <w:rPr>
                <w:sz w:val="6"/>
                <w:szCs w:val="6"/>
                <w:color w:val="auto"/>
              </w:rPr>
            </w:pPr>
          </w:p>
        </w:tc>
        <w:tc>
          <w:tcPr>
            <w:tcW w:w="1360" w:type="dxa"/>
            <w:vAlign w:val="bottom"/>
            <w:vMerge w:val="continue"/>
            <w:shd w:val="clear" w:color="auto" w:fill="D0D0CE"/>
          </w:tcPr>
          <w:p>
            <w:pPr>
              <w:spacing w:after="0"/>
              <w:rPr>
                <w:sz w:val="6"/>
                <w:szCs w:val="6"/>
                <w:color w:val="auto"/>
              </w:rPr>
            </w:pPr>
          </w:p>
        </w:tc>
        <w:tc>
          <w:tcPr>
            <w:tcW w:w="1360" w:type="dxa"/>
            <w:vAlign w:val="bottom"/>
            <w:vMerge w:val="restart"/>
            <w:shd w:val="clear" w:color="auto" w:fill="D0D0CE"/>
          </w:tcPr>
          <w:p>
            <w:pPr>
              <w:jc w:val="right"/>
              <w:spacing w:after="0"/>
              <w:rPr>
                <w:sz w:val="20"/>
                <w:szCs w:val="20"/>
                <w:color w:val="auto"/>
              </w:rPr>
            </w:pPr>
            <w:r>
              <w:rPr>
                <w:rFonts w:ascii="Arial" w:cs="Arial" w:eastAsia="Arial" w:hAnsi="Arial"/>
                <w:sz w:val="14"/>
                <w:szCs w:val="14"/>
                <w:b w:val="1"/>
                <w:bCs w:val="1"/>
                <w:color w:val="auto"/>
              </w:rPr>
              <w:t>vested during 2025</w:t>
            </w:r>
          </w:p>
        </w:tc>
        <w:tc>
          <w:tcPr>
            <w:tcW w:w="0" w:type="dxa"/>
            <w:vAlign w:val="bottom"/>
          </w:tcPr>
          <w:p>
            <w:pPr>
              <w:spacing w:after="0"/>
              <w:rPr>
                <w:sz w:val="1"/>
                <w:szCs w:val="1"/>
                <w:color w:val="auto"/>
              </w:rPr>
            </w:pPr>
          </w:p>
        </w:tc>
      </w:tr>
      <w:tr>
        <w:trPr>
          <w:trHeight w:val="139"/>
        </w:trPr>
        <w:tc>
          <w:tcPr>
            <w:tcW w:w="1720" w:type="dxa"/>
            <w:vAlign w:val="bottom"/>
            <w:vMerge w:val="restart"/>
            <w:shd w:val="clear" w:color="auto" w:fill="D0D0CE"/>
          </w:tcPr>
          <w:p>
            <w:pPr>
              <w:ind w:left="20"/>
              <w:spacing w:after="0"/>
              <w:rPr>
                <w:sz w:val="20"/>
                <w:szCs w:val="20"/>
                <w:color w:val="auto"/>
              </w:rPr>
            </w:pPr>
            <w:r>
              <w:rPr>
                <w:rFonts w:ascii="Arial" w:cs="Arial" w:eastAsia="Arial" w:hAnsi="Arial"/>
                <w:sz w:val="14"/>
                <w:szCs w:val="14"/>
                <w:b w:val="1"/>
                <w:bCs w:val="1"/>
                <w:color w:val="auto"/>
              </w:rPr>
              <w:t>Name</w:t>
            </w:r>
          </w:p>
        </w:tc>
        <w:tc>
          <w:tcPr>
            <w:tcW w:w="1520" w:type="dxa"/>
            <w:vAlign w:val="bottom"/>
            <w:shd w:val="clear" w:color="auto" w:fill="D0D0CE"/>
          </w:tcPr>
          <w:p>
            <w:pPr>
              <w:jc w:val="right"/>
              <w:ind w:right="68"/>
              <w:spacing w:after="0" w:line="139" w:lineRule="exact"/>
              <w:rPr>
                <w:sz w:val="20"/>
                <w:szCs w:val="20"/>
                <w:color w:val="auto"/>
              </w:rPr>
            </w:pPr>
            <w:r>
              <w:rPr>
                <w:rFonts w:ascii="Arial" w:cs="Arial" w:eastAsia="Arial" w:hAnsi="Arial"/>
                <w:sz w:val="14"/>
                <w:szCs w:val="14"/>
                <w:b w:val="1"/>
                <w:bCs w:val="1"/>
                <w:color w:val="auto"/>
              </w:rPr>
              <w:t>vested</w:t>
            </w:r>
          </w:p>
        </w:tc>
        <w:tc>
          <w:tcPr>
            <w:tcW w:w="1320" w:type="dxa"/>
            <w:vAlign w:val="bottom"/>
            <w:shd w:val="clear" w:color="auto" w:fill="D0D0CE"/>
          </w:tcPr>
          <w:p>
            <w:pPr>
              <w:jc w:val="right"/>
              <w:ind w:right="28"/>
              <w:spacing w:after="0" w:line="139" w:lineRule="exact"/>
              <w:rPr>
                <w:sz w:val="20"/>
                <w:szCs w:val="20"/>
                <w:color w:val="auto"/>
              </w:rPr>
            </w:pPr>
            <w:r>
              <w:rPr>
                <w:rFonts w:ascii="Arial" w:cs="Arial" w:eastAsia="Arial" w:hAnsi="Arial"/>
                <w:sz w:val="14"/>
                <w:szCs w:val="14"/>
                <w:b w:val="1"/>
                <w:bCs w:val="1"/>
                <w:color w:val="auto"/>
              </w:rPr>
              <w:t>vested</w:t>
            </w:r>
          </w:p>
        </w:tc>
        <w:tc>
          <w:tcPr>
            <w:tcW w:w="1360" w:type="dxa"/>
            <w:vAlign w:val="bottom"/>
            <w:shd w:val="clear" w:color="auto" w:fill="D0D0CE"/>
          </w:tcPr>
          <w:p>
            <w:pPr>
              <w:jc w:val="right"/>
              <w:ind w:right="28"/>
              <w:spacing w:after="0" w:line="139" w:lineRule="exact"/>
              <w:rPr>
                <w:sz w:val="20"/>
                <w:szCs w:val="20"/>
                <w:color w:val="auto"/>
              </w:rPr>
            </w:pPr>
            <w:r>
              <w:rPr>
                <w:rFonts w:ascii="Arial" w:cs="Arial" w:eastAsia="Arial" w:hAnsi="Arial"/>
                <w:sz w:val="14"/>
                <w:szCs w:val="14"/>
                <w:b w:val="1"/>
                <w:bCs w:val="1"/>
                <w:color w:val="auto"/>
              </w:rPr>
              <w:t>out or distributed</w:t>
            </w:r>
          </w:p>
        </w:tc>
        <w:tc>
          <w:tcPr>
            <w:tcW w:w="1320" w:type="dxa"/>
            <w:vAlign w:val="bottom"/>
            <w:shd w:val="clear" w:color="auto" w:fill="D0D0CE"/>
          </w:tcPr>
          <w:p>
            <w:pPr>
              <w:jc w:val="right"/>
              <w:spacing w:after="0" w:line="139" w:lineRule="exact"/>
              <w:rPr>
                <w:sz w:val="20"/>
                <w:szCs w:val="20"/>
                <w:color w:val="auto"/>
              </w:rPr>
            </w:pPr>
            <w:r>
              <w:rPr>
                <w:rFonts w:ascii="Arial" w:cs="Arial" w:eastAsia="Arial" w:hAnsi="Arial"/>
                <w:sz w:val="14"/>
                <w:szCs w:val="14"/>
                <w:b w:val="1"/>
                <w:bCs w:val="1"/>
                <w:color w:val="auto"/>
              </w:rPr>
              <w:t>out or distributed</w:t>
            </w:r>
          </w:p>
        </w:tc>
        <w:tc>
          <w:tcPr>
            <w:tcW w:w="1360" w:type="dxa"/>
            <w:vAlign w:val="bottom"/>
            <w:shd w:val="clear" w:color="auto" w:fill="D0D0CE"/>
          </w:tcPr>
          <w:p>
            <w:pPr>
              <w:jc w:val="right"/>
              <w:spacing w:after="0" w:line="139" w:lineRule="exact"/>
              <w:rPr>
                <w:sz w:val="20"/>
                <w:szCs w:val="20"/>
                <w:color w:val="auto"/>
              </w:rPr>
            </w:pPr>
            <w:r>
              <w:rPr>
                <w:rFonts w:ascii="Arial" w:cs="Arial" w:eastAsia="Arial" w:hAnsi="Arial"/>
                <w:sz w:val="14"/>
                <w:szCs w:val="14"/>
                <w:b w:val="1"/>
                <w:bCs w:val="1"/>
                <w:color w:val="auto"/>
              </w:rPr>
              <w:t>vested during 2025</w:t>
            </w:r>
          </w:p>
        </w:tc>
        <w:tc>
          <w:tcPr>
            <w:tcW w:w="1360" w:type="dxa"/>
            <w:vAlign w:val="bottom"/>
            <w:vMerge w:val="continue"/>
            <w:shd w:val="clear" w:color="auto" w:fill="D0D0C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vMerge w:val="continue"/>
            <w:shd w:val="clear" w:color="auto" w:fill="D0D0CE"/>
          </w:tcPr>
          <w:p>
            <w:pPr>
              <w:spacing w:after="0"/>
              <w:rPr>
                <w:sz w:val="17"/>
                <w:szCs w:val="17"/>
                <w:color w:val="auto"/>
              </w:rPr>
            </w:pPr>
          </w:p>
        </w:tc>
        <w:tc>
          <w:tcPr>
            <w:tcW w:w="1520" w:type="dxa"/>
            <w:vAlign w:val="bottom"/>
            <w:shd w:val="clear" w:color="auto" w:fill="D0D0CE"/>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D0D0CE"/>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D0D0CE"/>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D0D0CE"/>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D0D0CE"/>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D0D0C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9"/>
        </w:trPr>
        <w:tc>
          <w:tcPr>
            <w:tcW w:w="1720" w:type="dxa"/>
            <w:vAlign w:val="bottom"/>
            <w:tcBorders>
              <w:bottom w:val="single" w:sz="8" w:color="0D64EF"/>
            </w:tcBorders>
            <w:shd w:val="clear" w:color="auto" w:fill="D0D0CE"/>
          </w:tcPr>
          <w:p>
            <w:pPr>
              <w:spacing w:after="0"/>
              <w:rPr>
                <w:sz w:val="5"/>
                <w:szCs w:val="5"/>
                <w:color w:val="auto"/>
              </w:rPr>
            </w:pPr>
          </w:p>
        </w:tc>
        <w:tc>
          <w:tcPr>
            <w:tcW w:w="1520" w:type="dxa"/>
            <w:vAlign w:val="bottom"/>
            <w:tcBorders>
              <w:bottom w:val="single" w:sz="8" w:color="0D64EF"/>
            </w:tcBorders>
            <w:shd w:val="clear" w:color="auto" w:fill="D0D0CE"/>
          </w:tcPr>
          <w:p>
            <w:pPr>
              <w:spacing w:after="0"/>
              <w:rPr>
                <w:sz w:val="5"/>
                <w:szCs w:val="5"/>
                <w:color w:val="auto"/>
              </w:rPr>
            </w:pPr>
          </w:p>
        </w:tc>
        <w:tc>
          <w:tcPr>
            <w:tcW w:w="1320" w:type="dxa"/>
            <w:vAlign w:val="bottom"/>
            <w:tcBorders>
              <w:bottom w:val="single" w:sz="8" w:color="0D64EF"/>
            </w:tcBorders>
            <w:shd w:val="clear" w:color="auto" w:fill="D0D0CE"/>
          </w:tcPr>
          <w:p>
            <w:pPr>
              <w:spacing w:after="0"/>
              <w:rPr>
                <w:sz w:val="5"/>
                <w:szCs w:val="5"/>
                <w:color w:val="auto"/>
              </w:rPr>
            </w:pPr>
          </w:p>
        </w:tc>
        <w:tc>
          <w:tcPr>
            <w:tcW w:w="1360" w:type="dxa"/>
            <w:vAlign w:val="bottom"/>
            <w:tcBorders>
              <w:bottom w:val="single" w:sz="8" w:color="0D64EF"/>
            </w:tcBorders>
            <w:shd w:val="clear" w:color="auto" w:fill="D0D0CE"/>
          </w:tcPr>
          <w:p>
            <w:pPr>
              <w:spacing w:after="0"/>
              <w:rPr>
                <w:sz w:val="5"/>
                <w:szCs w:val="5"/>
                <w:color w:val="auto"/>
              </w:rPr>
            </w:pPr>
          </w:p>
        </w:tc>
        <w:tc>
          <w:tcPr>
            <w:tcW w:w="1320" w:type="dxa"/>
            <w:vAlign w:val="bottom"/>
            <w:tcBorders>
              <w:bottom w:val="single" w:sz="8" w:color="0D64EF"/>
            </w:tcBorders>
            <w:shd w:val="clear" w:color="auto" w:fill="D0D0CE"/>
          </w:tcPr>
          <w:p>
            <w:pPr>
              <w:spacing w:after="0"/>
              <w:rPr>
                <w:sz w:val="5"/>
                <w:szCs w:val="5"/>
                <w:color w:val="auto"/>
              </w:rPr>
            </w:pPr>
          </w:p>
        </w:tc>
        <w:tc>
          <w:tcPr>
            <w:tcW w:w="1360" w:type="dxa"/>
            <w:vAlign w:val="bottom"/>
            <w:tcBorders>
              <w:bottom w:val="single" w:sz="8" w:color="0D64EF"/>
            </w:tcBorders>
            <w:shd w:val="clear" w:color="auto" w:fill="D0D0CE"/>
          </w:tcPr>
          <w:p>
            <w:pPr>
              <w:spacing w:after="0"/>
              <w:rPr>
                <w:sz w:val="5"/>
                <w:szCs w:val="5"/>
                <w:color w:val="auto"/>
              </w:rPr>
            </w:pPr>
          </w:p>
        </w:tc>
        <w:tc>
          <w:tcPr>
            <w:tcW w:w="1360" w:type="dxa"/>
            <w:vAlign w:val="bottom"/>
            <w:tcBorders>
              <w:bottom w:val="single" w:sz="8" w:color="0D64EF"/>
            </w:tcBorders>
            <w:shd w:val="clear" w:color="auto" w:fill="D0D0C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7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Scott Bonham</w:t>
            </w:r>
          </w:p>
        </w:tc>
        <w:tc>
          <w:tcPr>
            <w:tcW w:w="15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72</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5,488</w:t>
            </w:r>
          </w:p>
        </w:tc>
        <w:tc>
          <w:tcPr>
            <w:tcW w:w="13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6,820</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515,498</w:t>
            </w:r>
          </w:p>
        </w:tc>
        <w:tc>
          <w:tcPr>
            <w:tcW w:w="1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5,823</w:t>
            </w:r>
          </w:p>
        </w:tc>
        <w:tc>
          <w:tcPr>
            <w:tcW w:w="13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440,142</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Cheryl F. Campbell</w:t>
            </w:r>
          </w:p>
        </w:tc>
        <w:tc>
          <w:tcPr>
            <w:tcW w:w="15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207</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15,698</w:t>
            </w:r>
          </w:p>
        </w:tc>
        <w:tc>
          <w:tcPr>
            <w:tcW w:w="13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19,509</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1,474,547</w:t>
            </w:r>
          </w:p>
        </w:tc>
        <w:tc>
          <w:tcPr>
            <w:tcW w:w="1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4,252</w:t>
            </w:r>
          </w:p>
        </w:tc>
        <w:tc>
          <w:tcPr>
            <w:tcW w:w="13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321,391</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Michael R. Culbert</w:t>
            </w:r>
          </w:p>
        </w:tc>
        <w:tc>
          <w:tcPr>
            <w:tcW w:w="15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375</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28,396</w:t>
            </w:r>
          </w:p>
        </w:tc>
        <w:tc>
          <w:tcPr>
            <w:tcW w:w="13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35,290</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2,667,223</w:t>
            </w:r>
          </w:p>
        </w:tc>
        <w:tc>
          <w:tcPr>
            <w:tcW w:w="1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6,077</w:t>
            </w:r>
          </w:p>
        </w:tc>
        <w:tc>
          <w:tcPr>
            <w:tcW w:w="13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459,320</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William D. Johnson</w:t>
            </w:r>
          </w:p>
        </w:tc>
        <w:tc>
          <w:tcPr>
            <w:tcW w:w="15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362</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27,418</w:t>
            </w:r>
          </w:p>
        </w:tc>
        <w:tc>
          <w:tcPr>
            <w:tcW w:w="13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34,074</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2,575,320</w:t>
            </w:r>
          </w:p>
        </w:tc>
        <w:tc>
          <w:tcPr>
            <w:tcW w:w="1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7,515</w:t>
            </w:r>
          </w:p>
        </w:tc>
        <w:tc>
          <w:tcPr>
            <w:tcW w:w="13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628,170</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Susan C. Jones</w:t>
            </w:r>
          </w:p>
        </w:tc>
        <w:tc>
          <w:tcPr>
            <w:tcW w:w="15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451</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34,125</w:t>
            </w:r>
          </w:p>
        </w:tc>
        <w:tc>
          <w:tcPr>
            <w:tcW w:w="13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42,409</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3,205,321</w:t>
            </w:r>
          </w:p>
        </w:tc>
        <w:tc>
          <w:tcPr>
            <w:tcW w:w="1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7,511</w:t>
            </w:r>
          </w:p>
        </w:tc>
        <w:tc>
          <w:tcPr>
            <w:tcW w:w="13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567,690</w:t>
            </w:r>
          </w:p>
        </w:tc>
        <w:tc>
          <w:tcPr>
            <w:tcW w:w="0" w:type="dxa"/>
            <w:vAlign w:val="bottom"/>
          </w:tcPr>
          <w:p>
            <w:pPr>
              <w:spacing w:after="0"/>
              <w:rPr>
                <w:sz w:val="1"/>
                <w:szCs w:val="1"/>
                <w:color w:val="auto"/>
              </w:rPr>
            </w:pPr>
          </w:p>
        </w:tc>
      </w:tr>
      <w:tr>
        <w:trPr>
          <w:trHeight w:val="218"/>
        </w:trPr>
        <w:tc>
          <w:tcPr>
            <w:tcW w:w="1720" w:type="dxa"/>
            <w:vAlign w:val="bottom"/>
          </w:tcPr>
          <w:p>
            <w:pPr>
              <w:ind w:left="20"/>
              <w:spacing w:after="0"/>
              <w:rPr>
                <w:sz w:val="20"/>
                <w:szCs w:val="20"/>
                <w:color w:val="auto"/>
              </w:rPr>
            </w:pPr>
            <w:r>
              <w:rPr>
                <w:rFonts w:ascii="Arial" w:cs="Arial" w:eastAsia="Arial" w:hAnsi="Arial"/>
                <w:sz w:val="14"/>
                <w:szCs w:val="14"/>
                <w:color w:val="auto"/>
              </w:rPr>
              <w:t>John E. Lowe</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620</w:t>
            </w:r>
          </w:p>
        </w:tc>
        <w:tc>
          <w:tcPr>
            <w:tcW w:w="1320" w:type="dxa"/>
            <w:vAlign w:val="bottom"/>
          </w:tcPr>
          <w:p>
            <w:pPr>
              <w:jc w:val="right"/>
              <w:spacing w:after="0"/>
              <w:rPr>
                <w:sz w:val="20"/>
                <w:szCs w:val="20"/>
                <w:color w:val="auto"/>
              </w:rPr>
            </w:pPr>
            <w:r>
              <w:rPr>
                <w:rFonts w:ascii="Arial" w:cs="Arial" w:eastAsia="Arial" w:hAnsi="Arial"/>
                <w:sz w:val="14"/>
                <w:szCs w:val="14"/>
                <w:color w:val="auto"/>
              </w:rPr>
              <w:t>46,881</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58,262</w:t>
            </w:r>
          </w:p>
        </w:tc>
        <w:tc>
          <w:tcPr>
            <w:tcW w:w="1320" w:type="dxa"/>
            <w:vAlign w:val="bottom"/>
          </w:tcPr>
          <w:p>
            <w:pPr>
              <w:jc w:val="right"/>
              <w:spacing w:after="0"/>
              <w:rPr>
                <w:sz w:val="20"/>
                <w:szCs w:val="20"/>
                <w:color w:val="auto"/>
              </w:rPr>
            </w:pPr>
            <w:r>
              <w:rPr>
                <w:rFonts w:ascii="Arial" w:cs="Arial" w:eastAsia="Arial" w:hAnsi="Arial"/>
                <w:sz w:val="14"/>
                <w:szCs w:val="14"/>
                <w:color w:val="auto"/>
              </w:rPr>
              <w:t>4,403,502</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8,307</w:t>
            </w:r>
          </w:p>
        </w:tc>
        <w:tc>
          <w:tcPr>
            <w:tcW w:w="1360" w:type="dxa"/>
            <w:vAlign w:val="bottom"/>
          </w:tcPr>
          <w:p>
            <w:pPr>
              <w:jc w:val="right"/>
              <w:spacing w:after="0"/>
              <w:rPr>
                <w:sz w:val="20"/>
                <w:szCs w:val="20"/>
                <w:color w:val="auto"/>
              </w:rPr>
            </w:pPr>
            <w:r>
              <w:rPr>
                <w:rFonts w:ascii="Arial" w:cs="Arial" w:eastAsia="Arial" w:hAnsi="Arial"/>
                <w:sz w:val="14"/>
                <w:szCs w:val="14"/>
                <w:color w:val="auto"/>
              </w:rPr>
              <w:t>627,910</w:t>
            </w:r>
          </w:p>
        </w:tc>
        <w:tc>
          <w:tcPr>
            <w:tcW w:w="0" w:type="dxa"/>
            <w:vAlign w:val="bottom"/>
          </w:tcPr>
          <w:p>
            <w:pPr>
              <w:spacing w:after="0"/>
              <w:rPr>
                <w:sz w:val="1"/>
                <w:szCs w:val="1"/>
                <w:color w:val="auto"/>
              </w:rPr>
            </w:pPr>
          </w:p>
        </w:tc>
      </w:tr>
      <w:tr>
        <w:trPr>
          <w:trHeight w:val="48"/>
        </w:trPr>
        <w:tc>
          <w:tcPr>
            <w:tcW w:w="172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132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132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720" w:type="dxa"/>
            <w:vAlign w:val="bottom"/>
          </w:tcPr>
          <w:p>
            <w:pPr>
              <w:ind w:left="20"/>
              <w:spacing w:after="0" w:line="141" w:lineRule="exact"/>
              <w:rPr>
                <w:sz w:val="20"/>
                <w:szCs w:val="20"/>
                <w:color w:val="auto"/>
              </w:rPr>
            </w:pPr>
            <w:r>
              <w:rPr>
                <w:rFonts w:ascii="Arial" w:cs="Arial" w:eastAsia="Arial" w:hAnsi="Arial"/>
                <w:sz w:val="14"/>
                <w:szCs w:val="14"/>
                <w:color w:val="auto"/>
              </w:rPr>
              <w:t>David MacNaughton</w:t>
            </w:r>
          </w:p>
        </w:tc>
        <w:tc>
          <w:tcPr>
            <w:tcW w:w="1520" w:type="dxa"/>
            <w:vAlign w:val="bottom"/>
            <w:vMerge w:val="restart"/>
          </w:tcPr>
          <w:p>
            <w:pPr>
              <w:jc w:val="right"/>
              <w:ind w:right="68"/>
              <w:spacing w:after="0"/>
              <w:rPr>
                <w:sz w:val="20"/>
                <w:szCs w:val="20"/>
                <w:color w:val="auto"/>
              </w:rPr>
            </w:pPr>
            <w:r>
              <w:rPr>
                <w:rFonts w:ascii="Arial" w:cs="Arial" w:eastAsia="Arial" w:hAnsi="Arial"/>
                <w:sz w:val="14"/>
                <w:szCs w:val="14"/>
                <w:color w:val="auto"/>
              </w:rPr>
              <w:t>386</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29,211</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36,303</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2,743,799</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3,863</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292,006</w:t>
            </w:r>
          </w:p>
        </w:tc>
        <w:tc>
          <w:tcPr>
            <w:tcW w:w="0" w:type="dxa"/>
            <w:vAlign w:val="bottom"/>
          </w:tcPr>
          <w:p>
            <w:pPr>
              <w:spacing w:after="0"/>
              <w:rPr>
                <w:sz w:val="1"/>
                <w:szCs w:val="1"/>
                <w:color w:val="auto"/>
              </w:rPr>
            </w:pPr>
          </w:p>
        </w:tc>
      </w:tr>
      <w:tr>
        <w:trPr>
          <w:trHeight w:val="100"/>
        </w:trPr>
        <w:tc>
          <w:tcPr>
            <w:tcW w:w="1720" w:type="dxa"/>
            <w:vAlign w:val="bottom"/>
            <w:vMerge w:val="restart"/>
          </w:tcPr>
          <w:p>
            <w:pPr>
              <w:ind w:left="20"/>
              <w:spacing w:after="0"/>
              <w:rPr>
                <w:sz w:val="20"/>
                <w:szCs w:val="20"/>
                <w:color w:val="auto"/>
              </w:rPr>
            </w:pPr>
            <w:r>
              <w:rPr>
                <w:rFonts w:ascii="Arial" w:cs="Arial" w:eastAsia="Arial" w:hAnsi="Arial"/>
                <w:sz w:val="13"/>
                <w:szCs w:val="13"/>
                <w:color w:val="auto"/>
              </w:rPr>
              <w:t>(retired May 8, 2025)</w:t>
            </w:r>
          </w:p>
        </w:tc>
        <w:tc>
          <w:tcPr>
            <w:tcW w:w="15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720" w:type="dxa"/>
            <w:vAlign w:val="bottom"/>
            <w:tcBorders>
              <w:bottom w:val="single" w:sz="8" w:color="B2B2B2"/>
            </w:tcBorders>
            <w:vMerge w:val="continue"/>
          </w:tcPr>
          <w:p>
            <w:pPr>
              <w:spacing w:after="0"/>
              <w:rPr>
                <w:sz w:val="6"/>
                <w:szCs w:val="6"/>
                <w:color w:val="auto"/>
              </w:rPr>
            </w:pPr>
          </w:p>
        </w:tc>
        <w:tc>
          <w:tcPr>
            <w:tcW w:w="1520" w:type="dxa"/>
            <w:vAlign w:val="bottom"/>
            <w:tcBorders>
              <w:bottom w:val="single" w:sz="8" w:color="B2B2B2"/>
            </w:tcBorders>
          </w:tcPr>
          <w:p>
            <w:pPr>
              <w:spacing w:after="0"/>
              <w:rPr>
                <w:sz w:val="6"/>
                <w:szCs w:val="6"/>
                <w:color w:val="auto"/>
              </w:rPr>
            </w:pPr>
          </w:p>
        </w:tc>
        <w:tc>
          <w:tcPr>
            <w:tcW w:w="1320" w:type="dxa"/>
            <w:vAlign w:val="bottom"/>
            <w:tcBorders>
              <w:bottom w:val="single" w:sz="8" w:color="B2B2B2"/>
            </w:tcBorders>
          </w:tcPr>
          <w:p>
            <w:pPr>
              <w:spacing w:after="0"/>
              <w:rPr>
                <w:sz w:val="6"/>
                <w:szCs w:val="6"/>
                <w:color w:val="auto"/>
              </w:rPr>
            </w:pPr>
          </w:p>
        </w:tc>
        <w:tc>
          <w:tcPr>
            <w:tcW w:w="1360" w:type="dxa"/>
            <w:vAlign w:val="bottom"/>
            <w:tcBorders>
              <w:bottom w:val="single" w:sz="8" w:color="B2B2B2"/>
            </w:tcBorders>
          </w:tcPr>
          <w:p>
            <w:pPr>
              <w:spacing w:after="0"/>
              <w:rPr>
                <w:sz w:val="6"/>
                <w:szCs w:val="6"/>
                <w:color w:val="auto"/>
              </w:rPr>
            </w:pPr>
          </w:p>
        </w:tc>
        <w:tc>
          <w:tcPr>
            <w:tcW w:w="1320" w:type="dxa"/>
            <w:vAlign w:val="bottom"/>
            <w:tcBorders>
              <w:bottom w:val="single" w:sz="8" w:color="B2B2B2"/>
            </w:tcBorders>
          </w:tcPr>
          <w:p>
            <w:pPr>
              <w:spacing w:after="0"/>
              <w:rPr>
                <w:sz w:val="6"/>
                <w:szCs w:val="6"/>
                <w:color w:val="auto"/>
              </w:rPr>
            </w:pPr>
          </w:p>
        </w:tc>
        <w:tc>
          <w:tcPr>
            <w:tcW w:w="1360" w:type="dxa"/>
            <w:vAlign w:val="bottom"/>
            <w:tcBorders>
              <w:bottom w:val="single" w:sz="8" w:color="B2B2B2"/>
            </w:tcBorders>
          </w:tcPr>
          <w:p>
            <w:pPr>
              <w:spacing w:after="0"/>
              <w:rPr>
                <w:sz w:val="6"/>
                <w:szCs w:val="6"/>
                <w:color w:val="auto"/>
              </w:rPr>
            </w:pPr>
          </w:p>
        </w:tc>
        <w:tc>
          <w:tcPr>
            <w:tcW w:w="136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Dawn Madahbee Leach</w:t>
            </w:r>
          </w:p>
        </w:tc>
        <w:tc>
          <w:tcPr>
            <w:tcW w:w="15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58</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4,409</w:t>
            </w:r>
          </w:p>
        </w:tc>
        <w:tc>
          <w:tcPr>
            <w:tcW w:w="13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5,479</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414,129</w:t>
            </w:r>
          </w:p>
        </w:tc>
        <w:tc>
          <w:tcPr>
            <w:tcW w:w="1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4,689</w:t>
            </w:r>
          </w:p>
        </w:tc>
        <w:tc>
          <w:tcPr>
            <w:tcW w:w="13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354,449</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Una Power</w:t>
            </w:r>
          </w:p>
        </w:tc>
        <w:tc>
          <w:tcPr>
            <w:tcW w:w="15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558</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42,244</w:t>
            </w:r>
          </w:p>
        </w:tc>
        <w:tc>
          <w:tcPr>
            <w:tcW w:w="13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52,499</w:t>
            </w: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3,967,943</w:t>
            </w:r>
          </w:p>
        </w:tc>
        <w:tc>
          <w:tcPr>
            <w:tcW w:w="1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8,497</w:t>
            </w:r>
          </w:p>
        </w:tc>
        <w:tc>
          <w:tcPr>
            <w:tcW w:w="13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642,217</w:t>
            </w:r>
          </w:p>
        </w:tc>
        <w:tc>
          <w:tcPr>
            <w:tcW w:w="0" w:type="dxa"/>
            <w:vAlign w:val="bottom"/>
          </w:tcPr>
          <w:p>
            <w:pPr>
              <w:spacing w:after="0"/>
              <w:rPr>
                <w:sz w:val="1"/>
                <w:szCs w:val="1"/>
                <w:color w:val="auto"/>
              </w:rPr>
            </w:pPr>
          </w:p>
        </w:tc>
      </w:tr>
      <w:tr>
        <w:trPr>
          <w:trHeight w:val="218"/>
        </w:trPr>
        <w:tc>
          <w:tcPr>
            <w:tcW w:w="1720" w:type="dxa"/>
            <w:vAlign w:val="bottom"/>
          </w:tcPr>
          <w:p>
            <w:pPr>
              <w:ind w:left="20"/>
              <w:spacing w:after="0"/>
              <w:rPr>
                <w:sz w:val="20"/>
                <w:szCs w:val="20"/>
                <w:color w:val="auto"/>
              </w:rPr>
            </w:pPr>
            <w:r>
              <w:rPr>
                <w:rFonts w:ascii="Arial" w:cs="Arial" w:eastAsia="Arial" w:hAnsi="Arial"/>
                <w:sz w:val="14"/>
                <w:szCs w:val="14"/>
                <w:color w:val="auto"/>
              </w:rPr>
              <w:t>Mary Pat Salomone</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623</w:t>
            </w:r>
          </w:p>
        </w:tc>
        <w:tc>
          <w:tcPr>
            <w:tcW w:w="1320" w:type="dxa"/>
            <w:vAlign w:val="bottom"/>
          </w:tcPr>
          <w:p>
            <w:pPr>
              <w:jc w:val="right"/>
              <w:spacing w:after="0"/>
              <w:rPr>
                <w:sz w:val="20"/>
                <w:szCs w:val="20"/>
                <w:color w:val="auto"/>
              </w:rPr>
            </w:pPr>
            <w:r>
              <w:rPr>
                <w:rFonts w:ascii="Arial" w:cs="Arial" w:eastAsia="Arial" w:hAnsi="Arial"/>
                <w:sz w:val="14"/>
                <w:szCs w:val="14"/>
                <w:color w:val="auto"/>
              </w:rPr>
              <w:t>47,110</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58,546</w:t>
            </w:r>
          </w:p>
        </w:tc>
        <w:tc>
          <w:tcPr>
            <w:tcW w:w="1320" w:type="dxa"/>
            <w:vAlign w:val="bottom"/>
          </w:tcPr>
          <w:p>
            <w:pPr>
              <w:jc w:val="right"/>
              <w:spacing w:after="0"/>
              <w:rPr>
                <w:sz w:val="20"/>
                <w:szCs w:val="20"/>
                <w:color w:val="auto"/>
              </w:rPr>
            </w:pPr>
            <w:r>
              <w:rPr>
                <w:rFonts w:ascii="Arial" w:cs="Arial" w:eastAsia="Arial" w:hAnsi="Arial"/>
                <w:sz w:val="14"/>
                <w:szCs w:val="14"/>
                <w:color w:val="auto"/>
              </w:rPr>
              <w:t>4,424,979</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6,044</w:t>
            </w:r>
          </w:p>
        </w:tc>
        <w:tc>
          <w:tcPr>
            <w:tcW w:w="1360" w:type="dxa"/>
            <w:vAlign w:val="bottom"/>
          </w:tcPr>
          <w:p>
            <w:pPr>
              <w:jc w:val="right"/>
              <w:spacing w:after="0"/>
              <w:rPr>
                <w:sz w:val="20"/>
                <w:szCs w:val="20"/>
                <w:color w:val="auto"/>
              </w:rPr>
            </w:pPr>
            <w:r>
              <w:rPr>
                <w:rFonts w:ascii="Arial" w:cs="Arial" w:eastAsia="Arial" w:hAnsi="Arial"/>
                <w:sz w:val="14"/>
                <w:szCs w:val="14"/>
                <w:color w:val="auto"/>
              </w:rPr>
              <w:t>456,849</w:t>
            </w:r>
          </w:p>
        </w:tc>
        <w:tc>
          <w:tcPr>
            <w:tcW w:w="0" w:type="dxa"/>
            <w:vAlign w:val="bottom"/>
          </w:tcPr>
          <w:p>
            <w:pPr>
              <w:spacing w:after="0"/>
              <w:rPr>
                <w:sz w:val="1"/>
                <w:szCs w:val="1"/>
                <w:color w:val="auto"/>
              </w:rPr>
            </w:pPr>
          </w:p>
        </w:tc>
      </w:tr>
      <w:tr>
        <w:trPr>
          <w:trHeight w:val="48"/>
        </w:trPr>
        <w:tc>
          <w:tcPr>
            <w:tcW w:w="172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132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132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720" w:type="dxa"/>
            <w:vAlign w:val="bottom"/>
          </w:tcPr>
          <w:p>
            <w:pPr>
              <w:ind w:left="20"/>
              <w:spacing w:after="0" w:line="141" w:lineRule="exact"/>
              <w:rPr>
                <w:sz w:val="20"/>
                <w:szCs w:val="20"/>
                <w:color w:val="auto"/>
              </w:rPr>
            </w:pPr>
            <w:r>
              <w:rPr>
                <w:rFonts w:ascii="Arial" w:cs="Arial" w:eastAsia="Arial" w:hAnsi="Arial"/>
                <w:sz w:val="14"/>
                <w:szCs w:val="14"/>
                <w:color w:val="auto"/>
              </w:rPr>
              <w:t>Indira Samarasekera</w:t>
            </w:r>
          </w:p>
        </w:tc>
        <w:tc>
          <w:tcPr>
            <w:tcW w:w="1520" w:type="dxa"/>
            <w:vAlign w:val="bottom"/>
            <w:vMerge w:val="restart"/>
          </w:tcPr>
          <w:p>
            <w:pPr>
              <w:jc w:val="right"/>
              <w:ind w:right="68"/>
              <w:spacing w:after="0"/>
              <w:rPr>
                <w:sz w:val="20"/>
                <w:szCs w:val="20"/>
                <w:color w:val="auto"/>
              </w:rPr>
            </w:pPr>
            <w:r>
              <w:rPr>
                <w:rFonts w:ascii="Arial" w:cs="Arial" w:eastAsia="Arial" w:hAnsi="Arial"/>
                <w:sz w:val="14"/>
                <w:szCs w:val="14"/>
                <w:color w:val="auto"/>
              </w:rPr>
              <w:t>573</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43,311</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53,826</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4,068,209</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2,194</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165,859</w:t>
            </w:r>
          </w:p>
        </w:tc>
        <w:tc>
          <w:tcPr>
            <w:tcW w:w="0" w:type="dxa"/>
            <w:vAlign w:val="bottom"/>
          </w:tcPr>
          <w:p>
            <w:pPr>
              <w:spacing w:after="0"/>
              <w:rPr>
                <w:sz w:val="1"/>
                <w:szCs w:val="1"/>
                <w:color w:val="auto"/>
              </w:rPr>
            </w:pPr>
          </w:p>
        </w:tc>
      </w:tr>
      <w:tr>
        <w:trPr>
          <w:trHeight w:val="100"/>
        </w:trPr>
        <w:tc>
          <w:tcPr>
            <w:tcW w:w="1720" w:type="dxa"/>
            <w:vAlign w:val="bottom"/>
            <w:vMerge w:val="restart"/>
          </w:tcPr>
          <w:p>
            <w:pPr>
              <w:ind w:left="20"/>
              <w:spacing w:after="0"/>
              <w:rPr>
                <w:sz w:val="20"/>
                <w:szCs w:val="20"/>
                <w:color w:val="auto"/>
              </w:rPr>
            </w:pPr>
            <w:r>
              <w:rPr>
                <w:rFonts w:ascii="Arial" w:cs="Arial" w:eastAsia="Arial" w:hAnsi="Arial"/>
                <w:sz w:val="13"/>
                <w:szCs w:val="13"/>
                <w:color w:val="auto"/>
              </w:rPr>
              <w:t>(retired May 8, 2025)</w:t>
            </w:r>
          </w:p>
        </w:tc>
        <w:tc>
          <w:tcPr>
            <w:tcW w:w="15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720" w:type="dxa"/>
            <w:vAlign w:val="bottom"/>
            <w:tcBorders>
              <w:bottom w:val="single" w:sz="8" w:color="B2B2B2"/>
            </w:tcBorders>
            <w:vMerge w:val="continue"/>
          </w:tcPr>
          <w:p>
            <w:pPr>
              <w:spacing w:after="0"/>
              <w:rPr>
                <w:sz w:val="6"/>
                <w:szCs w:val="6"/>
                <w:color w:val="auto"/>
              </w:rPr>
            </w:pPr>
          </w:p>
        </w:tc>
        <w:tc>
          <w:tcPr>
            <w:tcW w:w="1520" w:type="dxa"/>
            <w:vAlign w:val="bottom"/>
            <w:tcBorders>
              <w:bottom w:val="single" w:sz="8" w:color="B2B2B2"/>
            </w:tcBorders>
          </w:tcPr>
          <w:p>
            <w:pPr>
              <w:spacing w:after="0"/>
              <w:rPr>
                <w:sz w:val="6"/>
                <w:szCs w:val="6"/>
                <w:color w:val="auto"/>
              </w:rPr>
            </w:pPr>
          </w:p>
        </w:tc>
        <w:tc>
          <w:tcPr>
            <w:tcW w:w="1320" w:type="dxa"/>
            <w:vAlign w:val="bottom"/>
            <w:tcBorders>
              <w:bottom w:val="single" w:sz="8" w:color="B2B2B2"/>
            </w:tcBorders>
          </w:tcPr>
          <w:p>
            <w:pPr>
              <w:spacing w:after="0"/>
              <w:rPr>
                <w:sz w:val="6"/>
                <w:szCs w:val="6"/>
                <w:color w:val="auto"/>
              </w:rPr>
            </w:pPr>
          </w:p>
        </w:tc>
        <w:tc>
          <w:tcPr>
            <w:tcW w:w="1360" w:type="dxa"/>
            <w:vAlign w:val="bottom"/>
            <w:tcBorders>
              <w:bottom w:val="single" w:sz="8" w:color="B2B2B2"/>
            </w:tcBorders>
          </w:tcPr>
          <w:p>
            <w:pPr>
              <w:spacing w:after="0"/>
              <w:rPr>
                <w:sz w:val="6"/>
                <w:szCs w:val="6"/>
                <w:color w:val="auto"/>
              </w:rPr>
            </w:pPr>
          </w:p>
        </w:tc>
        <w:tc>
          <w:tcPr>
            <w:tcW w:w="1320" w:type="dxa"/>
            <w:vAlign w:val="bottom"/>
            <w:tcBorders>
              <w:bottom w:val="single" w:sz="8" w:color="B2B2B2"/>
            </w:tcBorders>
          </w:tcPr>
          <w:p>
            <w:pPr>
              <w:spacing w:after="0"/>
              <w:rPr>
                <w:sz w:val="6"/>
                <w:szCs w:val="6"/>
                <w:color w:val="auto"/>
              </w:rPr>
            </w:pPr>
          </w:p>
        </w:tc>
        <w:tc>
          <w:tcPr>
            <w:tcW w:w="1360" w:type="dxa"/>
            <w:vAlign w:val="bottom"/>
            <w:tcBorders>
              <w:bottom w:val="single" w:sz="8" w:color="B2B2B2"/>
            </w:tcBorders>
          </w:tcPr>
          <w:p>
            <w:pPr>
              <w:spacing w:after="0"/>
              <w:rPr>
                <w:sz w:val="6"/>
                <w:szCs w:val="6"/>
                <w:color w:val="auto"/>
              </w:rPr>
            </w:pPr>
          </w:p>
        </w:tc>
        <w:tc>
          <w:tcPr>
            <w:tcW w:w="136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720" w:type="dxa"/>
            <w:vAlign w:val="bottom"/>
          </w:tcPr>
          <w:p>
            <w:pPr>
              <w:ind w:left="20"/>
              <w:spacing w:after="0"/>
              <w:rPr>
                <w:sz w:val="20"/>
                <w:szCs w:val="20"/>
                <w:color w:val="auto"/>
              </w:rPr>
            </w:pPr>
            <w:r>
              <w:rPr>
                <w:rFonts w:ascii="Arial" w:cs="Arial" w:eastAsia="Arial" w:hAnsi="Arial"/>
                <w:sz w:val="14"/>
                <w:szCs w:val="14"/>
                <w:color w:val="auto"/>
              </w:rPr>
              <w:t>Siim A. Vanaselja</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1,418</w:t>
            </w:r>
          </w:p>
        </w:tc>
        <w:tc>
          <w:tcPr>
            <w:tcW w:w="1320" w:type="dxa"/>
            <w:vAlign w:val="bottom"/>
          </w:tcPr>
          <w:p>
            <w:pPr>
              <w:jc w:val="right"/>
              <w:spacing w:after="0"/>
              <w:rPr>
                <w:sz w:val="20"/>
                <w:szCs w:val="20"/>
                <w:color w:val="auto"/>
              </w:rPr>
            </w:pPr>
            <w:r>
              <w:rPr>
                <w:rFonts w:ascii="Arial" w:cs="Arial" w:eastAsia="Arial" w:hAnsi="Arial"/>
                <w:sz w:val="14"/>
                <w:szCs w:val="14"/>
                <w:color w:val="auto"/>
              </w:rPr>
              <w:t>107,186</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133,208</w:t>
            </w:r>
          </w:p>
        </w:tc>
        <w:tc>
          <w:tcPr>
            <w:tcW w:w="1320" w:type="dxa"/>
            <w:vAlign w:val="bottom"/>
          </w:tcPr>
          <w:p>
            <w:pPr>
              <w:jc w:val="right"/>
              <w:spacing w:after="0"/>
              <w:rPr>
                <w:sz w:val="20"/>
                <w:szCs w:val="20"/>
                <w:color w:val="auto"/>
              </w:rPr>
            </w:pPr>
            <w:r>
              <w:rPr>
                <w:rFonts w:ascii="Arial" w:cs="Arial" w:eastAsia="Arial" w:hAnsi="Arial"/>
                <w:sz w:val="14"/>
                <w:szCs w:val="14"/>
                <w:color w:val="auto"/>
              </w:rPr>
              <w:t>10,067,934</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11,908</w:t>
            </w:r>
          </w:p>
        </w:tc>
        <w:tc>
          <w:tcPr>
            <w:tcW w:w="1360" w:type="dxa"/>
            <w:vAlign w:val="bottom"/>
          </w:tcPr>
          <w:p>
            <w:pPr>
              <w:jc w:val="right"/>
              <w:spacing w:after="0"/>
              <w:rPr>
                <w:sz w:val="20"/>
                <w:szCs w:val="20"/>
                <w:color w:val="auto"/>
              </w:rPr>
            </w:pPr>
            <w:r>
              <w:rPr>
                <w:rFonts w:ascii="Arial" w:cs="Arial" w:eastAsia="Arial" w:hAnsi="Arial"/>
                <w:sz w:val="14"/>
                <w:szCs w:val="14"/>
                <w:color w:val="auto"/>
              </w:rPr>
              <w:t>900,057</w:t>
            </w:r>
          </w:p>
        </w:tc>
        <w:tc>
          <w:tcPr>
            <w:tcW w:w="0" w:type="dxa"/>
            <w:vAlign w:val="bottom"/>
          </w:tcPr>
          <w:p>
            <w:pPr>
              <w:spacing w:after="0"/>
              <w:rPr>
                <w:sz w:val="1"/>
                <w:szCs w:val="1"/>
                <w:color w:val="auto"/>
              </w:rPr>
            </w:pPr>
          </w:p>
        </w:tc>
      </w:tr>
      <w:tr>
        <w:trPr>
          <w:trHeight w:val="48"/>
        </w:trPr>
        <w:tc>
          <w:tcPr>
            <w:tcW w:w="172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132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132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720" w:type="dxa"/>
            <w:vAlign w:val="bottom"/>
          </w:tcPr>
          <w:p>
            <w:pPr>
              <w:ind w:left="20"/>
              <w:spacing w:after="0"/>
              <w:rPr>
                <w:sz w:val="20"/>
                <w:szCs w:val="20"/>
                <w:color w:val="auto"/>
              </w:rPr>
            </w:pPr>
            <w:r>
              <w:rPr>
                <w:rFonts w:ascii="Arial" w:cs="Arial" w:eastAsia="Arial" w:hAnsi="Arial"/>
                <w:sz w:val="14"/>
                <w:szCs w:val="14"/>
                <w:color w:val="auto"/>
              </w:rPr>
              <w:t>Thierry Vandal</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711</w:t>
            </w:r>
          </w:p>
        </w:tc>
        <w:tc>
          <w:tcPr>
            <w:tcW w:w="1320" w:type="dxa"/>
            <w:vAlign w:val="bottom"/>
          </w:tcPr>
          <w:p>
            <w:pPr>
              <w:jc w:val="right"/>
              <w:spacing w:after="0"/>
              <w:rPr>
                <w:sz w:val="20"/>
                <w:szCs w:val="20"/>
                <w:color w:val="auto"/>
              </w:rPr>
            </w:pPr>
            <w:r>
              <w:rPr>
                <w:rFonts w:ascii="Arial" w:cs="Arial" w:eastAsia="Arial" w:hAnsi="Arial"/>
                <w:sz w:val="14"/>
                <w:szCs w:val="14"/>
                <w:color w:val="auto"/>
              </w:rPr>
              <w:t>53,811</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66,875</w:t>
            </w:r>
          </w:p>
        </w:tc>
        <w:tc>
          <w:tcPr>
            <w:tcW w:w="1320" w:type="dxa"/>
            <w:vAlign w:val="bottom"/>
          </w:tcPr>
          <w:p>
            <w:pPr>
              <w:jc w:val="right"/>
              <w:spacing w:after="0"/>
              <w:rPr>
                <w:sz w:val="20"/>
                <w:szCs w:val="20"/>
                <w:color w:val="auto"/>
              </w:rPr>
            </w:pPr>
            <w:r>
              <w:rPr>
                <w:rFonts w:ascii="Arial" w:cs="Arial" w:eastAsia="Arial" w:hAnsi="Arial"/>
                <w:sz w:val="14"/>
                <w:szCs w:val="14"/>
                <w:color w:val="auto"/>
              </w:rPr>
              <w:t>5,054,417</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9,094</w:t>
            </w:r>
          </w:p>
        </w:tc>
        <w:tc>
          <w:tcPr>
            <w:tcW w:w="1360" w:type="dxa"/>
            <w:vAlign w:val="bottom"/>
          </w:tcPr>
          <w:p>
            <w:pPr>
              <w:jc w:val="right"/>
              <w:spacing w:after="0"/>
              <w:rPr>
                <w:sz w:val="20"/>
                <w:szCs w:val="20"/>
                <w:color w:val="auto"/>
              </w:rPr>
            </w:pPr>
            <w:r>
              <w:rPr>
                <w:rFonts w:ascii="Arial" w:cs="Arial" w:eastAsia="Arial" w:hAnsi="Arial"/>
                <w:sz w:val="14"/>
                <w:szCs w:val="14"/>
                <w:color w:val="auto"/>
              </w:rPr>
              <w:t>687,357</w:t>
            </w:r>
          </w:p>
        </w:tc>
        <w:tc>
          <w:tcPr>
            <w:tcW w:w="0" w:type="dxa"/>
            <w:vAlign w:val="bottom"/>
          </w:tcPr>
          <w:p>
            <w:pPr>
              <w:spacing w:after="0"/>
              <w:rPr>
                <w:sz w:val="1"/>
                <w:szCs w:val="1"/>
                <w:color w:val="auto"/>
              </w:rPr>
            </w:pPr>
          </w:p>
        </w:tc>
      </w:tr>
      <w:tr>
        <w:trPr>
          <w:trHeight w:val="48"/>
        </w:trPr>
        <w:tc>
          <w:tcPr>
            <w:tcW w:w="172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132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132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72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Dheeraj "D" Verma</w:t>
            </w:r>
          </w:p>
        </w:tc>
        <w:tc>
          <w:tcPr>
            <w:tcW w:w="1520" w:type="dxa"/>
            <w:vAlign w:val="bottom"/>
            <w:tcBorders>
              <w:bottom w:val="single" w:sz="8" w:color="0D64EF"/>
            </w:tcBorders>
          </w:tcPr>
          <w:p>
            <w:pPr>
              <w:jc w:val="right"/>
              <w:ind w:right="68"/>
              <w:spacing w:after="0"/>
              <w:rPr>
                <w:sz w:val="20"/>
                <w:szCs w:val="20"/>
                <w:color w:val="auto"/>
              </w:rPr>
            </w:pPr>
            <w:r>
              <w:rPr>
                <w:rFonts w:ascii="Arial" w:cs="Arial" w:eastAsia="Arial" w:hAnsi="Arial"/>
                <w:sz w:val="14"/>
                <w:szCs w:val="14"/>
                <w:color w:val="auto"/>
              </w:rPr>
              <w:t>287</w:t>
            </w:r>
          </w:p>
        </w:tc>
        <w:tc>
          <w:tcPr>
            <w:tcW w:w="132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21,698</w:t>
            </w:r>
          </w:p>
        </w:tc>
        <w:tc>
          <w:tcPr>
            <w:tcW w:w="1360" w:type="dxa"/>
            <w:vAlign w:val="bottom"/>
            <w:tcBorders>
              <w:bottom w:val="single" w:sz="8" w:color="0D64EF"/>
            </w:tcBorders>
          </w:tcPr>
          <w:p>
            <w:pPr>
              <w:jc w:val="right"/>
              <w:ind w:right="28"/>
              <w:spacing w:after="0"/>
              <w:rPr>
                <w:sz w:val="20"/>
                <w:szCs w:val="20"/>
                <w:color w:val="auto"/>
              </w:rPr>
            </w:pPr>
            <w:r>
              <w:rPr>
                <w:rFonts w:ascii="Arial" w:cs="Arial" w:eastAsia="Arial" w:hAnsi="Arial"/>
                <w:sz w:val="14"/>
                <w:szCs w:val="14"/>
                <w:color w:val="auto"/>
              </w:rPr>
              <w:t>26,965</w:t>
            </w:r>
          </w:p>
        </w:tc>
        <w:tc>
          <w:tcPr>
            <w:tcW w:w="132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2,038,050</w:t>
            </w:r>
          </w:p>
        </w:tc>
        <w:tc>
          <w:tcPr>
            <w:tcW w:w="1360" w:type="dxa"/>
            <w:vAlign w:val="bottom"/>
            <w:tcBorders>
              <w:bottom w:val="single" w:sz="8" w:color="0D64EF"/>
            </w:tcBorders>
          </w:tcPr>
          <w:p>
            <w:pPr>
              <w:jc w:val="right"/>
              <w:ind w:right="8"/>
              <w:spacing w:after="0"/>
              <w:rPr>
                <w:sz w:val="20"/>
                <w:szCs w:val="20"/>
                <w:color w:val="auto"/>
              </w:rPr>
            </w:pPr>
            <w:r>
              <w:rPr>
                <w:rFonts w:ascii="Arial" w:cs="Arial" w:eastAsia="Arial" w:hAnsi="Arial"/>
                <w:sz w:val="14"/>
                <w:szCs w:val="14"/>
                <w:color w:val="auto"/>
              </w:rPr>
              <w:t>6,762</w:t>
            </w:r>
          </w:p>
        </w:tc>
        <w:tc>
          <w:tcPr>
            <w:tcW w:w="136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511,078</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45" w:lineRule="exact"/>
        <w:rPr>
          <w:sz w:val="20"/>
          <w:szCs w:val="20"/>
          <w:color w:val="auto"/>
        </w:rPr>
      </w:pPr>
    </w:p>
    <w:p>
      <w:pPr>
        <w:ind w:left="140" w:hanging="133"/>
        <w:spacing w:after="0"/>
        <w:tabs>
          <w:tab w:leader="none" w:pos="1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dollar values presented in this table are in Canadian dollars based on the closing price of TC Energy shares on the TSX at December 31, 2025.</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All share-based awards in this chart are DSUs.</w:t>
      </w:r>
    </w:p>
    <w:p>
      <w:pPr>
        <w:spacing w:after="0" w:line="38" w:lineRule="exact"/>
        <w:rPr>
          <w:rFonts w:ascii="Arial" w:cs="Arial" w:eastAsia="Arial" w:hAnsi="Arial"/>
          <w:sz w:val="13"/>
          <w:szCs w:val="13"/>
          <w:color w:val="auto"/>
        </w:rPr>
      </w:pPr>
    </w:p>
    <w:p>
      <w:pPr>
        <w:ind w:left="140" w:hanging="133"/>
        <w:spacing w:after="0"/>
        <w:tabs>
          <w:tab w:leader="none" w:pos="1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 xml:space="preserve">The total </w:t>
      </w:r>
      <w:r>
        <w:rPr>
          <w:rFonts w:ascii="Arial" w:cs="Arial" w:eastAsia="Arial" w:hAnsi="Arial"/>
          <w:sz w:val="13"/>
          <w:szCs w:val="13"/>
          <w:i w:val="1"/>
          <w:iCs w:val="1"/>
          <w:color w:val="auto"/>
        </w:rPr>
        <w:t>Market or payout value of share-based awards that have not vested</w:t>
      </w:r>
      <w:r>
        <w:rPr>
          <w:rFonts w:ascii="Arial" w:cs="Arial" w:eastAsia="Arial" w:hAnsi="Arial"/>
          <w:sz w:val="13"/>
          <w:szCs w:val="13"/>
          <w:color w:val="auto"/>
        </w:rPr>
        <w:t xml:space="preserve"> is $506,986 at December 31, 2025.</w:t>
      </w:r>
    </w:p>
    <w:p>
      <w:pPr>
        <w:spacing w:after="0" w:line="65" w:lineRule="exact"/>
        <w:rPr>
          <w:rFonts w:ascii="Arial" w:cs="Arial" w:eastAsia="Arial" w:hAnsi="Arial"/>
          <w:sz w:val="13"/>
          <w:szCs w:val="13"/>
          <w:color w:val="auto"/>
        </w:rPr>
      </w:pPr>
    </w:p>
    <w:p>
      <w:pPr>
        <w:ind w:left="160" w:right="160" w:hanging="153"/>
        <w:spacing w:after="0" w:line="287" w:lineRule="auto"/>
        <w:tabs>
          <w:tab w:leader="none" w:pos="143" w:val="left"/>
        </w:tabs>
        <w:numPr>
          <w:ilvl w:val="0"/>
          <w:numId w:val="108"/>
        </w:numPr>
        <w:rPr>
          <w:rFonts w:ascii="Arial" w:cs="Arial" w:eastAsia="Arial" w:hAnsi="Arial"/>
          <w:sz w:val="14"/>
          <w:szCs w:val="14"/>
          <w:i w:val="1"/>
          <w:iCs w:val="1"/>
          <w:color w:val="auto"/>
        </w:rPr>
      </w:pPr>
      <w:r>
        <w:rPr>
          <w:rFonts w:ascii="Arial" w:cs="Arial" w:eastAsia="Arial" w:hAnsi="Arial"/>
          <w:sz w:val="13"/>
          <w:szCs w:val="13"/>
          <w:i w:val="1"/>
          <w:iCs w:val="1"/>
          <w:color w:val="auto"/>
        </w:rPr>
        <w:t xml:space="preserve">Shares or units not vested </w:t>
      </w:r>
      <w:r>
        <w:rPr>
          <w:rFonts w:ascii="Arial" w:cs="Arial" w:eastAsia="Arial" w:hAnsi="Arial"/>
          <w:sz w:val="13"/>
          <w:szCs w:val="13"/>
          <w:color w:val="auto"/>
        </w:rPr>
        <w:t>are dividends declared at December 31, 2025, but not payable until January 30, 2026.</w:t>
      </w:r>
      <w:r>
        <w:rPr>
          <w:rFonts w:ascii="Arial" w:cs="Arial" w:eastAsia="Arial" w:hAnsi="Arial"/>
          <w:sz w:val="13"/>
          <w:szCs w:val="13"/>
          <w:i w:val="1"/>
          <w:iCs w:val="1"/>
          <w:color w:val="auto"/>
        </w:rPr>
        <w:t xml:space="preserve"> Number of shares or units of share based awards that have not vested </w:t>
      </w:r>
      <w:r>
        <w:rPr>
          <w:rFonts w:ascii="Arial" w:cs="Arial" w:eastAsia="Arial" w:hAnsi="Arial"/>
          <w:sz w:val="13"/>
          <w:szCs w:val="13"/>
          <w:color w:val="auto"/>
        </w:rPr>
        <w:t>is calculated</w:t>
      </w:r>
      <w:r>
        <w:rPr>
          <w:rFonts w:ascii="Arial" w:cs="Arial" w:eastAsia="Arial" w:hAnsi="Arial"/>
          <w:sz w:val="13"/>
          <w:szCs w:val="13"/>
          <w:i w:val="1"/>
          <w:iCs w:val="1"/>
          <w:color w:val="auto"/>
        </w:rPr>
        <w:t xml:space="preserve"> </w:t>
      </w:r>
      <w:r>
        <w:rPr>
          <w:rFonts w:ascii="Arial" w:cs="Arial" w:eastAsia="Arial" w:hAnsi="Arial"/>
          <w:sz w:val="13"/>
          <w:szCs w:val="13"/>
          <w:color w:val="auto"/>
        </w:rPr>
        <w:t>using the closing price of TC Energy shares on the TSX at January 30, 2026 of $79.84</w:t>
      </w:r>
      <w:r>
        <w:rPr>
          <w:rFonts w:ascii="Arial" w:cs="Arial" w:eastAsia="Arial" w:hAnsi="Arial"/>
          <w:sz w:val="13"/>
          <w:szCs w:val="13"/>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85</w:t>
      </w:r>
    </w:p>
    <w:p>
      <w:pPr>
        <w:sectPr>
          <w:pgSz w:w="11900" w:h="16838" w:orient="portrait"/>
          <w:cols w:equalWidth="0" w:num="1">
            <w:col w:w="11240"/>
          </w:cols>
          <w:pgMar w:left="320" w:top="1097" w:right="339" w:bottom="1440" w:gutter="0" w:footer="0" w:header="0"/>
        </w:sectPr>
      </w:pPr>
    </w:p>
    <w:bookmarkStart w:id="91" w:name="page92"/>
    <w:bookmarkEnd w:id="91"/>
    <w:p>
      <w:pPr>
        <w:spacing w:after="0"/>
        <w:rPr>
          <w:sz w:val="20"/>
          <w:szCs w:val="20"/>
          <w:color w:val="auto"/>
        </w:rPr>
      </w:pPr>
      <w:r>
        <w:rPr>
          <w:rFonts w:ascii="Arial" w:cs="Arial" w:eastAsia="Arial" w:hAnsi="Arial"/>
          <w:sz w:val="28"/>
          <w:szCs w:val="28"/>
          <w:color w:val="0D64EF"/>
        </w:rPr>
        <w:t>Human Resources Committee Letter to Shareholders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Dear Shareholder:</w:t>
      </w:r>
    </w:p>
    <w:p>
      <w:pPr>
        <w:spacing w:after="0" w:line="219" w:lineRule="exact"/>
        <w:rPr>
          <w:sz w:val="20"/>
          <w:szCs w:val="20"/>
          <w:color w:val="auto"/>
        </w:rPr>
      </w:pPr>
    </w:p>
    <w:p>
      <w:pPr>
        <w:ind w:left="20" w:right="60"/>
        <w:spacing w:after="0" w:line="312" w:lineRule="auto"/>
        <w:rPr>
          <w:sz w:val="20"/>
          <w:szCs w:val="20"/>
          <w:color w:val="auto"/>
        </w:rPr>
      </w:pPr>
      <w:r>
        <w:rPr>
          <w:rFonts w:ascii="Arial" w:cs="Arial" w:eastAsia="Arial" w:hAnsi="Arial"/>
          <w:sz w:val="16"/>
          <w:szCs w:val="16"/>
          <w:color w:val="auto"/>
        </w:rPr>
        <w:t>The Board is holding its 17th consecutive say-on-pay advisory vote regarding our approach to executive compensation. We appreciate the strong shareholder support we have received in the past and hope you will support our deliberations once again this year. This letter and the accompanying compensation discussion and analysis will explain the approach taken by the Human Resources Committee and the Board to assess 2025 performance and the basis on which we reached compensation decisions for each of our Named Executive Officers (NEOs).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D64EF"/>
        </w:rPr>
        <w:t>TC Energy's approach to compensation</w:t>
      </w:r>
    </w:p>
    <w:p>
      <w:pPr>
        <w:spacing w:after="0" w:line="147" w:lineRule="exact"/>
        <w:rPr>
          <w:sz w:val="20"/>
          <w:szCs w:val="20"/>
          <w:color w:val="auto"/>
        </w:rPr>
      </w:pPr>
    </w:p>
    <w:p>
      <w:pPr>
        <w:ind w:left="20" w:right="60"/>
        <w:spacing w:after="0" w:line="313" w:lineRule="auto"/>
        <w:rPr>
          <w:sz w:val="20"/>
          <w:szCs w:val="20"/>
          <w:color w:val="auto"/>
        </w:rPr>
      </w:pPr>
      <w:r>
        <w:rPr>
          <w:rFonts w:ascii="Arial" w:cs="Arial" w:eastAsia="Arial" w:hAnsi="Arial"/>
          <w:sz w:val="16"/>
          <w:szCs w:val="16"/>
          <w:color w:val="auto"/>
        </w:rPr>
        <w:t>Our vision is to be the trusted leader in North America’s energy infrastructure committed to excellence in safety, performance and stakeholder relationships. Our unique and strategic portfolio of North American gas and power infrastructure features critical, long-life energy assets with approximately 98 per cent underpinned by long-term contracts and/or regulated business models. Our compensation plans are designed to encourage disciplined decision-making in the balanced pursuit of sustainable financial performance and the responsible long-term development of critical North American infrastructure.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sz w:val="1"/>
          <w:szCs w:val="1"/>
          <w:color w:val="auto"/>
        </w:rPr>
        <w:drawing>
          <wp:inline distT="0" distB="0" distL="0" distR="0">
            <wp:extent cx="153670" cy="19621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3670" cy="196215"/>
                    </a:xfrm>
                    <a:prstGeom prst="rect">
                      <a:avLst/>
                    </a:prstGeom>
                    <a:noFill/>
                    <a:ln>
                      <a:noFill/>
                    </a:ln>
                  </pic:spPr>
                </pic:pic>
              </a:graphicData>
            </a:graphic>
          </wp:inline>
        </w:drawing>
      </w:r>
      <w:r>
        <w:rPr>
          <w:rFonts w:ascii="Arial" w:cs="Arial" w:eastAsia="Arial" w:hAnsi="Arial"/>
          <w:sz w:val="18"/>
          <w:szCs w:val="18"/>
          <w:b w:val="1"/>
          <w:bCs w:val="1"/>
          <w:color w:val="0D64EF"/>
        </w:rPr>
        <w:t>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-229870</wp:posOffset>
            </wp:positionV>
            <wp:extent cx="2653665" cy="3302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53665" cy="3302000"/>
                    </a:xfrm>
                    <a:prstGeom prst="rect">
                      <a:avLst/>
                    </a:prstGeom>
                    <a:noFill/>
                  </pic:spPr>
                </pic:pic>
              </a:graphicData>
            </a:graphic>
          </wp:anchor>
        </w:drawing>
      </w:r>
    </w:p>
    <w:p>
      <w:pPr>
        <w:ind w:left="360" w:hanging="233"/>
        <w:spacing w:after="0" w:line="181" w:lineRule="auto"/>
        <w:tabs>
          <w:tab w:leader="none" w:pos="360" w:val="left"/>
        </w:tabs>
        <w:numPr>
          <w:ilvl w:val="0"/>
          <w:numId w:val="109"/>
        </w:numPr>
        <w:rPr>
          <w:rFonts w:ascii="Arial" w:cs="Arial" w:eastAsia="Arial" w:hAnsi="Arial"/>
          <w:sz w:val="28"/>
          <w:szCs w:val="28"/>
          <w:color w:val="0D64EF"/>
          <w:vertAlign w:val="superscript"/>
        </w:rPr>
      </w:pPr>
      <w:r>
        <w:rPr>
          <w:rFonts w:ascii="Arial" w:cs="Arial" w:eastAsia="Arial" w:hAnsi="Arial"/>
          <w:sz w:val="15"/>
          <w:szCs w:val="15"/>
          <w:color w:val="0D64EF"/>
        </w:rPr>
        <w:t>Human Resources Committee Letter to</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2240" w:type="dxa"/>
            <w:vAlign w:val="bottom"/>
          </w:tcPr>
          <w:p>
            <w:pPr>
              <w:spacing w:after="0"/>
              <w:rPr>
                <w:sz w:val="20"/>
                <w:szCs w:val="20"/>
                <w:color w:val="auto"/>
              </w:rPr>
            </w:pPr>
            <w:r>
              <w:rPr>
                <w:rFonts w:ascii="Arial" w:cs="Arial" w:eastAsia="Arial" w:hAnsi="Arial"/>
                <w:sz w:val="16"/>
                <w:szCs w:val="16"/>
                <w:color w:val="0D64EF"/>
              </w:rPr>
              <w:t>Shareholders</w:t>
            </w:r>
          </w:p>
        </w:tc>
        <w:tc>
          <w:tcPr>
            <w:tcW w:w="1460" w:type="dxa"/>
            <w:vAlign w:val="bottom"/>
          </w:tcPr>
          <w:p>
            <w:pPr>
              <w:jc w:val="right"/>
              <w:spacing w:after="0"/>
              <w:rPr>
                <w:sz w:val="20"/>
                <w:szCs w:val="20"/>
                <w:color w:val="auto"/>
              </w:rPr>
            </w:pPr>
            <w:r>
              <w:rPr>
                <w:rFonts w:ascii="Arial" w:cs="Arial" w:eastAsia="Arial" w:hAnsi="Arial"/>
                <w:sz w:val="16"/>
                <w:szCs w:val="16"/>
                <w:color w:val="0D64EF"/>
              </w:rPr>
              <w:t>86</w:t>
            </w:r>
          </w:p>
        </w:tc>
      </w:tr>
    </w:tbl>
    <w:p>
      <w:pPr>
        <w:ind w:left="360" w:hanging="233"/>
        <w:spacing w:after="0" w:line="180" w:lineRule="auto"/>
        <w:tabs>
          <w:tab w:leader="none" w:pos="360" w:val="left"/>
        </w:tabs>
        <w:numPr>
          <w:ilvl w:val="0"/>
          <w:numId w:val="110"/>
        </w:numPr>
        <w:rPr>
          <w:rFonts w:ascii="Arial" w:cs="Arial" w:eastAsia="Arial" w:hAnsi="Arial"/>
          <w:sz w:val="27"/>
          <w:szCs w:val="27"/>
          <w:color w:val="0D64EF"/>
          <w:vertAlign w:val="superscript"/>
        </w:rPr>
      </w:pPr>
      <w:r>
        <w:rPr>
          <w:rFonts w:ascii="Arial" w:cs="Arial" w:eastAsia="Arial" w:hAnsi="Arial"/>
          <w:sz w:val="15"/>
          <w:szCs w:val="15"/>
          <w:color w:val="0D64EF"/>
        </w:rPr>
        <w:t>Executive Compensation Discussion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0D64EF"/>
              </w:rPr>
              <w:t>Analysis</w:t>
            </w:r>
          </w:p>
        </w:tc>
        <w:tc>
          <w:tcPr>
            <w:tcW w:w="720" w:type="dxa"/>
            <w:vAlign w:val="bottom"/>
          </w:tcPr>
          <w:p>
            <w:pPr>
              <w:jc w:val="right"/>
              <w:ind w:right="39"/>
              <w:spacing w:after="0"/>
              <w:rPr>
                <w:sz w:val="20"/>
                <w:szCs w:val="20"/>
                <w:color w:val="auto"/>
              </w:rPr>
            </w:pPr>
            <w:r>
              <w:rPr>
                <w:rFonts w:ascii="Arial" w:cs="Arial" w:eastAsia="Arial" w:hAnsi="Arial"/>
                <w:sz w:val="16"/>
                <w:szCs w:val="16"/>
                <w:color w:val="0D64EF"/>
              </w:rPr>
              <w:t>88</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Introduction</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Approach</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Components</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Corporate Performance</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Payout of 2023 PSU Award</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Grant of 2026 PSU Award</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Executive Profiles</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60" w:type="dxa"/>
            <w:vAlign w:val="bottom"/>
            <w:shd w:val="clear" w:color="auto" w:fill="D1D0CF"/>
          </w:tcPr>
          <w:p>
            <w:pPr>
              <w:jc w:val="right"/>
              <w:ind w:right="64"/>
              <w:spacing w:after="0"/>
              <w:rPr>
                <w:sz w:val="20"/>
                <w:szCs w:val="20"/>
                <w:color w:val="auto"/>
              </w:rPr>
            </w:pPr>
            <w:r>
              <w:rPr>
                <w:rFonts w:ascii="Arial" w:cs="Arial" w:eastAsia="Arial" w:hAnsi="Arial"/>
                <w:sz w:val="15"/>
                <w:szCs w:val="15"/>
                <w:color w:val="0D64EF"/>
              </w:rPr>
              <w:t>&gt;</w:t>
            </w:r>
          </w:p>
        </w:tc>
        <w:tc>
          <w:tcPr>
            <w:tcW w:w="3100" w:type="dxa"/>
            <w:vAlign w:val="bottom"/>
          </w:tcPr>
          <w:p>
            <w:pPr>
              <w:spacing w:after="0"/>
              <w:rPr>
                <w:sz w:val="20"/>
                <w:szCs w:val="20"/>
                <w:color w:val="auto"/>
              </w:rPr>
            </w:pPr>
            <w:r>
              <w:rPr>
                <w:rFonts w:ascii="Arial" w:cs="Arial" w:eastAsia="Arial" w:hAnsi="Arial"/>
                <w:sz w:val="16"/>
                <w:szCs w:val="16"/>
                <w:color w:val="0D64EF"/>
              </w:rPr>
              <w:t>2025 Details</w:t>
            </w:r>
          </w:p>
        </w:tc>
        <w:tc>
          <w:tcPr>
            <w:tcW w:w="720" w:type="dxa"/>
            <w:vAlign w:val="bottom"/>
          </w:tcPr>
          <w:p>
            <w:pPr>
              <w:jc w:val="right"/>
              <w:ind w:right="39"/>
              <w:spacing w:after="0"/>
              <w:rPr>
                <w:sz w:val="20"/>
                <w:szCs w:val="20"/>
                <w:color w:val="auto"/>
              </w:rPr>
            </w:pPr>
            <w:r>
              <w:rPr>
                <w:rFonts w:ascii="Arial" w:cs="Arial" w:eastAsia="Arial" w:hAnsi="Arial"/>
                <w:sz w:val="16"/>
                <w:szCs w:val="16"/>
                <w:color w:val="0D64EF"/>
              </w:rPr>
              <w:t>113</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Summary Compensation Table</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Incentive Plan Awards</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Equity Compensation Plan Information</w:t>
            </w: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60" w:type="dxa"/>
            <w:vAlign w:val="bottom"/>
            <w:shd w:val="clear" w:color="auto" w:fill="D0D0CE"/>
          </w:tcPr>
          <w:p>
            <w:pPr>
              <w:spacing w:after="0"/>
              <w:rPr>
                <w:sz w:val="11"/>
                <w:szCs w:val="11"/>
                <w:color w:val="auto"/>
              </w:rPr>
            </w:pPr>
          </w:p>
        </w:tc>
        <w:tc>
          <w:tcPr>
            <w:tcW w:w="3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Retirement Benefits</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60" w:type="dxa"/>
            <w:vAlign w:val="bottom"/>
            <w:shd w:val="clear" w:color="auto" w:fill="D0D0CE"/>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Termination and Change of Control</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50"/>
        </w:trPr>
        <w:tc>
          <w:tcPr>
            <w:tcW w:w="100" w:type="dxa"/>
            <w:vAlign w:val="bottom"/>
            <w:tcBorders>
              <w:bottom w:val="single" w:sz="8" w:color="0D64EF"/>
            </w:tcBorders>
          </w:tcPr>
          <w:p>
            <w:pPr>
              <w:spacing w:after="0"/>
              <w:rPr>
                <w:sz w:val="13"/>
                <w:szCs w:val="13"/>
                <w:color w:val="auto"/>
              </w:rPr>
            </w:pPr>
          </w:p>
        </w:tc>
        <w:tc>
          <w:tcPr>
            <w:tcW w:w="260" w:type="dxa"/>
            <w:vAlign w:val="bottom"/>
            <w:tcBorders>
              <w:bottom w:val="single" w:sz="8" w:color="0D64EF"/>
            </w:tcBorders>
            <w:shd w:val="clear" w:color="auto" w:fill="D0D0CE"/>
          </w:tcPr>
          <w:p>
            <w:pPr>
              <w:spacing w:after="0"/>
              <w:rPr>
                <w:sz w:val="13"/>
                <w:szCs w:val="13"/>
                <w:color w:val="auto"/>
              </w:rPr>
            </w:pPr>
          </w:p>
        </w:tc>
        <w:tc>
          <w:tcPr>
            <w:tcW w:w="3100" w:type="dxa"/>
            <w:vAlign w:val="bottom"/>
            <w:tcBorders>
              <w:bottom w:val="single" w:sz="8" w:color="0D64EF"/>
            </w:tcBorders>
          </w:tcPr>
          <w:p>
            <w:pPr>
              <w:spacing w:after="0"/>
              <w:rPr>
                <w:sz w:val="13"/>
                <w:szCs w:val="13"/>
                <w:color w:val="auto"/>
              </w:rPr>
            </w:pPr>
          </w:p>
        </w:tc>
        <w:tc>
          <w:tcPr>
            <w:tcW w:w="720" w:type="dxa"/>
            <w:vAlign w:val="bottom"/>
            <w:tcBorders>
              <w:bottom w:val="single" w:sz="8" w:color="0D64EF"/>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2">
            <w:col w:w="6760" w:space="300"/>
            <w:col w:w="4180"/>
          </w:cols>
          <w:pgMar w:left="320" w:top="1048" w:right="339" w:bottom="1440" w:gutter="0" w:footer="0" w:header="0"/>
        </w:sectPr>
      </w:pPr>
    </w:p>
    <w:p>
      <w:pPr>
        <w:ind w:left="20" w:right="40"/>
        <w:spacing w:after="0" w:line="312" w:lineRule="auto"/>
        <w:rPr>
          <w:sz w:val="20"/>
          <w:szCs w:val="20"/>
          <w:color w:val="auto"/>
        </w:rPr>
      </w:pPr>
      <w:r>
        <w:rPr>
          <w:rFonts w:ascii="Arial" w:cs="Arial" w:eastAsia="Arial" w:hAnsi="Arial"/>
          <w:sz w:val="16"/>
          <w:szCs w:val="16"/>
          <w:color w:val="auto"/>
        </w:rPr>
        <w:t>The Human Resources Committee periodically conducts a comprehensive review of our compensation program design to ensure it supports our strategy, aligns well to market practice and there is a strong link between performance achieved and compensation delivered. Annually, we review changes in market practice to ensure our programs remain consistent with emerging governance and peer group best practices. As always, we evaluate executive compensation levels relative to market to ensure they are competitive to attract and enable the retention of the critical talent required to run our business now and into the future.</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D64EF"/>
        </w:rPr>
        <w:t>2025 performance and compensation</w:t>
      </w:r>
    </w:p>
    <w:p>
      <w:pPr>
        <w:spacing w:after="0" w:line="134" w:lineRule="exact"/>
        <w:rPr>
          <w:sz w:val="20"/>
          <w:szCs w:val="20"/>
          <w:color w:val="auto"/>
        </w:rPr>
      </w:pPr>
    </w:p>
    <w:p>
      <w:pPr>
        <w:jc w:val="both"/>
        <w:ind w:left="20" w:right="120"/>
        <w:spacing w:after="0" w:line="326" w:lineRule="auto"/>
        <w:rPr>
          <w:sz w:val="20"/>
          <w:szCs w:val="20"/>
          <w:color w:val="auto"/>
        </w:rPr>
      </w:pPr>
      <w:r>
        <w:rPr>
          <w:rFonts w:ascii="Arial" w:cs="Arial" w:eastAsia="Arial" w:hAnsi="Arial"/>
          <w:sz w:val="16"/>
          <w:szCs w:val="16"/>
          <w:color w:val="auto"/>
        </w:rPr>
        <w:t>The 2025 corporate scorecard was approved by the Board early in the year, consistent with our regular practice. The scorecard focused on achieving strong financial results alongside safety and operational excellence. Overall, 2025 was a strong year – we delivered strong financial performance, operated reliably with very strong safety performance and large projects were placed into service including Southeast Gateway pipeline.</w:t>
      </w:r>
    </w:p>
    <w:p>
      <w:pPr>
        <w:spacing w:after="0" w:line="70" w:lineRule="exact"/>
        <w:rPr>
          <w:sz w:val="20"/>
          <w:szCs w:val="20"/>
          <w:color w:val="auto"/>
        </w:rPr>
      </w:pPr>
    </w:p>
    <w:p>
      <w:pPr>
        <w:ind w:left="20" w:right="80"/>
        <w:spacing w:after="0" w:line="328" w:lineRule="auto"/>
        <w:rPr>
          <w:sz w:val="20"/>
          <w:szCs w:val="20"/>
          <w:color w:val="auto"/>
        </w:rPr>
      </w:pPr>
      <w:r>
        <w:rPr>
          <w:rFonts w:ascii="Arial" w:cs="Arial" w:eastAsia="Arial" w:hAnsi="Arial"/>
          <w:sz w:val="16"/>
          <w:szCs w:val="16"/>
          <w:color w:val="auto"/>
        </w:rPr>
        <w:t>We achieved comparable EBITDA of $10.95 billion (segmented earnings of $8.04 billion) and comparable EPS of $3.51 (Net income per share of $3.27) in 2025, while delivering our 25th consecutive year of dividend growth. We placed approximately $8.3 billion of assets into service during the year, including the Southeast Gateway pipeline project in Mexico, and are on or ahead of schedule in 23 out of 25 sanctioned projects while tracking 15 per cent under budget in project costs. We sanctioned $5 billion in new growth projects while delivering an above target Debt-to-EBITDA metric.</w:t>
      </w:r>
    </w:p>
    <w:p>
      <w:pPr>
        <w:spacing w:after="0" w:line="56" w:lineRule="exact"/>
        <w:rPr>
          <w:sz w:val="20"/>
          <w:szCs w:val="20"/>
          <w:color w:val="auto"/>
        </w:rPr>
      </w:pPr>
    </w:p>
    <w:p>
      <w:pPr>
        <w:ind w:left="20" w:right="20"/>
        <w:spacing w:after="0" w:line="326" w:lineRule="auto"/>
        <w:rPr>
          <w:sz w:val="20"/>
          <w:szCs w:val="20"/>
          <w:color w:val="auto"/>
        </w:rPr>
      </w:pPr>
      <w:r>
        <w:rPr>
          <w:rFonts w:ascii="Arial" w:cs="Arial" w:eastAsia="Arial" w:hAnsi="Arial"/>
          <w:sz w:val="16"/>
          <w:szCs w:val="16"/>
          <w:color w:val="auto"/>
        </w:rPr>
        <w:t>The Focus Project made significant progress in 2025 and implemented initiatives to improve safety, productivity and cost-effectiveness across all areas of the company. In addition to improving performance across all of our safety metrics, the program delivered over $1.5 billion of value creation that provided financial benefit for the company and our customers. As 2025 concluded, the Focus Project came to a close.</w:t>
      </w:r>
    </w:p>
    <w:p>
      <w:pPr>
        <w:spacing w:after="0" w:line="56" w:lineRule="exact"/>
        <w:rPr>
          <w:sz w:val="20"/>
          <w:szCs w:val="20"/>
          <w:color w:val="auto"/>
        </w:rPr>
      </w:pPr>
    </w:p>
    <w:p>
      <w:pPr>
        <w:ind w:left="20" w:right="80"/>
        <w:spacing w:after="0" w:line="303" w:lineRule="auto"/>
        <w:rPr>
          <w:sz w:val="20"/>
          <w:szCs w:val="20"/>
          <w:color w:val="auto"/>
        </w:rPr>
      </w:pPr>
      <w:r>
        <w:rPr>
          <w:rFonts w:ascii="Arial" w:cs="Arial" w:eastAsia="Arial" w:hAnsi="Arial"/>
          <w:sz w:val="16"/>
          <w:szCs w:val="16"/>
          <w:color w:val="auto"/>
        </w:rPr>
        <w:t>The overall corporate payout factor for the annual incentive plan was 1.5. For our long-term compensation program, the Board approved a performance multiplier of 1.79 for the 2023 TC Energy PSUs that vested in 2026. The multiplier reflects cumulative three-year distributable cash flow per share performance, our Debt-to-EBITDA ratio, and total shareholder return performance relative to both our industry peer group and a high-yield subset of the TSX</w:t>
      </w:r>
    </w:p>
    <w:p>
      <w:pPr>
        <w:spacing w:after="0" w:line="2" w:lineRule="exact"/>
        <w:rPr>
          <w:sz w:val="20"/>
          <w:szCs w:val="20"/>
          <w:color w:val="auto"/>
        </w:rPr>
      </w:pPr>
    </w:p>
    <w:p>
      <w:pPr>
        <w:ind w:left="300" w:hanging="275"/>
        <w:spacing w:after="0"/>
        <w:tabs>
          <w:tab w:leader="none" w:pos="3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Overall, the Board concluded the payout levels under both the annual and long-term plan were aligned with TC Energy's performance.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86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48"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color w:val="0D64EF"/>
        </w:rPr>
        <w:t>Conclusion</w:t>
      </w:r>
    </w:p>
    <w:p>
      <w:pPr>
        <w:spacing w:after="0" w:line="147"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auto"/>
        </w:rPr>
        <w:t>The Board is keenly aware of our responsibility to ensure that our approach to executive compensation supports our strategy and aligns with the interests of our shareholders. The Board and the Human Resources Committee are also aware that our decisions must be logical and understandable to our employees, shareholders and other stakeholders. To this end, this Circular includes significant detail in the compensation discussion and analysis starting on the next page. We respond to shareholder questions on an individual basis, take input from stakeholders and continue to revisit our approach to ensure that our program remains appropriate.</w:t>
      </w:r>
    </w:p>
    <w:p>
      <w:pPr>
        <w:spacing w:after="0" w:line="65" w:lineRule="exact"/>
        <w:rPr>
          <w:sz w:val="20"/>
          <w:szCs w:val="20"/>
          <w:color w:val="auto"/>
        </w:rPr>
      </w:pPr>
    </w:p>
    <w:p>
      <w:pPr>
        <w:ind w:right="180"/>
        <w:spacing w:after="0" w:line="337" w:lineRule="auto"/>
        <w:rPr>
          <w:sz w:val="20"/>
          <w:szCs w:val="20"/>
          <w:color w:val="auto"/>
        </w:rPr>
      </w:pPr>
      <w:r>
        <w:rPr>
          <w:rFonts w:ascii="Arial" w:cs="Arial" w:eastAsia="Arial" w:hAnsi="Arial"/>
          <w:sz w:val="16"/>
          <w:szCs w:val="16"/>
          <w:color w:val="auto"/>
        </w:rPr>
        <w:t>We thank you for your continued confidence in TC Energy and welcome your comments or questions. You can contact the Human Resources Committee or the Board through the Corporate Secretary, TC Energy Corporation, 450 – 1 Street S.W., Calgary, AB, Canada T2P 5H1.</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139700</wp:posOffset>
            </wp:positionV>
            <wp:extent cx="1638300" cy="5035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38300" cy="5035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97155</wp:posOffset>
            </wp:positionV>
            <wp:extent cx="913130" cy="5975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13130" cy="597535"/>
                    </a:xfrm>
                    <a:prstGeom prst="rect">
                      <a:avLst/>
                    </a:prstGeom>
                    <a:noFill/>
                  </pic:spPr>
                </pic:pic>
              </a:graphicData>
            </a:graphic>
          </wp:anchor>
        </w:drawing>
      </w:r>
    </w:p>
    <w:p>
      <w:pPr>
        <w:sectPr>
          <w:pgSz w:w="11900" w:h="16838" w:orient="portrait"/>
          <w:cols w:equalWidth="0" w:num="1">
            <w:col w:w="11220"/>
          </w:cols>
          <w:pgMar w:left="340" w:top="12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0D64EF"/>
        </w:rPr>
        <w:t>William D. Johnson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Chair, Human Resources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0D64EF"/>
        </w:rPr>
        <w:t>John E. Lowe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Chair of the Board of Directors</w:t>
      </w:r>
    </w:p>
    <w:p>
      <w:pPr>
        <w:spacing w:after="0" w:line="200" w:lineRule="exact"/>
        <w:rPr>
          <w:sz w:val="20"/>
          <w:szCs w:val="20"/>
          <w:color w:val="auto"/>
        </w:rPr>
      </w:pPr>
    </w:p>
    <w:p>
      <w:pPr>
        <w:sectPr>
          <w:pgSz w:w="11900" w:h="16838" w:orient="portrait"/>
          <w:cols w:equalWidth="0" w:num="2">
            <w:col w:w="3780" w:space="720"/>
            <w:col w:w="6720"/>
          </w:cols>
          <w:pgMar w:left="340" w:top="12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87</w:t>
      </w:r>
    </w:p>
    <w:p>
      <w:pPr>
        <w:sectPr>
          <w:pgSz w:w="11900" w:h="16838" w:orient="portrait"/>
          <w:cols w:equalWidth="0" w:num="1">
            <w:col w:w="11220"/>
          </w:cols>
          <w:pgMar w:left="340" w:top="1209"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29"/>
          <w:szCs w:val="29"/>
          <w:color w:val="0D64EF"/>
        </w:rPr>
        <w:t>Executive Compensation Discussion and Analysis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INTRODUCTION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explains our executive compensation program, our 2025 performance, the performance assessment by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Human Resources Committee and the Board, and their compensation decisions for our named executives:</w:t>
      </w:r>
    </w:p>
    <w:p>
      <w:pPr>
        <w:spacing w:after="0" w:line="152" w:lineRule="exact"/>
        <w:rPr>
          <w:sz w:val="20"/>
          <w:szCs w:val="20"/>
          <w:color w:val="auto"/>
        </w:rPr>
      </w:pPr>
    </w:p>
    <w:p>
      <w:pPr>
        <w:ind w:left="140" w:hanging="133"/>
        <w:spacing w:after="0"/>
        <w:tabs>
          <w:tab w:leader="none" w:pos="1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François Poirier, President and Chief Executive Officer</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Sean O'Donnell, Executive Vice-President, Strategy and Corporate Development and Chief Financial Officer</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Tina Faraca, Executive Vice-President and Chief Operating Officer, Natural Gas Pipelines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Anita Dusevic Oliva, Executive Vice-President and General Counsel</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Stanley Chapman III, Executive Vice-President and Executive Advisor</w:t>
      </w:r>
    </w:p>
    <w:p>
      <w:pPr>
        <w:spacing w:after="0" w:line="13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Sean O'Donnell's title was changed to Executive Vice-President, Strategy and Corporate Development and Chief Financial Officer effective February 1, 2025 to better reflect his responsibilities. Tina Faraca succeeded Stanley Chapman III as Executive Vice-President and Chief Operating Officer, Natural Gas Pipelines effective February 1, 2025, at which time Mr. Chapman became an executive advisor until his retirement date of June 30, 2025. The succession and transition plan relating to Mr. Chapman's retirement, including the appointment and compensation terms for Ms. Faraca were reviewed and approved by the Board. Anita Dusevic Oliva joined the organization and the Executive Leadership Team as Executive Vice-President and General Counsel on April 1, 2025.</w:t>
      </w:r>
    </w:p>
    <w:p>
      <w:pPr>
        <w:spacing w:after="0" w:line="70"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At the end of 2025, our Executive Leadership Team consisted of the named executives excluding Mr. Chapman, two other executive vice-presidents and one senior vice-president. In our compensation discussion, references to our executive compensation include our CEO and the named executive vice-presidents listed above.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Compensation highlights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and the Board made the following executive compensation decisions in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80" w:type="dxa"/>
            <w:vAlign w:val="bottom"/>
            <w:tcBorders>
              <w:top w:val="single" w:sz="8" w:color="0D64EF"/>
              <w:bottom w:val="single" w:sz="8" w:color="0D64EF"/>
            </w:tcBorders>
            <w:gridSpan w:val="2"/>
            <w:shd w:val="clear" w:color="auto" w:fill="D1D0CF"/>
          </w:tcPr>
          <w:p>
            <w:pPr>
              <w:ind w:left="20"/>
              <w:spacing w:after="0"/>
              <w:rPr>
                <w:sz w:val="20"/>
                <w:szCs w:val="20"/>
                <w:color w:val="auto"/>
              </w:rPr>
            </w:pPr>
            <w:r>
              <w:rPr>
                <w:rFonts w:ascii="Arial" w:cs="Arial" w:eastAsia="Arial" w:hAnsi="Arial"/>
                <w:sz w:val="14"/>
                <w:szCs w:val="14"/>
                <w:b w:val="1"/>
                <w:bCs w:val="1"/>
                <w:color w:val="auto"/>
              </w:rPr>
              <w:t>Program component</w:t>
            </w:r>
          </w:p>
        </w:tc>
        <w:tc>
          <w:tcPr>
            <w:tcW w:w="7680" w:type="dxa"/>
            <w:vAlign w:val="bottom"/>
            <w:tcBorders>
              <w:top w:val="single" w:sz="8" w:color="0D64EF"/>
              <w:bottom w:val="single" w:sz="8" w:color="0D64EF"/>
            </w:tcBorders>
            <w:gridSpan w:val="2"/>
            <w:shd w:val="clear" w:color="auto" w:fill="D1D0CF"/>
          </w:tcPr>
          <w:p>
            <w:pPr>
              <w:ind w:left="180"/>
              <w:spacing w:after="0"/>
              <w:rPr>
                <w:sz w:val="20"/>
                <w:szCs w:val="20"/>
                <w:color w:val="auto"/>
              </w:rPr>
            </w:pPr>
            <w:r>
              <w:rPr>
                <w:rFonts w:ascii="Arial" w:cs="Arial" w:eastAsia="Arial" w:hAnsi="Arial"/>
                <w:sz w:val="14"/>
                <w:szCs w:val="14"/>
                <w:b w:val="1"/>
                <w:bCs w:val="1"/>
                <w:color w:val="auto"/>
              </w:rPr>
              <w:t>Decision/rationale</w:t>
            </w:r>
          </w:p>
        </w:tc>
      </w:tr>
      <w:tr>
        <w:trPr>
          <w:trHeight w:val="187"/>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Base salary adjustments</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7400" w:type="dxa"/>
            <w:vAlign w:val="bottom"/>
          </w:tcPr>
          <w:p>
            <w:pPr>
              <w:ind w:left="40"/>
              <w:spacing w:after="0"/>
              <w:rPr>
                <w:sz w:val="20"/>
                <w:szCs w:val="20"/>
                <w:color w:val="auto"/>
              </w:rPr>
            </w:pPr>
            <w:r>
              <w:rPr>
                <w:rFonts w:ascii="Arial" w:cs="Arial" w:eastAsia="Arial" w:hAnsi="Arial"/>
                <w:sz w:val="14"/>
                <w:szCs w:val="14"/>
                <w:color w:val="auto"/>
              </w:rPr>
              <w:t>To maintain competitiveness within our peer group, recognize sustained proficiency in roles, and reflect increases in</w:t>
            </w:r>
          </w:p>
        </w:tc>
      </w:tr>
      <w:tr>
        <w:trPr>
          <w:trHeight w:val="190"/>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0" w:type="dxa"/>
            <w:vAlign w:val="bottom"/>
          </w:tcPr>
          <w:p>
            <w:pPr>
              <w:ind w:left="60"/>
              <w:spacing w:after="0"/>
              <w:rPr>
                <w:sz w:val="20"/>
                <w:szCs w:val="20"/>
                <w:color w:val="auto"/>
              </w:rPr>
            </w:pPr>
            <w:r>
              <w:rPr>
                <w:rFonts w:ascii="Arial" w:cs="Arial" w:eastAsia="Arial" w:hAnsi="Arial"/>
                <w:sz w:val="14"/>
                <w:szCs w:val="14"/>
                <w:color w:val="auto"/>
              </w:rPr>
              <w:t>scope of responsibility. Increases are effective March 1, 2026.</w:t>
            </w:r>
          </w:p>
        </w:tc>
      </w:tr>
      <w:tr>
        <w:trPr>
          <w:trHeight w:val="21"/>
        </w:trPr>
        <w:tc>
          <w:tcPr>
            <w:tcW w:w="360" w:type="dxa"/>
            <w:vAlign w:val="bottom"/>
            <w:tcBorders>
              <w:bottom w:val="single" w:sz="8" w:color="B2B2B2"/>
            </w:tcBorders>
          </w:tcPr>
          <w:p>
            <w:pPr>
              <w:spacing w:after="0" w:line="20" w:lineRule="exact"/>
              <w:rPr>
                <w:sz w:val="1"/>
                <w:szCs w:val="1"/>
                <w:color w:val="auto"/>
              </w:rPr>
            </w:pPr>
          </w:p>
        </w:tc>
        <w:tc>
          <w:tcPr>
            <w:tcW w:w="1920" w:type="dxa"/>
            <w:vAlign w:val="bottom"/>
            <w:tcBorders>
              <w:bottom w:val="single" w:sz="8" w:color="B2B2B2"/>
            </w:tcBorders>
          </w:tcPr>
          <w:p>
            <w:pPr>
              <w:spacing w:after="0" w:line="20" w:lineRule="exact"/>
              <w:rPr>
                <w:sz w:val="1"/>
                <w:szCs w:val="1"/>
                <w:color w:val="auto"/>
              </w:rPr>
            </w:pPr>
          </w:p>
        </w:tc>
        <w:tc>
          <w:tcPr>
            <w:tcW w:w="280" w:type="dxa"/>
            <w:vAlign w:val="bottom"/>
            <w:tcBorders>
              <w:bottom w:val="single" w:sz="8" w:color="B2B2B2"/>
            </w:tcBorders>
          </w:tcPr>
          <w:p>
            <w:pPr>
              <w:spacing w:after="0" w:line="20" w:lineRule="exact"/>
              <w:rPr>
                <w:sz w:val="1"/>
                <w:szCs w:val="1"/>
                <w:color w:val="auto"/>
              </w:rPr>
            </w:pPr>
          </w:p>
        </w:tc>
        <w:tc>
          <w:tcPr>
            <w:tcW w:w="7400" w:type="dxa"/>
            <w:vAlign w:val="bottom"/>
            <w:tcBorders>
              <w:bottom w:val="single" w:sz="8" w:color="B2B2B2"/>
            </w:tcBorders>
          </w:tcPr>
          <w:p>
            <w:pPr>
              <w:spacing w:after="0" w:line="20" w:lineRule="exact"/>
              <w:rPr>
                <w:sz w:val="1"/>
                <w:szCs w:val="1"/>
                <w:color w:val="auto"/>
              </w:rPr>
            </w:pPr>
          </w:p>
        </w:tc>
      </w:tr>
      <w:tr>
        <w:trPr>
          <w:trHeight w:val="191"/>
        </w:trPr>
        <w:tc>
          <w:tcPr>
            <w:tcW w:w="3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2025</w:t>
            </w:r>
          </w:p>
        </w:tc>
        <w:tc>
          <w:tcPr>
            <w:tcW w:w="19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Annual incentive payments</w:t>
            </w:r>
          </w:p>
        </w:tc>
        <w:tc>
          <w:tcPr>
            <w:tcW w:w="280" w:type="dxa"/>
            <w:vAlign w:val="bottom"/>
            <w:tcBorders>
              <w:bottom w:val="single" w:sz="8" w:color="B2B2B2"/>
            </w:tcBorders>
          </w:tcPr>
          <w:p>
            <w:pPr>
              <w:ind w:left="180"/>
              <w:spacing w:after="0"/>
              <w:rPr>
                <w:sz w:val="20"/>
                <w:szCs w:val="20"/>
                <w:color w:val="auto"/>
              </w:rPr>
            </w:pPr>
            <w:r>
              <w:rPr>
                <w:rFonts w:ascii="Arial" w:cs="Arial" w:eastAsia="Arial" w:hAnsi="Arial"/>
                <w:sz w:val="14"/>
                <w:szCs w:val="14"/>
                <w:color w:val="auto"/>
              </w:rPr>
              <w:t>•</w:t>
            </w:r>
          </w:p>
        </w:tc>
        <w:tc>
          <w:tcPr>
            <w:tcW w:w="7400" w:type="dxa"/>
            <w:vAlign w:val="bottom"/>
            <w:tcBorders>
              <w:bottom w:val="single" w:sz="8" w:color="B2B2B2"/>
            </w:tcBorders>
          </w:tcPr>
          <w:p>
            <w:pPr>
              <w:ind w:left="40"/>
              <w:spacing w:after="0"/>
              <w:rPr>
                <w:sz w:val="20"/>
                <w:szCs w:val="20"/>
                <w:color w:val="auto"/>
              </w:rPr>
            </w:pPr>
            <w:r>
              <w:rPr>
                <w:rFonts w:ascii="Arial" w:cs="Arial" w:eastAsia="Arial" w:hAnsi="Arial"/>
                <w:sz w:val="14"/>
                <w:szCs w:val="14"/>
                <w:color w:val="auto"/>
              </w:rPr>
              <w:t>Reflect a corporate factor of 1.5.</w:t>
            </w:r>
          </w:p>
        </w:tc>
      </w:tr>
      <w:tr>
        <w:trPr>
          <w:trHeight w:val="190"/>
        </w:trPr>
        <w:tc>
          <w:tcPr>
            <w:tcW w:w="360" w:type="dxa"/>
            <w:vAlign w:val="bottom"/>
          </w:tcPr>
          <w:p>
            <w:pPr>
              <w:ind w:left="20"/>
              <w:spacing w:after="0"/>
              <w:rPr>
                <w:sz w:val="20"/>
                <w:szCs w:val="20"/>
                <w:color w:val="auto"/>
              </w:rPr>
            </w:pPr>
            <w:r>
              <w:rPr>
                <w:rFonts w:ascii="Arial" w:cs="Arial" w:eastAsia="Arial" w:hAnsi="Arial"/>
                <w:sz w:val="14"/>
                <w:szCs w:val="14"/>
                <w:color w:val="auto"/>
              </w:rPr>
              <w:t>2023</w:t>
            </w:r>
          </w:p>
        </w:tc>
        <w:tc>
          <w:tcPr>
            <w:tcW w:w="1920" w:type="dxa"/>
            <w:vAlign w:val="bottom"/>
          </w:tcPr>
          <w:p>
            <w:pPr>
              <w:ind w:left="20"/>
              <w:spacing w:after="0"/>
              <w:rPr>
                <w:sz w:val="20"/>
                <w:szCs w:val="20"/>
                <w:color w:val="auto"/>
              </w:rPr>
            </w:pPr>
            <w:r>
              <w:rPr>
                <w:rFonts w:ascii="Arial" w:cs="Arial" w:eastAsia="Arial" w:hAnsi="Arial"/>
                <w:sz w:val="14"/>
                <w:szCs w:val="14"/>
                <w:color w:val="auto"/>
              </w:rPr>
              <w:t>PSUs</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7400" w:type="dxa"/>
            <w:vAlign w:val="bottom"/>
          </w:tcPr>
          <w:p>
            <w:pPr>
              <w:ind w:left="40"/>
              <w:spacing w:after="0"/>
              <w:rPr>
                <w:sz w:val="20"/>
                <w:szCs w:val="20"/>
                <w:color w:val="auto"/>
              </w:rPr>
            </w:pPr>
            <w:r>
              <w:rPr>
                <w:rFonts w:ascii="Arial" w:cs="Arial" w:eastAsia="Arial" w:hAnsi="Arial"/>
                <w:sz w:val="14"/>
                <w:szCs w:val="14"/>
                <w:color w:val="auto"/>
              </w:rPr>
              <w:t>Reflect a performance multiplier of 1.79, based on Total Shareholder Return (TSR) performance relative to peers</w:t>
            </w:r>
          </w:p>
        </w:tc>
      </w:tr>
      <w:tr>
        <w:trPr>
          <w:trHeight w:val="16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0" w:type="dxa"/>
            <w:vAlign w:val="bottom"/>
          </w:tcPr>
          <w:p>
            <w:pPr>
              <w:ind w:left="60"/>
              <w:spacing w:after="0"/>
              <w:rPr>
                <w:sz w:val="20"/>
                <w:szCs w:val="20"/>
                <w:color w:val="auto"/>
              </w:rPr>
            </w:pPr>
            <w:r>
              <w:rPr>
                <w:rFonts w:ascii="Arial" w:cs="Arial" w:eastAsia="Arial" w:hAnsi="Arial"/>
                <w:sz w:val="14"/>
                <w:szCs w:val="14"/>
                <w:color w:val="auto"/>
              </w:rPr>
              <w:t>and cumulative Distributable Cash Flow per share (DCF) over the three-year period ended December 31, 2025.</w:t>
            </w:r>
          </w:p>
        </w:tc>
      </w:tr>
      <w:tr>
        <w:trPr>
          <w:trHeight w:val="190"/>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0" w:type="dxa"/>
            <w:vAlign w:val="bottom"/>
          </w:tcPr>
          <w:p>
            <w:pPr>
              <w:ind w:left="60"/>
              <w:spacing w:after="0"/>
              <w:rPr>
                <w:sz w:val="20"/>
                <w:szCs w:val="20"/>
                <w:color w:val="auto"/>
              </w:rPr>
            </w:pPr>
            <w:r>
              <w:rPr>
                <w:rFonts w:ascii="Arial" w:cs="Arial" w:eastAsia="Arial" w:hAnsi="Arial"/>
                <w:sz w:val="14"/>
                <w:szCs w:val="14"/>
                <w:color w:val="auto"/>
              </w:rPr>
              <w:t>Debt/EBITDA ratio is measured as at December 31, 2025.</w:t>
            </w:r>
          </w:p>
        </w:tc>
      </w:tr>
      <w:tr>
        <w:trPr>
          <w:trHeight w:val="213"/>
        </w:trPr>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Arial" w:cs="Arial" w:eastAsia="Arial" w:hAnsi="Arial"/>
                <w:sz w:val="14"/>
                <w:szCs w:val="14"/>
                <w:color w:val="auto"/>
              </w:rPr>
              <w:t>• The performance multiplier, combined with the change in share price and dividend reinvestment, results in a payout</w:t>
            </w:r>
          </w:p>
        </w:tc>
      </w:tr>
      <w:tr>
        <w:trPr>
          <w:trHeight w:val="190"/>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0" w:type="dxa"/>
            <w:vAlign w:val="bottom"/>
          </w:tcPr>
          <w:p>
            <w:pPr>
              <w:ind w:left="60"/>
              <w:spacing w:after="0"/>
              <w:rPr>
                <w:sz w:val="20"/>
                <w:szCs w:val="20"/>
                <w:color w:val="auto"/>
              </w:rPr>
            </w:pPr>
            <w:r>
              <w:rPr>
                <w:rFonts w:ascii="Arial" w:cs="Arial" w:eastAsia="Arial" w:hAnsi="Arial"/>
                <w:sz w:val="14"/>
                <w:szCs w:val="14"/>
                <w:color w:val="auto"/>
              </w:rPr>
              <w:t>that is 344 per cent of the original award value.</w:t>
            </w:r>
          </w:p>
        </w:tc>
      </w:tr>
      <w:tr>
        <w:trPr>
          <w:trHeight w:val="242"/>
        </w:trPr>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7400" w:type="dxa"/>
            <w:vAlign w:val="bottom"/>
          </w:tcPr>
          <w:p>
            <w:pPr>
              <w:ind w:left="4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Payout of 2023 PSU Award</w:t>
            </w:r>
            <w:r>
              <w:rPr>
                <w:rFonts w:ascii="Arial" w:cs="Arial" w:eastAsia="Arial" w:hAnsi="Arial"/>
                <w:sz w:val="14"/>
                <w:szCs w:val="14"/>
                <w:color w:val="auto"/>
              </w:rPr>
              <w:t xml:space="preserve"> starting on page 104.</w:t>
            </w:r>
          </w:p>
        </w:tc>
      </w:tr>
      <w:tr>
        <w:trPr>
          <w:trHeight w:val="75"/>
        </w:trPr>
        <w:tc>
          <w:tcPr>
            <w:tcW w:w="360" w:type="dxa"/>
            <w:vAlign w:val="bottom"/>
            <w:tcBorders>
              <w:bottom w:val="single" w:sz="8" w:color="B2B2B2"/>
            </w:tcBorders>
          </w:tcPr>
          <w:p>
            <w:pPr>
              <w:spacing w:after="0"/>
              <w:rPr>
                <w:sz w:val="6"/>
                <w:szCs w:val="6"/>
                <w:color w:val="auto"/>
              </w:rPr>
            </w:pPr>
          </w:p>
        </w:tc>
        <w:tc>
          <w:tcPr>
            <w:tcW w:w="1920" w:type="dxa"/>
            <w:vAlign w:val="bottom"/>
            <w:tcBorders>
              <w:bottom w:val="single" w:sz="8" w:color="B2B2B2"/>
            </w:tcBorders>
          </w:tcPr>
          <w:p>
            <w:pPr>
              <w:spacing w:after="0"/>
              <w:rPr>
                <w:sz w:val="6"/>
                <w:szCs w:val="6"/>
                <w:color w:val="auto"/>
              </w:rPr>
            </w:pPr>
          </w:p>
        </w:tc>
        <w:tc>
          <w:tcPr>
            <w:tcW w:w="280" w:type="dxa"/>
            <w:vAlign w:val="bottom"/>
            <w:tcBorders>
              <w:bottom w:val="single" w:sz="8" w:color="B2B2B2"/>
            </w:tcBorders>
          </w:tcPr>
          <w:p>
            <w:pPr>
              <w:spacing w:after="0"/>
              <w:rPr>
                <w:sz w:val="6"/>
                <w:szCs w:val="6"/>
                <w:color w:val="auto"/>
              </w:rPr>
            </w:pPr>
          </w:p>
        </w:tc>
        <w:tc>
          <w:tcPr>
            <w:tcW w:w="7400" w:type="dxa"/>
            <w:vAlign w:val="bottom"/>
            <w:tcBorders>
              <w:bottom w:val="single" w:sz="8" w:color="B2B2B2"/>
            </w:tcBorders>
          </w:tcPr>
          <w:p>
            <w:pPr>
              <w:spacing w:after="0"/>
              <w:rPr>
                <w:sz w:val="6"/>
                <w:szCs w:val="6"/>
                <w:color w:val="auto"/>
              </w:rPr>
            </w:pPr>
          </w:p>
        </w:tc>
      </w:tr>
      <w:tr>
        <w:trPr>
          <w:trHeight w:val="186"/>
        </w:trPr>
        <w:tc>
          <w:tcPr>
            <w:tcW w:w="360" w:type="dxa"/>
            <w:vAlign w:val="bottom"/>
          </w:tcPr>
          <w:p>
            <w:pPr>
              <w:ind w:left="20"/>
              <w:spacing w:after="0"/>
              <w:rPr>
                <w:sz w:val="20"/>
                <w:szCs w:val="20"/>
                <w:color w:val="auto"/>
              </w:rPr>
            </w:pPr>
            <w:r>
              <w:rPr>
                <w:rFonts w:ascii="Arial" w:cs="Arial" w:eastAsia="Arial" w:hAnsi="Arial"/>
                <w:sz w:val="14"/>
                <w:szCs w:val="14"/>
                <w:color w:val="auto"/>
              </w:rPr>
              <w:t>2026</w:t>
            </w:r>
          </w:p>
        </w:tc>
        <w:tc>
          <w:tcPr>
            <w:tcW w:w="1920" w:type="dxa"/>
            <w:vAlign w:val="bottom"/>
          </w:tcPr>
          <w:p>
            <w:pPr>
              <w:ind w:left="20"/>
              <w:spacing w:after="0"/>
              <w:rPr>
                <w:sz w:val="20"/>
                <w:szCs w:val="20"/>
                <w:color w:val="auto"/>
              </w:rPr>
            </w:pPr>
            <w:r>
              <w:rPr>
                <w:rFonts w:ascii="Arial" w:cs="Arial" w:eastAsia="Arial" w:hAnsi="Arial"/>
                <w:sz w:val="14"/>
                <w:szCs w:val="14"/>
                <w:color w:val="auto"/>
              </w:rPr>
              <w:t>PSUs</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7400" w:type="dxa"/>
            <w:vAlign w:val="bottom"/>
          </w:tcPr>
          <w:p>
            <w:pPr>
              <w:ind w:left="40"/>
              <w:spacing w:after="0"/>
              <w:rPr>
                <w:sz w:val="20"/>
                <w:szCs w:val="20"/>
                <w:color w:val="auto"/>
              </w:rPr>
            </w:pPr>
            <w:r>
              <w:rPr>
                <w:rFonts w:ascii="Arial" w:cs="Arial" w:eastAsia="Arial" w:hAnsi="Arial"/>
                <w:sz w:val="14"/>
                <w:szCs w:val="14"/>
                <w:color w:val="auto"/>
              </w:rPr>
              <w:t>Approved three-year targets for Debt/EBITDA ratio, Distributable Cash Flow per share (DCF) and Methane Intensity</w:t>
            </w:r>
          </w:p>
        </w:tc>
      </w:tr>
      <w:tr>
        <w:trPr>
          <w:trHeight w:val="190"/>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0" w:type="dxa"/>
            <w:vAlign w:val="bottom"/>
          </w:tcPr>
          <w:p>
            <w:pPr>
              <w:ind w:left="60"/>
              <w:spacing w:after="0"/>
              <w:rPr>
                <w:sz w:val="20"/>
                <w:szCs w:val="20"/>
                <w:color w:val="auto"/>
              </w:rPr>
            </w:pPr>
            <w:r>
              <w:rPr>
                <w:rFonts w:ascii="Arial" w:cs="Arial" w:eastAsia="Arial" w:hAnsi="Arial"/>
                <w:sz w:val="14"/>
                <w:szCs w:val="14"/>
                <w:color w:val="auto"/>
              </w:rPr>
              <w:t>Reduction goal.</w:t>
            </w:r>
          </w:p>
        </w:tc>
      </w:tr>
      <w:tr>
        <w:trPr>
          <w:trHeight w:val="228"/>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7400" w:type="dxa"/>
            <w:vAlign w:val="bottom"/>
          </w:tcPr>
          <w:p>
            <w:pPr>
              <w:ind w:left="40"/>
              <w:spacing w:after="0"/>
              <w:rPr>
                <w:sz w:val="20"/>
                <w:szCs w:val="20"/>
                <w:color w:val="auto"/>
              </w:rPr>
            </w:pPr>
            <w:r>
              <w:rPr>
                <w:rFonts w:ascii="Arial" w:cs="Arial" w:eastAsia="Arial" w:hAnsi="Arial"/>
                <w:sz w:val="14"/>
                <w:szCs w:val="14"/>
                <w:color w:val="auto"/>
              </w:rPr>
              <w:t>Continued 50 per cent weighting on relative TSR performance against two peer groups.</w:t>
            </w:r>
          </w:p>
        </w:tc>
      </w:tr>
      <w:tr>
        <w:trPr>
          <w:trHeight w:val="213"/>
        </w:trPr>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7400" w:type="dxa"/>
            <w:vAlign w:val="bottom"/>
          </w:tcPr>
          <w:p>
            <w:pPr>
              <w:ind w:left="40"/>
              <w:spacing w:after="0"/>
              <w:rPr>
                <w:sz w:val="20"/>
                <w:szCs w:val="20"/>
                <w:color w:val="auto"/>
              </w:rPr>
            </w:pPr>
            <w:r>
              <w:rPr>
                <w:rFonts w:ascii="Arial" w:cs="Arial" w:eastAsia="Arial" w:hAnsi="Arial"/>
                <w:sz w:val="14"/>
                <w:szCs w:val="14"/>
                <w:color w:val="auto"/>
              </w:rPr>
              <w:t>The relative TSR dividend subset of the TSX 60 is unchanged apart from one minor adjustment and the industry</w:t>
            </w:r>
          </w:p>
        </w:tc>
      </w:tr>
      <w:tr>
        <w:trPr>
          <w:trHeight w:val="190"/>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0" w:type="dxa"/>
            <w:vAlign w:val="bottom"/>
          </w:tcPr>
          <w:p>
            <w:pPr>
              <w:ind w:left="60"/>
              <w:spacing w:after="0"/>
              <w:rPr>
                <w:sz w:val="20"/>
                <w:szCs w:val="20"/>
                <w:color w:val="auto"/>
              </w:rPr>
            </w:pPr>
            <w:r>
              <w:rPr>
                <w:rFonts w:ascii="Arial" w:cs="Arial" w:eastAsia="Arial" w:hAnsi="Arial"/>
                <w:sz w:val="14"/>
                <w:szCs w:val="14"/>
                <w:color w:val="auto"/>
              </w:rPr>
              <w:t>peer group remains the same for the 2026 PSU grant.</w:t>
            </w:r>
          </w:p>
        </w:tc>
      </w:tr>
      <w:tr>
        <w:trPr>
          <w:trHeight w:val="228"/>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7400" w:type="dxa"/>
            <w:vAlign w:val="bottom"/>
          </w:tcPr>
          <w:p>
            <w:pPr>
              <w:ind w:left="4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Grant of 2026 PSU Award</w:t>
            </w:r>
            <w:r>
              <w:rPr>
                <w:rFonts w:ascii="Arial" w:cs="Arial" w:eastAsia="Arial" w:hAnsi="Arial"/>
                <w:sz w:val="14"/>
                <w:szCs w:val="14"/>
                <w:color w:val="auto"/>
              </w:rPr>
              <w:t xml:space="preserve"> on page 107.</w:t>
            </w:r>
          </w:p>
        </w:tc>
      </w:tr>
      <w:tr>
        <w:trPr>
          <w:trHeight w:val="88"/>
        </w:trPr>
        <w:tc>
          <w:tcPr>
            <w:tcW w:w="360" w:type="dxa"/>
            <w:vAlign w:val="bottom"/>
            <w:tcBorders>
              <w:bottom w:val="single" w:sz="8" w:color="B2B2B2"/>
            </w:tcBorders>
          </w:tcPr>
          <w:p>
            <w:pPr>
              <w:spacing w:after="0"/>
              <w:rPr>
                <w:sz w:val="7"/>
                <w:szCs w:val="7"/>
                <w:color w:val="auto"/>
              </w:rPr>
            </w:pPr>
          </w:p>
        </w:tc>
        <w:tc>
          <w:tcPr>
            <w:tcW w:w="1920" w:type="dxa"/>
            <w:vAlign w:val="bottom"/>
            <w:tcBorders>
              <w:bottom w:val="single" w:sz="8" w:color="B2B2B2"/>
            </w:tcBorders>
          </w:tcPr>
          <w:p>
            <w:pPr>
              <w:spacing w:after="0"/>
              <w:rPr>
                <w:sz w:val="7"/>
                <w:szCs w:val="7"/>
                <w:color w:val="auto"/>
              </w:rPr>
            </w:pPr>
          </w:p>
        </w:tc>
        <w:tc>
          <w:tcPr>
            <w:tcW w:w="280" w:type="dxa"/>
            <w:vAlign w:val="bottom"/>
            <w:tcBorders>
              <w:bottom w:val="single" w:sz="8" w:color="B2B2B2"/>
            </w:tcBorders>
          </w:tcPr>
          <w:p>
            <w:pPr>
              <w:spacing w:after="0"/>
              <w:rPr>
                <w:sz w:val="7"/>
                <w:szCs w:val="7"/>
                <w:color w:val="auto"/>
              </w:rPr>
            </w:pPr>
          </w:p>
        </w:tc>
        <w:tc>
          <w:tcPr>
            <w:tcW w:w="7400" w:type="dxa"/>
            <w:vAlign w:val="bottom"/>
            <w:tcBorders>
              <w:bottom w:val="single" w:sz="8" w:color="B2B2B2"/>
            </w:tcBorders>
          </w:tcPr>
          <w:p>
            <w:pPr>
              <w:spacing w:after="0"/>
              <w:rPr>
                <w:sz w:val="7"/>
                <w:szCs w:val="7"/>
                <w:color w:val="auto"/>
              </w:rPr>
            </w:pPr>
          </w:p>
        </w:tc>
      </w:tr>
      <w:tr>
        <w:trPr>
          <w:trHeight w:val="186"/>
        </w:trPr>
        <w:tc>
          <w:tcPr>
            <w:tcW w:w="360" w:type="dxa"/>
            <w:vAlign w:val="bottom"/>
          </w:tcPr>
          <w:p>
            <w:pPr>
              <w:ind w:left="20"/>
              <w:spacing w:after="0"/>
              <w:rPr>
                <w:sz w:val="20"/>
                <w:szCs w:val="20"/>
                <w:color w:val="auto"/>
              </w:rPr>
            </w:pPr>
            <w:r>
              <w:rPr>
                <w:rFonts w:ascii="Arial" w:cs="Arial" w:eastAsia="Arial" w:hAnsi="Arial"/>
                <w:sz w:val="14"/>
                <w:szCs w:val="14"/>
                <w:color w:val="auto"/>
              </w:rPr>
              <w:t>2026</w:t>
            </w:r>
          </w:p>
        </w:tc>
        <w:tc>
          <w:tcPr>
            <w:tcW w:w="1920" w:type="dxa"/>
            <w:vAlign w:val="bottom"/>
          </w:tcPr>
          <w:p>
            <w:pPr>
              <w:ind w:left="20"/>
              <w:spacing w:after="0"/>
              <w:rPr>
                <w:sz w:val="20"/>
                <w:szCs w:val="20"/>
                <w:color w:val="auto"/>
              </w:rPr>
            </w:pPr>
            <w:r>
              <w:rPr>
                <w:rFonts w:ascii="Arial" w:cs="Arial" w:eastAsia="Arial" w:hAnsi="Arial"/>
                <w:sz w:val="14"/>
                <w:szCs w:val="14"/>
                <w:color w:val="auto"/>
              </w:rPr>
              <w:t>Corporate scorecard</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7400" w:type="dxa"/>
            <w:vAlign w:val="bottom"/>
          </w:tcPr>
          <w:p>
            <w:pPr>
              <w:ind w:left="40"/>
              <w:spacing w:after="0"/>
              <w:rPr>
                <w:sz w:val="20"/>
                <w:szCs w:val="20"/>
                <w:color w:val="auto"/>
              </w:rPr>
            </w:pPr>
            <w:r>
              <w:rPr>
                <w:rFonts w:ascii="Arial" w:cs="Arial" w:eastAsia="Arial" w:hAnsi="Arial"/>
                <w:sz w:val="14"/>
                <w:szCs w:val="14"/>
                <w:color w:val="auto"/>
              </w:rPr>
              <w:t>The Human Resources Committee recommended, and the Board approved, the 2026 corporate scorecard that will</w:t>
            </w:r>
          </w:p>
        </w:tc>
      </w:tr>
      <w:tr>
        <w:trPr>
          <w:trHeight w:val="190"/>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0" w:type="dxa"/>
            <w:vAlign w:val="bottom"/>
          </w:tcPr>
          <w:p>
            <w:pPr>
              <w:ind w:left="60"/>
              <w:spacing w:after="0"/>
              <w:rPr>
                <w:sz w:val="20"/>
                <w:szCs w:val="20"/>
                <w:color w:val="auto"/>
              </w:rPr>
            </w:pPr>
            <w:r>
              <w:rPr>
                <w:rFonts w:ascii="Arial" w:cs="Arial" w:eastAsia="Arial" w:hAnsi="Arial"/>
                <w:sz w:val="14"/>
                <w:szCs w:val="14"/>
                <w:color w:val="auto"/>
              </w:rPr>
              <w:t>apply to the named executives.</w:t>
            </w:r>
          </w:p>
        </w:tc>
      </w:tr>
      <w:tr>
        <w:trPr>
          <w:trHeight w:val="21"/>
        </w:trPr>
        <w:tc>
          <w:tcPr>
            <w:tcW w:w="360" w:type="dxa"/>
            <w:vAlign w:val="bottom"/>
            <w:tcBorders>
              <w:bottom w:val="single" w:sz="8" w:color="0D64EF"/>
            </w:tcBorders>
          </w:tcPr>
          <w:p>
            <w:pPr>
              <w:spacing w:after="0" w:line="20" w:lineRule="exact"/>
              <w:rPr>
                <w:sz w:val="1"/>
                <w:szCs w:val="1"/>
                <w:color w:val="auto"/>
              </w:rPr>
            </w:pPr>
          </w:p>
        </w:tc>
        <w:tc>
          <w:tcPr>
            <w:tcW w:w="1920" w:type="dxa"/>
            <w:vAlign w:val="bottom"/>
            <w:tcBorders>
              <w:bottom w:val="single" w:sz="8" w:color="0D64EF"/>
            </w:tcBorders>
          </w:tcPr>
          <w:p>
            <w:pPr>
              <w:spacing w:after="0" w:line="20" w:lineRule="exact"/>
              <w:rPr>
                <w:sz w:val="1"/>
                <w:szCs w:val="1"/>
                <w:color w:val="auto"/>
              </w:rPr>
            </w:pPr>
          </w:p>
        </w:tc>
        <w:tc>
          <w:tcPr>
            <w:tcW w:w="280" w:type="dxa"/>
            <w:vAlign w:val="bottom"/>
            <w:tcBorders>
              <w:bottom w:val="single" w:sz="8" w:color="0D64EF"/>
            </w:tcBorders>
          </w:tcPr>
          <w:p>
            <w:pPr>
              <w:spacing w:after="0" w:line="20" w:lineRule="exact"/>
              <w:rPr>
                <w:sz w:val="1"/>
                <w:szCs w:val="1"/>
                <w:color w:val="auto"/>
              </w:rPr>
            </w:pPr>
          </w:p>
        </w:tc>
        <w:tc>
          <w:tcPr>
            <w:tcW w:w="7400" w:type="dxa"/>
            <w:vAlign w:val="bottom"/>
            <w:tcBorders>
              <w:bottom w:val="single" w:sz="8" w:color="0D64E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04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160"/>
          </w:cols>
          <w:pgMar w:left="320" w:top="1048" w:right="41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0D64EF"/>
        </w:rPr>
        <w:t>Compensation vs. total shareholder return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illustrates TSR, assuming an initial investment of $100 in TC Energy shares at year end 2020, and compares</w:t>
      </w:r>
    </w:p>
    <w:p>
      <w:pPr>
        <w:spacing w:after="0" w:line="58" w:lineRule="exact"/>
        <w:rPr>
          <w:sz w:val="20"/>
          <w:szCs w:val="20"/>
          <w:color w:val="auto"/>
        </w:rPr>
      </w:pPr>
    </w:p>
    <w:p>
      <w:pPr>
        <w:jc w:val="both"/>
        <w:ind w:right="240"/>
        <w:spacing w:after="0" w:line="337" w:lineRule="auto"/>
        <w:rPr>
          <w:sz w:val="20"/>
          <w:szCs w:val="20"/>
          <w:color w:val="auto"/>
        </w:rPr>
      </w:pPr>
      <w:r>
        <w:rPr>
          <w:rFonts w:ascii="Arial" w:cs="Arial" w:eastAsia="Arial" w:hAnsi="Arial"/>
          <w:sz w:val="16"/>
          <w:szCs w:val="16"/>
          <w:color w:val="auto"/>
        </w:rPr>
        <w:t>it to the return of the S&amp;P/TSX Composite Total Returns Index and the trend in total direct compensation (TDC) awarded to our named executives over the same period. In both cases, the chart assumes that all dividends are reinvested on the ex-dividend date (in accordance with our DRP in place at the time).</w:t>
      </w:r>
    </w:p>
    <w:p>
      <w:pPr>
        <w:spacing w:after="0" w:line="48"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TSR is only one of the performance measures the Board considers when assessing performance and determining compensation for our named executives. Consequently, we do not necessarily expect there to be a direct correlation between TSR and total direct compensation awarded in any given period. The value of long-term compensation awarded</w:t>
      </w:r>
    </w:p>
    <w:p>
      <w:pPr>
        <w:spacing w:after="0" w:line="2" w:lineRule="exact"/>
        <w:rPr>
          <w:sz w:val="20"/>
          <w:szCs w:val="20"/>
          <w:color w:val="auto"/>
        </w:rPr>
      </w:pPr>
    </w:p>
    <w:p>
      <w:pPr>
        <w:ind w:right="2820"/>
        <w:spacing w:after="0" w:line="326" w:lineRule="auto"/>
        <w:rPr>
          <w:sz w:val="20"/>
          <w:szCs w:val="20"/>
          <w:color w:val="auto"/>
        </w:rPr>
      </w:pPr>
      <w:r>
        <w:rPr>
          <w:rFonts w:ascii="Arial" w:cs="Arial" w:eastAsia="Arial" w:hAnsi="Arial"/>
          <w:sz w:val="16"/>
          <w:szCs w:val="16"/>
          <w:color w:val="auto"/>
        </w:rPr>
        <w:t>in any given year is not guaranteed, it is equity-based, and the value ultimately realized by our executives is directly affected by the performance factor applied to the PSU and changes in our share price, which creates strong alignment with shareholder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45085</wp:posOffset>
            </wp:positionV>
            <wp:extent cx="5528945" cy="3225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28945" cy="322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60" w:type="dxa"/>
            <w:vAlign w:val="bottom"/>
            <w:tcBorders>
              <w:top w:val="single" w:sz="8" w:color="0D64EF"/>
              <w:bottom w:val="single" w:sz="8" w:color="D1D0CF"/>
            </w:tcBorders>
            <w:shd w:val="clear" w:color="auto" w:fill="D1D0CF"/>
          </w:tcPr>
          <w:p>
            <w:pPr>
              <w:spacing w:after="0"/>
              <w:rPr>
                <w:sz w:val="18"/>
                <w:szCs w:val="18"/>
                <w:color w:val="auto"/>
              </w:rPr>
            </w:pPr>
          </w:p>
        </w:tc>
        <w:tc>
          <w:tcPr>
            <w:tcW w:w="1420" w:type="dxa"/>
            <w:vAlign w:val="bottom"/>
            <w:tcBorders>
              <w:top w:val="single" w:sz="8" w:color="0D64EF"/>
              <w:bottom w:val="single" w:sz="8" w:color="0D64EF"/>
            </w:tcBorders>
            <w:shd w:val="clear" w:color="auto" w:fill="D1D0CF"/>
          </w:tcPr>
          <w:p>
            <w:pPr>
              <w:spacing w:after="0"/>
              <w:rPr>
                <w:sz w:val="18"/>
                <w:szCs w:val="18"/>
                <w:color w:val="auto"/>
              </w:rPr>
            </w:pPr>
          </w:p>
        </w:tc>
        <w:tc>
          <w:tcPr>
            <w:tcW w:w="1180" w:type="dxa"/>
            <w:vAlign w:val="bottom"/>
            <w:tcBorders>
              <w:top w:val="single" w:sz="8" w:color="0D64EF"/>
              <w:bottom w:val="single" w:sz="8" w:color="0D64EF"/>
            </w:tcBorders>
            <w:shd w:val="clear" w:color="auto" w:fill="D1D0CF"/>
          </w:tcPr>
          <w:p>
            <w:pPr>
              <w:spacing w:after="0"/>
              <w:rPr>
                <w:sz w:val="18"/>
                <w:szCs w:val="18"/>
                <w:color w:val="auto"/>
              </w:rPr>
            </w:pPr>
          </w:p>
        </w:tc>
        <w:tc>
          <w:tcPr>
            <w:tcW w:w="1340" w:type="dxa"/>
            <w:vAlign w:val="bottom"/>
            <w:tcBorders>
              <w:top w:val="single" w:sz="8" w:color="0D64EF"/>
              <w:bottom w:val="single" w:sz="8" w:color="0D64EF"/>
            </w:tcBorders>
            <w:shd w:val="clear" w:color="auto" w:fill="D1D0CF"/>
          </w:tcPr>
          <w:p>
            <w:pPr>
              <w:jc w:val="right"/>
              <w:ind w:right="8"/>
              <w:spacing w:after="0"/>
              <w:rPr>
                <w:sz w:val="20"/>
                <w:szCs w:val="20"/>
                <w:color w:val="auto"/>
              </w:rPr>
            </w:pPr>
            <w:r>
              <w:rPr>
                <w:rFonts w:ascii="Arial" w:cs="Arial" w:eastAsia="Arial" w:hAnsi="Arial"/>
                <w:sz w:val="14"/>
                <w:szCs w:val="14"/>
                <w:b w:val="1"/>
                <w:bCs w:val="1"/>
                <w:color w:val="auto"/>
              </w:rPr>
              <w:t>At year end</w:t>
            </w:r>
          </w:p>
        </w:tc>
        <w:tc>
          <w:tcPr>
            <w:tcW w:w="960" w:type="dxa"/>
            <w:vAlign w:val="bottom"/>
            <w:tcBorders>
              <w:top w:val="single" w:sz="8" w:color="0D64EF"/>
              <w:bottom w:val="single" w:sz="8" w:color="0D64EF"/>
            </w:tcBorders>
            <w:shd w:val="clear" w:color="auto" w:fill="D1D0CF"/>
          </w:tcPr>
          <w:p>
            <w:pPr>
              <w:spacing w:after="0"/>
              <w:rPr>
                <w:sz w:val="18"/>
                <w:szCs w:val="18"/>
                <w:color w:val="auto"/>
              </w:rPr>
            </w:pPr>
          </w:p>
        </w:tc>
        <w:tc>
          <w:tcPr>
            <w:tcW w:w="1160" w:type="dxa"/>
            <w:vAlign w:val="bottom"/>
            <w:tcBorders>
              <w:top w:val="single" w:sz="8" w:color="0D64EF"/>
              <w:bottom w:val="single" w:sz="8" w:color="0D64EF"/>
            </w:tcBorders>
            <w:shd w:val="clear" w:color="auto" w:fill="D1D0CF"/>
          </w:tcPr>
          <w:p>
            <w:pPr>
              <w:spacing w:after="0"/>
              <w:rPr>
                <w:sz w:val="18"/>
                <w:szCs w:val="18"/>
                <w:color w:val="auto"/>
              </w:rPr>
            </w:pPr>
          </w:p>
        </w:tc>
        <w:tc>
          <w:tcPr>
            <w:tcW w:w="880" w:type="dxa"/>
            <w:vAlign w:val="bottom"/>
            <w:tcBorders>
              <w:top w:val="single" w:sz="8" w:color="0D64EF"/>
              <w:bottom w:val="single" w:sz="8" w:color="0D64EF"/>
            </w:tcBorders>
            <w:shd w:val="clear" w:color="auto" w:fill="D1D0CF"/>
          </w:tcPr>
          <w:p>
            <w:pPr>
              <w:spacing w:after="0"/>
              <w:rPr>
                <w:sz w:val="18"/>
                <w:szCs w:val="18"/>
                <w:color w:val="auto"/>
              </w:rPr>
            </w:pPr>
          </w:p>
        </w:tc>
        <w:tc>
          <w:tcPr>
            <w:tcW w:w="176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Compound</w:t>
            </w:r>
          </w:p>
        </w:tc>
      </w:tr>
      <w:tr>
        <w:trPr>
          <w:trHeight w:val="196"/>
        </w:trPr>
        <w:tc>
          <w:tcPr>
            <w:tcW w:w="1260" w:type="dxa"/>
            <w:vAlign w:val="bottom"/>
            <w:tcBorders>
              <w:bottom w:val="single" w:sz="8" w:color="0D64EF"/>
            </w:tcBorders>
            <w:shd w:val="clear" w:color="auto" w:fill="D1D0CF"/>
          </w:tcPr>
          <w:p>
            <w:pPr>
              <w:spacing w:after="0"/>
              <w:rPr>
                <w:sz w:val="17"/>
                <w:szCs w:val="17"/>
                <w:color w:val="auto"/>
              </w:rPr>
            </w:pPr>
          </w:p>
        </w:tc>
        <w:tc>
          <w:tcPr>
            <w:tcW w:w="1420" w:type="dxa"/>
            <w:vAlign w:val="bottom"/>
            <w:tcBorders>
              <w:bottom w:val="single" w:sz="8" w:color="0D64EF"/>
            </w:tcBorders>
            <w:shd w:val="clear" w:color="auto" w:fill="D1D0CF"/>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0D64EF"/>
            </w:tcBorders>
            <w:shd w:val="clear" w:color="auto" w:fill="D1D0CF"/>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340" w:type="dxa"/>
            <w:vAlign w:val="bottom"/>
            <w:tcBorders>
              <w:bottom w:val="single" w:sz="8" w:color="0D64EF"/>
            </w:tcBorders>
            <w:shd w:val="clear" w:color="auto" w:fill="D1D0CF"/>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0D64EF"/>
            </w:tcBorders>
            <w:shd w:val="clear" w:color="auto" w:fill="D1D0CF"/>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160" w:type="dxa"/>
            <w:vAlign w:val="bottom"/>
            <w:tcBorders>
              <w:bottom w:val="single" w:sz="8" w:color="0D64EF"/>
            </w:tcBorders>
            <w:shd w:val="clear" w:color="auto" w:fill="D1D0CF"/>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8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2025</w:t>
            </w:r>
          </w:p>
        </w:tc>
        <w:tc>
          <w:tcPr>
            <w:tcW w:w="17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annual return</w:t>
            </w:r>
          </w:p>
        </w:tc>
      </w:tr>
      <w:tr>
        <w:trPr>
          <w:trHeight w:val="191"/>
        </w:trPr>
        <w:tc>
          <w:tcPr>
            <w:tcW w:w="12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TRP</w:t>
            </w:r>
          </w:p>
        </w:tc>
        <w:tc>
          <w:tcPr>
            <w:tcW w:w="142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$100.00</w:t>
            </w:r>
          </w:p>
        </w:tc>
        <w:tc>
          <w:tcPr>
            <w:tcW w:w="1180" w:type="dxa"/>
            <w:vAlign w:val="bottom"/>
            <w:tcBorders>
              <w:bottom w:val="single" w:sz="8" w:color="B2B2B2"/>
            </w:tcBorders>
          </w:tcPr>
          <w:p>
            <w:pPr>
              <w:jc w:val="right"/>
              <w:ind w:right="288"/>
              <w:spacing w:after="0"/>
              <w:rPr>
                <w:sz w:val="20"/>
                <w:szCs w:val="20"/>
                <w:color w:val="auto"/>
              </w:rPr>
            </w:pPr>
            <w:r>
              <w:rPr>
                <w:rFonts w:ascii="Arial" w:cs="Arial" w:eastAsia="Arial" w:hAnsi="Arial"/>
                <w:sz w:val="14"/>
                <w:szCs w:val="14"/>
                <w:color w:val="auto"/>
              </w:rPr>
              <w:t>$120.43</w:t>
            </w:r>
          </w:p>
        </w:tc>
        <w:tc>
          <w:tcPr>
            <w:tcW w:w="1340" w:type="dxa"/>
            <w:vAlign w:val="bottom"/>
            <w:tcBorders>
              <w:bottom w:val="single" w:sz="8" w:color="B2B2B2"/>
            </w:tcBorders>
          </w:tcPr>
          <w:p>
            <w:pPr>
              <w:jc w:val="right"/>
              <w:ind w:right="468"/>
              <w:spacing w:after="0"/>
              <w:rPr>
                <w:sz w:val="20"/>
                <w:szCs w:val="20"/>
                <w:color w:val="auto"/>
              </w:rPr>
            </w:pPr>
            <w:r>
              <w:rPr>
                <w:rFonts w:ascii="Arial" w:cs="Arial" w:eastAsia="Arial" w:hAnsi="Arial"/>
                <w:sz w:val="14"/>
                <w:szCs w:val="14"/>
                <w:color w:val="auto"/>
              </w:rPr>
              <w:t>$117.12</w:t>
            </w:r>
          </w:p>
        </w:tc>
        <w:tc>
          <w:tcPr>
            <w:tcW w:w="96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$120.75</w:t>
            </w:r>
          </w:p>
        </w:tc>
        <w:tc>
          <w:tcPr>
            <w:tcW w:w="1160" w:type="dxa"/>
            <w:vAlign w:val="bottom"/>
            <w:tcBorders>
              <w:bottom w:val="single" w:sz="8" w:color="B2B2B2"/>
            </w:tcBorders>
          </w:tcPr>
          <w:p>
            <w:pPr>
              <w:jc w:val="right"/>
              <w:ind w:right="288"/>
              <w:spacing w:after="0"/>
              <w:rPr>
                <w:sz w:val="20"/>
                <w:szCs w:val="20"/>
                <w:color w:val="auto"/>
              </w:rPr>
            </w:pPr>
            <w:r>
              <w:rPr>
                <w:rFonts w:ascii="Arial" w:cs="Arial" w:eastAsia="Arial" w:hAnsi="Arial"/>
                <w:sz w:val="14"/>
                <w:szCs w:val="14"/>
                <w:color w:val="auto"/>
              </w:rPr>
              <w:t>$182.78</w:t>
            </w:r>
          </w:p>
        </w:tc>
        <w:tc>
          <w:tcPr>
            <w:tcW w:w="88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$216.29</w:t>
            </w:r>
          </w:p>
        </w:tc>
        <w:tc>
          <w:tcPr>
            <w:tcW w:w="17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16.7%</w:t>
            </w:r>
          </w:p>
        </w:tc>
      </w:tr>
      <w:tr>
        <w:trPr>
          <w:trHeight w:val="195"/>
        </w:trPr>
        <w:tc>
          <w:tcPr>
            <w:tcW w:w="126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TSX</w:t>
            </w:r>
          </w:p>
        </w:tc>
        <w:tc>
          <w:tcPr>
            <w:tcW w:w="1420" w:type="dxa"/>
            <w:vAlign w:val="bottom"/>
            <w:tcBorders>
              <w:bottom w:val="single" w:sz="8" w:color="0D64EF"/>
            </w:tcBorders>
          </w:tcPr>
          <w:p>
            <w:pPr>
              <w:jc w:val="right"/>
              <w:ind w:right="268"/>
              <w:spacing w:after="0"/>
              <w:rPr>
                <w:sz w:val="20"/>
                <w:szCs w:val="20"/>
                <w:color w:val="auto"/>
              </w:rPr>
            </w:pPr>
            <w:r>
              <w:rPr>
                <w:rFonts w:ascii="Arial" w:cs="Arial" w:eastAsia="Arial" w:hAnsi="Arial"/>
                <w:sz w:val="14"/>
                <w:szCs w:val="14"/>
                <w:color w:val="auto"/>
              </w:rPr>
              <w:t>$100.00</w:t>
            </w:r>
          </w:p>
        </w:tc>
        <w:tc>
          <w:tcPr>
            <w:tcW w:w="1180" w:type="dxa"/>
            <w:vAlign w:val="bottom"/>
            <w:tcBorders>
              <w:bottom w:val="single" w:sz="8" w:color="0D64EF"/>
            </w:tcBorders>
          </w:tcPr>
          <w:p>
            <w:pPr>
              <w:jc w:val="right"/>
              <w:ind w:right="288"/>
              <w:spacing w:after="0"/>
              <w:rPr>
                <w:sz w:val="20"/>
                <w:szCs w:val="20"/>
                <w:color w:val="auto"/>
              </w:rPr>
            </w:pPr>
            <w:r>
              <w:rPr>
                <w:rFonts w:ascii="Arial" w:cs="Arial" w:eastAsia="Arial" w:hAnsi="Arial"/>
                <w:sz w:val="14"/>
                <w:szCs w:val="14"/>
                <w:color w:val="auto"/>
              </w:rPr>
              <w:t>$125.09</w:t>
            </w:r>
          </w:p>
        </w:tc>
        <w:tc>
          <w:tcPr>
            <w:tcW w:w="1340" w:type="dxa"/>
            <w:vAlign w:val="bottom"/>
            <w:tcBorders>
              <w:bottom w:val="single" w:sz="8" w:color="0D64EF"/>
            </w:tcBorders>
          </w:tcPr>
          <w:p>
            <w:pPr>
              <w:jc w:val="right"/>
              <w:ind w:right="468"/>
              <w:spacing w:after="0"/>
              <w:rPr>
                <w:sz w:val="20"/>
                <w:szCs w:val="20"/>
                <w:color w:val="auto"/>
              </w:rPr>
            </w:pPr>
            <w:r>
              <w:rPr>
                <w:rFonts w:ascii="Arial" w:cs="Arial" w:eastAsia="Arial" w:hAnsi="Arial"/>
                <w:sz w:val="14"/>
                <w:szCs w:val="14"/>
                <w:color w:val="auto"/>
              </w:rPr>
              <w:t>$117.78</w:t>
            </w:r>
          </w:p>
        </w:tc>
        <w:tc>
          <w:tcPr>
            <w:tcW w:w="960" w:type="dxa"/>
            <w:vAlign w:val="bottom"/>
            <w:tcBorders>
              <w:bottom w:val="single" w:sz="8" w:color="0D64EF"/>
            </w:tcBorders>
          </w:tcPr>
          <w:p>
            <w:pPr>
              <w:jc w:val="right"/>
              <w:ind w:right="268"/>
              <w:spacing w:after="0"/>
              <w:rPr>
                <w:sz w:val="20"/>
                <w:szCs w:val="20"/>
                <w:color w:val="auto"/>
              </w:rPr>
            </w:pPr>
            <w:r>
              <w:rPr>
                <w:rFonts w:ascii="Arial" w:cs="Arial" w:eastAsia="Arial" w:hAnsi="Arial"/>
                <w:sz w:val="14"/>
                <w:szCs w:val="14"/>
                <w:color w:val="auto"/>
              </w:rPr>
              <w:t>$131.62</w:t>
            </w:r>
          </w:p>
        </w:tc>
        <w:tc>
          <w:tcPr>
            <w:tcW w:w="1160" w:type="dxa"/>
            <w:vAlign w:val="bottom"/>
            <w:tcBorders>
              <w:bottom w:val="single" w:sz="8" w:color="0D64EF"/>
            </w:tcBorders>
          </w:tcPr>
          <w:p>
            <w:pPr>
              <w:jc w:val="right"/>
              <w:ind w:right="288"/>
              <w:spacing w:after="0"/>
              <w:rPr>
                <w:sz w:val="20"/>
                <w:szCs w:val="20"/>
                <w:color w:val="auto"/>
              </w:rPr>
            </w:pPr>
            <w:r>
              <w:rPr>
                <w:rFonts w:ascii="Arial" w:cs="Arial" w:eastAsia="Arial" w:hAnsi="Arial"/>
                <w:sz w:val="14"/>
                <w:szCs w:val="14"/>
                <w:color w:val="auto"/>
              </w:rPr>
              <w:t>$160.12</w:t>
            </w:r>
          </w:p>
        </w:tc>
        <w:tc>
          <w:tcPr>
            <w:tcW w:w="880" w:type="dxa"/>
            <w:vAlign w:val="bottom"/>
            <w:tcBorders>
              <w:bottom w:val="single" w:sz="8" w:color="0D64EF"/>
            </w:tcBorders>
          </w:tcPr>
          <w:p>
            <w:pPr>
              <w:jc w:val="right"/>
              <w:ind w:right="8"/>
              <w:spacing w:after="0"/>
              <w:rPr>
                <w:sz w:val="20"/>
                <w:szCs w:val="20"/>
                <w:color w:val="auto"/>
              </w:rPr>
            </w:pPr>
            <w:r>
              <w:rPr>
                <w:rFonts w:ascii="Arial" w:cs="Arial" w:eastAsia="Arial" w:hAnsi="Arial"/>
                <w:sz w:val="14"/>
                <w:szCs w:val="14"/>
                <w:color w:val="auto"/>
              </w:rPr>
              <w:t>$210.85</w:t>
            </w:r>
          </w:p>
        </w:tc>
        <w:tc>
          <w:tcPr>
            <w:tcW w:w="176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-280670</wp:posOffset>
            </wp:positionV>
            <wp:extent cx="8255" cy="281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28130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spacing w:after="0" w:line="32" w:lineRule="exact"/>
        <w:rPr>
          <w:sz w:val="20"/>
          <w:szCs w:val="20"/>
          <w:color w:val="auto"/>
        </w:rPr>
      </w:pPr>
    </w:p>
    <w:p>
      <w:pPr>
        <w:ind w:left="160" w:right="260" w:hanging="153"/>
        <w:spacing w:after="0" w:line="327" w:lineRule="auto"/>
        <w:tabs>
          <w:tab w:leader="none" w:pos="137"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Total shareholder return calculation reflects a hypothetical TC Energy $5.81 share dividend for the value of South Bow Corporation shares issued as a result of the spinoff transaction on October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89</w:t>
      </w:r>
    </w:p>
    <w:p>
      <w:pPr>
        <w:sectPr>
          <w:pgSz w:w="11900" w:h="16838" w:orient="portrait"/>
          <w:cols w:equalWidth="0" w:num="1">
            <w:col w:w="11240"/>
          </w:cols>
          <w:pgMar w:left="320" w:top="106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0D64EF"/>
        </w:rPr>
        <w:t>CEO Realizable Pay</w:t>
      </w:r>
    </w:p>
    <w:p>
      <w:pPr>
        <w:spacing w:after="0" w:line="4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 significant portion (75 per cent) of Mr. Poirier’s 2025 CEO compensation consists of at-risk long-term incentives (the LTI mix is 70 per cent PSUs and 30 per cent RSUs), which are designed to focus the CEO on TC Energy’s long-term success.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LTI is directly affected by the performance of TC Energy’s share price:</w:t>
      </w:r>
    </w:p>
    <w:p>
      <w:pPr>
        <w:spacing w:after="0" w:line="152" w:lineRule="exact"/>
        <w:rPr>
          <w:sz w:val="20"/>
          <w:szCs w:val="20"/>
          <w:color w:val="auto"/>
        </w:rPr>
      </w:pPr>
    </w:p>
    <w:p>
      <w:pPr>
        <w:ind w:left="140" w:hanging="133"/>
        <w:spacing w:after="0"/>
        <w:tabs>
          <w:tab w:leader="none" w:pos="1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value of RSUs are directly aligned with share price performance.</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value of PSUs are directly aligned with share price and performance of PSU targets.</w:t>
      </w:r>
    </w:p>
    <w:p>
      <w:pPr>
        <w:spacing w:after="0" w:line="15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table below is a look back comparing grant date total direct compensation for Mr. Poirier to the realizable value of this compensation during the last three years, compared to shareholder return on investment. The analysis is based on the return of a $100 investment by a shareholder at the start of a period, and the reinvestment of dividends over the period, compared to $100 of total direct compensation for the CEO for each year. Returns to shareholders are well aligned with the incremental realizable CEO compensation value. As CEO compensation is performance leveraged, the CEO's returns are higher than shareholders in strong performance years and lower than shareholders in weak performance years.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940" w:type="dxa"/>
            <w:vAlign w:val="bottom"/>
            <w:tcBorders>
              <w:top w:val="single" w:sz="8" w:color="0D64EF"/>
              <w:bottom w:val="single" w:sz="8" w:color="D1D0CF"/>
            </w:tcBorders>
            <w:shd w:val="clear" w:color="auto" w:fill="D1D0CF"/>
          </w:tcPr>
          <w:p>
            <w:pPr>
              <w:spacing w:after="0"/>
              <w:rPr>
                <w:sz w:val="23"/>
                <w:szCs w:val="23"/>
                <w:color w:val="auto"/>
              </w:rPr>
            </w:pPr>
          </w:p>
        </w:tc>
        <w:tc>
          <w:tcPr>
            <w:tcW w:w="1520" w:type="dxa"/>
            <w:vAlign w:val="bottom"/>
            <w:tcBorders>
              <w:top w:val="single" w:sz="8" w:color="0D64EF"/>
              <w:bottom w:val="single" w:sz="8" w:color="0D64EF"/>
            </w:tcBorders>
            <w:vMerge w:val="restart"/>
            <w:shd w:val="clear" w:color="auto" w:fill="D1D0CF"/>
          </w:tcPr>
          <w:p>
            <w:pPr>
              <w:jc w:val="right"/>
              <w:ind w:right="208"/>
              <w:spacing w:after="0"/>
              <w:rPr>
                <w:sz w:val="20"/>
                <w:szCs w:val="20"/>
                <w:color w:val="auto"/>
              </w:rPr>
            </w:pPr>
            <w:r>
              <w:rPr>
                <w:rFonts w:ascii="Arial" w:cs="Arial" w:eastAsia="Arial" w:hAnsi="Arial"/>
                <w:sz w:val="14"/>
                <w:szCs w:val="14"/>
                <w:b w:val="1"/>
                <w:bCs w:val="1"/>
                <w:color w:val="auto"/>
              </w:rPr>
              <w:t>Total Target</w:t>
            </w:r>
          </w:p>
        </w:tc>
        <w:tc>
          <w:tcPr>
            <w:tcW w:w="1400" w:type="dxa"/>
            <w:vAlign w:val="bottom"/>
            <w:tcBorders>
              <w:top w:val="single" w:sz="8" w:color="0D64EF"/>
              <w:bottom w:val="single" w:sz="8" w:color="D1D0CF"/>
            </w:tcBorders>
            <w:shd w:val="clear" w:color="auto" w:fill="D1D0CF"/>
          </w:tcPr>
          <w:p>
            <w:pPr>
              <w:spacing w:after="0"/>
              <w:rPr>
                <w:sz w:val="23"/>
                <w:szCs w:val="23"/>
                <w:color w:val="auto"/>
              </w:rPr>
            </w:pPr>
          </w:p>
        </w:tc>
        <w:tc>
          <w:tcPr>
            <w:tcW w:w="1440" w:type="dxa"/>
            <w:vAlign w:val="bottom"/>
            <w:tcBorders>
              <w:top w:val="single" w:sz="8" w:color="0D64EF"/>
              <w:bottom w:val="single" w:sz="8" w:color="D1D0CF"/>
            </w:tcBorders>
            <w:shd w:val="clear" w:color="auto" w:fill="D1D0CF"/>
          </w:tcPr>
          <w:p>
            <w:pPr>
              <w:spacing w:after="0"/>
              <w:rPr>
                <w:sz w:val="23"/>
                <w:szCs w:val="23"/>
                <w:color w:val="auto"/>
              </w:rPr>
            </w:pPr>
          </w:p>
        </w:tc>
        <w:tc>
          <w:tcPr>
            <w:tcW w:w="1800" w:type="dxa"/>
            <w:vAlign w:val="bottom"/>
            <w:tcBorders>
              <w:top w:val="single" w:sz="8" w:color="0D64EF"/>
              <w:bottom w:val="single" w:sz="8" w:color="D1D0CF"/>
            </w:tcBorders>
            <w:shd w:val="clear" w:color="auto" w:fill="D1D0CF"/>
          </w:tcPr>
          <w:p>
            <w:pPr>
              <w:spacing w:after="0"/>
              <w:rPr>
                <w:sz w:val="23"/>
                <w:szCs w:val="23"/>
                <w:color w:val="auto"/>
              </w:rPr>
            </w:pPr>
          </w:p>
        </w:tc>
        <w:tc>
          <w:tcPr>
            <w:tcW w:w="2000" w:type="dxa"/>
            <w:vAlign w:val="bottom"/>
            <w:tcBorders>
              <w:top w:val="single" w:sz="8" w:color="0D64EF"/>
              <w:bottom w:val="single" w:sz="8" w:color="0D64EF"/>
            </w:tcBorders>
            <w:shd w:val="clear" w:color="auto" w:fill="D1D0CF"/>
          </w:tcPr>
          <w:p>
            <w:pPr>
              <w:jc w:val="right"/>
              <w:ind w:right="8"/>
              <w:spacing w:after="0"/>
              <w:rPr>
                <w:sz w:val="20"/>
                <w:szCs w:val="20"/>
                <w:color w:val="auto"/>
              </w:rPr>
            </w:pPr>
            <w:r>
              <w:rPr>
                <w:rFonts w:ascii="Arial" w:cs="Arial" w:eastAsia="Arial" w:hAnsi="Arial"/>
                <w:sz w:val="14"/>
                <w:szCs w:val="14"/>
                <w:b w:val="1"/>
                <w:bCs w:val="1"/>
                <w:color w:val="auto"/>
              </w:rPr>
              <w:t>Value of $100</w:t>
            </w:r>
          </w:p>
        </w:tc>
        <w:tc>
          <w:tcPr>
            <w:tcW w:w="940" w:type="dxa"/>
            <w:vAlign w:val="bottom"/>
            <w:tcBorders>
              <w:top w:val="single" w:sz="8" w:color="0D64EF"/>
              <w:bottom w:val="single" w:sz="8" w:color="0D64EF"/>
            </w:tcBorders>
            <w:shd w:val="clear" w:color="auto" w:fill="D1D0CF"/>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940" w:type="dxa"/>
            <w:vAlign w:val="bottom"/>
            <w:shd w:val="clear" w:color="auto" w:fill="D1D0CF"/>
          </w:tcPr>
          <w:p>
            <w:pPr>
              <w:spacing w:after="0"/>
              <w:rPr>
                <w:sz w:val="5"/>
                <w:szCs w:val="5"/>
                <w:color w:val="auto"/>
              </w:rPr>
            </w:pPr>
          </w:p>
        </w:tc>
        <w:tc>
          <w:tcPr>
            <w:tcW w:w="1520" w:type="dxa"/>
            <w:vAlign w:val="bottom"/>
            <w:vMerge w:val="continue"/>
            <w:shd w:val="clear" w:color="auto" w:fill="D1D0CF"/>
          </w:tcPr>
          <w:p>
            <w:pPr>
              <w:spacing w:after="0"/>
              <w:rPr>
                <w:sz w:val="5"/>
                <w:szCs w:val="5"/>
                <w:color w:val="auto"/>
              </w:rPr>
            </w:pPr>
          </w:p>
        </w:tc>
        <w:tc>
          <w:tcPr>
            <w:tcW w:w="1400" w:type="dxa"/>
            <w:vAlign w:val="bottom"/>
            <w:vMerge w:val="restart"/>
            <w:shd w:val="clear" w:color="auto" w:fill="D1D0CF"/>
          </w:tcPr>
          <w:p>
            <w:pPr>
              <w:jc w:val="right"/>
              <w:ind w:right="68"/>
              <w:spacing w:after="0"/>
              <w:rPr>
                <w:sz w:val="20"/>
                <w:szCs w:val="20"/>
                <w:color w:val="auto"/>
              </w:rPr>
            </w:pPr>
            <w:r>
              <w:rPr>
                <w:rFonts w:ascii="Arial" w:cs="Arial" w:eastAsia="Arial" w:hAnsi="Arial"/>
                <w:sz w:val="14"/>
                <w:szCs w:val="14"/>
                <w:b w:val="1"/>
                <w:bCs w:val="1"/>
                <w:color w:val="auto"/>
              </w:rPr>
              <w:t>Realizable Pay</w:t>
            </w:r>
          </w:p>
        </w:tc>
        <w:tc>
          <w:tcPr>
            <w:tcW w:w="1440" w:type="dxa"/>
            <w:vAlign w:val="bottom"/>
            <w:vMerge w:val="restart"/>
            <w:shd w:val="clear" w:color="auto" w:fill="D1D0CF"/>
          </w:tcPr>
          <w:p>
            <w:pPr>
              <w:jc w:val="center"/>
              <w:ind w:right="48"/>
              <w:spacing w:after="0"/>
              <w:rPr>
                <w:sz w:val="20"/>
                <w:szCs w:val="20"/>
                <w:color w:val="auto"/>
              </w:rPr>
            </w:pPr>
            <w:r>
              <w:rPr>
                <w:rFonts w:ascii="Arial" w:cs="Arial" w:eastAsia="Arial" w:hAnsi="Arial"/>
                <w:sz w:val="14"/>
                <w:szCs w:val="14"/>
                <w:b w:val="1"/>
                <w:bCs w:val="1"/>
                <w:color w:val="auto"/>
              </w:rPr>
              <w:t>From</w:t>
            </w:r>
          </w:p>
        </w:tc>
        <w:tc>
          <w:tcPr>
            <w:tcW w:w="1800" w:type="dxa"/>
            <w:vAlign w:val="bottom"/>
            <w:vMerge w:val="restart"/>
            <w:shd w:val="clear" w:color="auto" w:fill="D1D0CF"/>
          </w:tcPr>
          <w:p>
            <w:pPr>
              <w:jc w:val="center"/>
              <w:spacing w:after="0"/>
              <w:rPr>
                <w:sz w:val="20"/>
                <w:szCs w:val="20"/>
                <w:color w:val="auto"/>
              </w:rPr>
            </w:pPr>
            <w:r>
              <w:rPr>
                <w:rFonts w:ascii="Arial" w:cs="Arial" w:eastAsia="Arial" w:hAnsi="Arial"/>
                <w:sz w:val="14"/>
                <w:szCs w:val="14"/>
                <w:b w:val="1"/>
                <w:bCs w:val="1"/>
                <w:color w:val="auto"/>
                <w:w w:val="93"/>
              </w:rPr>
              <w:t>To</w:t>
            </w:r>
          </w:p>
        </w:tc>
        <w:tc>
          <w:tcPr>
            <w:tcW w:w="2000" w:type="dxa"/>
            <w:vAlign w:val="bottom"/>
            <w:vMerge w:val="restart"/>
            <w:shd w:val="clear" w:color="auto" w:fill="D1D0CF"/>
          </w:tcPr>
          <w:p>
            <w:pPr>
              <w:jc w:val="right"/>
              <w:ind w:right="488"/>
              <w:spacing w:after="0"/>
              <w:rPr>
                <w:sz w:val="20"/>
                <w:szCs w:val="20"/>
                <w:color w:val="auto"/>
              </w:rPr>
            </w:pPr>
            <w:r>
              <w:rPr>
                <w:rFonts w:ascii="Arial" w:cs="Arial" w:eastAsia="Arial" w:hAnsi="Arial"/>
                <w:sz w:val="14"/>
                <w:szCs w:val="14"/>
                <w:b w:val="1"/>
                <w:bCs w:val="1"/>
                <w:color w:val="auto"/>
              </w:rPr>
              <w:t>CEO</w:t>
            </w:r>
          </w:p>
        </w:tc>
        <w:tc>
          <w:tcPr>
            <w:tcW w:w="94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Shareholder</w:t>
            </w:r>
          </w:p>
        </w:tc>
        <w:tc>
          <w:tcPr>
            <w:tcW w:w="0" w:type="dxa"/>
            <w:vAlign w:val="bottom"/>
          </w:tcPr>
          <w:p>
            <w:pPr>
              <w:spacing w:after="0"/>
              <w:rPr>
                <w:sz w:val="1"/>
                <w:szCs w:val="1"/>
                <w:color w:val="auto"/>
              </w:rPr>
            </w:pPr>
          </w:p>
        </w:tc>
      </w:tr>
      <w:tr>
        <w:trPr>
          <w:trHeight w:val="188"/>
        </w:trPr>
        <w:tc>
          <w:tcPr>
            <w:tcW w:w="940" w:type="dxa"/>
            <w:vAlign w:val="bottom"/>
            <w:tcBorders>
              <w:bottom w:val="single" w:sz="8" w:color="0D64EF"/>
            </w:tcBorders>
            <w:shd w:val="clear" w:color="auto" w:fill="D1D0CF"/>
          </w:tcPr>
          <w:p>
            <w:pPr>
              <w:spacing w:after="0"/>
              <w:rPr>
                <w:sz w:val="16"/>
                <w:szCs w:val="16"/>
                <w:color w:val="auto"/>
              </w:rPr>
            </w:pPr>
          </w:p>
        </w:tc>
        <w:tc>
          <w:tcPr>
            <w:tcW w:w="1520" w:type="dxa"/>
            <w:vAlign w:val="bottom"/>
            <w:tcBorders>
              <w:bottom w:val="single" w:sz="8" w:color="0D64EF"/>
            </w:tcBorders>
            <w:shd w:val="clear" w:color="auto" w:fill="D1D0CF"/>
          </w:tcPr>
          <w:p>
            <w:pPr>
              <w:jc w:val="right"/>
              <w:ind w:right="168"/>
              <w:spacing w:after="0"/>
              <w:rPr>
                <w:sz w:val="20"/>
                <w:szCs w:val="20"/>
                <w:color w:val="auto"/>
              </w:rPr>
            </w:pPr>
            <w:r>
              <w:rPr>
                <w:rFonts w:ascii="Arial" w:cs="Arial" w:eastAsia="Arial" w:hAnsi="Arial"/>
                <w:sz w:val="14"/>
                <w:szCs w:val="14"/>
                <w:b w:val="1"/>
                <w:bCs w:val="1"/>
                <w:color w:val="auto"/>
              </w:rPr>
              <w:t>Direct Pay</w:t>
            </w:r>
          </w:p>
        </w:tc>
        <w:tc>
          <w:tcPr>
            <w:tcW w:w="1400" w:type="dxa"/>
            <w:vAlign w:val="bottom"/>
            <w:tcBorders>
              <w:bottom w:val="single" w:sz="8" w:color="0D64EF"/>
            </w:tcBorders>
            <w:vMerge w:val="continue"/>
            <w:shd w:val="clear" w:color="auto" w:fill="D1D0CF"/>
          </w:tcPr>
          <w:p>
            <w:pPr>
              <w:spacing w:after="0"/>
              <w:rPr>
                <w:sz w:val="16"/>
                <w:szCs w:val="16"/>
                <w:color w:val="auto"/>
              </w:rPr>
            </w:pPr>
          </w:p>
        </w:tc>
        <w:tc>
          <w:tcPr>
            <w:tcW w:w="1440" w:type="dxa"/>
            <w:vAlign w:val="bottom"/>
            <w:tcBorders>
              <w:bottom w:val="single" w:sz="8" w:color="0D64EF"/>
            </w:tcBorders>
            <w:vMerge w:val="continue"/>
            <w:shd w:val="clear" w:color="auto" w:fill="D1D0CF"/>
          </w:tcPr>
          <w:p>
            <w:pPr>
              <w:spacing w:after="0"/>
              <w:rPr>
                <w:sz w:val="16"/>
                <w:szCs w:val="16"/>
                <w:color w:val="auto"/>
              </w:rPr>
            </w:pPr>
          </w:p>
        </w:tc>
        <w:tc>
          <w:tcPr>
            <w:tcW w:w="1800" w:type="dxa"/>
            <w:vAlign w:val="bottom"/>
            <w:vMerge w:val="continue"/>
            <w:shd w:val="clear" w:color="auto" w:fill="D1D0CF"/>
          </w:tcPr>
          <w:p>
            <w:pPr>
              <w:spacing w:after="0"/>
              <w:rPr>
                <w:sz w:val="16"/>
                <w:szCs w:val="16"/>
                <w:color w:val="auto"/>
              </w:rPr>
            </w:pPr>
          </w:p>
        </w:tc>
        <w:tc>
          <w:tcPr>
            <w:tcW w:w="2000" w:type="dxa"/>
            <w:vAlign w:val="bottom"/>
            <w:tcBorders>
              <w:bottom w:val="single" w:sz="8" w:color="0D64EF"/>
            </w:tcBorders>
            <w:vMerge w:val="continue"/>
            <w:shd w:val="clear" w:color="auto" w:fill="D1D0CF"/>
          </w:tcPr>
          <w:p>
            <w:pPr>
              <w:spacing w:after="0"/>
              <w:rPr>
                <w:sz w:val="16"/>
                <w:szCs w:val="16"/>
                <w:color w:val="auto"/>
              </w:rPr>
            </w:pPr>
          </w:p>
        </w:tc>
        <w:tc>
          <w:tcPr>
            <w:tcW w:w="940" w:type="dxa"/>
            <w:vAlign w:val="bottom"/>
            <w:tcBorders>
              <w:bottom w:val="single" w:sz="8" w:color="0D64EF"/>
            </w:tcBorders>
            <w:vMerge w:val="continue"/>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40" w:type="dxa"/>
            <w:vAlign w:val="bottom"/>
          </w:tcPr>
          <w:p>
            <w:pPr>
              <w:jc w:val="right"/>
              <w:ind w:right="368"/>
              <w:spacing w:after="0"/>
              <w:rPr>
                <w:sz w:val="20"/>
                <w:szCs w:val="20"/>
                <w:color w:val="auto"/>
              </w:rPr>
            </w:pPr>
            <w:r>
              <w:rPr>
                <w:rFonts w:ascii="Arial" w:cs="Arial" w:eastAsia="Arial" w:hAnsi="Arial"/>
                <w:sz w:val="14"/>
                <w:szCs w:val="14"/>
                <w:color w:val="auto"/>
              </w:rPr>
              <w:t>2023</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$12,090,000</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$29,194,566</w:t>
            </w:r>
          </w:p>
        </w:tc>
        <w:tc>
          <w:tcPr>
            <w:tcW w:w="1440" w:type="dxa"/>
            <w:vAlign w:val="bottom"/>
          </w:tcPr>
          <w:p>
            <w:pPr>
              <w:jc w:val="center"/>
              <w:ind w:right="68"/>
              <w:spacing w:after="0"/>
              <w:rPr>
                <w:sz w:val="20"/>
                <w:szCs w:val="20"/>
                <w:color w:val="auto"/>
              </w:rPr>
            </w:pPr>
            <w:r>
              <w:rPr>
                <w:rFonts w:ascii="Arial" w:cs="Arial" w:eastAsia="Arial" w:hAnsi="Arial"/>
                <w:sz w:val="14"/>
                <w:szCs w:val="14"/>
                <w:color w:val="auto"/>
              </w:rPr>
              <w:t>January 1, 2023</w:t>
            </w:r>
          </w:p>
        </w:tc>
        <w:tc>
          <w:tcPr>
            <w:tcW w:w="1800" w:type="dxa"/>
            <w:vAlign w:val="bottom"/>
          </w:tcPr>
          <w:p>
            <w:pPr>
              <w:spacing w:after="0"/>
              <w:rPr>
                <w:sz w:val="18"/>
                <w:szCs w:val="18"/>
                <w:color w:val="auto"/>
              </w:rPr>
            </w:pPr>
          </w:p>
        </w:tc>
        <w:tc>
          <w:tcPr>
            <w:tcW w:w="2000" w:type="dxa"/>
            <w:vAlign w:val="bottom"/>
          </w:tcPr>
          <w:p>
            <w:pPr>
              <w:jc w:val="right"/>
              <w:ind w:right="488"/>
              <w:spacing w:after="0"/>
              <w:rPr>
                <w:sz w:val="20"/>
                <w:szCs w:val="20"/>
                <w:color w:val="auto"/>
              </w:rPr>
            </w:pPr>
            <w:r>
              <w:rPr>
                <w:rFonts w:ascii="Arial" w:cs="Arial" w:eastAsia="Arial" w:hAnsi="Arial"/>
                <w:sz w:val="14"/>
                <w:szCs w:val="14"/>
                <w:color w:val="auto"/>
              </w:rPr>
              <w:t>$241</w:t>
            </w:r>
          </w:p>
        </w:tc>
        <w:tc>
          <w:tcPr>
            <w:tcW w:w="94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35"/>
        </w:trPr>
        <w:tc>
          <w:tcPr>
            <w:tcW w:w="94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14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rPr>
              <w:t>December 31, 2025</w:t>
            </w:r>
          </w:p>
        </w:tc>
        <w:tc>
          <w:tcPr>
            <w:tcW w:w="200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940" w:type="dxa"/>
            <w:vAlign w:val="bottom"/>
          </w:tcPr>
          <w:p>
            <w:pPr>
              <w:jc w:val="right"/>
              <w:ind w:right="368"/>
              <w:spacing w:after="0"/>
              <w:rPr>
                <w:sz w:val="20"/>
                <w:szCs w:val="20"/>
                <w:color w:val="auto"/>
              </w:rPr>
            </w:pPr>
            <w:r>
              <w:rPr>
                <w:rFonts w:ascii="Arial" w:cs="Arial" w:eastAsia="Arial" w:hAnsi="Arial"/>
                <w:sz w:val="14"/>
                <w:szCs w:val="14"/>
                <w:color w:val="auto"/>
              </w:rPr>
              <w:t>2024</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$13,380,000</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$21,378,514</w:t>
            </w:r>
          </w:p>
        </w:tc>
        <w:tc>
          <w:tcPr>
            <w:tcW w:w="1440" w:type="dxa"/>
            <w:vAlign w:val="bottom"/>
          </w:tcPr>
          <w:p>
            <w:pPr>
              <w:jc w:val="center"/>
              <w:ind w:right="68"/>
              <w:spacing w:after="0"/>
              <w:rPr>
                <w:sz w:val="20"/>
                <w:szCs w:val="20"/>
                <w:color w:val="auto"/>
              </w:rPr>
            </w:pPr>
            <w:r>
              <w:rPr>
                <w:rFonts w:ascii="Arial" w:cs="Arial" w:eastAsia="Arial" w:hAnsi="Arial"/>
                <w:sz w:val="14"/>
                <w:szCs w:val="14"/>
                <w:color w:val="auto"/>
              </w:rPr>
              <w:t>January 1, 2024</w:t>
            </w:r>
          </w:p>
        </w:tc>
        <w:tc>
          <w:tcPr>
            <w:tcW w:w="1800" w:type="dxa"/>
            <w:vAlign w:val="bottom"/>
            <w:vMerge w:val="continue"/>
          </w:tcPr>
          <w:p>
            <w:pPr>
              <w:spacing w:after="0"/>
              <w:rPr>
                <w:sz w:val="18"/>
                <w:szCs w:val="18"/>
                <w:color w:val="auto"/>
              </w:rPr>
            </w:pPr>
          </w:p>
        </w:tc>
        <w:tc>
          <w:tcPr>
            <w:tcW w:w="2000" w:type="dxa"/>
            <w:vAlign w:val="bottom"/>
          </w:tcPr>
          <w:p>
            <w:pPr>
              <w:jc w:val="right"/>
              <w:ind w:right="488"/>
              <w:spacing w:after="0"/>
              <w:rPr>
                <w:sz w:val="20"/>
                <w:szCs w:val="20"/>
                <w:color w:val="auto"/>
              </w:rPr>
            </w:pPr>
            <w:r>
              <w:rPr>
                <w:rFonts w:ascii="Arial" w:cs="Arial" w:eastAsia="Arial" w:hAnsi="Arial"/>
                <w:sz w:val="14"/>
                <w:szCs w:val="14"/>
                <w:color w:val="auto"/>
              </w:rPr>
              <w:t>$160</w:t>
            </w:r>
          </w:p>
        </w:tc>
        <w:tc>
          <w:tcPr>
            <w:tcW w:w="94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35"/>
        </w:trPr>
        <w:tc>
          <w:tcPr>
            <w:tcW w:w="94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1400" w:type="dxa"/>
            <w:vAlign w:val="bottom"/>
            <w:tcBorders>
              <w:bottom w:val="single" w:sz="8" w:color="B2B2B2"/>
            </w:tcBorders>
          </w:tcPr>
          <w:p>
            <w:pPr>
              <w:spacing w:after="0"/>
              <w:rPr>
                <w:sz w:val="3"/>
                <w:szCs w:val="3"/>
                <w:color w:val="auto"/>
              </w:rPr>
            </w:pPr>
          </w:p>
        </w:tc>
        <w:tc>
          <w:tcPr>
            <w:tcW w:w="1440" w:type="dxa"/>
            <w:vAlign w:val="bottom"/>
            <w:tcBorders>
              <w:bottom w:val="single" w:sz="8" w:color="B2B2B2"/>
            </w:tcBorders>
          </w:tcPr>
          <w:p>
            <w:pPr>
              <w:spacing w:after="0"/>
              <w:rPr>
                <w:sz w:val="3"/>
                <w:szCs w:val="3"/>
                <w:color w:val="auto"/>
              </w:rPr>
            </w:pPr>
          </w:p>
        </w:tc>
        <w:tc>
          <w:tcPr>
            <w:tcW w:w="1800" w:type="dxa"/>
            <w:vAlign w:val="bottom"/>
          </w:tcPr>
          <w:p>
            <w:pPr>
              <w:spacing w:after="0"/>
              <w:rPr>
                <w:sz w:val="3"/>
                <w:szCs w:val="3"/>
                <w:color w:val="auto"/>
              </w:rPr>
            </w:pPr>
          </w:p>
        </w:tc>
        <w:tc>
          <w:tcPr>
            <w:tcW w:w="200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940" w:type="dxa"/>
            <w:vAlign w:val="bottom"/>
          </w:tcPr>
          <w:p>
            <w:pPr>
              <w:jc w:val="right"/>
              <w:ind w:right="368"/>
              <w:spacing w:after="0"/>
              <w:rPr>
                <w:sz w:val="20"/>
                <w:szCs w:val="20"/>
                <w:color w:val="auto"/>
              </w:rPr>
            </w:pPr>
            <w:r>
              <w:rPr>
                <w:rFonts w:ascii="Arial" w:cs="Arial" w:eastAsia="Arial" w:hAnsi="Arial"/>
                <w:sz w:val="14"/>
                <w:szCs w:val="14"/>
                <w:color w:val="auto"/>
              </w:rPr>
              <w:t>2025</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$14,625,000</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$17,964,669</w:t>
            </w:r>
          </w:p>
        </w:tc>
        <w:tc>
          <w:tcPr>
            <w:tcW w:w="1440" w:type="dxa"/>
            <w:vAlign w:val="bottom"/>
          </w:tcPr>
          <w:p>
            <w:pPr>
              <w:jc w:val="center"/>
              <w:ind w:right="68"/>
              <w:spacing w:after="0"/>
              <w:rPr>
                <w:sz w:val="20"/>
                <w:szCs w:val="20"/>
                <w:color w:val="auto"/>
              </w:rPr>
            </w:pPr>
            <w:r>
              <w:rPr>
                <w:rFonts w:ascii="Arial" w:cs="Arial" w:eastAsia="Arial" w:hAnsi="Arial"/>
                <w:sz w:val="14"/>
                <w:szCs w:val="14"/>
                <w:color w:val="auto"/>
              </w:rPr>
              <w:t>January 1, 2025</w:t>
            </w:r>
          </w:p>
        </w:tc>
        <w:tc>
          <w:tcPr>
            <w:tcW w:w="1800" w:type="dxa"/>
            <w:vAlign w:val="bottom"/>
          </w:tcPr>
          <w:p>
            <w:pPr>
              <w:spacing w:after="0"/>
              <w:rPr>
                <w:sz w:val="18"/>
                <w:szCs w:val="18"/>
                <w:color w:val="auto"/>
              </w:rPr>
            </w:pPr>
          </w:p>
        </w:tc>
        <w:tc>
          <w:tcPr>
            <w:tcW w:w="2000" w:type="dxa"/>
            <w:vAlign w:val="bottom"/>
          </w:tcPr>
          <w:p>
            <w:pPr>
              <w:jc w:val="right"/>
              <w:ind w:right="488"/>
              <w:spacing w:after="0"/>
              <w:rPr>
                <w:sz w:val="20"/>
                <w:szCs w:val="20"/>
                <w:color w:val="auto"/>
              </w:rPr>
            </w:pPr>
            <w:r>
              <w:rPr>
                <w:rFonts w:ascii="Arial" w:cs="Arial" w:eastAsia="Arial" w:hAnsi="Arial"/>
                <w:sz w:val="14"/>
                <w:szCs w:val="14"/>
                <w:color w:val="auto"/>
              </w:rPr>
              <w:t>$123</w:t>
            </w:r>
          </w:p>
        </w:tc>
        <w:tc>
          <w:tcPr>
            <w:tcW w:w="94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35"/>
        </w:trPr>
        <w:tc>
          <w:tcPr>
            <w:tcW w:w="940" w:type="dxa"/>
            <w:vAlign w:val="bottom"/>
            <w:tcBorders>
              <w:bottom w:val="single" w:sz="8" w:color="0D64EF"/>
            </w:tcBorders>
          </w:tcPr>
          <w:p>
            <w:pPr>
              <w:spacing w:after="0"/>
              <w:rPr>
                <w:sz w:val="3"/>
                <w:szCs w:val="3"/>
                <w:color w:val="auto"/>
              </w:rPr>
            </w:pPr>
          </w:p>
        </w:tc>
        <w:tc>
          <w:tcPr>
            <w:tcW w:w="1520" w:type="dxa"/>
            <w:vAlign w:val="bottom"/>
            <w:tcBorders>
              <w:bottom w:val="single" w:sz="8" w:color="0D64EF"/>
            </w:tcBorders>
          </w:tcPr>
          <w:p>
            <w:pPr>
              <w:spacing w:after="0"/>
              <w:rPr>
                <w:sz w:val="3"/>
                <w:szCs w:val="3"/>
                <w:color w:val="auto"/>
              </w:rPr>
            </w:pPr>
          </w:p>
        </w:tc>
        <w:tc>
          <w:tcPr>
            <w:tcW w:w="1400" w:type="dxa"/>
            <w:vAlign w:val="bottom"/>
            <w:tcBorders>
              <w:bottom w:val="single" w:sz="8" w:color="0D64EF"/>
            </w:tcBorders>
          </w:tcPr>
          <w:p>
            <w:pPr>
              <w:spacing w:after="0"/>
              <w:rPr>
                <w:sz w:val="3"/>
                <w:szCs w:val="3"/>
                <w:color w:val="auto"/>
              </w:rPr>
            </w:pPr>
          </w:p>
        </w:tc>
        <w:tc>
          <w:tcPr>
            <w:tcW w:w="1440" w:type="dxa"/>
            <w:vAlign w:val="bottom"/>
            <w:tcBorders>
              <w:bottom w:val="single" w:sz="8" w:color="0D64EF"/>
            </w:tcBorders>
          </w:tcPr>
          <w:p>
            <w:pPr>
              <w:spacing w:after="0"/>
              <w:rPr>
                <w:sz w:val="3"/>
                <w:szCs w:val="3"/>
                <w:color w:val="auto"/>
              </w:rPr>
            </w:pPr>
          </w:p>
        </w:tc>
        <w:tc>
          <w:tcPr>
            <w:tcW w:w="1800" w:type="dxa"/>
            <w:vAlign w:val="bottom"/>
            <w:tcBorders>
              <w:bottom w:val="single" w:sz="8" w:color="0D64EF"/>
            </w:tcBorders>
          </w:tcPr>
          <w:p>
            <w:pPr>
              <w:spacing w:after="0"/>
              <w:rPr>
                <w:sz w:val="3"/>
                <w:szCs w:val="3"/>
                <w:color w:val="auto"/>
              </w:rPr>
            </w:pPr>
          </w:p>
        </w:tc>
        <w:tc>
          <w:tcPr>
            <w:tcW w:w="2000" w:type="dxa"/>
            <w:vAlign w:val="bottom"/>
            <w:tcBorders>
              <w:bottom w:val="single" w:sz="8" w:color="0D64EF"/>
            </w:tcBorders>
          </w:tcPr>
          <w:p>
            <w:pPr>
              <w:spacing w:after="0"/>
              <w:rPr>
                <w:sz w:val="3"/>
                <w:szCs w:val="3"/>
                <w:color w:val="auto"/>
              </w:rPr>
            </w:pPr>
          </w:p>
        </w:tc>
        <w:tc>
          <w:tcPr>
            <w:tcW w:w="940" w:type="dxa"/>
            <w:vAlign w:val="bottom"/>
            <w:tcBorders>
              <w:bottom w:val="single" w:sz="8" w:color="0D64E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60" w:hanging="153"/>
        <w:spacing w:after="0" w:line="291" w:lineRule="auto"/>
        <w:tabs>
          <w:tab w:leader="none" w:pos="137"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Total target direct pay includes salary, target bonus, long-term incentive grant of PSUs, RSUs, and stock options (where applicable) as reported in the Summary Compensation Table. Excludes pension and all other compensation value.</w:t>
      </w:r>
    </w:p>
    <w:p>
      <w:pPr>
        <w:ind w:left="160" w:right="40" w:hanging="153"/>
        <w:spacing w:after="0" w:line="291" w:lineRule="auto"/>
        <w:tabs>
          <w:tab w:leader="none" w:pos="137" w:val="left"/>
        </w:tabs>
        <w:numPr>
          <w:ilvl w:val="0"/>
          <w:numId w:val="115"/>
        </w:numPr>
        <w:rPr>
          <w:rFonts w:ascii="Arial" w:cs="Arial" w:eastAsia="Arial" w:hAnsi="Arial"/>
          <w:sz w:val="13"/>
          <w:szCs w:val="13"/>
          <w:color w:val="auto"/>
        </w:rPr>
      </w:pPr>
      <w:r>
        <w:rPr>
          <w:rFonts w:ascii="Arial" w:cs="Arial" w:eastAsia="Arial" w:hAnsi="Arial"/>
          <w:sz w:val="13"/>
          <w:szCs w:val="13"/>
          <w:color w:val="auto"/>
        </w:rPr>
        <w:t>Realizable pay includes salary, actual bonus paid, value of stock options that are in-the-money, and the market value of unvested PSUs and RSUs including dividend equivalents (assuming PSUs vest at target for 2024 and 2025 grants, actual for 2023 cycle). Equity valued as at December 31, 2025 close stock price. Excludes pension and all other compensation value.</w:t>
      </w:r>
    </w:p>
    <w:p>
      <w:pPr>
        <w:ind w:left="140" w:hanging="133"/>
        <w:spacing w:after="0"/>
        <w:tabs>
          <w:tab w:leader="none" w:pos="1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Total shareholder return calculation reflects a hypothetical TC Energy $5.81 share dividend for the value of South Bow Corporation shares issued as a result</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of the spinoff transaction on October 1, 2024.</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compares target and realizable CEO compensation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113665</wp:posOffset>
            </wp:positionV>
            <wp:extent cx="5528945" cy="29095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28945" cy="290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80"/>
        <w:spacing w:after="0" w:line="337" w:lineRule="auto"/>
        <w:rPr>
          <w:sz w:val="20"/>
          <w:szCs w:val="20"/>
          <w:color w:val="auto"/>
        </w:rPr>
      </w:pPr>
      <w:r>
        <w:rPr>
          <w:rFonts w:ascii="Arial" w:cs="Arial" w:eastAsia="Arial" w:hAnsi="Arial"/>
          <w:sz w:val="16"/>
          <w:szCs w:val="16"/>
          <w:color w:val="auto"/>
        </w:rPr>
        <w:t>For more information on TC Energy's long-term incentive programs, see Components starting on page 94 and for more information on CEO compensation, see Executive Profiles on page 108.</w:t>
      </w:r>
    </w:p>
    <w:p>
      <w:pPr>
        <w:sectPr>
          <w:pgSz w:w="11900" w:h="16838" w:orient="portrait"/>
          <w:cols w:equalWidth="0" w:num="1">
            <w:col w:w="11220"/>
          </w:cols>
          <w:pgMar w:left="320" w:top="106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61" w:right="35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b w:val="1"/>
          <w:bCs w:val="1"/>
          <w:color w:val="0D64EF"/>
        </w:rPr>
        <w:t>APPROACH</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TC Energy’s executive compensation program is designed to meet four key objectives:</w:t>
      </w:r>
    </w:p>
    <w:p>
      <w:pPr>
        <w:spacing w:after="0" w:line="152" w:lineRule="exact"/>
        <w:rPr>
          <w:sz w:val="20"/>
          <w:szCs w:val="20"/>
          <w:color w:val="auto"/>
        </w:rPr>
      </w:pPr>
    </w:p>
    <w:p>
      <w:pPr>
        <w:ind w:left="160" w:right="220" w:hanging="153"/>
        <w:spacing w:after="0" w:line="297" w:lineRule="auto"/>
        <w:tabs>
          <w:tab w:leader="none" w:pos="13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provide a compensation package that 'pays for performance' by rewarding executives for delivering on our corporate objectives and achieving our overall strategy,</w:t>
      </w:r>
    </w:p>
    <w:p>
      <w:pPr>
        <w:spacing w:after="0" w:line="1" w:lineRule="exact"/>
        <w:rPr>
          <w:rFonts w:ascii="Arial" w:cs="Arial" w:eastAsia="Arial" w:hAnsi="Arial"/>
          <w:sz w:val="16"/>
          <w:szCs w:val="16"/>
          <w:color w:val="auto"/>
        </w:rPr>
      </w:pPr>
    </w:p>
    <w:p>
      <w:pPr>
        <w:ind w:left="140" w:hanging="133"/>
        <w:spacing w:after="0"/>
        <w:tabs>
          <w:tab w:leader="none" w:pos="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offer levels and types of compensation that are competitive with the market,</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align executives’ interests with those of our various stakeholders,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attract, engage and retain our executives.</w:t>
      </w:r>
    </w:p>
    <w:p>
      <w:pPr>
        <w:spacing w:after="0" w:line="152" w:lineRule="exact"/>
        <w:rPr>
          <w:sz w:val="20"/>
          <w:szCs w:val="20"/>
          <w:color w:val="auto"/>
        </w:rPr>
      </w:pPr>
    </w:p>
    <w:p>
      <w:pPr>
        <w:ind w:right="2820"/>
        <w:spacing w:after="0" w:line="337" w:lineRule="auto"/>
        <w:rPr>
          <w:sz w:val="20"/>
          <w:szCs w:val="20"/>
          <w:color w:val="auto"/>
        </w:rPr>
      </w:pPr>
      <w:r>
        <w:rPr>
          <w:rFonts w:ascii="Arial" w:cs="Arial" w:eastAsia="Arial" w:hAnsi="Arial"/>
          <w:sz w:val="16"/>
          <w:szCs w:val="16"/>
          <w:color w:val="auto"/>
        </w:rPr>
        <w:t>Compensation is also aligned with our risk management processes to ensure there is an appropriate balance between risk and reward. See pages 74 to 76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Decision-making process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We follow a comprehensive decision-making process that involves management, the Human Resources Committee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the Board, and takes into account market data, input from the CEO and advice from the Human Resources Committee’s independent consultant.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Board makes all decisions affecting CEO and executive vice-president compensation based on the Human Resources Committee’s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156845</wp:posOffset>
            </wp:positionV>
            <wp:extent cx="4667250" cy="3702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67250" cy="3702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91</w:t>
      </w:r>
    </w:p>
    <w:p>
      <w:pPr>
        <w:sectPr>
          <w:pgSz w:w="11900" w:h="16838" w:orient="portrait"/>
          <w:cols w:equalWidth="0" w:num="1">
            <w:col w:w="11240"/>
          </w:cols>
          <w:pgMar w:left="320" w:top="109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0D64EF"/>
        </w:rPr>
        <w:t>Independent consultant</w:t>
      </w:r>
    </w:p>
    <w:p>
      <w:pPr>
        <w:spacing w:after="0" w:line="40"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The Human Resources Committee is advised by Meridian as its independent consultant on all executive compensation matters. The consultant's mandate includes providing advice on compensation for the named executives and other members of the Executive Leadership Team, incentive design, compensation governance, attending all Human Resources Committee meetings and providing data, analysis or advice on compensation-related matters. While the Human Resources Committee is ultimately responsible for making its own decisions and recommendations to the Board, the consultant brings expertise, experience, independence and objectivity to the Human Resources Committee's deliberations. The Human Resources Committee meets routinely in-camera and with the consultant, thereby ensuring that the discussions regarding compensation are substantive and unconstrained. You can find additional information on the independent consultant on page 77.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Benchmarking</w:t>
      </w:r>
    </w:p>
    <w:p>
      <w:pPr>
        <w:spacing w:after="0" w:line="40" w:lineRule="exact"/>
        <w:rPr>
          <w:sz w:val="20"/>
          <w:szCs w:val="20"/>
          <w:color w:val="auto"/>
        </w:rPr>
      </w:pPr>
    </w:p>
    <w:p>
      <w:pPr>
        <w:ind w:right="660"/>
        <w:spacing w:after="0" w:line="354" w:lineRule="auto"/>
        <w:rPr>
          <w:sz w:val="20"/>
          <w:szCs w:val="20"/>
          <w:color w:val="auto"/>
        </w:rPr>
      </w:pPr>
      <w:r>
        <w:rPr>
          <w:rFonts w:ascii="Arial" w:cs="Arial" w:eastAsia="Arial" w:hAnsi="Arial"/>
          <w:sz w:val="16"/>
          <w:szCs w:val="16"/>
          <w:color w:val="auto"/>
        </w:rPr>
        <w:t>We benchmark our executive compensation against a peer group of companies to assess the competitive market. Each year, the Human Resources Committee reviews the companies with its independent consultant, makes adjustments as it deems appropriate, and approves the peer group.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peer group for the named executives reflects:</w:t>
      </w:r>
    </w:p>
    <w:p>
      <w:pPr>
        <w:spacing w:after="0" w:line="152" w:lineRule="exact"/>
        <w:rPr>
          <w:sz w:val="20"/>
          <w:szCs w:val="20"/>
          <w:color w:val="auto"/>
        </w:rPr>
      </w:pPr>
    </w:p>
    <w:p>
      <w:pPr>
        <w:ind w:left="140" w:hanging="133"/>
        <w:spacing w:after="0"/>
        <w:tabs>
          <w:tab w:leader="none" w:pos="1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size of TC Energy relative to the peer companies,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broad sample size, which reduces potential volatility in the data,</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scope of TC Energy’s North American business activities, geographical locations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broad market from which TC Energy competes for executive talent.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2025 peer group for our named executives is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4538980" cy="1536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38980" cy="153670"/>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Named executive peer group</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80" w:type="dxa"/>
            <w:vAlign w:val="bottom"/>
            <w:tcBorders>
              <w:top w:val="single" w:sz="8" w:color="0D64EF"/>
            </w:tcBorders>
          </w:tcPr>
          <w:p>
            <w:pPr>
              <w:ind w:left="20"/>
              <w:spacing w:after="0"/>
              <w:rPr>
                <w:sz w:val="20"/>
                <w:szCs w:val="20"/>
                <w:color w:val="auto"/>
              </w:rPr>
            </w:pPr>
            <w:r>
              <w:rPr>
                <w:rFonts w:ascii="Arial" w:cs="Arial" w:eastAsia="Arial" w:hAnsi="Arial"/>
                <w:sz w:val="14"/>
                <w:szCs w:val="14"/>
                <w:color w:val="auto"/>
              </w:rPr>
              <w:t>Canadian Natural Resources Limited</w:t>
            </w:r>
          </w:p>
        </w:tc>
        <w:tc>
          <w:tcPr>
            <w:tcW w:w="4180" w:type="dxa"/>
            <w:vAlign w:val="bottom"/>
            <w:tcBorders>
              <w:top w:val="single" w:sz="8" w:color="0D64EF"/>
            </w:tcBorders>
          </w:tcPr>
          <w:p>
            <w:pPr>
              <w:ind w:left="620"/>
              <w:spacing w:after="0"/>
              <w:rPr>
                <w:sz w:val="20"/>
                <w:szCs w:val="20"/>
                <w:color w:val="auto"/>
              </w:rPr>
            </w:pPr>
            <w:r>
              <w:rPr>
                <w:rFonts w:ascii="Arial" w:cs="Arial" w:eastAsia="Arial" w:hAnsi="Arial"/>
                <w:sz w:val="14"/>
                <w:szCs w:val="14"/>
                <w:color w:val="auto"/>
              </w:rPr>
              <w:t>Imperial Oil Limited</w:t>
            </w:r>
          </w:p>
        </w:tc>
      </w:tr>
      <w:tr>
        <w:trPr>
          <w:trHeight w:val="228"/>
        </w:trPr>
        <w:tc>
          <w:tcPr>
            <w:tcW w:w="2980" w:type="dxa"/>
            <w:vAlign w:val="bottom"/>
          </w:tcPr>
          <w:p>
            <w:pPr>
              <w:ind w:left="20"/>
              <w:spacing w:after="0"/>
              <w:rPr>
                <w:sz w:val="20"/>
                <w:szCs w:val="20"/>
                <w:color w:val="auto"/>
              </w:rPr>
            </w:pPr>
            <w:r>
              <w:rPr>
                <w:rFonts w:ascii="Arial" w:cs="Arial" w:eastAsia="Arial" w:hAnsi="Arial"/>
                <w:sz w:val="14"/>
                <w:szCs w:val="14"/>
                <w:color w:val="auto"/>
              </w:rPr>
              <w:t>Cenovus Energy Inc.</w:t>
            </w:r>
          </w:p>
        </w:tc>
        <w:tc>
          <w:tcPr>
            <w:tcW w:w="4180" w:type="dxa"/>
            <w:vAlign w:val="bottom"/>
          </w:tcPr>
          <w:p>
            <w:pPr>
              <w:ind w:left="620"/>
              <w:spacing w:after="0"/>
              <w:rPr>
                <w:sz w:val="20"/>
                <w:szCs w:val="20"/>
                <w:color w:val="auto"/>
              </w:rPr>
            </w:pPr>
            <w:r>
              <w:rPr>
                <w:rFonts w:ascii="Arial" w:cs="Arial" w:eastAsia="Arial" w:hAnsi="Arial"/>
                <w:sz w:val="14"/>
                <w:szCs w:val="14"/>
                <w:color w:val="auto"/>
              </w:rPr>
              <w:t>Kinder Morgan Inc.</w:t>
            </w:r>
          </w:p>
        </w:tc>
      </w:tr>
      <w:tr>
        <w:trPr>
          <w:trHeight w:val="255"/>
        </w:trPr>
        <w:tc>
          <w:tcPr>
            <w:tcW w:w="2980" w:type="dxa"/>
            <w:vAlign w:val="bottom"/>
          </w:tcPr>
          <w:p>
            <w:pPr>
              <w:ind w:left="20"/>
              <w:spacing w:after="0"/>
              <w:rPr>
                <w:sz w:val="20"/>
                <w:szCs w:val="20"/>
                <w:color w:val="auto"/>
              </w:rPr>
            </w:pPr>
            <w:r>
              <w:rPr>
                <w:rFonts w:ascii="Arial" w:cs="Arial" w:eastAsia="Arial" w:hAnsi="Arial"/>
                <w:sz w:val="14"/>
                <w:szCs w:val="14"/>
                <w:color w:val="auto"/>
              </w:rPr>
              <w:t>Cheniere Energy Inc.</w:t>
            </w:r>
          </w:p>
        </w:tc>
        <w:tc>
          <w:tcPr>
            <w:tcW w:w="4180" w:type="dxa"/>
            <w:vAlign w:val="bottom"/>
          </w:tcPr>
          <w:p>
            <w:pPr>
              <w:ind w:left="620"/>
              <w:spacing w:after="0"/>
              <w:rPr>
                <w:sz w:val="20"/>
                <w:szCs w:val="20"/>
                <w:color w:val="auto"/>
              </w:rPr>
            </w:pPr>
            <w:r>
              <w:rPr>
                <w:rFonts w:ascii="Arial" w:cs="Arial" w:eastAsia="Arial" w:hAnsi="Arial"/>
                <w:sz w:val="14"/>
                <w:szCs w:val="14"/>
                <w:color w:val="auto"/>
              </w:rPr>
              <w:t>NextEra Energy Inc.</w:t>
            </w:r>
          </w:p>
        </w:tc>
      </w:tr>
      <w:tr>
        <w:trPr>
          <w:trHeight w:val="228"/>
        </w:trPr>
        <w:tc>
          <w:tcPr>
            <w:tcW w:w="2980" w:type="dxa"/>
            <w:vAlign w:val="bottom"/>
          </w:tcPr>
          <w:p>
            <w:pPr>
              <w:ind w:left="20"/>
              <w:spacing w:after="0"/>
              <w:rPr>
                <w:sz w:val="20"/>
                <w:szCs w:val="20"/>
                <w:color w:val="auto"/>
              </w:rPr>
            </w:pPr>
            <w:r>
              <w:rPr>
                <w:rFonts w:ascii="Arial" w:cs="Arial" w:eastAsia="Arial" w:hAnsi="Arial"/>
                <w:sz w:val="14"/>
                <w:szCs w:val="14"/>
                <w:color w:val="auto"/>
              </w:rPr>
              <w:t>Dominion Energy Inc.</w:t>
            </w:r>
          </w:p>
        </w:tc>
        <w:tc>
          <w:tcPr>
            <w:tcW w:w="4180" w:type="dxa"/>
            <w:vAlign w:val="bottom"/>
          </w:tcPr>
          <w:p>
            <w:pPr>
              <w:ind w:left="620"/>
              <w:spacing w:after="0"/>
              <w:rPr>
                <w:sz w:val="20"/>
                <w:szCs w:val="20"/>
                <w:color w:val="auto"/>
              </w:rPr>
            </w:pPr>
            <w:r>
              <w:rPr>
                <w:rFonts w:ascii="Arial" w:cs="Arial" w:eastAsia="Arial" w:hAnsi="Arial"/>
                <w:sz w:val="14"/>
                <w:szCs w:val="14"/>
                <w:color w:val="auto"/>
              </w:rPr>
              <w:t>Occidental Petroleum Corporation</w:t>
            </w:r>
          </w:p>
        </w:tc>
      </w:tr>
      <w:tr>
        <w:trPr>
          <w:trHeight w:val="255"/>
        </w:trPr>
        <w:tc>
          <w:tcPr>
            <w:tcW w:w="2980" w:type="dxa"/>
            <w:vAlign w:val="bottom"/>
          </w:tcPr>
          <w:p>
            <w:pPr>
              <w:ind w:left="20"/>
              <w:spacing w:after="0"/>
              <w:rPr>
                <w:sz w:val="20"/>
                <w:szCs w:val="20"/>
                <w:color w:val="auto"/>
              </w:rPr>
            </w:pPr>
            <w:r>
              <w:rPr>
                <w:rFonts w:ascii="Arial" w:cs="Arial" w:eastAsia="Arial" w:hAnsi="Arial"/>
                <w:sz w:val="14"/>
                <w:szCs w:val="14"/>
                <w:color w:val="auto"/>
              </w:rPr>
              <w:t>Duke Energy Corporation</w:t>
            </w:r>
          </w:p>
        </w:tc>
        <w:tc>
          <w:tcPr>
            <w:tcW w:w="4180" w:type="dxa"/>
            <w:vAlign w:val="bottom"/>
          </w:tcPr>
          <w:p>
            <w:pPr>
              <w:ind w:left="620"/>
              <w:spacing w:after="0"/>
              <w:rPr>
                <w:sz w:val="20"/>
                <w:szCs w:val="20"/>
                <w:color w:val="auto"/>
              </w:rPr>
            </w:pPr>
            <w:r>
              <w:rPr>
                <w:rFonts w:ascii="Arial" w:cs="Arial" w:eastAsia="Arial" w:hAnsi="Arial"/>
                <w:sz w:val="14"/>
                <w:szCs w:val="14"/>
                <w:color w:val="auto"/>
              </w:rPr>
              <w:t>ONEOK Inc.</w:t>
            </w:r>
          </w:p>
        </w:tc>
      </w:tr>
      <w:tr>
        <w:trPr>
          <w:trHeight w:val="228"/>
        </w:trPr>
        <w:tc>
          <w:tcPr>
            <w:tcW w:w="2980" w:type="dxa"/>
            <w:vAlign w:val="bottom"/>
          </w:tcPr>
          <w:p>
            <w:pPr>
              <w:ind w:left="20"/>
              <w:spacing w:after="0"/>
              <w:rPr>
                <w:sz w:val="20"/>
                <w:szCs w:val="20"/>
                <w:color w:val="auto"/>
              </w:rPr>
            </w:pPr>
            <w:r>
              <w:rPr>
                <w:rFonts w:ascii="Arial" w:cs="Arial" w:eastAsia="Arial" w:hAnsi="Arial"/>
                <w:sz w:val="14"/>
                <w:szCs w:val="14"/>
                <w:color w:val="auto"/>
              </w:rPr>
              <w:t>Emera Incorporated</w:t>
            </w:r>
          </w:p>
        </w:tc>
        <w:tc>
          <w:tcPr>
            <w:tcW w:w="4180" w:type="dxa"/>
            <w:vAlign w:val="bottom"/>
          </w:tcPr>
          <w:p>
            <w:pPr>
              <w:ind w:left="620"/>
              <w:spacing w:after="0"/>
              <w:rPr>
                <w:sz w:val="20"/>
                <w:szCs w:val="20"/>
                <w:color w:val="auto"/>
              </w:rPr>
            </w:pPr>
            <w:r>
              <w:rPr>
                <w:rFonts w:ascii="Arial" w:cs="Arial" w:eastAsia="Arial" w:hAnsi="Arial"/>
                <w:sz w:val="14"/>
                <w:szCs w:val="14"/>
                <w:color w:val="auto"/>
              </w:rPr>
              <w:t>Pembina Pipeline Corporation</w:t>
            </w:r>
          </w:p>
        </w:tc>
      </w:tr>
      <w:tr>
        <w:trPr>
          <w:trHeight w:val="228"/>
        </w:trPr>
        <w:tc>
          <w:tcPr>
            <w:tcW w:w="2980" w:type="dxa"/>
            <w:vAlign w:val="bottom"/>
          </w:tcPr>
          <w:p>
            <w:pPr>
              <w:ind w:left="20"/>
              <w:spacing w:after="0"/>
              <w:rPr>
                <w:sz w:val="20"/>
                <w:szCs w:val="20"/>
                <w:color w:val="auto"/>
              </w:rPr>
            </w:pPr>
            <w:r>
              <w:rPr>
                <w:rFonts w:ascii="Arial" w:cs="Arial" w:eastAsia="Arial" w:hAnsi="Arial"/>
                <w:sz w:val="14"/>
                <w:szCs w:val="14"/>
                <w:color w:val="auto"/>
              </w:rPr>
              <w:t>Enbridge Inc.</w:t>
            </w:r>
          </w:p>
        </w:tc>
        <w:tc>
          <w:tcPr>
            <w:tcW w:w="4180" w:type="dxa"/>
            <w:vAlign w:val="bottom"/>
          </w:tcPr>
          <w:p>
            <w:pPr>
              <w:ind w:left="620"/>
              <w:spacing w:after="0"/>
              <w:rPr>
                <w:sz w:val="20"/>
                <w:szCs w:val="20"/>
                <w:color w:val="auto"/>
              </w:rPr>
            </w:pPr>
            <w:r>
              <w:rPr>
                <w:rFonts w:ascii="Arial" w:cs="Arial" w:eastAsia="Arial" w:hAnsi="Arial"/>
                <w:sz w:val="14"/>
                <w:szCs w:val="14"/>
                <w:color w:val="auto"/>
              </w:rPr>
              <w:t>Sempra</w:t>
            </w:r>
          </w:p>
        </w:tc>
      </w:tr>
      <w:tr>
        <w:trPr>
          <w:trHeight w:val="228"/>
        </w:trPr>
        <w:tc>
          <w:tcPr>
            <w:tcW w:w="2980" w:type="dxa"/>
            <w:vAlign w:val="bottom"/>
          </w:tcPr>
          <w:p>
            <w:pPr>
              <w:ind w:left="20"/>
              <w:spacing w:after="0"/>
              <w:rPr>
                <w:sz w:val="20"/>
                <w:szCs w:val="20"/>
                <w:color w:val="auto"/>
              </w:rPr>
            </w:pPr>
            <w:r>
              <w:rPr>
                <w:rFonts w:ascii="Arial" w:cs="Arial" w:eastAsia="Arial" w:hAnsi="Arial"/>
                <w:sz w:val="14"/>
                <w:szCs w:val="14"/>
                <w:color w:val="auto"/>
              </w:rPr>
              <w:t>Energy Transfer LP</w:t>
            </w:r>
          </w:p>
        </w:tc>
        <w:tc>
          <w:tcPr>
            <w:tcW w:w="4180" w:type="dxa"/>
            <w:vAlign w:val="bottom"/>
          </w:tcPr>
          <w:p>
            <w:pPr>
              <w:ind w:left="620"/>
              <w:spacing w:after="0"/>
              <w:rPr>
                <w:sz w:val="20"/>
                <w:szCs w:val="20"/>
                <w:color w:val="auto"/>
              </w:rPr>
            </w:pPr>
            <w:r>
              <w:rPr>
                <w:rFonts w:ascii="Arial" w:cs="Arial" w:eastAsia="Arial" w:hAnsi="Arial"/>
                <w:sz w:val="14"/>
                <w:szCs w:val="14"/>
                <w:color w:val="auto"/>
              </w:rPr>
              <w:t>Suncor Energy Inc.</w:t>
            </w:r>
          </w:p>
        </w:tc>
      </w:tr>
      <w:tr>
        <w:trPr>
          <w:trHeight w:val="215"/>
        </w:trPr>
        <w:tc>
          <w:tcPr>
            <w:tcW w:w="2980" w:type="dxa"/>
            <w:vAlign w:val="bottom"/>
          </w:tcPr>
          <w:p>
            <w:pPr>
              <w:ind w:left="20"/>
              <w:spacing w:after="0"/>
              <w:rPr>
                <w:sz w:val="20"/>
                <w:szCs w:val="20"/>
                <w:color w:val="auto"/>
              </w:rPr>
            </w:pPr>
            <w:r>
              <w:rPr>
                <w:rFonts w:ascii="Arial" w:cs="Arial" w:eastAsia="Arial" w:hAnsi="Arial"/>
                <w:sz w:val="14"/>
                <w:szCs w:val="14"/>
                <w:color w:val="auto"/>
              </w:rPr>
              <w:t>Enterprise Products Partners LP</w:t>
            </w:r>
          </w:p>
        </w:tc>
        <w:tc>
          <w:tcPr>
            <w:tcW w:w="4180" w:type="dxa"/>
            <w:vAlign w:val="bottom"/>
          </w:tcPr>
          <w:p>
            <w:pPr>
              <w:ind w:left="620"/>
              <w:spacing w:after="0"/>
              <w:rPr>
                <w:sz w:val="20"/>
                <w:szCs w:val="20"/>
                <w:color w:val="auto"/>
              </w:rPr>
            </w:pPr>
            <w:r>
              <w:rPr>
                <w:rFonts w:ascii="Arial" w:cs="Arial" w:eastAsia="Arial" w:hAnsi="Arial"/>
                <w:sz w:val="14"/>
                <w:szCs w:val="14"/>
                <w:color w:val="auto"/>
              </w:rPr>
              <w:t>Targa Resources Corporation</w:t>
            </w:r>
          </w:p>
        </w:tc>
      </w:tr>
      <w:tr>
        <w:trPr>
          <w:trHeight w:val="228"/>
        </w:trPr>
        <w:tc>
          <w:tcPr>
            <w:tcW w:w="2980" w:type="dxa"/>
            <w:vAlign w:val="bottom"/>
          </w:tcPr>
          <w:p>
            <w:pPr>
              <w:ind w:left="20"/>
              <w:spacing w:after="0"/>
              <w:rPr>
                <w:sz w:val="20"/>
                <w:szCs w:val="20"/>
                <w:color w:val="auto"/>
              </w:rPr>
            </w:pPr>
            <w:r>
              <w:rPr>
                <w:rFonts w:ascii="Arial" w:cs="Arial" w:eastAsia="Arial" w:hAnsi="Arial"/>
                <w:sz w:val="14"/>
                <w:szCs w:val="14"/>
                <w:color w:val="auto"/>
              </w:rPr>
              <w:t>Exelon Corporation</w:t>
            </w:r>
          </w:p>
        </w:tc>
        <w:tc>
          <w:tcPr>
            <w:tcW w:w="4180" w:type="dxa"/>
            <w:vAlign w:val="bottom"/>
          </w:tcPr>
          <w:p>
            <w:pPr>
              <w:ind w:left="620"/>
              <w:spacing w:after="0"/>
              <w:rPr>
                <w:sz w:val="20"/>
                <w:szCs w:val="20"/>
                <w:color w:val="auto"/>
              </w:rPr>
            </w:pPr>
            <w:r>
              <w:rPr>
                <w:rFonts w:ascii="Arial" w:cs="Arial" w:eastAsia="Arial" w:hAnsi="Arial"/>
                <w:sz w:val="14"/>
                <w:szCs w:val="14"/>
                <w:color w:val="auto"/>
              </w:rPr>
              <w:t>The Southern Company</w:t>
            </w:r>
          </w:p>
        </w:tc>
      </w:tr>
      <w:tr>
        <w:trPr>
          <w:trHeight w:val="232"/>
        </w:trPr>
        <w:tc>
          <w:tcPr>
            <w:tcW w:w="298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Fortis Inc.</w:t>
            </w:r>
          </w:p>
        </w:tc>
        <w:tc>
          <w:tcPr>
            <w:tcW w:w="4180" w:type="dxa"/>
            <w:vAlign w:val="bottom"/>
            <w:tcBorders>
              <w:bottom w:val="single" w:sz="8" w:color="0D64EF"/>
            </w:tcBorders>
          </w:tcPr>
          <w:p>
            <w:pPr>
              <w:ind w:left="620"/>
              <w:spacing w:after="0"/>
              <w:rPr>
                <w:sz w:val="20"/>
                <w:szCs w:val="20"/>
                <w:color w:val="auto"/>
              </w:rPr>
            </w:pPr>
            <w:r>
              <w:rPr>
                <w:rFonts w:ascii="Arial" w:cs="Arial" w:eastAsia="Arial" w:hAnsi="Arial"/>
                <w:sz w:val="14"/>
                <w:szCs w:val="14"/>
                <w:color w:val="auto"/>
              </w:rPr>
              <w:t>The Williams Companies Inc.</w:t>
            </w:r>
          </w:p>
        </w:tc>
      </w:tr>
    </w:tbl>
    <w:p>
      <w:pPr>
        <w:spacing w:after="0" w:line="18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2025, the Human Resources Committee, informed by its independent consultant, Meridian, reviewed and approved changes to the named executive peer group to remove American Electric Power Company, Inc., BCE Inc., Canadian National Railway Company and Teck Resources Limited and to add Cheniere Energy, Inc., Emera Incorporated, Energy Transfer LP, Enterprise Products Partners L.P., ONEOK, Inc. and Targa Resources Corp. These changes were made to better align with</w:t>
      </w:r>
    </w:p>
    <w:p>
      <w:pPr>
        <w:spacing w:after="0" w:line="2" w:lineRule="exact"/>
        <w:rPr>
          <w:sz w:val="20"/>
          <w:szCs w:val="20"/>
          <w:color w:val="auto"/>
        </w:rPr>
      </w:pPr>
    </w:p>
    <w:p>
      <w:pPr>
        <w:ind w:right="340"/>
        <w:spacing w:after="0" w:line="337" w:lineRule="auto"/>
        <w:rPr>
          <w:sz w:val="20"/>
          <w:szCs w:val="20"/>
          <w:color w:val="auto"/>
        </w:rPr>
      </w:pPr>
      <w:r>
        <w:rPr>
          <w:rFonts w:ascii="Arial" w:cs="Arial" w:eastAsia="Arial" w:hAnsi="Arial"/>
          <w:sz w:val="16"/>
          <w:szCs w:val="16"/>
          <w:color w:val="auto"/>
        </w:rPr>
        <w:t>TC Energy's increased utility focus moving forward, following the spinoff of the Liquids Pipelines business, and to enhance relative positioning on assets, revenue and enterprise value. There are no proposed changes to the named executive peer group for 2026.</w:t>
      </w:r>
    </w:p>
    <w:p>
      <w:pPr>
        <w:spacing w:after="0" w:line="34" w:lineRule="exact"/>
        <w:rPr>
          <w:sz w:val="20"/>
          <w:szCs w:val="20"/>
          <w:color w:val="auto"/>
        </w:rPr>
      </w:pPr>
    </w:p>
    <w:p>
      <w:pPr>
        <w:ind w:right="420"/>
        <w:spacing w:after="0" w:line="326" w:lineRule="auto"/>
        <w:rPr>
          <w:sz w:val="20"/>
          <w:szCs w:val="20"/>
          <w:color w:val="auto"/>
        </w:rPr>
      </w:pPr>
      <w:r>
        <w:rPr>
          <w:rFonts w:ascii="Arial" w:cs="Arial" w:eastAsia="Arial" w:hAnsi="Arial"/>
          <w:sz w:val="16"/>
          <w:szCs w:val="16"/>
          <w:color w:val="auto"/>
        </w:rPr>
        <w:t>We benchmark each named executive position against similar positions in the peer group and target total direct compensation is generally set within a competitive range of the market median. The Human Resources Committee exercises judgment and is guided by the independent consultant in the interpretation of the market data. Competitive market data for the peer group provides an initial reference point for determining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61"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60"/>
        </w:trPr>
        <w:tc>
          <w:tcPr>
            <w:tcW w:w="4000" w:type="dxa"/>
            <w:vAlign w:val="bottom"/>
            <w:tcBorders>
              <w:top w:val="single" w:sz="8" w:color="0D64EF"/>
              <w:bottom w:val="single" w:sz="8" w:color="D1D0CF"/>
            </w:tcBorders>
            <w:shd w:val="clear" w:color="auto" w:fill="D1D0CF"/>
          </w:tcPr>
          <w:p>
            <w:pPr>
              <w:spacing w:after="0"/>
              <w:rPr>
                <w:sz w:val="22"/>
                <w:szCs w:val="22"/>
                <w:color w:val="auto"/>
              </w:rPr>
            </w:pPr>
          </w:p>
        </w:tc>
        <w:tc>
          <w:tcPr>
            <w:tcW w:w="1480" w:type="dxa"/>
            <w:vAlign w:val="bottom"/>
            <w:tcBorders>
              <w:top w:val="single" w:sz="8" w:color="0D64EF"/>
              <w:bottom w:val="single" w:sz="8" w:color="D1D0CF"/>
            </w:tcBorders>
            <w:shd w:val="clear" w:color="auto" w:fill="D1D0CF"/>
          </w:tcPr>
          <w:p>
            <w:pPr>
              <w:spacing w:after="0"/>
              <w:rPr>
                <w:sz w:val="22"/>
                <w:szCs w:val="22"/>
                <w:color w:val="auto"/>
              </w:rPr>
            </w:pPr>
          </w:p>
        </w:tc>
        <w:tc>
          <w:tcPr>
            <w:tcW w:w="3180" w:type="dxa"/>
            <w:vAlign w:val="bottom"/>
            <w:tcBorders>
              <w:top w:val="single" w:sz="8" w:color="0D64EF"/>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Named executive peer group</w:t>
            </w:r>
          </w:p>
        </w:tc>
        <w:tc>
          <w:tcPr>
            <w:tcW w:w="1100" w:type="dxa"/>
            <w:vAlign w:val="bottom"/>
            <w:tcBorders>
              <w:top w:val="single" w:sz="8" w:color="0D64EF"/>
              <w:bottom w:val="single" w:sz="8" w:color="D1D0CF"/>
            </w:tcBorders>
            <w:shd w:val="clear" w:color="auto" w:fill="D1D0CF"/>
          </w:tcPr>
          <w:p>
            <w:pPr>
              <w:spacing w:after="0"/>
              <w:rPr>
                <w:sz w:val="22"/>
                <w:szCs w:val="22"/>
                <w:color w:val="auto"/>
              </w:rPr>
            </w:pPr>
          </w:p>
        </w:tc>
        <w:tc>
          <w:tcPr>
            <w:tcW w:w="20" w:type="dxa"/>
            <w:vAlign w:val="bottom"/>
          </w:tcPr>
          <w:p>
            <w:pPr>
              <w:spacing w:after="0"/>
              <w:rPr>
                <w:sz w:val="22"/>
                <w:szCs w:val="22"/>
                <w:color w:val="auto"/>
              </w:rPr>
            </w:pPr>
          </w:p>
        </w:tc>
      </w:tr>
      <w:tr>
        <w:trPr>
          <w:trHeight w:val="262"/>
        </w:trPr>
        <w:tc>
          <w:tcPr>
            <w:tcW w:w="4000" w:type="dxa"/>
            <w:vAlign w:val="bottom"/>
            <w:tcBorders>
              <w:top w:val="single" w:sz="8" w:color="D1D0CF"/>
              <w:bottom w:val="single" w:sz="8" w:color="D1D0C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Profiles</w:t>
            </w:r>
          </w:p>
        </w:tc>
        <w:tc>
          <w:tcPr>
            <w:tcW w:w="1480" w:type="dxa"/>
            <w:vAlign w:val="bottom"/>
            <w:tcBorders>
              <w:top w:val="single" w:sz="8" w:color="D1D0CF"/>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TC Energy</w:t>
            </w:r>
          </w:p>
        </w:tc>
        <w:tc>
          <w:tcPr>
            <w:tcW w:w="3180" w:type="dxa"/>
            <w:vAlign w:val="bottom"/>
            <w:tcBorders>
              <w:top w:val="single" w:sz="8" w:color="0D64EF"/>
              <w:bottom w:val="single" w:sz="8" w:color="D1D0CF"/>
            </w:tcBorders>
            <w:shd w:val="clear" w:color="auto" w:fill="D1D0CF"/>
          </w:tcPr>
          <w:p>
            <w:pPr>
              <w:jc w:val="right"/>
              <w:ind w:right="988"/>
              <w:spacing w:after="0"/>
              <w:rPr>
                <w:sz w:val="20"/>
                <w:szCs w:val="20"/>
                <w:color w:val="auto"/>
              </w:rPr>
            </w:pPr>
            <w:r>
              <w:rPr>
                <w:rFonts w:ascii="Arial" w:cs="Arial" w:eastAsia="Arial" w:hAnsi="Arial"/>
                <w:sz w:val="14"/>
                <w:szCs w:val="14"/>
                <w:b w:val="1"/>
                <w:bCs w:val="1"/>
                <w:color w:val="auto"/>
              </w:rPr>
              <w:t>Median</w:t>
            </w:r>
          </w:p>
        </w:tc>
        <w:tc>
          <w:tcPr>
            <w:tcW w:w="1100" w:type="dxa"/>
            <w:vAlign w:val="bottom"/>
            <w:tcBorders>
              <w:top w:val="single" w:sz="8" w:color="0D64EF"/>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75th percentile</w:t>
            </w:r>
          </w:p>
        </w:tc>
        <w:tc>
          <w:tcPr>
            <w:tcW w:w="20" w:type="dxa"/>
            <w:vAlign w:val="bottom"/>
          </w:tcPr>
          <w:p>
            <w:pPr>
              <w:spacing w:after="0"/>
              <w:rPr>
                <w:sz w:val="22"/>
                <w:szCs w:val="22"/>
                <w:color w:val="auto"/>
              </w:rPr>
            </w:pPr>
          </w:p>
        </w:tc>
      </w:tr>
      <w:tr>
        <w:trPr>
          <w:trHeight w:val="201"/>
        </w:trPr>
        <w:tc>
          <w:tcPr>
            <w:tcW w:w="4000" w:type="dxa"/>
            <w:vAlign w:val="bottom"/>
            <w:tcBorders>
              <w:top w:val="single" w:sz="8" w:color="0D64EF"/>
            </w:tcBorders>
          </w:tcPr>
          <w:p>
            <w:pPr>
              <w:ind w:left="20"/>
              <w:spacing w:after="0"/>
              <w:rPr>
                <w:sz w:val="20"/>
                <w:szCs w:val="20"/>
                <w:color w:val="auto"/>
              </w:rPr>
            </w:pPr>
            <w:r>
              <w:rPr>
                <w:rFonts w:ascii="Arial" w:cs="Arial" w:eastAsia="Arial" w:hAnsi="Arial"/>
                <w:sz w:val="14"/>
                <w:szCs w:val="14"/>
                <w:color w:val="auto"/>
              </w:rPr>
              <w:t>Assets</w:t>
            </w:r>
          </w:p>
        </w:tc>
        <w:tc>
          <w:tcPr>
            <w:tcW w:w="1480" w:type="dxa"/>
            <w:vAlign w:val="bottom"/>
            <w:tcBorders>
              <w:top w:val="single" w:sz="8" w:color="0D64EF"/>
            </w:tcBorders>
          </w:tcPr>
          <w:p>
            <w:pPr>
              <w:jc w:val="right"/>
              <w:spacing w:after="0"/>
              <w:rPr>
                <w:sz w:val="20"/>
                <w:szCs w:val="20"/>
                <w:color w:val="auto"/>
              </w:rPr>
            </w:pPr>
            <w:r>
              <w:rPr>
                <w:rFonts w:ascii="Arial" w:cs="Arial" w:eastAsia="Arial" w:hAnsi="Arial"/>
                <w:sz w:val="14"/>
                <w:szCs w:val="14"/>
                <w:color w:val="auto"/>
              </w:rPr>
              <w:t>$118.2 billion</w:t>
            </w:r>
          </w:p>
        </w:tc>
        <w:tc>
          <w:tcPr>
            <w:tcW w:w="3180" w:type="dxa"/>
            <w:vAlign w:val="bottom"/>
            <w:tcBorders>
              <w:top w:val="single" w:sz="8" w:color="0D64EF"/>
            </w:tcBorders>
          </w:tcPr>
          <w:p>
            <w:pPr>
              <w:jc w:val="right"/>
              <w:ind w:right="988"/>
              <w:spacing w:after="0"/>
              <w:rPr>
                <w:sz w:val="20"/>
                <w:szCs w:val="20"/>
                <w:color w:val="auto"/>
              </w:rPr>
            </w:pPr>
            <w:r>
              <w:rPr>
                <w:rFonts w:ascii="Arial" w:cs="Arial" w:eastAsia="Arial" w:hAnsi="Arial"/>
                <w:sz w:val="14"/>
                <w:szCs w:val="14"/>
                <w:color w:val="auto"/>
              </w:rPr>
              <w:t>$93.8 billion</w:t>
            </w:r>
          </w:p>
        </w:tc>
        <w:tc>
          <w:tcPr>
            <w:tcW w:w="1100" w:type="dxa"/>
            <w:vAlign w:val="bottom"/>
            <w:tcBorders>
              <w:top w:val="single" w:sz="8" w:color="0D64EF"/>
            </w:tcBorders>
          </w:tcPr>
          <w:p>
            <w:pPr>
              <w:jc w:val="right"/>
              <w:spacing w:after="0"/>
              <w:rPr>
                <w:sz w:val="20"/>
                <w:szCs w:val="20"/>
                <w:color w:val="auto"/>
              </w:rPr>
            </w:pPr>
            <w:r>
              <w:rPr>
                <w:rFonts w:ascii="Arial" w:cs="Arial" w:eastAsia="Arial" w:hAnsi="Arial"/>
                <w:sz w:val="14"/>
                <w:szCs w:val="14"/>
                <w:color w:val="auto"/>
              </w:rPr>
              <w:t>$145.8 billion</w:t>
            </w:r>
          </w:p>
        </w:tc>
        <w:tc>
          <w:tcPr>
            <w:tcW w:w="20" w:type="dxa"/>
            <w:vAlign w:val="bottom"/>
            <w:tcBorders>
              <w:top w:val="single" w:sz="8" w:color="0D64EF"/>
            </w:tcBorders>
          </w:tcPr>
          <w:p>
            <w:pPr>
              <w:spacing w:after="0"/>
              <w:rPr>
                <w:sz w:val="17"/>
                <w:szCs w:val="17"/>
                <w:color w:val="auto"/>
              </w:rPr>
            </w:pPr>
          </w:p>
        </w:tc>
      </w:tr>
      <w:tr>
        <w:trPr>
          <w:trHeight w:val="21"/>
        </w:trPr>
        <w:tc>
          <w:tcPr>
            <w:tcW w:w="4000" w:type="dxa"/>
            <w:vAlign w:val="bottom"/>
            <w:tcBorders>
              <w:bottom w:val="single" w:sz="8" w:color="B2B2B2"/>
            </w:tcBorders>
          </w:tcPr>
          <w:p>
            <w:pPr>
              <w:spacing w:after="0" w:line="20" w:lineRule="exact"/>
              <w:rPr>
                <w:sz w:val="1"/>
                <w:szCs w:val="1"/>
                <w:color w:val="auto"/>
              </w:rPr>
            </w:pPr>
          </w:p>
        </w:tc>
        <w:tc>
          <w:tcPr>
            <w:tcW w:w="1480" w:type="dxa"/>
            <w:vAlign w:val="bottom"/>
            <w:tcBorders>
              <w:bottom w:val="single" w:sz="8" w:color="B2B2B2"/>
            </w:tcBorders>
          </w:tcPr>
          <w:p>
            <w:pPr>
              <w:spacing w:after="0" w:line="20" w:lineRule="exact"/>
              <w:rPr>
                <w:sz w:val="1"/>
                <w:szCs w:val="1"/>
                <w:color w:val="auto"/>
              </w:rPr>
            </w:pPr>
          </w:p>
        </w:tc>
        <w:tc>
          <w:tcPr>
            <w:tcW w:w="3180" w:type="dxa"/>
            <w:vAlign w:val="bottom"/>
            <w:tcBorders>
              <w:bottom w:val="single" w:sz="8" w:color="B2B2B2"/>
            </w:tcBorders>
          </w:tcPr>
          <w:p>
            <w:pPr>
              <w:spacing w:after="0" w:line="20" w:lineRule="exact"/>
              <w:rPr>
                <w:sz w:val="1"/>
                <w:szCs w:val="1"/>
                <w:color w:val="auto"/>
              </w:rPr>
            </w:pPr>
          </w:p>
        </w:tc>
        <w:tc>
          <w:tcPr>
            <w:tcW w:w="110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Revenue</w:t>
            </w:r>
          </w:p>
        </w:tc>
        <w:tc>
          <w:tcPr>
            <w:tcW w:w="1480" w:type="dxa"/>
            <w:vAlign w:val="bottom"/>
          </w:tcPr>
          <w:p>
            <w:pPr>
              <w:jc w:val="right"/>
              <w:spacing w:after="0"/>
              <w:rPr>
                <w:sz w:val="20"/>
                <w:szCs w:val="20"/>
                <w:color w:val="auto"/>
              </w:rPr>
            </w:pPr>
            <w:r>
              <w:rPr>
                <w:rFonts w:ascii="Arial" w:cs="Arial" w:eastAsia="Arial" w:hAnsi="Arial"/>
                <w:sz w:val="14"/>
                <w:szCs w:val="14"/>
                <w:color w:val="auto"/>
              </w:rPr>
              <w:t>$13.8 billion</w:t>
            </w:r>
          </w:p>
        </w:tc>
        <w:tc>
          <w:tcPr>
            <w:tcW w:w="3180" w:type="dxa"/>
            <w:vAlign w:val="bottom"/>
          </w:tcPr>
          <w:p>
            <w:pPr>
              <w:jc w:val="right"/>
              <w:ind w:right="988"/>
              <w:spacing w:after="0"/>
              <w:rPr>
                <w:sz w:val="20"/>
                <w:szCs w:val="20"/>
                <w:color w:val="auto"/>
              </w:rPr>
            </w:pPr>
            <w:r>
              <w:rPr>
                <w:rFonts w:ascii="Arial" w:cs="Arial" w:eastAsia="Arial" w:hAnsi="Arial"/>
                <w:sz w:val="14"/>
                <w:szCs w:val="14"/>
                <w:color w:val="auto"/>
              </w:rPr>
              <w:t>$32.7 billion</w:t>
            </w:r>
          </w:p>
        </w:tc>
        <w:tc>
          <w:tcPr>
            <w:tcW w:w="1100" w:type="dxa"/>
            <w:vAlign w:val="bottom"/>
          </w:tcPr>
          <w:p>
            <w:pPr>
              <w:jc w:val="right"/>
              <w:spacing w:after="0"/>
              <w:rPr>
                <w:sz w:val="20"/>
                <w:szCs w:val="20"/>
                <w:color w:val="auto"/>
              </w:rPr>
            </w:pPr>
            <w:r>
              <w:rPr>
                <w:rFonts w:ascii="Arial" w:cs="Arial" w:eastAsia="Arial" w:hAnsi="Arial"/>
                <w:sz w:val="14"/>
                <w:szCs w:val="14"/>
                <w:color w:val="auto"/>
              </w:rPr>
              <w:t>$48.3 billion</w:t>
            </w:r>
          </w:p>
        </w:tc>
        <w:tc>
          <w:tcPr>
            <w:tcW w:w="20" w:type="dxa"/>
            <w:vAlign w:val="bottom"/>
          </w:tcPr>
          <w:p>
            <w:pPr>
              <w:spacing w:after="0"/>
              <w:rPr>
                <w:sz w:val="17"/>
                <w:szCs w:val="17"/>
                <w:color w:val="auto"/>
              </w:rPr>
            </w:pPr>
          </w:p>
        </w:tc>
      </w:tr>
      <w:tr>
        <w:trPr>
          <w:trHeight w:val="21"/>
        </w:trPr>
        <w:tc>
          <w:tcPr>
            <w:tcW w:w="4000" w:type="dxa"/>
            <w:vAlign w:val="bottom"/>
            <w:tcBorders>
              <w:bottom w:val="single" w:sz="8" w:color="B2B2B2"/>
            </w:tcBorders>
          </w:tcPr>
          <w:p>
            <w:pPr>
              <w:spacing w:after="0" w:line="20" w:lineRule="exact"/>
              <w:rPr>
                <w:sz w:val="1"/>
                <w:szCs w:val="1"/>
                <w:color w:val="auto"/>
              </w:rPr>
            </w:pPr>
          </w:p>
        </w:tc>
        <w:tc>
          <w:tcPr>
            <w:tcW w:w="1480" w:type="dxa"/>
            <w:vAlign w:val="bottom"/>
            <w:tcBorders>
              <w:bottom w:val="single" w:sz="8" w:color="B2B2B2"/>
            </w:tcBorders>
          </w:tcPr>
          <w:p>
            <w:pPr>
              <w:spacing w:after="0" w:line="20" w:lineRule="exact"/>
              <w:rPr>
                <w:sz w:val="1"/>
                <w:szCs w:val="1"/>
                <w:color w:val="auto"/>
              </w:rPr>
            </w:pPr>
          </w:p>
        </w:tc>
        <w:tc>
          <w:tcPr>
            <w:tcW w:w="3180" w:type="dxa"/>
            <w:vAlign w:val="bottom"/>
            <w:tcBorders>
              <w:bottom w:val="single" w:sz="8" w:color="B2B2B2"/>
            </w:tcBorders>
          </w:tcPr>
          <w:p>
            <w:pPr>
              <w:spacing w:after="0" w:line="20" w:lineRule="exact"/>
              <w:rPr>
                <w:sz w:val="1"/>
                <w:szCs w:val="1"/>
                <w:color w:val="auto"/>
              </w:rPr>
            </w:pPr>
          </w:p>
        </w:tc>
        <w:tc>
          <w:tcPr>
            <w:tcW w:w="110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r>
      <w:tr>
        <w:trPr>
          <w:trHeight w:val="186"/>
        </w:trPr>
        <w:tc>
          <w:tcPr>
            <w:tcW w:w="4000" w:type="dxa"/>
            <w:vAlign w:val="bottom"/>
          </w:tcPr>
          <w:p>
            <w:pPr>
              <w:ind w:left="20"/>
              <w:spacing w:after="0"/>
              <w:rPr>
                <w:sz w:val="20"/>
                <w:szCs w:val="20"/>
                <w:color w:val="auto"/>
              </w:rPr>
            </w:pPr>
            <w:r>
              <w:rPr>
                <w:rFonts w:ascii="Arial" w:cs="Arial" w:eastAsia="Arial" w:hAnsi="Arial"/>
                <w:sz w:val="14"/>
                <w:szCs w:val="14"/>
                <w:color w:val="auto"/>
              </w:rPr>
              <w:t>Market capitalization at December 31, 2025 (Monthly</w:t>
            </w:r>
          </w:p>
        </w:tc>
        <w:tc>
          <w:tcPr>
            <w:tcW w:w="14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4000" w:type="dxa"/>
            <w:vAlign w:val="bottom"/>
          </w:tcPr>
          <w:p>
            <w:pPr>
              <w:ind w:left="20"/>
              <w:spacing w:after="0"/>
              <w:rPr>
                <w:sz w:val="20"/>
                <w:szCs w:val="20"/>
                <w:color w:val="auto"/>
              </w:rPr>
            </w:pPr>
            <w:r>
              <w:rPr>
                <w:rFonts w:ascii="Arial" w:cs="Arial" w:eastAsia="Arial" w:hAnsi="Arial"/>
                <w:sz w:val="14"/>
                <w:szCs w:val="14"/>
                <w:color w:val="auto"/>
              </w:rPr>
              <w:t>closing price of shares × shares outstanding for the</w:t>
            </w:r>
          </w:p>
        </w:tc>
        <w:tc>
          <w:tcPr>
            <w:tcW w:w="1480" w:type="dxa"/>
            <w:vAlign w:val="bottom"/>
          </w:tcPr>
          <w:p>
            <w:pPr>
              <w:jc w:val="right"/>
              <w:spacing w:after="0"/>
              <w:rPr>
                <w:sz w:val="20"/>
                <w:szCs w:val="20"/>
                <w:color w:val="auto"/>
              </w:rPr>
            </w:pPr>
            <w:r>
              <w:rPr>
                <w:rFonts w:ascii="Arial" w:cs="Arial" w:eastAsia="Arial" w:hAnsi="Arial"/>
                <w:sz w:val="14"/>
                <w:szCs w:val="14"/>
                <w:color w:val="auto"/>
              </w:rPr>
              <w:t>$78.7 billion</w:t>
            </w:r>
          </w:p>
        </w:tc>
        <w:tc>
          <w:tcPr>
            <w:tcW w:w="3180" w:type="dxa"/>
            <w:vAlign w:val="bottom"/>
          </w:tcPr>
          <w:p>
            <w:pPr>
              <w:jc w:val="right"/>
              <w:ind w:right="988"/>
              <w:spacing w:after="0"/>
              <w:rPr>
                <w:sz w:val="20"/>
                <w:szCs w:val="20"/>
                <w:color w:val="auto"/>
              </w:rPr>
            </w:pPr>
            <w:r>
              <w:rPr>
                <w:rFonts w:ascii="Arial" w:cs="Arial" w:eastAsia="Arial" w:hAnsi="Arial"/>
                <w:sz w:val="14"/>
                <w:szCs w:val="14"/>
                <w:color w:val="auto"/>
              </w:rPr>
              <w:t>$71.6 billion</w:t>
            </w:r>
          </w:p>
        </w:tc>
        <w:tc>
          <w:tcPr>
            <w:tcW w:w="1100" w:type="dxa"/>
            <w:vAlign w:val="bottom"/>
          </w:tcPr>
          <w:p>
            <w:pPr>
              <w:jc w:val="right"/>
              <w:spacing w:after="0"/>
              <w:rPr>
                <w:sz w:val="20"/>
                <w:szCs w:val="20"/>
                <w:color w:val="auto"/>
              </w:rPr>
            </w:pPr>
            <w:r>
              <w:rPr>
                <w:rFonts w:ascii="Arial" w:cs="Arial" w:eastAsia="Arial" w:hAnsi="Arial"/>
                <w:sz w:val="14"/>
                <w:szCs w:val="14"/>
                <w:color w:val="auto"/>
              </w:rPr>
              <w:t>$96.9 billion</w:t>
            </w:r>
          </w:p>
        </w:tc>
        <w:tc>
          <w:tcPr>
            <w:tcW w:w="20" w:type="dxa"/>
            <w:vAlign w:val="bottom"/>
          </w:tcPr>
          <w:p>
            <w:pPr>
              <w:spacing w:after="0"/>
              <w:rPr>
                <w:sz w:val="15"/>
                <w:szCs w:val="15"/>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most recent quarter)</w:t>
            </w:r>
          </w:p>
        </w:tc>
        <w:tc>
          <w:tcPr>
            <w:tcW w:w="14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8"/>
        </w:trPr>
        <w:tc>
          <w:tcPr>
            <w:tcW w:w="4000" w:type="dxa"/>
            <w:vAlign w:val="bottom"/>
            <w:tcBorders>
              <w:bottom w:val="single" w:sz="8" w:color="B2B2B2"/>
            </w:tcBorders>
          </w:tcPr>
          <w:p>
            <w:pPr>
              <w:spacing w:after="0"/>
              <w:rPr>
                <w:sz w:val="4"/>
                <w:szCs w:val="4"/>
                <w:color w:val="auto"/>
              </w:rPr>
            </w:pPr>
          </w:p>
        </w:tc>
        <w:tc>
          <w:tcPr>
            <w:tcW w:w="1480" w:type="dxa"/>
            <w:vAlign w:val="bottom"/>
            <w:tcBorders>
              <w:bottom w:val="single" w:sz="8" w:color="B2B2B2"/>
            </w:tcBorders>
          </w:tcPr>
          <w:p>
            <w:pPr>
              <w:spacing w:after="0"/>
              <w:rPr>
                <w:sz w:val="4"/>
                <w:szCs w:val="4"/>
                <w:color w:val="auto"/>
              </w:rPr>
            </w:pPr>
          </w:p>
        </w:tc>
        <w:tc>
          <w:tcPr>
            <w:tcW w:w="318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20" w:type="dxa"/>
            <w:vAlign w:val="bottom"/>
            <w:tcBorders>
              <w:bottom w:val="single" w:sz="8" w:color="B2B2B2"/>
            </w:tcBorders>
          </w:tcPr>
          <w:p>
            <w:pPr>
              <w:spacing w:after="0"/>
              <w:rPr>
                <w:sz w:val="4"/>
                <w:szCs w:val="4"/>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Employees</w:t>
            </w:r>
          </w:p>
        </w:tc>
        <w:tc>
          <w:tcPr>
            <w:tcW w:w="1480" w:type="dxa"/>
            <w:vAlign w:val="bottom"/>
          </w:tcPr>
          <w:p>
            <w:pPr>
              <w:jc w:val="right"/>
              <w:spacing w:after="0"/>
              <w:rPr>
                <w:sz w:val="20"/>
                <w:szCs w:val="20"/>
                <w:color w:val="auto"/>
              </w:rPr>
            </w:pPr>
            <w:r>
              <w:rPr>
                <w:rFonts w:ascii="Arial" w:cs="Arial" w:eastAsia="Arial" w:hAnsi="Arial"/>
                <w:sz w:val="14"/>
                <w:szCs w:val="14"/>
                <w:color w:val="auto"/>
              </w:rPr>
              <w:t>6,774</w:t>
            </w:r>
          </w:p>
        </w:tc>
        <w:tc>
          <w:tcPr>
            <w:tcW w:w="3180" w:type="dxa"/>
            <w:vAlign w:val="bottom"/>
          </w:tcPr>
          <w:p>
            <w:pPr>
              <w:jc w:val="right"/>
              <w:ind w:right="988"/>
              <w:spacing w:after="0"/>
              <w:rPr>
                <w:sz w:val="20"/>
                <w:szCs w:val="20"/>
                <w:color w:val="auto"/>
              </w:rPr>
            </w:pPr>
            <w:r>
              <w:rPr>
                <w:rFonts w:ascii="Arial" w:cs="Arial" w:eastAsia="Arial" w:hAnsi="Arial"/>
                <w:sz w:val="14"/>
                <w:szCs w:val="14"/>
                <w:color w:val="auto"/>
              </w:rPr>
              <w:t>10,787</w:t>
            </w:r>
          </w:p>
        </w:tc>
        <w:tc>
          <w:tcPr>
            <w:tcW w:w="1100" w:type="dxa"/>
            <w:vAlign w:val="bottom"/>
          </w:tcPr>
          <w:p>
            <w:pPr>
              <w:jc w:val="right"/>
              <w:spacing w:after="0"/>
              <w:rPr>
                <w:sz w:val="20"/>
                <w:szCs w:val="20"/>
                <w:color w:val="auto"/>
              </w:rPr>
            </w:pPr>
            <w:r>
              <w:rPr>
                <w:rFonts w:ascii="Arial" w:cs="Arial" w:eastAsia="Arial" w:hAnsi="Arial"/>
                <w:sz w:val="14"/>
                <w:szCs w:val="14"/>
                <w:color w:val="auto"/>
              </w:rPr>
              <w:t>15,939</w:t>
            </w:r>
          </w:p>
        </w:tc>
        <w:tc>
          <w:tcPr>
            <w:tcW w:w="20" w:type="dxa"/>
            <w:vAlign w:val="bottom"/>
          </w:tcPr>
          <w:p>
            <w:pPr>
              <w:spacing w:after="0"/>
              <w:rPr>
                <w:sz w:val="17"/>
                <w:szCs w:val="17"/>
                <w:color w:val="auto"/>
              </w:rPr>
            </w:pPr>
          </w:p>
        </w:tc>
      </w:tr>
      <w:tr>
        <w:trPr>
          <w:trHeight w:val="21"/>
        </w:trPr>
        <w:tc>
          <w:tcPr>
            <w:tcW w:w="4000" w:type="dxa"/>
            <w:vAlign w:val="bottom"/>
            <w:tcBorders>
              <w:bottom w:val="single" w:sz="8" w:color="0D64EF"/>
            </w:tcBorders>
          </w:tcPr>
          <w:p>
            <w:pPr>
              <w:spacing w:after="0" w:line="20" w:lineRule="exact"/>
              <w:rPr>
                <w:sz w:val="1"/>
                <w:szCs w:val="1"/>
                <w:color w:val="auto"/>
              </w:rPr>
            </w:pPr>
          </w:p>
        </w:tc>
        <w:tc>
          <w:tcPr>
            <w:tcW w:w="1480" w:type="dxa"/>
            <w:vAlign w:val="bottom"/>
            <w:tcBorders>
              <w:bottom w:val="single" w:sz="8" w:color="0D64EF"/>
            </w:tcBorders>
          </w:tcPr>
          <w:p>
            <w:pPr>
              <w:spacing w:after="0" w:line="20" w:lineRule="exact"/>
              <w:rPr>
                <w:sz w:val="1"/>
                <w:szCs w:val="1"/>
                <w:color w:val="auto"/>
              </w:rPr>
            </w:pPr>
          </w:p>
        </w:tc>
        <w:tc>
          <w:tcPr>
            <w:tcW w:w="3180" w:type="dxa"/>
            <w:vAlign w:val="bottom"/>
            <w:tcBorders>
              <w:bottom w:val="single" w:sz="8" w:color="0D64EF"/>
            </w:tcBorders>
          </w:tcPr>
          <w:p>
            <w:pPr>
              <w:spacing w:after="0" w:line="20" w:lineRule="exact"/>
              <w:rPr>
                <w:sz w:val="1"/>
                <w:szCs w:val="1"/>
                <w:color w:val="auto"/>
              </w:rPr>
            </w:pPr>
          </w:p>
        </w:tc>
        <w:tc>
          <w:tcPr>
            <w:tcW w:w="1100" w:type="dxa"/>
            <w:vAlign w:val="bottom"/>
            <w:tcBorders>
              <w:bottom w:val="single" w:sz="8" w:color="0D64EF"/>
            </w:tcBorders>
          </w:tcPr>
          <w:p>
            <w:pPr>
              <w:spacing w:after="0" w:line="20" w:lineRule="exact"/>
              <w:rPr>
                <w:sz w:val="1"/>
                <w:szCs w:val="1"/>
                <w:color w:val="auto"/>
              </w:rPr>
            </w:pPr>
          </w:p>
        </w:tc>
        <w:tc>
          <w:tcPr>
            <w:tcW w:w="20" w:type="dxa"/>
            <w:vAlign w:val="bottom"/>
            <w:tcBorders>
              <w:bottom w:val="single" w:sz="8" w:color="0D64E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6198870</wp:posOffset>
            </wp:positionH>
            <wp:positionV relativeFrom="paragraph">
              <wp:posOffset>-861060</wp:posOffset>
            </wp:positionV>
            <wp:extent cx="8255" cy="8616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6169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-861060</wp:posOffset>
            </wp:positionV>
            <wp:extent cx="8255" cy="8616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61695"/>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-861060</wp:posOffset>
            </wp:positionV>
            <wp:extent cx="8255" cy="8616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61695"/>
                    </a:xfrm>
                    <a:prstGeom prst="rect">
                      <a:avLst/>
                    </a:prstGeom>
                    <a:noFill/>
                  </pic:spPr>
                </pic:pic>
              </a:graphicData>
            </a:graphic>
          </wp:anchor>
        </w:drawing>
        <w:drawing>
          <wp:anchor simplePos="0" relativeHeight="251657728" behindDoc="1" locked="0" layoutInCell="0" allowOverlap="1">
            <wp:simplePos x="0" y="0"/>
            <wp:positionH relativeFrom="column">
              <wp:posOffset>2205990</wp:posOffset>
            </wp:positionH>
            <wp:positionV relativeFrom="paragraph">
              <wp:posOffset>-861060</wp:posOffset>
            </wp:positionV>
            <wp:extent cx="8255" cy="8616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6169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60" w:right="20" w:hanging="153"/>
        <w:spacing w:after="0" w:line="301" w:lineRule="auto"/>
        <w:tabs>
          <w:tab w:leader="none" w:pos="137" w:val="left"/>
        </w:tabs>
        <w:numPr>
          <w:ilvl w:val="0"/>
          <w:numId w:val="118"/>
        </w:numPr>
        <w:rPr>
          <w:rFonts w:ascii="Arial" w:cs="Arial" w:eastAsia="Arial" w:hAnsi="Arial"/>
          <w:sz w:val="13"/>
          <w:szCs w:val="13"/>
          <w:color w:val="auto"/>
        </w:rPr>
      </w:pPr>
      <w:r>
        <w:rPr>
          <w:rFonts w:ascii="Arial" w:cs="Arial" w:eastAsia="Arial" w:hAnsi="Arial"/>
          <w:sz w:val="13"/>
          <w:szCs w:val="13"/>
          <w:color w:val="auto"/>
        </w:rPr>
        <w:t>Named executive peer group scope information reflects 2024 data, unless otherwise noted, as this was the most current information available at the time the analysis was performed. For comparability, the TC Energy scope information also reflects 2024 data.</w:t>
      </w:r>
    </w:p>
    <w:p>
      <w:pPr>
        <w:spacing w:after="0" w:line="1" w:lineRule="exact"/>
        <w:rPr>
          <w:rFonts w:ascii="Arial" w:cs="Arial" w:eastAsia="Arial" w:hAnsi="Arial"/>
          <w:sz w:val="13"/>
          <w:szCs w:val="13"/>
          <w:color w:val="auto"/>
        </w:rPr>
      </w:pPr>
    </w:p>
    <w:p>
      <w:pPr>
        <w:ind w:left="140" w:hanging="133"/>
        <w:spacing w:after="0"/>
        <w:tabs>
          <w:tab w:leader="none" w:pos="1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Values reflect a U.S./Canadian foreign exchange rate of 1.3978 for 2025 and 1.3698 for 2024.</w:t>
      </w:r>
    </w:p>
    <w:p>
      <w:pPr>
        <w:spacing w:after="0" w:line="204" w:lineRule="exact"/>
        <w:rPr>
          <w:sz w:val="20"/>
          <w:szCs w:val="20"/>
          <w:color w:val="auto"/>
        </w:rPr>
      </w:pPr>
    </w:p>
    <w:p>
      <w:pPr>
        <w:ind w:right="520"/>
        <w:spacing w:after="0" w:line="354" w:lineRule="auto"/>
        <w:rPr>
          <w:sz w:val="20"/>
          <w:szCs w:val="20"/>
          <w:color w:val="auto"/>
        </w:rPr>
      </w:pPr>
      <w:r>
        <w:rPr>
          <w:rFonts w:ascii="Arial" w:cs="Arial" w:eastAsia="Arial" w:hAnsi="Arial"/>
          <w:sz w:val="16"/>
          <w:szCs w:val="16"/>
          <w:color w:val="auto"/>
        </w:rPr>
        <w:t>Target total direct compensation is generally set within a competitive range of the market median. Actual compensation will be above or below median, depending on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73660</wp:posOffset>
            </wp:positionV>
            <wp:extent cx="4914265" cy="1066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14265" cy="106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Components</w:t>
      </w:r>
      <w:r>
        <w:rPr>
          <w:rFonts w:ascii="Arial" w:cs="Arial" w:eastAsia="Arial" w:hAnsi="Arial"/>
          <w:sz w:val="16"/>
          <w:szCs w:val="16"/>
          <w:color w:val="auto"/>
        </w:rPr>
        <w:t xml:space="preserve"> on page 94 for more information about total direct and indirect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Aligning the interests of executives and shareholders</w:t>
      </w:r>
    </w:p>
    <w:p>
      <w:pPr>
        <w:spacing w:after="0" w:line="40" w:lineRule="exact"/>
        <w:rPr>
          <w:sz w:val="20"/>
          <w:szCs w:val="20"/>
          <w:color w:val="auto"/>
        </w:rPr>
      </w:pPr>
    </w:p>
    <w:p>
      <w:pPr>
        <w:ind w:right="380"/>
        <w:spacing w:after="0" w:line="354" w:lineRule="auto"/>
        <w:rPr>
          <w:sz w:val="20"/>
          <w:szCs w:val="20"/>
          <w:color w:val="auto"/>
        </w:rPr>
      </w:pPr>
      <w:r>
        <w:rPr>
          <w:rFonts w:ascii="Arial" w:cs="Arial" w:eastAsia="Arial" w:hAnsi="Arial"/>
          <w:sz w:val="16"/>
          <w:szCs w:val="16"/>
          <w:color w:val="auto"/>
        </w:rPr>
        <w:t>We have share ownership requirements to align the interests of our executives and shareholders. The minimum requirements are significant and vary by executive level. As at December 31, 2025 the ownership requirements were: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40" w:type="dxa"/>
            <w:vAlign w:val="bottom"/>
            <w:tcBorders>
              <w:top w:val="single" w:sz="8" w:color="0D64EF"/>
            </w:tcBorders>
            <w:vMerge w:val="restart"/>
            <w:shd w:val="clear" w:color="auto" w:fill="D1D0CF"/>
          </w:tcPr>
          <w:p>
            <w:pPr>
              <w:ind w:left="20"/>
              <w:spacing w:after="0"/>
              <w:rPr>
                <w:sz w:val="20"/>
                <w:szCs w:val="20"/>
                <w:color w:val="auto"/>
              </w:rPr>
            </w:pPr>
            <w:r>
              <w:rPr>
                <w:rFonts w:ascii="Arial" w:cs="Arial" w:eastAsia="Arial" w:hAnsi="Arial"/>
                <w:sz w:val="14"/>
                <w:szCs w:val="14"/>
                <w:b w:val="1"/>
                <w:bCs w:val="1"/>
                <w:color w:val="auto"/>
              </w:rPr>
              <w:t>Executive level</w:t>
            </w:r>
          </w:p>
        </w:tc>
        <w:tc>
          <w:tcPr>
            <w:tcW w:w="4020" w:type="dxa"/>
            <w:vAlign w:val="bottom"/>
            <w:tcBorders>
              <w:top w:val="single" w:sz="8" w:color="0D64EF"/>
            </w:tcBorders>
            <w:shd w:val="clear" w:color="auto" w:fill="D1D0CF"/>
          </w:tcPr>
          <w:p>
            <w:pPr>
              <w:ind w:left="980"/>
              <w:spacing w:after="0"/>
              <w:rPr>
                <w:sz w:val="20"/>
                <w:szCs w:val="20"/>
                <w:color w:val="auto"/>
              </w:rPr>
            </w:pPr>
            <w:r>
              <w:rPr>
                <w:rFonts w:ascii="Arial" w:cs="Arial" w:eastAsia="Arial" w:hAnsi="Arial"/>
                <w:sz w:val="14"/>
                <w:szCs w:val="14"/>
                <w:b w:val="1"/>
                <w:bCs w:val="1"/>
                <w:color w:val="auto"/>
              </w:rPr>
              <w:t>Required ownership</w:t>
            </w:r>
          </w:p>
        </w:tc>
        <w:tc>
          <w:tcPr>
            <w:tcW w:w="0" w:type="dxa"/>
            <w:vAlign w:val="bottom"/>
          </w:tcPr>
          <w:p>
            <w:pPr>
              <w:spacing w:after="0"/>
              <w:rPr>
                <w:sz w:val="1"/>
                <w:szCs w:val="1"/>
                <w:color w:val="auto"/>
              </w:rPr>
            </w:pPr>
          </w:p>
        </w:tc>
      </w:tr>
      <w:tr>
        <w:trPr>
          <w:trHeight w:val="224"/>
        </w:trPr>
        <w:tc>
          <w:tcPr>
            <w:tcW w:w="3140" w:type="dxa"/>
            <w:vAlign w:val="bottom"/>
            <w:tcBorders>
              <w:bottom w:val="single" w:sz="8" w:color="D1D0CF"/>
            </w:tcBorders>
            <w:vMerge w:val="continue"/>
            <w:shd w:val="clear" w:color="auto" w:fill="D1D0CF"/>
          </w:tcPr>
          <w:p>
            <w:pPr>
              <w:spacing w:after="0"/>
              <w:rPr>
                <w:sz w:val="19"/>
                <w:szCs w:val="19"/>
                <w:color w:val="auto"/>
              </w:rPr>
            </w:pPr>
          </w:p>
        </w:tc>
        <w:tc>
          <w:tcPr>
            <w:tcW w:w="4020" w:type="dxa"/>
            <w:vAlign w:val="bottom"/>
            <w:tcBorders>
              <w:bottom w:val="single" w:sz="8" w:color="D1D0CF"/>
            </w:tcBorders>
            <w:shd w:val="clear" w:color="auto" w:fill="D1D0CF"/>
          </w:tcPr>
          <w:p>
            <w:pPr>
              <w:ind w:left="980"/>
              <w:spacing w:after="0"/>
              <w:rPr>
                <w:sz w:val="20"/>
                <w:szCs w:val="20"/>
                <w:color w:val="auto"/>
              </w:rPr>
            </w:pPr>
            <w:r>
              <w:rPr>
                <w:rFonts w:ascii="Arial" w:cs="Arial" w:eastAsia="Arial" w:hAnsi="Arial"/>
                <w:sz w:val="14"/>
                <w:szCs w:val="14"/>
                <w:b w:val="1"/>
                <w:bCs w:val="1"/>
                <w:color w:val="auto"/>
              </w:rPr>
              <w:t>(multiple of base salary)</w:t>
            </w:r>
          </w:p>
        </w:tc>
        <w:tc>
          <w:tcPr>
            <w:tcW w:w="0" w:type="dxa"/>
            <w:vAlign w:val="bottom"/>
          </w:tcPr>
          <w:p>
            <w:pPr>
              <w:spacing w:after="0"/>
              <w:rPr>
                <w:sz w:val="1"/>
                <w:szCs w:val="1"/>
                <w:color w:val="auto"/>
              </w:rPr>
            </w:pPr>
          </w:p>
        </w:tc>
      </w:tr>
      <w:tr>
        <w:trPr>
          <w:trHeight w:val="187"/>
        </w:trPr>
        <w:tc>
          <w:tcPr>
            <w:tcW w:w="3140" w:type="dxa"/>
            <w:vAlign w:val="bottom"/>
            <w:tcBorders>
              <w:top w:val="single" w:sz="8" w:color="0D64EF"/>
            </w:tcBorders>
          </w:tcPr>
          <w:p>
            <w:pPr>
              <w:ind w:left="20"/>
              <w:spacing w:after="0"/>
              <w:rPr>
                <w:sz w:val="20"/>
                <w:szCs w:val="20"/>
                <w:color w:val="auto"/>
              </w:rPr>
            </w:pPr>
            <w:r>
              <w:rPr>
                <w:rFonts w:ascii="Arial" w:cs="Arial" w:eastAsia="Arial" w:hAnsi="Arial"/>
                <w:sz w:val="14"/>
                <w:szCs w:val="14"/>
                <w:color w:val="auto"/>
              </w:rPr>
              <w:t>CEO</w:t>
            </w:r>
          </w:p>
        </w:tc>
        <w:tc>
          <w:tcPr>
            <w:tcW w:w="4020" w:type="dxa"/>
            <w:vAlign w:val="bottom"/>
            <w:tcBorders>
              <w:top w:val="single" w:sz="8" w:color="0D64EF"/>
            </w:tcBorders>
          </w:tcPr>
          <w:p>
            <w:pPr>
              <w:ind w:left="980"/>
              <w:spacing w:after="0"/>
              <w:rPr>
                <w:sz w:val="20"/>
                <w:szCs w:val="20"/>
                <w:color w:val="auto"/>
              </w:rPr>
            </w:pPr>
            <w:r>
              <w:rPr>
                <w:rFonts w:ascii="Arial" w:cs="Arial" w:eastAsia="Arial" w:hAnsi="Arial"/>
                <w:sz w:val="14"/>
                <w:szCs w:val="14"/>
                <w:color w:val="auto"/>
              </w:rPr>
              <w:t>6x</w:t>
            </w:r>
          </w:p>
        </w:tc>
        <w:tc>
          <w:tcPr>
            <w:tcW w:w="0" w:type="dxa"/>
            <w:vAlign w:val="bottom"/>
          </w:tcPr>
          <w:p>
            <w:pPr>
              <w:spacing w:after="0"/>
              <w:rPr>
                <w:sz w:val="1"/>
                <w:szCs w:val="1"/>
                <w:color w:val="auto"/>
              </w:rPr>
            </w:pPr>
          </w:p>
        </w:tc>
      </w:tr>
      <w:tr>
        <w:trPr>
          <w:trHeight w:val="35"/>
        </w:trPr>
        <w:tc>
          <w:tcPr>
            <w:tcW w:w="3140" w:type="dxa"/>
            <w:vAlign w:val="bottom"/>
            <w:tcBorders>
              <w:bottom w:val="single" w:sz="8" w:color="B2B2B2"/>
            </w:tcBorders>
          </w:tcPr>
          <w:p>
            <w:pPr>
              <w:spacing w:after="0"/>
              <w:rPr>
                <w:sz w:val="3"/>
                <w:szCs w:val="3"/>
                <w:color w:val="auto"/>
              </w:rPr>
            </w:pPr>
          </w:p>
        </w:tc>
        <w:tc>
          <w:tcPr>
            <w:tcW w:w="40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40" w:type="dxa"/>
            <w:vAlign w:val="bottom"/>
          </w:tcPr>
          <w:p>
            <w:pPr>
              <w:ind w:left="20"/>
              <w:spacing w:after="0"/>
              <w:rPr>
                <w:sz w:val="20"/>
                <w:szCs w:val="20"/>
                <w:color w:val="auto"/>
              </w:rPr>
            </w:pPr>
            <w:r>
              <w:rPr>
                <w:rFonts w:ascii="Arial" w:cs="Arial" w:eastAsia="Arial" w:hAnsi="Arial"/>
                <w:sz w:val="14"/>
                <w:szCs w:val="14"/>
                <w:color w:val="auto"/>
              </w:rPr>
              <w:t>Executive Vice-President</w:t>
            </w:r>
          </w:p>
        </w:tc>
        <w:tc>
          <w:tcPr>
            <w:tcW w:w="4020" w:type="dxa"/>
            <w:vAlign w:val="bottom"/>
          </w:tcPr>
          <w:p>
            <w:pPr>
              <w:ind w:left="980"/>
              <w:spacing w:after="0"/>
              <w:rPr>
                <w:sz w:val="20"/>
                <w:szCs w:val="20"/>
                <w:color w:val="auto"/>
              </w:rPr>
            </w:pPr>
            <w:r>
              <w:rPr>
                <w:rFonts w:ascii="Arial" w:cs="Arial" w:eastAsia="Arial" w:hAnsi="Arial"/>
                <w:sz w:val="14"/>
                <w:szCs w:val="14"/>
                <w:color w:val="auto"/>
              </w:rPr>
              <w:t>3x</w:t>
            </w:r>
          </w:p>
        </w:tc>
        <w:tc>
          <w:tcPr>
            <w:tcW w:w="0" w:type="dxa"/>
            <w:vAlign w:val="bottom"/>
          </w:tcPr>
          <w:p>
            <w:pPr>
              <w:spacing w:after="0"/>
              <w:rPr>
                <w:sz w:val="1"/>
                <w:szCs w:val="1"/>
                <w:color w:val="auto"/>
              </w:rPr>
            </w:pPr>
          </w:p>
        </w:tc>
      </w:tr>
      <w:tr>
        <w:trPr>
          <w:trHeight w:val="35"/>
        </w:trPr>
        <w:tc>
          <w:tcPr>
            <w:tcW w:w="3140" w:type="dxa"/>
            <w:vAlign w:val="bottom"/>
            <w:tcBorders>
              <w:bottom w:val="single" w:sz="8" w:color="B2B2B2"/>
            </w:tcBorders>
          </w:tcPr>
          <w:p>
            <w:pPr>
              <w:spacing w:after="0"/>
              <w:rPr>
                <w:sz w:val="3"/>
                <w:szCs w:val="3"/>
                <w:color w:val="auto"/>
              </w:rPr>
            </w:pPr>
          </w:p>
        </w:tc>
        <w:tc>
          <w:tcPr>
            <w:tcW w:w="40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40" w:type="dxa"/>
            <w:vAlign w:val="bottom"/>
          </w:tcPr>
          <w:p>
            <w:pPr>
              <w:ind w:left="20"/>
              <w:spacing w:after="0"/>
              <w:rPr>
                <w:sz w:val="20"/>
                <w:szCs w:val="20"/>
                <w:color w:val="auto"/>
              </w:rPr>
            </w:pPr>
            <w:r>
              <w:rPr>
                <w:rFonts w:ascii="Arial" w:cs="Arial" w:eastAsia="Arial" w:hAnsi="Arial"/>
                <w:sz w:val="14"/>
                <w:szCs w:val="14"/>
                <w:color w:val="auto"/>
              </w:rPr>
              <w:t>President &amp; Senior Vice-President</w:t>
            </w:r>
          </w:p>
        </w:tc>
        <w:tc>
          <w:tcPr>
            <w:tcW w:w="4020" w:type="dxa"/>
            <w:vAlign w:val="bottom"/>
          </w:tcPr>
          <w:p>
            <w:pPr>
              <w:ind w:left="980"/>
              <w:spacing w:after="0"/>
              <w:rPr>
                <w:sz w:val="20"/>
                <w:szCs w:val="20"/>
                <w:color w:val="auto"/>
              </w:rPr>
            </w:pPr>
            <w:r>
              <w:rPr>
                <w:rFonts w:ascii="Arial" w:cs="Arial" w:eastAsia="Arial" w:hAnsi="Arial"/>
                <w:sz w:val="14"/>
                <w:szCs w:val="14"/>
                <w:color w:val="auto"/>
              </w:rPr>
              <w:t>2x</w:t>
            </w:r>
          </w:p>
        </w:tc>
        <w:tc>
          <w:tcPr>
            <w:tcW w:w="0" w:type="dxa"/>
            <w:vAlign w:val="bottom"/>
          </w:tcPr>
          <w:p>
            <w:pPr>
              <w:spacing w:after="0"/>
              <w:rPr>
                <w:sz w:val="1"/>
                <w:szCs w:val="1"/>
                <w:color w:val="auto"/>
              </w:rPr>
            </w:pPr>
          </w:p>
        </w:tc>
      </w:tr>
      <w:tr>
        <w:trPr>
          <w:trHeight w:val="35"/>
        </w:trPr>
        <w:tc>
          <w:tcPr>
            <w:tcW w:w="3140" w:type="dxa"/>
            <w:vAlign w:val="bottom"/>
            <w:tcBorders>
              <w:bottom w:val="single" w:sz="8" w:color="B2B2B2"/>
            </w:tcBorders>
          </w:tcPr>
          <w:p>
            <w:pPr>
              <w:spacing w:after="0"/>
              <w:rPr>
                <w:sz w:val="3"/>
                <w:szCs w:val="3"/>
                <w:color w:val="auto"/>
              </w:rPr>
            </w:pPr>
          </w:p>
        </w:tc>
        <w:tc>
          <w:tcPr>
            <w:tcW w:w="402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40" w:type="dxa"/>
            <w:vAlign w:val="bottom"/>
          </w:tcPr>
          <w:p>
            <w:pPr>
              <w:ind w:left="20"/>
              <w:spacing w:after="0"/>
              <w:rPr>
                <w:sz w:val="20"/>
                <w:szCs w:val="20"/>
                <w:color w:val="auto"/>
              </w:rPr>
            </w:pPr>
            <w:r>
              <w:rPr>
                <w:rFonts w:ascii="Arial" w:cs="Arial" w:eastAsia="Arial" w:hAnsi="Arial"/>
                <w:sz w:val="14"/>
                <w:szCs w:val="14"/>
                <w:color w:val="auto"/>
              </w:rPr>
              <w:t>Vice-President</w:t>
            </w:r>
          </w:p>
        </w:tc>
        <w:tc>
          <w:tcPr>
            <w:tcW w:w="4020" w:type="dxa"/>
            <w:vAlign w:val="bottom"/>
          </w:tcPr>
          <w:p>
            <w:pPr>
              <w:ind w:left="980"/>
              <w:spacing w:after="0"/>
              <w:rPr>
                <w:sz w:val="20"/>
                <w:szCs w:val="20"/>
                <w:color w:val="auto"/>
              </w:rPr>
            </w:pPr>
            <w:r>
              <w:rPr>
                <w:rFonts w:ascii="Arial" w:cs="Arial" w:eastAsia="Arial" w:hAnsi="Arial"/>
                <w:sz w:val="14"/>
                <w:szCs w:val="14"/>
                <w:color w:val="auto"/>
              </w:rPr>
              <w:t>1x</w:t>
            </w:r>
          </w:p>
        </w:tc>
        <w:tc>
          <w:tcPr>
            <w:tcW w:w="0" w:type="dxa"/>
            <w:vAlign w:val="bottom"/>
          </w:tcPr>
          <w:p>
            <w:pPr>
              <w:spacing w:after="0"/>
              <w:rPr>
                <w:sz w:val="1"/>
                <w:szCs w:val="1"/>
                <w:color w:val="auto"/>
              </w:rPr>
            </w:pPr>
          </w:p>
        </w:tc>
      </w:tr>
      <w:tr>
        <w:trPr>
          <w:trHeight w:val="35"/>
        </w:trPr>
        <w:tc>
          <w:tcPr>
            <w:tcW w:w="3140" w:type="dxa"/>
            <w:vAlign w:val="bottom"/>
            <w:tcBorders>
              <w:bottom w:val="single" w:sz="8" w:color="0D64EF"/>
            </w:tcBorders>
          </w:tcPr>
          <w:p>
            <w:pPr>
              <w:spacing w:after="0"/>
              <w:rPr>
                <w:sz w:val="3"/>
                <w:szCs w:val="3"/>
                <w:color w:val="auto"/>
              </w:rPr>
            </w:pPr>
          </w:p>
        </w:tc>
        <w:tc>
          <w:tcPr>
            <w:tcW w:w="4020" w:type="dxa"/>
            <w:vAlign w:val="bottom"/>
            <w:tcBorders>
              <w:bottom w:val="single" w:sz="8" w:color="0D64E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CEO is required to maintain the required ownership level for one year after retirement.</w:t>
      </w:r>
    </w:p>
    <w:p>
      <w:pPr>
        <w:spacing w:after="0" w:line="138" w:lineRule="exact"/>
        <w:rPr>
          <w:sz w:val="20"/>
          <w:szCs w:val="20"/>
          <w:color w:val="auto"/>
        </w:rPr>
      </w:pPr>
    </w:p>
    <w:p>
      <w:pPr>
        <w:ind w:right="2620"/>
        <w:spacing w:after="0" w:line="303" w:lineRule="auto"/>
        <w:rPr>
          <w:sz w:val="20"/>
          <w:szCs w:val="20"/>
          <w:color w:val="auto"/>
        </w:rPr>
      </w:pPr>
      <w:r>
        <w:rPr>
          <w:rFonts w:ascii="Arial" w:cs="Arial" w:eastAsia="Arial" w:hAnsi="Arial"/>
          <w:sz w:val="16"/>
          <w:szCs w:val="16"/>
          <w:color w:val="auto"/>
        </w:rPr>
        <w:t>Executives have five years to meet the requirement and must buy and hold TC Energy shares with a value of 50 per cent of the net proceeds of all long-term incentive payments until they meet their share ownership requirement. As of January 1, 2024, outstanding unvested RSUs granted to executives started counting towards share ownership holdings.</w:t>
      </w:r>
    </w:p>
    <w:p>
      <w:pPr>
        <w:spacing w:after="0" w:line="2" w:lineRule="exact"/>
        <w:rPr>
          <w:sz w:val="20"/>
          <w:szCs w:val="20"/>
          <w:color w:val="auto"/>
        </w:rPr>
      </w:pPr>
    </w:p>
    <w:p>
      <w:pPr>
        <w:ind w:right="140"/>
        <w:spacing w:after="0" w:line="354" w:lineRule="auto"/>
        <w:rPr>
          <w:sz w:val="20"/>
          <w:szCs w:val="20"/>
          <w:color w:val="auto"/>
        </w:rPr>
      </w:pPr>
      <w:r>
        <w:rPr>
          <w:rFonts w:ascii="Arial" w:cs="Arial" w:eastAsia="Arial" w:hAnsi="Arial"/>
          <w:sz w:val="16"/>
          <w:szCs w:val="16"/>
          <w:color w:val="auto"/>
        </w:rPr>
        <w:t>The Human Resources Committee reviews share ownership levels for each executive annually and uses its discretion in assessing compliance if ownership levels fall below the minimum because of fluctuations in share price.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Executive Profiles</w:t>
      </w:r>
      <w:r>
        <w:rPr>
          <w:rFonts w:ascii="Arial" w:cs="Arial" w:eastAsia="Arial" w:hAnsi="Arial"/>
          <w:sz w:val="16"/>
          <w:szCs w:val="16"/>
          <w:color w:val="auto"/>
        </w:rPr>
        <w:t xml:space="preserve"> starting on page 108 for share ownership levels.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93</w:t>
      </w:r>
    </w:p>
    <w:p>
      <w:pPr>
        <w:sectPr>
          <w:pgSz w:w="11900" w:h="16838" w:orient="portrait"/>
          <w:cols w:equalWidth="0" w:num="1">
            <w:col w:w="11240"/>
          </w:cols>
          <w:pgMar w:left="320" w:top="1047" w:right="339" w:bottom="1440" w:gutter="0" w:footer="0" w:header="0"/>
        </w:sectPr>
      </w:pPr>
    </w:p>
    <w:bookmarkStart w:id="99" w:name="page100"/>
    <w:bookmarkEnd w:id="99"/>
    <w:p>
      <w:pPr>
        <w:spacing w:after="0"/>
        <w:rPr>
          <w:sz w:val="20"/>
          <w:szCs w:val="20"/>
          <w:color w:val="auto"/>
        </w:rPr>
      </w:pPr>
      <w:r>
        <w:rPr>
          <w:rFonts w:ascii="Arial" w:cs="Arial" w:eastAsia="Arial" w:hAnsi="Arial"/>
          <w:sz w:val="20"/>
          <w:szCs w:val="20"/>
          <w:b w:val="1"/>
          <w:bCs w:val="1"/>
          <w:color w:val="0D64EF"/>
        </w:rPr>
        <w:t>COMPONENTS</w:t>
      </w:r>
    </w:p>
    <w:p>
      <w:pPr>
        <w:spacing w:after="0" w:line="48"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Total direct compensation includes fixed and variable pay. Base salary is the only form of fixed compensation. Variable compensation includes our short and long-term incentive plans. We also offer indirect compensation which includes retirement benefits, other benefits and perquisites.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Element</w:t>
            </w:r>
          </w:p>
        </w:tc>
        <w:tc>
          <w:tcPr>
            <w:tcW w:w="16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Form</w:t>
            </w:r>
          </w:p>
        </w:tc>
        <w:tc>
          <w:tcPr>
            <w:tcW w:w="3200" w:type="dxa"/>
            <w:vAlign w:val="bottom"/>
            <w:tcBorders>
              <w:top w:val="single" w:sz="8" w:color="0D64EF"/>
            </w:tcBorders>
            <w:gridSpan w:val="2"/>
            <w:shd w:val="clear" w:color="auto" w:fill="D1D0CF"/>
          </w:tcPr>
          <w:p>
            <w:pPr>
              <w:ind w:left="700"/>
              <w:spacing w:after="0"/>
              <w:rPr>
                <w:sz w:val="20"/>
                <w:szCs w:val="20"/>
                <w:color w:val="auto"/>
              </w:rPr>
            </w:pPr>
            <w:r>
              <w:rPr>
                <w:rFonts w:ascii="Arial" w:cs="Arial" w:eastAsia="Arial" w:hAnsi="Arial"/>
                <w:sz w:val="14"/>
                <w:szCs w:val="14"/>
                <w:b w:val="1"/>
                <w:bCs w:val="1"/>
                <w:color w:val="auto"/>
              </w:rPr>
              <w:t>Performance period</w:t>
            </w:r>
          </w:p>
        </w:tc>
        <w:tc>
          <w:tcPr>
            <w:tcW w:w="340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4"/>
                <w:szCs w:val="14"/>
                <w:b w:val="1"/>
                <w:bCs w:val="1"/>
                <w:color w:val="auto"/>
              </w:rPr>
              <w:t>Objective</w:t>
            </w:r>
          </w:p>
        </w:tc>
        <w:tc>
          <w:tcPr>
            <w:tcW w:w="0" w:type="dxa"/>
            <w:vAlign w:val="bottom"/>
          </w:tcPr>
          <w:p>
            <w:pPr>
              <w:spacing w:after="0"/>
              <w:rPr>
                <w:sz w:val="1"/>
                <w:szCs w:val="1"/>
                <w:color w:val="auto"/>
              </w:rPr>
            </w:pPr>
          </w:p>
        </w:tc>
      </w:tr>
      <w:tr>
        <w:trPr>
          <w:trHeight w:val="69"/>
        </w:trPr>
        <w:tc>
          <w:tcPr>
            <w:tcW w:w="1720" w:type="dxa"/>
            <w:vAlign w:val="bottom"/>
            <w:tcBorders>
              <w:bottom w:val="single" w:sz="8" w:color="0D64EF"/>
            </w:tcBorders>
            <w:shd w:val="clear" w:color="auto" w:fill="D1D0CF"/>
          </w:tcPr>
          <w:p>
            <w:pPr>
              <w:spacing w:after="0"/>
              <w:rPr>
                <w:sz w:val="5"/>
                <w:szCs w:val="5"/>
                <w:color w:val="auto"/>
              </w:rPr>
            </w:pPr>
          </w:p>
        </w:tc>
        <w:tc>
          <w:tcPr>
            <w:tcW w:w="1640" w:type="dxa"/>
            <w:vAlign w:val="bottom"/>
            <w:tcBorders>
              <w:bottom w:val="single" w:sz="8" w:color="0D64EF"/>
            </w:tcBorders>
            <w:shd w:val="clear" w:color="auto" w:fill="D1D0CF"/>
          </w:tcPr>
          <w:p>
            <w:pPr>
              <w:spacing w:after="0"/>
              <w:rPr>
                <w:sz w:val="5"/>
                <w:szCs w:val="5"/>
                <w:color w:val="auto"/>
              </w:rPr>
            </w:pPr>
          </w:p>
        </w:tc>
        <w:tc>
          <w:tcPr>
            <w:tcW w:w="800" w:type="dxa"/>
            <w:vAlign w:val="bottom"/>
            <w:tcBorders>
              <w:bottom w:val="single" w:sz="8" w:color="0D64EF"/>
            </w:tcBorders>
            <w:shd w:val="clear" w:color="auto" w:fill="D1D0CF"/>
          </w:tcPr>
          <w:p>
            <w:pPr>
              <w:spacing w:after="0"/>
              <w:rPr>
                <w:sz w:val="5"/>
                <w:szCs w:val="5"/>
                <w:color w:val="auto"/>
              </w:rPr>
            </w:pPr>
          </w:p>
        </w:tc>
        <w:tc>
          <w:tcPr>
            <w:tcW w:w="2400" w:type="dxa"/>
            <w:vAlign w:val="bottom"/>
            <w:tcBorders>
              <w:bottom w:val="single" w:sz="8" w:color="0D64EF"/>
            </w:tcBorders>
            <w:shd w:val="clear" w:color="auto" w:fill="D1D0CF"/>
          </w:tcPr>
          <w:p>
            <w:pPr>
              <w:spacing w:after="0"/>
              <w:rPr>
                <w:sz w:val="5"/>
                <w:szCs w:val="5"/>
                <w:color w:val="auto"/>
              </w:rPr>
            </w:pPr>
          </w:p>
        </w:tc>
        <w:tc>
          <w:tcPr>
            <w:tcW w:w="3400" w:type="dxa"/>
            <w:vAlign w:val="bottom"/>
            <w:tcBorders>
              <w:bottom w:val="single" w:sz="8" w:color="0D64EF"/>
            </w:tcBorders>
            <w:shd w:val="clear" w:color="auto" w:fill="D1D0C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720" w:type="dxa"/>
            <w:vAlign w:val="bottom"/>
          </w:tcPr>
          <w:p>
            <w:pPr>
              <w:ind w:left="20"/>
              <w:spacing w:after="0"/>
              <w:rPr>
                <w:sz w:val="20"/>
                <w:szCs w:val="20"/>
                <w:color w:val="auto"/>
              </w:rPr>
            </w:pPr>
            <w:r>
              <w:rPr>
                <w:rFonts w:ascii="Arial" w:cs="Arial" w:eastAsia="Arial" w:hAnsi="Arial"/>
                <w:sz w:val="14"/>
                <w:szCs w:val="14"/>
                <w:color w:val="auto"/>
              </w:rPr>
              <w:t>Base salary (fixed)</w:t>
            </w:r>
          </w:p>
        </w:tc>
        <w:tc>
          <w:tcPr>
            <w:tcW w:w="1640" w:type="dxa"/>
            <w:vAlign w:val="bottom"/>
          </w:tcPr>
          <w:p>
            <w:pPr>
              <w:ind w:left="20"/>
              <w:spacing w:after="0"/>
              <w:rPr>
                <w:sz w:val="20"/>
                <w:szCs w:val="20"/>
                <w:color w:val="auto"/>
              </w:rPr>
            </w:pPr>
            <w:r>
              <w:rPr>
                <w:rFonts w:ascii="Arial" w:cs="Arial" w:eastAsia="Arial" w:hAnsi="Arial"/>
                <w:sz w:val="14"/>
                <w:szCs w:val="14"/>
                <w:color w:val="auto"/>
              </w:rPr>
              <w:t>Cash</w:t>
            </w:r>
          </w:p>
        </w:tc>
        <w:tc>
          <w:tcPr>
            <w:tcW w:w="800" w:type="dxa"/>
            <w:vAlign w:val="bottom"/>
          </w:tcPr>
          <w:p>
            <w:pPr>
              <w:ind w:left="700"/>
              <w:spacing w:after="0"/>
              <w:rPr>
                <w:sz w:val="20"/>
                <w:szCs w:val="20"/>
                <w:color w:val="auto"/>
              </w:rPr>
            </w:pPr>
            <w:r>
              <w:rPr>
                <w:rFonts w:ascii="Arial" w:cs="Arial" w:eastAsia="Arial" w:hAnsi="Arial"/>
                <w:sz w:val="14"/>
                <w:szCs w:val="14"/>
                <w:color w:val="auto"/>
              </w:rPr>
              <w:t>•</w:t>
            </w:r>
          </w:p>
        </w:tc>
        <w:tc>
          <w:tcPr>
            <w:tcW w:w="2400" w:type="dxa"/>
            <w:vAlign w:val="bottom"/>
          </w:tcPr>
          <w:p>
            <w:pPr>
              <w:ind w:left="60"/>
              <w:spacing w:after="0"/>
              <w:rPr>
                <w:sz w:val="20"/>
                <w:szCs w:val="20"/>
                <w:color w:val="auto"/>
              </w:rPr>
            </w:pPr>
            <w:r>
              <w:rPr>
                <w:rFonts w:ascii="Arial" w:cs="Arial" w:eastAsia="Arial" w:hAnsi="Arial"/>
                <w:sz w:val="14"/>
                <w:szCs w:val="14"/>
                <w:color w:val="auto"/>
              </w:rPr>
              <w:t>One year</w:t>
            </w:r>
          </w:p>
        </w:tc>
        <w:tc>
          <w:tcPr>
            <w:tcW w:w="3400" w:type="dxa"/>
            <w:vAlign w:val="bottom"/>
          </w:tcPr>
          <w:p>
            <w:pPr>
              <w:spacing w:after="0"/>
              <w:rPr>
                <w:sz w:val="20"/>
                <w:szCs w:val="20"/>
                <w:color w:val="auto"/>
              </w:rPr>
            </w:pPr>
            <w:r>
              <w:rPr>
                <w:rFonts w:ascii="Arial" w:cs="Arial" w:eastAsia="Arial" w:hAnsi="Arial"/>
                <w:sz w:val="14"/>
                <w:szCs w:val="14"/>
                <w:color w:val="auto"/>
              </w:rPr>
              <w:t>• Provide base compensation commensurate with</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0" w:type="dxa"/>
            <w:vAlign w:val="bottom"/>
          </w:tcPr>
          <w:p>
            <w:pPr>
              <w:ind w:left="180"/>
              <w:spacing w:after="0"/>
              <w:rPr>
                <w:sz w:val="20"/>
                <w:szCs w:val="20"/>
                <w:color w:val="auto"/>
              </w:rPr>
            </w:pPr>
            <w:r>
              <w:rPr>
                <w:rFonts w:ascii="Arial" w:cs="Arial" w:eastAsia="Arial" w:hAnsi="Arial"/>
                <w:sz w:val="14"/>
                <w:szCs w:val="14"/>
                <w:color w:val="auto"/>
              </w:rPr>
              <w:t>the role</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 Attract and retain executives</w:t>
            </w:r>
          </w:p>
        </w:tc>
        <w:tc>
          <w:tcPr>
            <w:tcW w:w="0" w:type="dxa"/>
            <w:vAlign w:val="bottom"/>
          </w:tcPr>
          <w:p>
            <w:pPr>
              <w:spacing w:after="0"/>
              <w:rPr>
                <w:sz w:val="1"/>
                <w:szCs w:val="1"/>
                <w:color w:val="auto"/>
              </w:rPr>
            </w:pPr>
          </w:p>
        </w:tc>
      </w:tr>
      <w:tr>
        <w:trPr>
          <w:trHeight w:val="88"/>
        </w:trPr>
        <w:tc>
          <w:tcPr>
            <w:tcW w:w="1720" w:type="dxa"/>
            <w:vAlign w:val="bottom"/>
            <w:tcBorders>
              <w:bottom w:val="single" w:sz="8" w:color="B2B2B2"/>
            </w:tcBorders>
          </w:tcPr>
          <w:p>
            <w:pPr>
              <w:spacing w:after="0"/>
              <w:rPr>
                <w:sz w:val="7"/>
                <w:szCs w:val="7"/>
                <w:color w:val="auto"/>
              </w:rPr>
            </w:pPr>
          </w:p>
        </w:tc>
        <w:tc>
          <w:tcPr>
            <w:tcW w:w="1640" w:type="dxa"/>
            <w:vAlign w:val="bottom"/>
            <w:tcBorders>
              <w:bottom w:val="single" w:sz="8" w:color="B2B2B2"/>
            </w:tcBorders>
          </w:tcPr>
          <w:p>
            <w:pPr>
              <w:spacing w:after="0"/>
              <w:rPr>
                <w:sz w:val="7"/>
                <w:szCs w:val="7"/>
                <w:color w:val="auto"/>
              </w:rPr>
            </w:pPr>
          </w:p>
        </w:tc>
        <w:tc>
          <w:tcPr>
            <w:tcW w:w="800" w:type="dxa"/>
            <w:vAlign w:val="bottom"/>
            <w:tcBorders>
              <w:bottom w:val="single" w:sz="8" w:color="B2B2B2"/>
            </w:tcBorders>
          </w:tcPr>
          <w:p>
            <w:pPr>
              <w:spacing w:after="0"/>
              <w:rPr>
                <w:sz w:val="7"/>
                <w:szCs w:val="7"/>
                <w:color w:val="auto"/>
              </w:rPr>
            </w:pPr>
          </w:p>
        </w:tc>
        <w:tc>
          <w:tcPr>
            <w:tcW w:w="2400" w:type="dxa"/>
            <w:vAlign w:val="bottom"/>
            <w:tcBorders>
              <w:bottom w:val="single" w:sz="8" w:color="B2B2B2"/>
            </w:tcBorders>
          </w:tcPr>
          <w:p>
            <w:pPr>
              <w:spacing w:after="0"/>
              <w:rPr>
                <w:sz w:val="7"/>
                <w:szCs w:val="7"/>
                <w:color w:val="auto"/>
              </w:rPr>
            </w:pPr>
          </w:p>
        </w:tc>
        <w:tc>
          <w:tcPr>
            <w:tcW w:w="3400" w:type="dxa"/>
            <w:vAlign w:val="bottom"/>
            <w:tcBorders>
              <w:bottom w:val="single" w:sz="8" w:color="B2B2B2"/>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720" w:type="dxa"/>
            <w:vAlign w:val="bottom"/>
          </w:tcPr>
          <w:p>
            <w:pPr>
              <w:ind w:left="20"/>
              <w:spacing w:after="0" w:line="155" w:lineRule="exact"/>
              <w:rPr>
                <w:sz w:val="20"/>
                <w:szCs w:val="20"/>
                <w:color w:val="auto"/>
              </w:rPr>
            </w:pPr>
            <w:r>
              <w:rPr>
                <w:rFonts w:ascii="Arial" w:cs="Arial" w:eastAsia="Arial" w:hAnsi="Arial"/>
                <w:sz w:val="14"/>
                <w:szCs w:val="14"/>
                <w:color w:val="auto"/>
              </w:rPr>
              <w:t>Short-term incentive</w:t>
            </w:r>
          </w:p>
        </w:tc>
        <w:tc>
          <w:tcPr>
            <w:tcW w:w="1640" w:type="dxa"/>
            <w:vAlign w:val="bottom"/>
          </w:tcPr>
          <w:p>
            <w:pPr>
              <w:ind w:left="20"/>
              <w:spacing w:after="0" w:line="155" w:lineRule="exact"/>
              <w:rPr>
                <w:sz w:val="20"/>
                <w:szCs w:val="20"/>
                <w:color w:val="auto"/>
              </w:rPr>
            </w:pPr>
            <w:r>
              <w:rPr>
                <w:rFonts w:ascii="Arial" w:cs="Arial" w:eastAsia="Arial" w:hAnsi="Arial"/>
                <w:sz w:val="14"/>
                <w:szCs w:val="14"/>
                <w:color w:val="auto"/>
              </w:rPr>
              <w:t>Cash</w:t>
            </w:r>
          </w:p>
        </w:tc>
        <w:tc>
          <w:tcPr>
            <w:tcW w:w="800" w:type="dxa"/>
            <w:vAlign w:val="bottom"/>
          </w:tcPr>
          <w:p>
            <w:pPr>
              <w:ind w:left="700"/>
              <w:spacing w:after="0" w:line="155" w:lineRule="exact"/>
              <w:rPr>
                <w:sz w:val="20"/>
                <w:szCs w:val="20"/>
                <w:color w:val="auto"/>
              </w:rPr>
            </w:pPr>
            <w:r>
              <w:rPr>
                <w:rFonts w:ascii="Arial" w:cs="Arial" w:eastAsia="Arial" w:hAnsi="Arial"/>
                <w:sz w:val="14"/>
                <w:szCs w:val="14"/>
                <w:color w:val="auto"/>
              </w:rPr>
              <w:t>•</w:t>
            </w:r>
          </w:p>
        </w:tc>
        <w:tc>
          <w:tcPr>
            <w:tcW w:w="2400" w:type="dxa"/>
            <w:vAlign w:val="bottom"/>
          </w:tcPr>
          <w:p>
            <w:pPr>
              <w:ind w:left="60"/>
              <w:spacing w:after="0" w:line="155" w:lineRule="exact"/>
              <w:rPr>
                <w:sz w:val="20"/>
                <w:szCs w:val="20"/>
                <w:color w:val="auto"/>
              </w:rPr>
            </w:pPr>
            <w:r>
              <w:rPr>
                <w:rFonts w:ascii="Arial" w:cs="Arial" w:eastAsia="Arial" w:hAnsi="Arial"/>
                <w:sz w:val="14"/>
                <w:szCs w:val="14"/>
                <w:color w:val="auto"/>
              </w:rPr>
              <w:t>One year</w:t>
            </w:r>
          </w:p>
        </w:tc>
        <w:tc>
          <w:tcPr>
            <w:tcW w:w="3400" w:type="dxa"/>
            <w:vAlign w:val="bottom"/>
          </w:tcPr>
          <w:p>
            <w:pPr>
              <w:spacing w:after="0" w:line="155" w:lineRule="exact"/>
              <w:rPr>
                <w:sz w:val="20"/>
                <w:szCs w:val="20"/>
                <w:color w:val="auto"/>
              </w:rPr>
            </w:pPr>
            <w:r>
              <w:rPr>
                <w:rFonts w:ascii="Arial" w:cs="Arial" w:eastAsia="Arial" w:hAnsi="Arial"/>
                <w:sz w:val="14"/>
                <w:szCs w:val="14"/>
                <w:color w:val="auto"/>
              </w:rPr>
              <w:t>• Motivate executives to achieve key annual</w:t>
            </w:r>
          </w:p>
        </w:tc>
        <w:tc>
          <w:tcPr>
            <w:tcW w:w="0" w:type="dxa"/>
            <w:vAlign w:val="bottom"/>
          </w:tcPr>
          <w:p>
            <w:pPr>
              <w:spacing w:after="0"/>
              <w:rPr>
                <w:sz w:val="1"/>
                <w:szCs w:val="1"/>
                <w:color w:val="auto"/>
              </w:rPr>
            </w:pPr>
          </w:p>
        </w:tc>
      </w:tr>
      <w:tr>
        <w:trPr>
          <w:trHeight w:val="219"/>
        </w:trPr>
        <w:tc>
          <w:tcPr>
            <w:tcW w:w="1720" w:type="dxa"/>
            <w:vAlign w:val="bottom"/>
          </w:tcPr>
          <w:p>
            <w:pPr>
              <w:ind w:left="20"/>
              <w:spacing w:after="0"/>
              <w:rPr>
                <w:sz w:val="20"/>
                <w:szCs w:val="20"/>
                <w:color w:val="auto"/>
              </w:rPr>
            </w:pPr>
            <w:r>
              <w:rPr>
                <w:rFonts w:ascii="Arial" w:cs="Arial" w:eastAsia="Arial" w:hAnsi="Arial"/>
                <w:sz w:val="14"/>
                <w:szCs w:val="14"/>
                <w:color w:val="auto"/>
              </w:rPr>
              <w:t>(variable)</w:t>
            </w:r>
          </w:p>
        </w:tc>
        <w:tc>
          <w:tcPr>
            <w:tcW w:w="1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400" w:type="dxa"/>
            <w:vAlign w:val="bottom"/>
          </w:tcPr>
          <w:p>
            <w:pPr>
              <w:ind w:left="180"/>
              <w:spacing w:after="0"/>
              <w:rPr>
                <w:sz w:val="20"/>
                <w:szCs w:val="20"/>
                <w:color w:val="auto"/>
              </w:rPr>
            </w:pPr>
            <w:r>
              <w:rPr>
                <w:rFonts w:ascii="Arial" w:cs="Arial" w:eastAsia="Arial" w:hAnsi="Arial"/>
                <w:sz w:val="14"/>
                <w:szCs w:val="14"/>
                <w:color w:val="auto"/>
              </w:rPr>
              <w:t>business and financial objectives</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 Reward executives for contribution to</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0" w:type="dxa"/>
            <w:vAlign w:val="bottom"/>
          </w:tcPr>
          <w:p>
            <w:pPr>
              <w:ind w:left="180"/>
              <w:spacing w:after="0"/>
              <w:rPr>
                <w:sz w:val="20"/>
                <w:szCs w:val="20"/>
                <w:color w:val="auto"/>
              </w:rPr>
            </w:pPr>
            <w:r>
              <w:rPr>
                <w:rFonts w:ascii="Arial" w:cs="Arial" w:eastAsia="Arial" w:hAnsi="Arial"/>
                <w:sz w:val="14"/>
                <w:szCs w:val="14"/>
                <w:color w:val="auto"/>
              </w:rPr>
              <w:t>TC Energy</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 Align interests of executives and stakeholders</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 Attract and retain executives</w:t>
            </w:r>
          </w:p>
        </w:tc>
        <w:tc>
          <w:tcPr>
            <w:tcW w:w="0" w:type="dxa"/>
            <w:vAlign w:val="bottom"/>
          </w:tcPr>
          <w:p>
            <w:pPr>
              <w:spacing w:after="0"/>
              <w:rPr>
                <w:sz w:val="1"/>
                <w:szCs w:val="1"/>
                <w:color w:val="auto"/>
              </w:rPr>
            </w:pPr>
          </w:p>
        </w:tc>
      </w:tr>
      <w:tr>
        <w:trPr>
          <w:trHeight w:val="35"/>
        </w:trPr>
        <w:tc>
          <w:tcPr>
            <w:tcW w:w="1720" w:type="dxa"/>
            <w:vAlign w:val="bottom"/>
            <w:tcBorders>
              <w:bottom w:val="single" w:sz="8" w:color="B2B2B2"/>
            </w:tcBorders>
          </w:tcPr>
          <w:p>
            <w:pPr>
              <w:spacing w:after="0"/>
              <w:rPr>
                <w:sz w:val="3"/>
                <w:szCs w:val="3"/>
                <w:color w:val="auto"/>
              </w:rPr>
            </w:pPr>
          </w:p>
        </w:tc>
        <w:tc>
          <w:tcPr>
            <w:tcW w:w="1640" w:type="dxa"/>
            <w:vAlign w:val="bottom"/>
            <w:tcBorders>
              <w:bottom w:val="single" w:sz="8" w:color="B2B2B2"/>
            </w:tcBorders>
          </w:tcPr>
          <w:p>
            <w:pPr>
              <w:spacing w:after="0"/>
              <w:rPr>
                <w:sz w:val="3"/>
                <w:szCs w:val="3"/>
                <w:color w:val="auto"/>
              </w:rPr>
            </w:pPr>
          </w:p>
        </w:tc>
        <w:tc>
          <w:tcPr>
            <w:tcW w:w="800" w:type="dxa"/>
            <w:vAlign w:val="bottom"/>
            <w:tcBorders>
              <w:bottom w:val="single" w:sz="8" w:color="B2B2B2"/>
            </w:tcBorders>
          </w:tcPr>
          <w:p>
            <w:pPr>
              <w:spacing w:after="0"/>
              <w:rPr>
                <w:sz w:val="3"/>
                <w:szCs w:val="3"/>
                <w:color w:val="auto"/>
              </w:rPr>
            </w:pPr>
          </w:p>
        </w:tc>
        <w:tc>
          <w:tcPr>
            <w:tcW w:w="2400" w:type="dxa"/>
            <w:vAlign w:val="bottom"/>
            <w:tcBorders>
              <w:bottom w:val="single" w:sz="8" w:color="B2B2B2"/>
            </w:tcBorders>
          </w:tcPr>
          <w:p>
            <w:pPr>
              <w:spacing w:after="0"/>
              <w:rPr>
                <w:sz w:val="3"/>
                <w:szCs w:val="3"/>
                <w:color w:val="auto"/>
              </w:rPr>
            </w:pPr>
          </w:p>
        </w:tc>
        <w:tc>
          <w:tcPr>
            <w:tcW w:w="340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720" w:type="dxa"/>
            <w:vAlign w:val="bottom"/>
          </w:tcPr>
          <w:p>
            <w:pPr>
              <w:ind w:left="20"/>
              <w:spacing w:after="0" w:line="145" w:lineRule="exact"/>
              <w:rPr>
                <w:sz w:val="20"/>
                <w:szCs w:val="20"/>
                <w:color w:val="auto"/>
              </w:rPr>
            </w:pPr>
            <w:r>
              <w:rPr>
                <w:rFonts w:ascii="Arial" w:cs="Arial" w:eastAsia="Arial" w:hAnsi="Arial"/>
                <w:sz w:val="14"/>
                <w:szCs w:val="14"/>
                <w:color w:val="auto"/>
              </w:rPr>
              <w:t>Long-term incentive</w:t>
            </w:r>
          </w:p>
        </w:tc>
        <w:tc>
          <w:tcPr>
            <w:tcW w:w="1640" w:type="dxa"/>
            <w:vAlign w:val="bottom"/>
          </w:tcPr>
          <w:p>
            <w:pPr>
              <w:ind w:left="20"/>
              <w:spacing w:after="0" w:line="145" w:lineRule="exact"/>
              <w:rPr>
                <w:sz w:val="20"/>
                <w:szCs w:val="20"/>
                <w:color w:val="auto"/>
              </w:rPr>
            </w:pPr>
            <w:r>
              <w:rPr>
                <w:rFonts w:ascii="Arial" w:cs="Arial" w:eastAsia="Arial" w:hAnsi="Arial"/>
                <w:sz w:val="14"/>
                <w:szCs w:val="14"/>
                <w:color w:val="auto"/>
              </w:rPr>
              <w:t>PSUs</w:t>
            </w:r>
          </w:p>
        </w:tc>
        <w:tc>
          <w:tcPr>
            <w:tcW w:w="800" w:type="dxa"/>
            <w:vAlign w:val="bottom"/>
          </w:tcPr>
          <w:p>
            <w:pPr>
              <w:ind w:left="700"/>
              <w:spacing w:after="0" w:line="145" w:lineRule="exact"/>
              <w:rPr>
                <w:sz w:val="20"/>
                <w:szCs w:val="20"/>
                <w:color w:val="auto"/>
              </w:rPr>
            </w:pPr>
            <w:r>
              <w:rPr>
                <w:rFonts w:ascii="Arial" w:cs="Arial" w:eastAsia="Arial" w:hAnsi="Arial"/>
                <w:sz w:val="14"/>
                <w:szCs w:val="14"/>
                <w:color w:val="auto"/>
              </w:rPr>
              <w:t>•</w:t>
            </w:r>
          </w:p>
        </w:tc>
        <w:tc>
          <w:tcPr>
            <w:tcW w:w="2400" w:type="dxa"/>
            <w:vAlign w:val="bottom"/>
          </w:tcPr>
          <w:p>
            <w:pPr>
              <w:ind w:left="60"/>
              <w:spacing w:after="0" w:line="145" w:lineRule="exact"/>
              <w:rPr>
                <w:sz w:val="20"/>
                <w:szCs w:val="20"/>
                <w:color w:val="auto"/>
              </w:rPr>
            </w:pPr>
            <w:r>
              <w:rPr>
                <w:rFonts w:ascii="Arial" w:cs="Arial" w:eastAsia="Arial" w:hAnsi="Arial"/>
                <w:sz w:val="14"/>
                <w:szCs w:val="14"/>
                <w:color w:val="auto"/>
              </w:rPr>
              <w:t>Three-year term</w:t>
            </w: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20" w:type="dxa"/>
            <w:vAlign w:val="bottom"/>
          </w:tcPr>
          <w:p>
            <w:pPr>
              <w:ind w:left="20"/>
              <w:spacing w:after="0"/>
              <w:rPr>
                <w:sz w:val="20"/>
                <w:szCs w:val="20"/>
                <w:color w:val="auto"/>
              </w:rPr>
            </w:pPr>
            <w:r>
              <w:rPr>
                <w:rFonts w:ascii="Arial" w:cs="Arial" w:eastAsia="Arial" w:hAnsi="Arial"/>
                <w:sz w:val="14"/>
                <w:szCs w:val="14"/>
                <w:color w:val="auto"/>
              </w:rPr>
              <w:t>(variable)</w:t>
            </w:r>
          </w:p>
        </w:tc>
        <w:tc>
          <w:tcPr>
            <w:tcW w:w="1640" w:type="dxa"/>
            <w:vAlign w:val="bottom"/>
          </w:tcPr>
          <w:p>
            <w:pPr>
              <w:spacing w:after="0"/>
              <w:rPr>
                <w:sz w:val="15"/>
                <w:szCs w:val="15"/>
                <w:color w:val="auto"/>
              </w:rPr>
            </w:pPr>
          </w:p>
        </w:tc>
        <w:tc>
          <w:tcPr>
            <w:tcW w:w="3200" w:type="dxa"/>
            <w:vAlign w:val="bottom"/>
            <w:gridSpan w:val="2"/>
          </w:tcPr>
          <w:p>
            <w:pPr>
              <w:ind w:left="700"/>
              <w:spacing w:after="0"/>
              <w:rPr>
                <w:sz w:val="20"/>
                <w:szCs w:val="20"/>
                <w:color w:val="auto"/>
              </w:rPr>
            </w:pPr>
            <w:r>
              <w:rPr>
                <w:rFonts w:ascii="Arial" w:cs="Arial" w:eastAsia="Arial" w:hAnsi="Arial"/>
                <w:sz w:val="14"/>
                <w:szCs w:val="14"/>
                <w:color w:val="auto"/>
              </w:rPr>
              <w:t>• Vesting at the end of the term</w:t>
            </w:r>
          </w:p>
        </w:tc>
        <w:tc>
          <w:tcPr>
            <w:tcW w:w="3400" w:type="dxa"/>
            <w:vAlign w:val="bottom"/>
            <w:vMerge w:val="restart"/>
          </w:tcPr>
          <w:p>
            <w:pPr>
              <w:spacing w:after="0"/>
              <w:rPr>
                <w:sz w:val="20"/>
                <w:szCs w:val="20"/>
                <w:color w:val="auto"/>
              </w:rPr>
            </w:pPr>
            <w:r>
              <w:rPr>
                <w:rFonts w:ascii="Arial" w:cs="Arial" w:eastAsia="Arial" w:hAnsi="Arial"/>
                <w:sz w:val="14"/>
                <w:szCs w:val="14"/>
                <w:color w:val="auto"/>
              </w:rPr>
              <w:t>• Motivate executives to achieve medium-term</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0" w:type="dxa"/>
            <w:vAlign w:val="bottom"/>
            <w:gridSpan w:val="2"/>
          </w:tcPr>
          <w:p>
            <w:pPr>
              <w:ind w:left="700"/>
              <w:spacing w:after="0" w:line="148" w:lineRule="exact"/>
              <w:rPr>
                <w:sz w:val="20"/>
                <w:szCs w:val="20"/>
                <w:color w:val="auto"/>
              </w:rPr>
            </w:pPr>
            <w:r>
              <w:rPr>
                <w:rFonts w:ascii="Arial" w:cs="Arial" w:eastAsia="Arial" w:hAnsi="Arial"/>
                <w:sz w:val="14"/>
                <w:szCs w:val="14"/>
                <w:color w:val="auto"/>
              </w:rPr>
              <w:t>• Awards subject to a performance</w:t>
            </w: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ind w:left="80"/>
              <w:spacing w:after="0" w:line="144" w:lineRule="exact"/>
              <w:rPr>
                <w:sz w:val="20"/>
                <w:szCs w:val="20"/>
                <w:color w:val="auto"/>
              </w:rPr>
            </w:pPr>
            <w:r>
              <w:rPr>
                <w:rFonts w:ascii="Arial" w:cs="Arial" w:eastAsia="Arial" w:hAnsi="Arial"/>
                <w:sz w:val="14"/>
                <w:szCs w:val="14"/>
                <w:color w:val="auto"/>
              </w:rPr>
              <w:t>multiplier based on pre-established</w:t>
            </w:r>
          </w:p>
        </w:tc>
        <w:tc>
          <w:tcPr>
            <w:tcW w:w="3400" w:type="dxa"/>
            <w:vAlign w:val="bottom"/>
          </w:tcPr>
          <w:p>
            <w:pPr>
              <w:ind w:left="180"/>
              <w:spacing w:after="0" w:line="144" w:lineRule="exact"/>
              <w:rPr>
                <w:sz w:val="20"/>
                <w:szCs w:val="20"/>
                <w:color w:val="auto"/>
              </w:rPr>
            </w:pPr>
            <w:r>
              <w:rPr>
                <w:rFonts w:ascii="Arial" w:cs="Arial" w:eastAsia="Arial" w:hAnsi="Arial"/>
                <w:sz w:val="14"/>
                <w:szCs w:val="14"/>
                <w:color w:val="auto"/>
              </w:rPr>
              <w:t>business objectives</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ind w:left="80"/>
              <w:spacing w:after="0"/>
              <w:rPr>
                <w:sz w:val="20"/>
                <w:szCs w:val="20"/>
                <w:color w:val="auto"/>
              </w:rPr>
            </w:pPr>
            <w:r>
              <w:rPr>
                <w:rFonts w:ascii="Arial" w:cs="Arial" w:eastAsia="Arial" w:hAnsi="Arial"/>
                <w:sz w:val="14"/>
                <w:szCs w:val="14"/>
                <w:color w:val="auto"/>
              </w:rPr>
              <w:t>targets</w:t>
            </w:r>
          </w:p>
        </w:tc>
        <w:tc>
          <w:tcPr>
            <w:tcW w:w="3400" w:type="dxa"/>
            <w:vAlign w:val="bottom"/>
            <w:vMerge w:val="restart"/>
          </w:tcPr>
          <w:p>
            <w:pPr>
              <w:spacing w:after="0"/>
              <w:rPr>
                <w:sz w:val="20"/>
                <w:szCs w:val="20"/>
                <w:color w:val="auto"/>
              </w:rPr>
            </w:pPr>
            <w:r>
              <w:rPr>
                <w:rFonts w:ascii="Arial" w:cs="Arial" w:eastAsia="Arial" w:hAnsi="Arial"/>
                <w:sz w:val="14"/>
                <w:szCs w:val="14"/>
                <w:color w:val="auto"/>
              </w:rPr>
              <w:t>• Align interests of executives and shareholders</w:t>
            </w:r>
          </w:p>
        </w:tc>
        <w:tc>
          <w:tcPr>
            <w:tcW w:w="0" w:type="dxa"/>
            <w:vAlign w:val="bottom"/>
          </w:tcPr>
          <w:p>
            <w:pPr>
              <w:spacing w:after="0"/>
              <w:rPr>
                <w:sz w:val="1"/>
                <w:szCs w:val="1"/>
                <w:color w:val="auto"/>
              </w:rPr>
            </w:pPr>
          </w:p>
        </w:tc>
      </w:tr>
      <w:tr>
        <w:trPr>
          <w:trHeight w:val="44"/>
        </w:trPr>
        <w:tc>
          <w:tcPr>
            <w:tcW w:w="17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3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1720" w:type="dxa"/>
            <w:vAlign w:val="bottom"/>
          </w:tcPr>
          <w:p>
            <w:pPr>
              <w:spacing w:after="0"/>
              <w:rPr>
                <w:sz w:val="4"/>
                <w:szCs w:val="4"/>
                <w:color w:val="auto"/>
              </w:rPr>
            </w:pPr>
          </w:p>
        </w:tc>
        <w:tc>
          <w:tcPr>
            <w:tcW w:w="164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2400" w:type="dxa"/>
            <w:vAlign w:val="bottom"/>
            <w:tcBorders>
              <w:bottom w:val="single" w:sz="8" w:color="B2B2B2"/>
            </w:tcBorders>
          </w:tcPr>
          <w:p>
            <w:pPr>
              <w:spacing w:after="0"/>
              <w:rPr>
                <w:sz w:val="4"/>
                <w:szCs w:val="4"/>
                <w:color w:val="auto"/>
              </w:rPr>
            </w:pPr>
          </w:p>
        </w:tc>
        <w:tc>
          <w:tcPr>
            <w:tcW w:w="3400" w:type="dxa"/>
            <w:vAlign w:val="bottom"/>
            <w:vMerge w:val="restart"/>
          </w:tcPr>
          <w:p>
            <w:pPr>
              <w:spacing w:after="0"/>
              <w:rPr>
                <w:sz w:val="20"/>
                <w:szCs w:val="20"/>
                <w:color w:val="auto"/>
              </w:rPr>
            </w:pPr>
            <w:r>
              <w:rPr>
                <w:rFonts w:ascii="Arial" w:cs="Arial" w:eastAsia="Arial" w:hAnsi="Arial"/>
                <w:sz w:val="14"/>
                <w:szCs w:val="14"/>
                <w:color w:val="auto"/>
              </w:rPr>
              <w:t>• Attract and retain executives</w:t>
            </w: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1640" w:type="dxa"/>
            <w:vAlign w:val="bottom"/>
            <w:vMerge w:val="restart"/>
          </w:tcPr>
          <w:p>
            <w:pPr>
              <w:ind w:left="20"/>
              <w:spacing w:after="0" w:line="159" w:lineRule="exact"/>
              <w:rPr>
                <w:sz w:val="20"/>
                <w:szCs w:val="20"/>
                <w:color w:val="auto"/>
              </w:rPr>
            </w:pPr>
            <w:r>
              <w:rPr>
                <w:rFonts w:ascii="Arial" w:cs="Arial" w:eastAsia="Arial" w:hAnsi="Arial"/>
                <w:sz w:val="14"/>
                <w:szCs w:val="14"/>
                <w:color w:val="auto"/>
              </w:rPr>
              <w:t>RSUs</w:t>
            </w:r>
          </w:p>
        </w:tc>
        <w:tc>
          <w:tcPr>
            <w:tcW w:w="800" w:type="dxa"/>
            <w:vAlign w:val="bottom"/>
            <w:vMerge w:val="restart"/>
          </w:tcPr>
          <w:p>
            <w:pPr>
              <w:ind w:left="700"/>
              <w:spacing w:after="0" w:line="159" w:lineRule="exact"/>
              <w:rPr>
                <w:sz w:val="20"/>
                <w:szCs w:val="20"/>
                <w:color w:val="auto"/>
              </w:rPr>
            </w:pPr>
            <w:r>
              <w:rPr>
                <w:rFonts w:ascii="Arial" w:cs="Arial" w:eastAsia="Arial" w:hAnsi="Arial"/>
                <w:sz w:val="14"/>
                <w:szCs w:val="14"/>
                <w:color w:val="auto"/>
              </w:rPr>
              <w:t>•</w:t>
            </w:r>
          </w:p>
        </w:tc>
        <w:tc>
          <w:tcPr>
            <w:tcW w:w="2400" w:type="dxa"/>
            <w:vAlign w:val="bottom"/>
            <w:vMerge w:val="restart"/>
          </w:tcPr>
          <w:p>
            <w:pPr>
              <w:ind w:left="60"/>
              <w:spacing w:after="0" w:line="159" w:lineRule="exact"/>
              <w:rPr>
                <w:sz w:val="20"/>
                <w:szCs w:val="20"/>
                <w:color w:val="auto"/>
              </w:rPr>
            </w:pPr>
            <w:r>
              <w:rPr>
                <w:rFonts w:ascii="Arial" w:cs="Arial" w:eastAsia="Arial" w:hAnsi="Arial"/>
                <w:sz w:val="14"/>
                <w:szCs w:val="14"/>
                <w:color w:val="auto"/>
              </w:rPr>
              <w:t>Three-year term</w:t>
            </w:r>
          </w:p>
        </w:tc>
        <w:tc>
          <w:tcPr>
            <w:tcW w:w="3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72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3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0" w:type="dxa"/>
            <w:vAlign w:val="bottom"/>
            <w:gridSpan w:val="2"/>
          </w:tcPr>
          <w:p>
            <w:pPr>
              <w:ind w:left="700"/>
              <w:spacing w:after="0"/>
              <w:rPr>
                <w:sz w:val="20"/>
                <w:szCs w:val="20"/>
                <w:color w:val="auto"/>
              </w:rPr>
            </w:pPr>
            <w:r>
              <w:rPr>
                <w:rFonts w:ascii="Arial" w:cs="Arial" w:eastAsia="Arial" w:hAnsi="Arial"/>
                <w:sz w:val="14"/>
                <w:szCs w:val="14"/>
                <w:color w:val="auto"/>
              </w:rPr>
              <w:t>• Vesting at the end of the term</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1640" w:type="dxa"/>
            <w:vAlign w:val="bottom"/>
            <w:tcBorders>
              <w:bottom w:val="single" w:sz="8" w:color="B2B2B2"/>
            </w:tcBorders>
          </w:tcPr>
          <w:p>
            <w:pPr>
              <w:spacing w:after="0"/>
              <w:rPr>
                <w:sz w:val="8"/>
                <w:szCs w:val="8"/>
                <w:color w:val="auto"/>
              </w:rPr>
            </w:pPr>
          </w:p>
        </w:tc>
        <w:tc>
          <w:tcPr>
            <w:tcW w:w="800" w:type="dxa"/>
            <w:vAlign w:val="bottom"/>
            <w:tcBorders>
              <w:bottom w:val="single" w:sz="8" w:color="B2B2B2"/>
            </w:tcBorders>
          </w:tcPr>
          <w:p>
            <w:pPr>
              <w:spacing w:after="0"/>
              <w:rPr>
                <w:sz w:val="8"/>
                <w:szCs w:val="8"/>
                <w:color w:val="auto"/>
              </w:rPr>
            </w:pPr>
          </w:p>
        </w:tc>
        <w:tc>
          <w:tcPr>
            <w:tcW w:w="2400" w:type="dxa"/>
            <w:vAlign w:val="bottom"/>
            <w:tcBorders>
              <w:bottom w:val="single" w:sz="8" w:color="B2B2B2"/>
            </w:tcBorders>
          </w:tcPr>
          <w:p>
            <w:pPr>
              <w:spacing w:after="0"/>
              <w:rPr>
                <w:sz w:val="8"/>
                <w:szCs w:val="8"/>
                <w:color w:val="auto"/>
              </w:rPr>
            </w:pPr>
          </w:p>
        </w:tc>
        <w:tc>
          <w:tcPr>
            <w:tcW w:w="3400" w:type="dxa"/>
            <w:vAlign w:val="bottom"/>
            <w:tcBorders>
              <w:bottom w:val="single" w:sz="8" w:color="B2B2B2"/>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1640" w:type="dxa"/>
            <w:vAlign w:val="bottom"/>
          </w:tcPr>
          <w:p>
            <w:pPr>
              <w:ind w:left="20"/>
              <w:spacing w:after="0" w:line="159" w:lineRule="exact"/>
              <w:rPr>
                <w:sz w:val="20"/>
                <w:szCs w:val="20"/>
                <w:color w:val="auto"/>
              </w:rPr>
            </w:pPr>
            <w:r>
              <w:rPr>
                <w:rFonts w:ascii="Arial" w:cs="Arial" w:eastAsia="Arial" w:hAnsi="Arial"/>
                <w:sz w:val="14"/>
                <w:szCs w:val="14"/>
                <w:color w:val="auto"/>
              </w:rPr>
              <w:t>Stock Options</w:t>
            </w:r>
          </w:p>
        </w:tc>
        <w:tc>
          <w:tcPr>
            <w:tcW w:w="800" w:type="dxa"/>
            <w:vAlign w:val="bottom"/>
          </w:tcPr>
          <w:p>
            <w:pPr>
              <w:ind w:left="700"/>
              <w:spacing w:after="0" w:line="159" w:lineRule="exact"/>
              <w:rPr>
                <w:sz w:val="20"/>
                <w:szCs w:val="20"/>
                <w:color w:val="auto"/>
              </w:rPr>
            </w:pPr>
            <w:r>
              <w:rPr>
                <w:rFonts w:ascii="Arial" w:cs="Arial" w:eastAsia="Arial" w:hAnsi="Arial"/>
                <w:sz w:val="14"/>
                <w:szCs w:val="14"/>
                <w:color w:val="auto"/>
              </w:rPr>
              <w:t>•</w:t>
            </w:r>
          </w:p>
        </w:tc>
        <w:tc>
          <w:tcPr>
            <w:tcW w:w="2400" w:type="dxa"/>
            <w:vAlign w:val="bottom"/>
          </w:tcPr>
          <w:p>
            <w:pPr>
              <w:ind w:left="60"/>
              <w:spacing w:after="0" w:line="159" w:lineRule="exact"/>
              <w:rPr>
                <w:sz w:val="20"/>
                <w:szCs w:val="20"/>
                <w:color w:val="auto"/>
              </w:rPr>
            </w:pPr>
            <w:r>
              <w:rPr>
                <w:rFonts w:ascii="Arial" w:cs="Arial" w:eastAsia="Arial" w:hAnsi="Arial"/>
                <w:sz w:val="14"/>
                <w:szCs w:val="14"/>
                <w:color w:val="auto"/>
              </w:rPr>
              <w:t>Seven-year term</w:t>
            </w:r>
          </w:p>
        </w:tc>
        <w:tc>
          <w:tcPr>
            <w:tcW w:w="3400" w:type="dxa"/>
            <w:vAlign w:val="bottom"/>
          </w:tcPr>
          <w:p>
            <w:pPr>
              <w:spacing w:after="0" w:line="159" w:lineRule="exact"/>
              <w:rPr>
                <w:sz w:val="20"/>
                <w:szCs w:val="20"/>
                <w:color w:val="auto"/>
              </w:rPr>
            </w:pPr>
            <w:r>
              <w:rPr>
                <w:rFonts w:ascii="Arial" w:cs="Arial" w:eastAsia="Arial" w:hAnsi="Arial"/>
                <w:sz w:val="14"/>
                <w:szCs w:val="14"/>
                <w:color w:val="auto"/>
              </w:rPr>
              <w:t>• Motivate executives to achieve long-term</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0" w:type="dxa"/>
            <w:vAlign w:val="bottom"/>
            <w:gridSpan w:val="2"/>
          </w:tcPr>
          <w:p>
            <w:pPr>
              <w:ind w:left="700"/>
              <w:spacing w:after="0"/>
              <w:rPr>
                <w:sz w:val="20"/>
                <w:szCs w:val="20"/>
                <w:color w:val="auto"/>
              </w:rPr>
            </w:pPr>
            <w:r>
              <w:rPr>
                <w:rFonts w:ascii="Arial" w:cs="Arial" w:eastAsia="Arial" w:hAnsi="Arial"/>
                <w:sz w:val="14"/>
                <w:szCs w:val="14"/>
                <w:color w:val="auto"/>
              </w:rPr>
              <w:t>• One third vest each year beginning</w:t>
            </w:r>
          </w:p>
        </w:tc>
        <w:tc>
          <w:tcPr>
            <w:tcW w:w="3400" w:type="dxa"/>
            <w:vAlign w:val="bottom"/>
          </w:tcPr>
          <w:p>
            <w:pPr>
              <w:ind w:left="180"/>
              <w:spacing w:after="0"/>
              <w:rPr>
                <w:sz w:val="20"/>
                <w:szCs w:val="20"/>
                <w:color w:val="auto"/>
              </w:rPr>
            </w:pPr>
            <w:r>
              <w:rPr>
                <w:rFonts w:ascii="Arial" w:cs="Arial" w:eastAsia="Arial" w:hAnsi="Arial"/>
                <w:sz w:val="14"/>
                <w:szCs w:val="14"/>
                <w:color w:val="auto"/>
              </w:rPr>
              <w:t>shareholder value creation</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ind w:left="80"/>
              <w:spacing w:after="0"/>
              <w:rPr>
                <w:sz w:val="20"/>
                <w:szCs w:val="20"/>
                <w:color w:val="auto"/>
              </w:rPr>
            </w:pPr>
            <w:r>
              <w:rPr>
                <w:rFonts w:ascii="Arial" w:cs="Arial" w:eastAsia="Arial" w:hAnsi="Arial"/>
                <w:sz w:val="14"/>
                <w:szCs w:val="14"/>
                <w:color w:val="auto"/>
              </w:rPr>
              <w:t>on the first anniversary of the grant</w:t>
            </w:r>
          </w:p>
        </w:tc>
        <w:tc>
          <w:tcPr>
            <w:tcW w:w="3400" w:type="dxa"/>
            <w:vAlign w:val="bottom"/>
          </w:tcPr>
          <w:p>
            <w:pPr>
              <w:spacing w:after="0"/>
              <w:rPr>
                <w:sz w:val="20"/>
                <w:szCs w:val="20"/>
                <w:color w:val="auto"/>
              </w:rPr>
            </w:pPr>
            <w:r>
              <w:rPr>
                <w:rFonts w:ascii="Arial" w:cs="Arial" w:eastAsia="Arial" w:hAnsi="Arial"/>
                <w:sz w:val="14"/>
                <w:szCs w:val="14"/>
                <w:color w:val="auto"/>
              </w:rPr>
              <w:t>• Align interests of executives and shareholders</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ind w:left="80"/>
              <w:spacing w:after="0"/>
              <w:rPr>
                <w:sz w:val="20"/>
                <w:szCs w:val="20"/>
                <w:color w:val="auto"/>
              </w:rPr>
            </w:pPr>
            <w:r>
              <w:rPr>
                <w:rFonts w:ascii="Arial" w:cs="Arial" w:eastAsia="Arial" w:hAnsi="Arial"/>
                <w:sz w:val="14"/>
                <w:szCs w:val="14"/>
                <w:color w:val="auto"/>
              </w:rPr>
              <w:t>date</w:t>
            </w:r>
          </w:p>
        </w:tc>
        <w:tc>
          <w:tcPr>
            <w:tcW w:w="3400" w:type="dxa"/>
            <w:vAlign w:val="bottom"/>
            <w:vMerge w:val="restart"/>
          </w:tcPr>
          <w:p>
            <w:pPr>
              <w:spacing w:after="0"/>
              <w:rPr>
                <w:sz w:val="20"/>
                <w:szCs w:val="20"/>
                <w:color w:val="auto"/>
              </w:rPr>
            </w:pPr>
            <w:r>
              <w:rPr>
                <w:rFonts w:ascii="Arial" w:cs="Arial" w:eastAsia="Arial" w:hAnsi="Arial"/>
                <w:sz w:val="14"/>
                <w:szCs w:val="14"/>
                <w:color w:val="auto"/>
              </w:rPr>
              <w:t>• Attract and retain executives</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3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149860</wp:posOffset>
            </wp:positionV>
            <wp:extent cx="52216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21605" cy="8255"/>
                    </a:xfrm>
                    <a:prstGeom prst="rect">
                      <a:avLst/>
                    </a:prstGeom>
                    <a:noFill/>
                  </pic:spPr>
                </pic:pic>
              </a:graphicData>
            </a:graphic>
          </wp:anchor>
        </w:drawing>
      </w:r>
    </w:p>
    <w:p>
      <w:pPr>
        <w:sectPr>
          <w:pgSz w:w="11900" w:h="16838" w:orient="portrait"/>
          <w:cols w:equalWidth="0" w:num="1">
            <w:col w:w="11100"/>
          </w:cols>
          <w:pgMar w:left="320" w:top="1097" w:right="479" w:bottom="1440" w:gutter="0" w:footer="0" w:header="0"/>
        </w:sect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00" w:type="dxa"/>
            <w:vAlign w:val="bottom"/>
          </w:tcPr>
          <w:p>
            <w:pPr>
              <w:spacing w:after="0"/>
              <w:rPr>
                <w:sz w:val="20"/>
                <w:szCs w:val="20"/>
                <w:color w:val="auto"/>
              </w:rPr>
            </w:pPr>
            <w:r>
              <w:rPr>
                <w:rFonts w:ascii="Arial" w:cs="Arial" w:eastAsia="Arial" w:hAnsi="Arial"/>
                <w:sz w:val="14"/>
                <w:szCs w:val="14"/>
                <w:color w:val="auto"/>
              </w:rPr>
              <w:t>Retirement benefits</w:t>
            </w:r>
          </w:p>
        </w:tc>
        <w:tc>
          <w:tcPr>
            <w:tcW w:w="2340" w:type="dxa"/>
            <w:vAlign w:val="bottom"/>
          </w:tcPr>
          <w:p>
            <w:pPr>
              <w:ind w:left="20"/>
              <w:spacing w:after="0"/>
              <w:rPr>
                <w:sz w:val="20"/>
                <w:szCs w:val="20"/>
                <w:color w:val="auto"/>
              </w:rPr>
            </w:pPr>
            <w:r>
              <w:rPr>
                <w:rFonts w:ascii="Arial" w:cs="Arial" w:eastAsia="Arial" w:hAnsi="Arial"/>
                <w:sz w:val="14"/>
                <w:szCs w:val="14"/>
                <w:color w:val="auto"/>
              </w:rPr>
              <w:t>Defined Benefit (DB) Plan and</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340" w:type="dxa"/>
            <w:vAlign w:val="bottom"/>
          </w:tcPr>
          <w:p>
            <w:pPr>
              <w:ind w:left="20"/>
              <w:spacing w:after="0" w:line="144" w:lineRule="exact"/>
              <w:rPr>
                <w:sz w:val="20"/>
                <w:szCs w:val="20"/>
                <w:color w:val="auto"/>
              </w:rPr>
            </w:pPr>
            <w:r>
              <w:rPr>
                <w:rFonts w:ascii="Arial" w:cs="Arial" w:eastAsia="Arial" w:hAnsi="Arial"/>
                <w:sz w:val="14"/>
                <w:szCs w:val="14"/>
                <w:color w:val="auto"/>
              </w:rPr>
              <w:t>Supplemental DB Plan for</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2340" w:type="dxa"/>
            <w:vAlign w:val="bottom"/>
          </w:tcPr>
          <w:p>
            <w:pPr>
              <w:ind w:left="20"/>
              <w:spacing w:after="0"/>
              <w:rPr>
                <w:sz w:val="20"/>
                <w:szCs w:val="20"/>
                <w:color w:val="auto"/>
              </w:rPr>
            </w:pPr>
            <w:r>
              <w:rPr>
                <w:rFonts w:ascii="Arial" w:cs="Arial" w:eastAsia="Arial" w:hAnsi="Arial"/>
                <w:sz w:val="14"/>
                <w:szCs w:val="14"/>
                <w:color w:val="auto"/>
              </w:rPr>
              <w:t>Canadian executives</w:t>
            </w:r>
          </w:p>
        </w:tc>
        <w:tc>
          <w:tcPr>
            <w:tcW w:w="2160" w:type="dxa"/>
            <w:vAlign w:val="bottom"/>
            <w:vMerge w:val="restart"/>
          </w:tcPr>
          <w:p>
            <w:pPr>
              <w:spacing w:after="0"/>
              <w:rPr>
                <w:sz w:val="20"/>
                <w:szCs w:val="20"/>
                <w:color w:val="auto"/>
              </w:rPr>
            </w:pPr>
            <w:r>
              <w:rPr>
                <w:rFonts w:ascii="Arial" w:cs="Arial" w:eastAsia="Arial" w:hAnsi="Arial"/>
                <w:sz w:val="14"/>
                <w:szCs w:val="14"/>
                <w:color w:val="auto"/>
              </w:rPr>
              <w:t>• To be realized during retirement</w:t>
            </w:r>
          </w:p>
        </w:tc>
        <w:tc>
          <w:tcPr>
            <w:tcW w:w="0" w:type="dxa"/>
            <w:vAlign w:val="bottom"/>
          </w:tcPr>
          <w:p>
            <w:pPr>
              <w:spacing w:after="0"/>
              <w:rPr>
                <w:sz w:val="1"/>
                <w:szCs w:val="1"/>
                <w:color w:val="auto"/>
              </w:rPr>
            </w:pPr>
          </w:p>
        </w:tc>
      </w:tr>
      <w:tr>
        <w:trPr>
          <w:trHeight w:val="66"/>
        </w:trPr>
        <w:tc>
          <w:tcPr>
            <w:tcW w:w="1700" w:type="dxa"/>
            <w:vAlign w:val="bottom"/>
          </w:tcPr>
          <w:p>
            <w:pPr>
              <w:spacing w:after="0"/>
              <w:rPr>
                <w:sz w:val="5"/>
                <w:szCs w:val="5"/>
                <w:color w:val="auto"/>
              </w:rPr>
            </w:pPr>
          </w:p>
        </w:tc>
        <w:tc>
          <w:tcPr>
            <w:tcW w:w="2340" w:type="dxa"/>
            <w:vAlign w:val="bottom"/>
            <w:tcBorders>
              <w:bottom w:val="single" w:sz="8" w:color="B2B2B2"/>
            </w:tcBorders>
          </w:tcPr>
          <w:p>
            <w:pPr>
              <w:spacing w:after="0"/>
              <w:rPr>
                <w:sz w:val="5"/>
                <w:szCs w:val="5"/>
                <w:color w:val="auto"/>
              </w:rPr>
            </w:pPr>
          </w:p>
        </w:tc>
        <w:tc>
          <w:tcPr>
            <w:tcW w:w="2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700" w:type="dxa"/>
            <w:vAlign w:val="bottom"/>
          </w:tcPr>
          <w:p>
            <w:pPr>
              <w:spacing w:after="0"/>
              <w:rPr>
                <w:sz w:val="12"/>
                <w:szCs w:val="12"/>
                <w:color w:val="auto"/>
              </w:rPr>
            </w:pPr>
          </w:p>
        </w:tc>
        <w:tc>
          <w:tcPr>
            <w:tcW w:w="2340" w:type="dxa"/>
            <w:vAlign w:val="bottom"/>
          </w:tcPr>
          <w:p>
            <w:pPr>
              <w:ind w:left="20"/>
              <w:spacing w:after="0" w:line="145" w:lineRule="exact"/>
              <w:rPr>
                <w:sz w:val="20"/>
                <w:szCs w:val="20"/>
                <w:color w:val="auto"/>
              </w:rPr>
            </w:pPr>
            <w:r>
              <w:rPr>
                <w:rFonts w:ascii="Arial" w:cs="Arial" w:eastAsia="Arial" w:hAnsi="Arial"/>
                <w:sz w:val="14"/>
                <w:szCs w:val="14"/>
                <w:color w:val="auto"/>
              </w:rPr>
              <w:t>401(k) Plan and Non-Qualified Plan</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2340" w:type="dxa"/>
            <w:vAlign w:val="bottom"/>
          </w:tcPr>
          <w:p>
            <w:pPr>
              <w:ind w:left="20"/>
              <w:spacing w:after="0"/>
              <w:rPr>
                <w:sz w:val="20"/>
                <w:szCs w:val="20"/>
                <w:color w:val="auto"/>
              </w:rPr>
            </w:pPr>
            <w:r>
              <w:rPr>
                <w:rFonts w:ascii="Arial" w:cs="Arial" w:eastAsia="Arial" w:hAnsi="Arial"/>
                <w:sz w:val="14"/>
                <w:szCs w:val="14"/>
                <w:color w:val="auto"/>
              </w:rPr>
              <w:t>for U.S. executives</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left="151" w:hanging="151"/>
        <w:spacing w:after="0"/>
        <w:tabs>
          <w:tab w:leader="none" w:pos="15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Provide a source of income at retirement</w:t>
      </w:r>
    </w:p>
    <w:p>
      <w:pPr>
        <w:spacing w:after="0" w:line="28" w:lineRule="exact"/>
        <w:rPr>
          <w:rFonts w:ascii="Arial" w:cs="Arial" w:eastAsia="Arial" w:hAnsi="Arial"/>
          <w:sz w:val="14"/>
          <w:szCs w:val="14"/>
          <w:color w:val="auto"/>
        </w:rPr>
      </w:pPr>
    </w:p>
    <w:p>
      <w:pPr>
        <w:ind w:left="151" w:hanging="151"/>
        <w:spacing w:after="0"/>
        <w:tabs>
          <w:tab w:leader="none" w:pos="15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Attract and retain executives</w:t>
      </w:r>
    </w:p>
    <w:p>
      <w:pPr>
        <w:spacing w:after="0" w:line="323" w:lineRule="exact"/>
        <w:rPr>
          <w:sz w:val="20"/>
          <w:szCs w:val="20"/>
          <w:color w:val="auto"/>
        </w:rPr>
      </w:pPr>
    </w:p>
    <w:p>
      <w:pPr>
        <w:sectPr>
          <w:pgSz w:w="11900" w:h="16838" w:orient="portrait"/>
          <w:cols w:equalWidth="0" w:num="2">
            <w:col w:w="6220" w:space="349"/>
            <w:col w:w="4531"/>
          </w:cols>
          <w:pgMar w:left="320" w:top="1097" w:right="47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1580" w:type="dxa"/>
            <w:vAlign w:val="bottom"/>
            <w:tcBorders>
              <w:top w:val="single" w:sz="8" w:color="B2B2B2"/>
            </w:tcBorders>
          </w:tcPr>
          <w:p>
            <w:pPr>
              <w:ind w:left="20"/>
              <w:spacing w:after="0"/>
              <w:rPr>
                <w:sz w:val="20"/>
                <w:szCs w:val="20"/>
                <w:color w:val="auto"/>
              </w:rPr>
            </w:pPr>
            <w:r>
              <w:rPr>
                <w:rFonts w:ascii="Arial" w:cs="Arial" w:eastAsia="Arial" w:hAnsi="Arial"/>
                <w:sz w:val="14"/>
                <w:szCs w:val="14"/>
                <w:color w:val="auto"/>
              </w:rPr>
              <w:t>Traditional health and</w:t>
            </w:r>
          </w:p>
        </w:tc>
        <w:tc>
          <w:tcPr>
            <w:tcW w:w="2420" w:type="dxa"/>
            <w:vAlign w:val="bottom"/>
            <w:tcBorders>
              <w:top w:val="single" w:sz="8" w:color="B2B2B2"/>
            </w:tcBorders>
          </w:tcPr>
          <w:p>
            <w:pPr>
              <w:ind w:left="160"/>
              <w:spacing w:after="0"/>
              <w:rPr>
                <w:sz w:val="20"/>
                <w:szCs w:val="20"/>
                <w:color w:val="auto"/>
              </w:rPr>
            </w:pPr>
            <w:r>
              <w:rPr>
                <w:rFonts w:ascii="Arial" w:cs="Arial" w:eastAsia="Arial" w:hAnsi="Arial"/>
                <w:sz w:val="14"/>
                <w:szCs w:val="14"/>
                <w:color w:val="auto"/>
              </w:rPr>
              <w:t>Benefit plans</w:t>
            </w:r>
          </w:p>
        </w:tc>
        <w:tc>
          <w:tcPr>
            <w:tcW w:w="160" w:type="dxa"/>
            <w:vAlign w:val="bottom"/>
            <w:tcBorders>
              <w:top w:val="single" w:sz="8" w:color="B2B2B2"/>
            </w:tcBorders>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B2B2B2"/>
            </w:tcBorders>
          </w:tcPr>
          <w:p>
            <w:pPr>
              <w:ind w:left="60"/>
              <w:spacing w:after="0"/>
              <w:rPr>
                <w:sz w:val="20"/>
                <w:szCs w:val="20"/>
                <w:color w:val="auto"/>
              </w:rPr>
            </w:pPr>
            <w:r>
              <w:rPr>
                <w:rFonts w:ascii="Arial" w:cs="Arial" w:eastAsia="Arial" w:hAnsi="Arial"/>
                <w:sz w:val="14"/>
                <w:szCs w:val="14"/>
                <w:color w:val="auto"/>
              </w:rPr>
              <w:t>One year</w:t>
            </w:r>
          </w:p>
        </w:tc>
        <w:tc>
          <w:tcPr>
            <w:tcW w:w="4280" w:type="dxa"/>
            <w:vAlign w:val="bottom"/>
            <w:tcBorders>
              <w:top w:val="single" w:sz="8" w:color="B2B2B2"/>
            </w:tcBorders>
          </w:tcPr>
          <w:p>
            <w:pPr>
              <w:ind w:left="880"/>
              <w:spacing w:after="0"/>
              <w:rPr>
                <w:sz w:val="20"/>
                <w:szCs w:val="20"/>
                <w:color w:val="auto"/>
              </w:rPr>
            </w:pPr>
            <w:r>
              <w:rPr>
                <w:rFonts w:ascii="Arial" w:cs="Arial" w:eastAsia="Arial" w:hAnsi="Arial"/>
                <w:sz w:val="14"/>
                <w:szCs w:val="14"/>
                <w:color w:val="auto"/>
              </w:rPr>
              <w:t>• Support the health and well-being of executives</w:t>
            </w:r>
          </w:p>
        </w:tc>
        <w:tc>
          <w:tcPr>
            <w:tcW w:w="0" w:type="dxa"/>
            <w:vAlign w:val="bottom"/>
          </w:tcPr>
          <w:p>
            <w:pPr>
              <w:spacing w:after="0"/>
              <w:rPr>
                <w:sz w:val="1"/>
                <w:szCs w:val="1"/>
                <w:color w:val="auto"/>
              </w:rPr>
            </w:pPr>
          </w:p>
        </w:tc>
      </w:tr>
      <w:tr>
        <w:trPr>
          <w:trHeight w:val="188"/>
        </w:trPr>
        <w:tc>
          <w:tcPr>
            <w:tcW w:w="1580" w:type="dxa"/>
            <w:vAlign w:val="bottom"/>
          </w:tcPr>
          <w:p>
            <w:pPr>
              <w:ind w:left="20"/>
              <w:spacing w:after="0"/>
              <w:rPr>
                <w:sz w:val="20"/>
                <w:szCs w:val="20"/>
                <w:color w:val="auto"/>
              </w:rPr>
            </w:pPr>
            <w:r>
              <w:rPr>
                <w:rFonts w:ascii="Arial" w:cs="Arial" w:eastAsia="Arial" w:hAnsi="Arial"/>
                <w:sz w:val="14"/>
                <w:szCs w:val="14"/>
                <w:color w:val="auto"/>
              </w:rPr>
              <w:t>welfare programs</w:t>
            </w:r>
          </w:p>
        </w:tc>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80" w:type="dxa"/>
            <w:vAlign w:val="bottom"/>
            <w:vMerge w:val="restart"/>
          </w:tcPr>
          <w:p>
            <w:pPr>
              <w:ind w:left="880"/>
              <w:spacing w:after="0"/>
              <w:rPr>
                <w:sz w:val="20"/>
                <w:szCs w:val="20"/>
                <w:color w:val="auto"/>
              </w:rPr>
            </w:pPr>
            <w:r>
              <w:rPr>
                <w:rFonts w:ascii="Arial" w:cs="Arial" w:eastAsia="Arial" w:hAnsi="Arial"/>
                <w:sz w:val="14"/>
                <w:szCs w:val="14"/>
                <w:color w:val="auto"/>
              </w:rPr>
              <w:t>• Attract and retain executives</w:t>
            </w:r>
          </w:p>
        </w:tc>
        <w:tc>
          <w:tcPr>
            <w:tcW w:w="0" w:type="dxa"/>
            <w:vAlign w:val="bottom"/>
          </w:tcPr>
          <w:p>
            <w:pPr>
              <w:spacing w:after="0"/>
              <w:rPr>
                <w:sz w:val="1"/>
                <w:szCs w:val="1"/>
                <w:color w:val="auto"/>
              </w:rPr>
            </w:pPr>
          </w:p>
        </w:tc>
      </w:tr>
      <w:tr>
        <w:trPr>
          <w:trHeight w:val="46"/>
        </w:trPr>
        <w:tc>
          <w:tcPr>
            <w:tcW w:w="15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1580" w:type="dxa"/>
            <w:vAlign w:val="bottom"/>
            <w:tcBorders>
              <w:bottom w:val="single" w:sz="8" w:color="B2B2B2"/>
            </w:tcBorders>
          </w:tcPr>
          <w:p>
            <w:pPr>
              <w:spacing w:after="0"/>
              <w:rPr>
                <w:sz w:val="3"/>
                <w:szCs w:val="3"/>
                <w:color w:val="auto"/>
              </w:rPr>
            </w:pPr>
          </w:p>
        </w:tc>
        <w:tc>
          <w:tcPr>
            <w:tcW w:w="2420" w:type="dxa"/>
            <w:vAlign w:val="bottom"/>
            <w:tcBorders>
              <w:bottom w:val="single" w:sz="8" w:color="B2B2B2"/>
            </w:tcBorders>
          </w:tcPr>
          <w:p>
            <w:pPr>
              <w:spacing w:after="0"/>
              <w:rPr>
                <w:sz w:val="3"/>
                <w:szCs w:val="3"/>
                <w:color w:val="auto"/>
              </w:rPr>
            </w:pPr>
          </w:p>
        </w:tc>
        <w:tc>
          <w:tcPr>
            <w:tcW w:w="160" w:type="dxa"/>
            <w:vAlign w:val="bottom"/>
            <w:tcBorders>
              <w:bottom w:val="single" w:sz="8" w:color="B2B2B2"/>
            </w:tcBorders>
          </w:tcPr>
          <w:p>
            <w:pPr>
              <w:spacing w:after="0"/>
              <w:rPr>
                <w:sz w:val="3"/>
                <w:szCs w:val="3"/>
                <w:color w:val="auto"/>
              </w:rPr>
            </w:pPr>
          </w:p>
        </w:tc>
        <w:tc>
          <w:tcPr>
            <w:tcW w:w="1520" w:type="dxa"/>
            <w:vAlign w:val="bottom"/>
            <w:tcBorders>
              <w:bottom w:val="single" w:sz="8" w:color="B2B2B2"/>
            </w:tcBorders>
          </w:tcPr>
          <w:p>
            <w:pPr>
              <w:spacing w:after="0"/>
              <w:rPr>
                <w:sz w:val="3"/>
                <w:szCs w:val="3"/>
                <w:color w:val="auto"/>
              </w:rPr>
            </w:pPr>
          </w:p>
        </w:tc>
        <w:tc>
          <w:tcPr>
            <w:tcW w:w="428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580" w:type="dxa"/>
            <w:vAlign w:val="bottom"/>
          </w:tcPr>
          <w:p>
            <w:pPr>
              <w:ind w:left="20"/>
              <w:spacing w:after="0" w:line="145" w:lineRule="exact"/>
              <w:rPr>
                <w:sz w:val="20"/>
                <w:szCs w:val="20"/>
                <w:color w:val="auto"/>
              </w:rPr>
            </w:pPr>
            <w:r>
              <w:rPr>
                <w:rFonts w:ascii="Arial" w:cs="Arial" w:eastAsia="Arial" w:hAnsi="Arial"/>
                <w:sz w:val="14"/>
                <w:szCs w:val="14"/>
                <w:color w:val="auto"/>
              </w:rPr>
              <w:t>Perquisites</w:t>
            </w:r>
          </w:p>
        </w:tc>
        <w:tc>
          <w:tcPr>
            <w:tcW w:w="2420" w:type="dxa"/>
            <w:vAlign w:val="bottom"/>
          </w:tcPr>
          <w:p>
            <w:pPr>
              <w:ind w:left="160"/>
              <w:spacing w:after="0" w:line="145" w:lineRule="exact"/>
              <w:rPr>
                <w:sz w:val="20"/>
                <w:szCs w:val="20"/>
                <w:color w:val="auto"/>
              </w:rPr>
            </w:pPr>
            <w:r>
              <w:rPr>
                <w:rFonts w:ascii="Arial" w:cs="Arial" w:eastAsia="Arial" w:hAnsi="Arial"/>
                <w:sz w:val="14"/>
                <w:szCs w:val="14"/>
                <w:color w:val="auto"/>
              </w:rPr>
              <w:t>Flexible perquisite allowance, club</w:t>
            </w:r>
          </w:p>
        </w:tc>
        <w:tc>
          <w:tcPr>
            <w:tcW w:w="16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520" w:type="dxa"/>
            <w:vAlign w:val="bottom"/>
          </w:tcPr>
          <w:p>
            <w:pPr>
              <w:ind w:left="60"/>
              <w:spacing w:after="0" w:line="145" w:lineRule="exact"/>
              <w:rPr>
                <w:sz w:val="20"/>
                <w:szCs w:val="20"/>
                <w:color w:val="auto"/>
              </w:rPr>
            </w:pPr>
            <w:r>
              <w:rPr>
                <w:rFonts w:ascii="Arial" w:cs="Arial" w:eastAsia="Arial" w:hAnsi="Arial"/>
                <w:sz w:val="14"/>
                <w:szCs w:val="14"/>
                <w:color w:val="auto"/>
              </w:rPr>
              <w:t>One year</w:t>
            </w:r>
          </w:p>
        </w:tc>
        <w:tc>
          <w:tcPr>
            <w:tcW w:w="4280" w:type="dxa"/>
            <w:vAlign w:val="bottom"/>
          </w:tcPr>
          <w:p>
            <w:pPr>
              <w:ind w:left="880"/>
              <w:spacing w:after="0" w:line="145" w:lineRule="exact"/>
              <w:rPr>
                <w:sz w:val="20"/>
                <w:szCs w:val="20"/>
                <w:color w:val="auto"/>
              </w:rPr>
            </w:pPr>
            <w:r>
              <w:rPr>
                <w:rFonts w:ascii="Arial" w:cs="Arial" w:eastAsia="Arial" w:hAnsi="Arial"/>
                <w:sz w:val="14"/>
                <w:szCs w:val="14"/>
                <w:color w:val="auto"/>
              </w:rPr>
              <w:t>• Attract and retain executives</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12"/>
                <w:szCs w:val="12"/>
                <w:color w:val="auto"/>
              </w:rPr>
            </w:pPr>
          </w:p>
        </w:tc>
        <w:tc>
          <w:tcPr>
            <w:tcW w:w="2420" w:type="dxa"/>
            <w:vAlign w:val="bottom"/>
          </w:tcPr>
          <w:p>
            <w:pPr>
              <w:ind w:left="160"/>
              <w:spacing w:after="0" w:line="144" w:lineRule="exact"/>
              <w:rPr>
                <w:sz w:val="20"/>
                <w:szCs w:val="20"/>
                <w:color w:val="auto"/>
              </w:rPr>
            </w:pPr>
            <w:r>
              <w:rPr>
                <w:rFonts w:ascii="Arial" w:cs="Arial" w:eastAsia="Arial" w:hAnsi="Arial"/>
                <w:sz w:val="14"/>
                <w:szCs w:val="14"/>
                <w:color w:val="auto"/>
              </w:rPr>
              <w:t>memberships, reserved parking</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2420" w:type="dxa"/>
            <w:vAlign w:val="bottom"/>
          </w:tcPr>
          <w:p>
            <w:pPr>
              <w:ind w:left="160"/>
              <w:spacing w:after="0"/>
              <w:rPr>
                <w:sz w:val="20"/>
                <w:szCs w:val="20"/>
                <w:color w:val="auto"/>
              </w:rPr>
            </w:pPr>
            <w:r>
              <w:rPr>
                <w:rFonts w:ascii="Arial" w:cs="Arial" w:eastAsia="Arial" w:hAnsi="Arial"/>
                <w:sz w:val="14"/>
                <w:szCs w:val="14"/>
                <w:color w:val="auto"/>
              </w:rPr>
              <w:t>space and a car allowance</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580" w:type="dxa"/>
            <w:vAlign w:val="bottom"/>
            <w:tcBorders>
              <w:bottom w:val="single" w:sz="8" w:color="0D64EF"/>
            </w:tcBorders>
          </w:tcPr>
          <w:p>
            <w:pPr>
              <w:spacing w:after="0"/>
              <w:rPr>
                <w:sz w:val="5"/>
                <w:szCs w:val="5"/>
                <w:color w:val="auto"/>
              </w:rPr>
            </w:pPr>
          </w:p>
        </w:tc>
        <w:tc>
          <w:tcPr>
            <w:tcW w:w="2420" w:type="dxa"/>
            <w:vAlign w:val="bottom"/>
            <w:tcBorders>
              <w:bottom w:val="single" w:sz="8" w:color="0D64EF"/>
            </w:tcBorders>
          </w:tcPr>
          <w:p>
            <w:pPr>
              <w:spacing w:after="0"/>
              <w:rPr>
                <w:sz w:val="5"/>
                <w:szCs w:val="5"/>
                <w:color w:val="auto"/>
              </w:rPr>
            </w:pPr>
          </w:p>
        </w:tc>
        <w:tc>
          <w:tcPr>
            <w:tcW w:w="160" w:type="dxa"/>
            <w:vAlign w:val="bottom"/>
            <w:tcBorders>
              <w:bottom w:val="single" w:sz="8" w:color="0D64EF"/>
            </w:tcBorders>
          </w:tcPr>
          <w:p>
            <w:pPr>
              <w:spacing w:after="0"/>
              <w:rPr>
                <w:sz w:val="5"/>
                <w:szCs w:val="5"/>
                <w:color w:val="auto"/>
              </w:rPr>
            </w:pPr>
          </w:p>
        </w:tc>
        <w:tc>
          <w:tcPr>
            <w:tcW w:w="1520" w:type="dxa"/>
            <w:vAlign w:val="bottom"/>
            <w:tcBorders>
              <w:bottom w:val="single" w:sz="8" w:color="0D64EF"/>
            </w:tcBorders>
          </w:tcPr>
          <w:p>
            <w:pPr>
              <w:spacing w:after="0"/>
              <w:rPr>
                <w:sz w:val="5"/>
                <w:szCs w:val="5"/>
                <w:color w:val="auto"/>
              </w:rPr>
            </w:pPr>
          </w:p>
        </w:tc>
        <w:tc>
          <w:tcPr>
            <w:tcW w:w="4280" w:type="dxa"/>
            <w:vAlign w:val="bottom"/>
            <w:tcBorders>
              <w:bottom w:val="single" w:sz="8" w:color="0D64E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Starting in 2024, Stock Options were no longer granted, and RSUs were granted to executives along with PSUs.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Fixed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44" w:lineRule="exact"/>
        <w:rPr>
          <w:sz w:val="20"/>
          <w:szCs w:val="20"/>
          <w:color w:val="auto"/>
        </w:rPr>
      </w:pPr>
    </w:p>
    <w:p>
      <w:pPr>
        <w:ind w:right="380"/>
        <w:spacing w:after="0" w:line="354" w:lineRule="auto"/>
        <w:rPr>
          <w:sz w:val="20"/>
          <w:szCs w:val="20"/>
          <w:color w:val="auto"/>
        </w:rPr>
      </w:pPr>
      <w:r>
        <w:rPr>
          <w:rFonts w:ascii="Arial" w:cs="Arial" w:eastAsia="Arial" w:hAnsi="Arial"/>
          <w:sz w:val="16"/>
          <w:szCs w:val="16"/>
          <w:color w:val="auto"/>
        </w:rPr>
        <w:t>Base salaries for executive positions are generally aligned within a competitive range of median base salary levels in our peer group. The independent consultant to the Human Resources Committee analyzes and provides relevant market data to the Human Resources Committee and the Board.</w:t>
      </w:r>
    </w:p>
    <w:p>
      <w:pPr>
        <w:spacing w:after="0" w:line="22" w:lineRule="exact"/>
        <w:rPr>
          <w:sz w:val="20"/>
          <w:szCs w:val="20"/>
          <w:color w:val="auto"/>
        </w:rPr>
      </w:pPr>
    </w:p>
    <w:p>
      <w:pPr>
        <w:ind w:right="460"/>
        <w:spacing w:after="0" w:line="354" w:lineRule="auto"/>
        <w:rPr>
          <w:sz w:val="20"/>
          <w:szCs w:val="20"/>
          <w:color w:val="auto"/>
        </w:rPr>
      </w:pPr>
      <w:r>
        <w:rPr>
          <w:rFonts w:ascii="Arial" w:cs="Arial" w:eastAsia="Arial" w:hAnsi="Arial"/>
          <w:sz w:val="16"/>
          <w:szCs w:val="16"/>
          <w:color w:val="auto"/>
        </w:rPr>
        <w:t>Increases in base salary for the named executives are based on their performance, competitive market data, experience in and scope of the role, and compensation relative to other executives at TC Energy. Base salary adjustments are typically effective March 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100"/>
          </w:cols>
          <w:pgMar w:left="320" w:top="1097" w:right="47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color w:val="0D64EF"/>
        </w:rPr>
        <w:t>Variable or at-risk compensation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Variable compensation accounts for a significant portion of executive pay, and increases in proportion by executive level.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incentive</w:t>
      </w:r>
    </w:p>
    <w:p>
      <w:pPr>
        <w:spacing w:after="0" w:line="44" w:lineRule="exact"/>
        <w:rPr>
          <w:sz w:val="20"/>
          <w:szCs w:val="20"/>
          <w:color w:val="auto"/>
        </w:rPr>
      </w:pPr>
    </w:p>
    <w:p>
      <w:pPr>
        <w:ind w:right="2680"/>
        <w:spacing w:after="0" w:line="306" w:lineRule="auto"/>
        <w:rPr>
          <w:sz w:val="20"/>
          <w:szCs w:val="20"/>
          <w:color w:val="auto"/>
        </w:rPr>
      </w:pPr>
      <w:r>
        <w:rPr>
          <w:rFonts w:ascii="Arial" w:cs="Arial" w:eastAsia="Arial" w:hAnsi="Arial"/>
          <w:sz w:val="16"/>
          <w:szCs w:val="16"/>
          <w:color w:val="auto"/>
        </w:rPr>
        <w:t>The short-term incentive plan is principally designed to motivate employees to achieve key annual business objectives. It rewards individuals for their contributions and aligns the interests of employees and shareholders. In doing so, it offers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opportunity for higher compensation in strong performance scenarios, which is a factor in attracting and retaining highly-qualified and motivated talent.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Short-term incentive awards are paid as a lump sum cash payment in March following the performance year.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Annual cash awards are made to the named executives based on a formula that takes into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114300</wp:posOffset>
            </wp:positionV>
            <wp:extent cx="5323840" cy="1501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23840" cy="150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Awards are based on the following target levels and performance measure relative weightings.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40" w:type="dxa"/>
            <w:vAlign w:val="bottom"/>
            <w:tcBorders>
              <w:top w:val="single" w:sz="8" w:color="0D64EF"/>
            </w:tcBorders>
            <w:shd w:val="clear" w:color="auto" w:fill="D1D0CF"/>
          </w:tcPr>
          <w:p>
            <w:pPr>
              <w:spacing w:after="0"/>
              <w:rPr>
                <w:sz w:val="16"/>
                <w:szCs w:val="16"/>
                <w:color w:val="auto"/>
              </w:rPr>
            </w:pPr>
          </w:p>
        </w:tc>
        <w:tc>
          <w:tcPr>
            <w:tcW w:w="1540" w:type="dxa"/>
            <w:vAlign w:val="bottom"/>
            <w:tcBorders>
              <w:top w:val="single" w:sz="8" w:color="0D64EF"/>
            </w:tcBorders>
            <w:shd w:val="clear" w:color="auto" w:fill="D0D0CE"/>
          </w:tcPr>
          <w:p>
            <w:pPr>
              <w:spacing w:after="0"/>
              <w:rPr>
                <w:sz w:val="16"/>
                <w:szCs w:val="16"/>
                <w:color w:val="auto"/>
              </w:rPr>
            </w:pPr>
          </w:p>
        </w:tc>
        <w:tc>
          <w:tcPr>
            <w:tcW w:w="1260" w:type="dxa"/>
            <w:vAlign w:val="bottom"/>
            <w:tcBorders>
              <w:top w:val="single" w:sz="8" w:color="0D64EF"/>
            </w:tcBorders>
            <w:shd w:val="clear" w:color="auto" w:fill="D0D0CE"/>
          </w:tcPr>
          <w:p>
            <w:pPr>
              <w:spacing w:after="0"/>
              <w:rPr>
                <w:sz w:val="16"/>
                <w:szCs w:val="16"/>
                <w:color w:val="auto"/>
              </w:rPr>
            </w:pPr>
          </w:p>
        </w:tc>
        <w:tc>
          <w:tcPr>
            <w:tcW w:w="2720" w:type="dxa"/>
            <w:vAlign w:val="bottom"/>
            <w:tcBorders>
              <w:top w:val="single" w:sz="8" w:color="0D64EF"/>
            </w:tcBorders>
            <w:gridSpan w:val="2"/>
            <w:shd w:val="clear" w:color="auto" w:fill="D0D0CE"/>
          </w:tcPr>
          <w:p>
            <w:pPr>
              <w:jc w:val="center"/>
              <w:spacing w:after="0"/>
              <w:rPr>
                <w:sz w:val="20"/>
                <w:szCs w:val="20"/>
                <w:color w:val="auto"/>
              </w:rPr>
            </w:pPr>
            <w:r>
              <w:rPr>
                <w:rFonts w:ascii="Arial" w:cs="Arial" w:eastAsia="Arial" w:hAnsi="Arial"/>
                <w:sz w:val="14"/>
                <w:szCs w:val="14"/>
                <w:b w:val="1"/>
                <w:bCs w:val="1"/>
                <w:color w:val="auto"/>
              </w:rPr>
              <w:t>2025 Performance measure relative</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D1D0CF"/>
            </w:tcBorders>
            <w:shd w:val="clear" w:color="auto" w:fill="D1D0CF"/>
          </w:tcPr>
          <w:p>
            <w:pPr>
              <w:spacing w:after="0"/>
              <w:rPr>
                <w:sz w:val="16"/>
                <w:szCs w:val="16"/>
                <w:color w:val="auto"/>
              </w:rPr>
            </w:pPr>
          </w:p>
        </w:tc>
        <w:tc>
          <w:tcPr>
            <w:tcW w:w="1540" w:type="dxa"/>
            <w:vAlign w:val="bottom"/>
            <w:tcBorders>
              <w:bottom w:val="single" w:sz="8" w:color="D0D0CE"/>
            </w:tcBorders>
            <w:shd w:val="clear" w:color="auto" w:fill="D0D0CE"/>
          </w:tcPr>
          <w:p>
            <w:pPr>
              <w:spacing w:after="0"/>
              <w:rPr>
                <w:sz w:val="16"/>
                <w:szCs w:val="16"/>
                <w:color w:val="auto"/>
              </w:rPr>
            </w:pPr>
          </w:p>
        </w:tc>
        <w:tc>
          <w:tcPr>
            <w:tcW w:w="1260" w:type="dxa"/>
            <w:vAlign w:val="bottom"/>
            <w:tcBorders>
              <w:bottom w:val="single" w:sz="8" w:color="D0D0CE"/>
            </w:tcBorders>
            <w:shd w:val="clear" w:color="auto" w:fill="D0D0CE"/>
          </w:tcPr>
          <w:p>
            <w:pPr>
              <w:spacing w:after="0"/>
              <w:rPr>
                <w:sz w:val="16"/>
                <w:szCs w:val="16"/>
                <w:color w:val="auto"/>
              </w:rPr>
            </w:pPr>
          </w:p>
        </w:tc>
        <w:tc>
          <w:tcPr>
            <w:tcW w:w="1020" w:type="dxa"/>
            <w:vAlign w:val="bottom"/>
            <w:tcBorders>
              <w:bottom w:val="single" w:sz="8" w:color="0D64EF"/>
            </w:tcBorders>
            <w:shd w:val="clear" w:color="auto" w:fill="D0D0CE"/>
          </w:tcPr>
          <w:p>
            <w:pPr>
              <w:spacing w:after="0"/>
              <w:rPr>
                <w:sz w:val="16"/>
                <w:szCs w:val="16"/>
                <w:color w:val="auto"/>
              </w:rPr>
            </w:pPr>
          </w:p>
        </w:tc>
        <w:tc>
          <w:tcPr>
            <w:tcW w:w="1700" w:type="dxa"/>
            <w:vAlign w:val="bottom"/>
            <w:tcBorders>
              <w:bottom w:val="single" w:sz="8" w:color="0D64EF"/>
            </w:tcBorders>
            <w:shd w:val="clear" w:color="auto" w:fill="D0D0CE"/>
          </w:tcPr>
          <w:p>
            <w:pPr>
              <w:jc w:val="center"/>
              <w:ind w:right="968"/>
              <w:spacing w:after="0"/>
              <w:rPr>
                <w:sz w:val="20"/>
                <w:szCs w:val="20"/>
                <w:color w:val="auto"/>
              </w:rPr>
            </w:pPr>
            <w:r>
              <w:rPr>
                <w:rFonts w:ascii="Arial" w:cs="Arial" w:eastAsia="Arial" w:hAnsi="Arial"/>
                <w:sz w:val="14"/>
                <w:szCs w:val="14"/>
                <w:b w:val="1"/>
                <w:bCs w:val="1"/>
                <w:color w:val="auto"/>
              </w:rPr>
              <w:t>weighting</w:t>
            </w:r>
          </w:p>
        </w:tc>
        <w:tc>
          <w:tcPr>
            <w:tcW w:w="0" w:type="dxa"/>
            <w:vAlign w:val="bottom"/>
          </w:tcPr>
          <w:p>
            <w:pPr>
              <w:spacing w:after="0"/>
              <w:rPr>
                <w:sz w:val="1"/>
                <w:szCs w:val="1"/>
                <w:color w:val="auto"/>
              </w:rPr>
            </w:pPr>
          </w:p>
        </w:tc>
      </w:tr>
      <w:tr>
        <w:trPr>
          <w:trHeight w:val="222"/>
        </w:trPr>
        <w:tc>
          <w:tcPr>
            <w:tcW w:w="4440" w:type="dxa"/>
            <w:vAlign w:val="bottom"/>
            <w:shd w:val="clear" w:color="auto" w:fill="D1D0CF"/>
          </w:tcPr>
          <w:p>
            <w:pPr>
              <w:spacing w:after="0"/>
              <w:rPr>
                <w:sz w:val="19"/>
                <w:szCs w:val="19"/>
                <w:color w:val="auto"/>
              </w:rPr>
            </w:pPr>
          </w:p>
        </w:tc>
        <w:tc>
          <w:tcPr>
            <w:tcW w:w="1540" w:type="dxa"/>
            <w:vAlign w:val="bottom"/>
            <w:shd w:val="clear" w:color="auto" w:fill="D0D0CE"/>
          </w:tcPr>
          <w:p>
            <w:pPr>
              <w:jc w:val="center"/>
              <w:ind w:right="28"/>
              <w:spacing w:after="0"/>
              <w:rPr>
                <w:sz w:val="20"/>
                <w:szCs w:val="20"/>
                <w:color w:val="auto"/>
              </w:rPr>
            </w:pPr>
            <w:r>
              <w:rPr>
                <w:rFonts w:ascii="Arial" w:cs="Arial" w:eastAsia="Arial" w:hAnsi="Arial"/>
                <w:sz w:val="14"/>
                <w:szCs w:val="14"/>
                <w:b w:val="1"/>
                <w:bCs w:val="1"/>
                <w:color w:val="auto"/>
              </w:rPr>
              <w:t>Short-term incentive</w:t>
            </w:r>
          </w:p>
        </w:tc>
        <w:tc>
          <w:tcPr>
            <w:tcW w:w="1260" w:type="dxa"/>
            <w:vAlign w:val="bottom"/>
            <w:vMerge w:val="restart"/>
            <w:shd w:val="clear" w:color="auto" w:fill="D0D0CE"/>
          </w:tcPr>
          <w:p>
            <w:pPr>
              <w:jc w:val="center"/>
              <w:ind w:right="28"/>
              <w:spacing w:after="0"/>
              <w:rPr>
                <w:sz w:val="20"/>
                <w:szCs w:val="20"/>
                <w:color w:val="auto"/>
              </w:rPr>
            </w:pPr>
            <w:r>
              <w:rPr>
                <w:rFonts w:ascii="Arial" w:cs="Arial" w:eastAsia="Arial" w:hAnsi="Arial"/>
                <w:sz w:val="14"/>
                <w:szCs w:val="14"/>
                <w:b w:val="1"/>
                <w:bCs w:val="1"/>
                <w:color w:val="auto"/>
              </w:rPr>
              <w:t>Payout range</w:t>
            </w:r>
          </w:p>
        </w:tc>
        <w:tc>
          <w:tcPr>
            <w:tcW w:w="1020" w:type="dxa"/>
            <w:vAlign w:val="bottom"/>
            <w:shd w:val="clear" w:color="auto" w:fill="D0D0CE"/>
          </w:tcPr>
          <w:p>
            <w:pPr>
              <w:spacing w:after="0"/>
              <w:rPr>
                <w:sz w:val="19"/>
                <w:szCs w:val="19"/>
                <w:color w:val="auto"/>
              </w:rPr>
            </w:pPr>
          </w:p>
        </w:tc>
        <w:tc>
          <w:tcPr>
            <w:tcW w:w="1700" w:type="dxa"/>
            <w:vAlign w:val="bottom"/>
            <w:shd w:val="clear" w:color="auto" w:fill="D0D0C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shd w:val="clear" w:color="auto" w:fill="D1D0CF"/>
          </w:tcPr>
          <w:p>
            <w:pPr>
              <w:ind w:left="20"/>
              <w:spacing w:after="0"/>
              <w:rPr>
                <w:sz w:val="20"/>
                <w:szCs w:val="20"/>
                <w:color w:val="auto"/>
              </w:rPr>
            </w:pPr>
            <w:r>
              <w:rPr>
                <w:rFonts w:ascii="Arial" w:cs="Arial" w:eastAsia="Arial" w:hAnsi="Arial"/>
                <w:sz w:val="14"/>
                <w:szCs w:val="14"/>
                <w:color w:val="auto"/>
              </w:rPr>
              <w:t>At December 31, 2025</w:t>
            </w:r>
          </w:p>
        </w:tc>
        <w:tc>
          <w:tcPr>
            <w:tcW w:w="1540" w:type="dxa"/>
            <w:vAlign w:val="bottom"/>
            <w:shd w:val="clear" w:color="auto" w:fill="D0D0CE"/>
          </w:tcPr>
          <w:p>
            <w:pPr>
              <w:jc w:val="center"/>
              <w:ind w:right="68"/>
              <w:spacing w:after="0" w:line="148" w:lineRule="exact"/>
              <w:rPr>
                <w:sz w:val="20"/>
                <w:szCs w:val="20"/>
                <w:color w:val="auto"/>
              </w:rPr>
            </w:pPr>
            <w:r>
              <w:rPr>
                <w:rFonts w:ascii="Arial" w:cs="Arial" w:eastAsia="Arial" w:hAnsi="Arial"/>
                <w:sz w:val="14"/>
                <w:szCs w:val="14"/>
                <w:b w:val="1"/>
                <w:bCs w:val="1"/>
                <w:color w:val="auto"/>
              </w:rPr>
              <w:t>target</w:t>
            </w:r>
          </w:p>
        </w:tc>
        <w:tc>
          <w:tcPr>
            <w:tcW w:w="1260" w:type="dxa"/>
            <w:vAlign w:val="bottom"/>
            <w:vMerge w:val="continue"/>
            <w:shd w:val="clear" w:color="auto" w:fill="D0D0CE"/>
          </w:tcPr>
          <w:p>
            <w:pPr>
              <w:spacing w:after="0"/>
              <w:rPr>
                <w:sz w:val="12"/>
                <w:szCs w:val="12"/>
                <w:color w:val="auto"/>
              </w:rPr>
            </w:pPr>
          </w:p>
        </w:tc>
        <w:tc>
          <w:tcPr>
            <w:tcW w:w="1020" w:type="dxa"/>
            <w:vAlign w:val="bottom"/>
            <w:vMerge w:val="restart"/>
            <w:shd w:val="clear" w:color="auto" w:fill="D0D0CE"/>
          </w:tcPr>
          <w:p>
            <w:pPr>
              <w:jc w:val="center"/>
              <w:ind w:left="268"/>
              <w:spacing w:after="0"/>
              <w:rPr>
                <w:sz w:val="20"/>
                <w:szCs w:val="20"/>
                <w:color w:val="auto"/>
              </w:rPr>
            </w:pPr>
            <w:r>
              <w:rPr>
                <w:rFonts w:ascii="Arial" w:cs="Arial" w:eastAsia="Arial" w:hAnsi="Arial"/>
                <w:sz w:val="14"/>
                <w:szCs w:val="14"/>
                <w:b w:val="1"/>
                <w:bCs w:val="1"/>
                <w:color w:val="auto"/>
              </w:rPr>
              <w:t>Corporate</w:t>
            </w:r>
          </w:p>
        </w:tc>
        <w:tc>
          <w:tcPr>
            <w:tcW w:w="1700" w:type="dxa"/>
            <w:vAlign w:val="bottom"/>
            <w:vMerge w:val="restart"/>
            <w:shd w:val="clear" w:color="auto" w:fill="D0D0CE"/>
          </w:tcPr>
          <w:p>
            <w:pPr>
              <w:jc w:val="center"/>
              <w:ind w:left="248"/>
              <w:spacing w:after="0"/>
              <w:rPr>
                <w:sz w:val="20"/>
                <w:szCs w:val="20"/>
                <w:color w:val="auto"/>
              </w:rPr>
            </w:pPr>
            <w:r>
              <w:rPr>
                <w:rFonts w:ascii="Arial" w:cs="Arial" w:eastAsia="Arial" w:hAnsi="Arial"/>
                <w:sz w:val="14"/>
                <w:szCs w:val="14"/>
                <w:b w:val="1"/>
                <w:bCs w:val="1"/>
                <w:color w:val="auto"/>
              </w:rPr>
              <w:t>Individual</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0D64EF"/>
            </w:tcBorders>
            <w:vMerge w:val="continue"/>
            <w:shd w:val="clear" w:color="auto" w:fill="D1D0CF"/>
          </w:tcPr>
          <w:p>
            <w:pPr>
              <w:spacing w:after="0"/>
              <w:rPr>
                <w:sz w:val="16"/>
                <w:szCs w:val="16"/>
                <w:color w:val="auto"/>
              </w:rPr>
            </w:pPr>
          </w:p>
        </w:tc>
        <w:tc>
          <w:tcPr>
            <w:tcW w:w="1540" w:type="dxa"/>
            <w:vAlign w:val="bottom"/>
            <w:tcBorders>
              <w:bottom w:val="single" w:sz="8" w:color="0D64EF"/>
            </w:tcBorders>
            <w:shd w:val="clear" w:color="auto" w:fill="D0D0CE"/>
          </w:tcPr>
          <w:p>
            <w:pPr>
              <w:jc w:val="center"/>
              <w:ind w:right="28"/>
              <w:spacing w:after="0"/>
              <w:rPr>
                <w:sz w:val="20"/>
                <w:szCs w:val="20"/>
                <w:color w:val="auto"/>
              </w:rPr>
            </w:pPr>
            <w:r>
              <w:rPr>
                <w:rFonts w:ascii="Arial" w:cs="Arial" w:eastAsia="Arial" w:hAnsi="Arial"/>
                <w:sz w:val="14"/>
                <w:szCs w:val="14"/>
                <w:b w:val="1"/>
                <w:bCs w:val="1"/>
                <w:color w:val="auto"/>
              </w:rPr>
              <w:t>(% of base salary)</w:t>
            </w:r>
          </w:p>
        </w:tc>
        <w:tc>
          <w:tcPr>
            <w:tcW w:w="1260" w:type="dxa"/>
            <w:vAlign w:val="bottom"/>
            <w:tcBorders>
              <w:bottom w:val="single" w:sz="8" w:color="0D64EF"/>
            </w:tcBorders>
            <w:shd w:val="clear" w:color="auto" w:fill="D0D0CE"/>
          </w:tcPr>
          <w:p>
            <w:pPr>
              <w:jc w:val="center"/>
              <w:ind w:right="28"/>
              <w:spacing w:after="0"/>
              <w:rPr>
                <w:sz w:val="20"/>
                <w:szCs w:val="20"/>
                <w:color w:val="auto"/>
              </w:rPr>
            </w:pPr>
            <w:r>
              <w:rPr>
                <w:rFonts w:ascii="Arial" w:cs="Arial" w:eastAsia="Arial" w:hAnsi="Arial"/>
                <w:sz w:val="14"/>
                <w:szCs w:val="14"/>
                <w:b w:val="1"/>
                <w:bCs w:val="1"/>
                <w:color w:val="auto"/>
              </w:rPr>
              <w:t>(% of target)</w:t>
            </w:r>
          </w:p>
        </w:tc>
        <w:tc>
          <w:tcPr>
            <w:tcW w:w="1020" w:type="dxa"/>
            <w:vAlign w:val="bottom"/>
            <w:tcBorders>
              <w:bottom w:val="single" w:sz="8" w:color="0D64EF"/>
            </w:tcBorders>
            <w:vMerge w:val="continue"/>
            <w:shd w:val="clear" w:color="auto" w:fill="D0D0CE"/>
          </w:tcPr>
          <w:p>
            <w:pPr>
              <w:spacing w:after="0"/>
              <w:rPr>
                <w:sz w:val="16"/>
                <w:szCs w:val="16"/>
                <w:color w:val="auto"/>
              </w:rPr>
            </w:pPr>
          </w:p>
        </w:tc>
        <w:tc>
          <w:tcPr>
            <w:tcW w:w="1700" w:type="dxa"/>
            <w:vAlign w:val="bottom"/>
            <w:tcBorders>
              <w:bottom w:val="single" w:sz="8" w:color="0D64EF"/>
            </w:tcBorders>
            <w:vMerge w:val="continue"/>
            <w:shd w:val="clear" w:color="auto" w:fill="D0D0C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440" w:type="dxa"/>
            <w:vAlign w:val="bottom"/>
          </w:tcPr>
          <w:p>
            <w:pPr>
              <w:ind w:left="20"/>
              <w:spacing w:after="0" w:line="159" w:lineRule="exact"/>
              <w:rPr>
                <w:sz w:val="20"/>
                <w:szCs w:val="20"/>
                <w:color w:val="auto"/>
              </w:rPr>
            </w:pPr>
            <w:r>
              <w:rPr>
                <w:rFonts w:ascii="Arial" w:cs="Arial" w:eastAsia="Arial" w:hAnsi="Arial"/>
                <w:sz w:val="14"/>
                <w:szCs w:val="14"/>
                <w:color w:val="auto"/>
              </w:rPr>
              <w:t>President and Chief Executive Officer</w:t>
            </w:r>
          </w:p>
        </w:tc>
        <w:tc>
          <w:tcPr>
            <w:tcW w:w="1540" w:type="dxa"/>
            <w:vAlign w:val="bottom"/>
          </w:tcPr>
          <w:p>
            <w:pPr>
              <w:jc w:val="center"/>
              <w:ind w:right="28"/>
              <w:spacing w:after="0" w:line="159" w:lineRule="exact"/>
              <w:rPr>
                <w:sz w:val="20"/>
                <w:szCs w:val="20"/>
                <w:color w:val="auto"/>
              </w:rPr>
            </w:pPr>
            <w:r>
              <w:rPr>
                <w:rFonts w:ascii="Arial" w:cs="Arial" w:eastAsia="Arial" w:hAnsi="Arial"/>
                <w:sz w:val="14"/>
                <w:szCs w:val="14"/>
                <w:color w:val="auto"/>
              </w:rPr>
              <w:t>140%</w:t>
            </w:r>
          </w:p>
        </w:tc>
        <w:tc>
          <w:tcPr>
            <w:tcW w:w="1260" w:type="dxa"/>
            <w:vAlign w:val="bottom"/>
          </w:tcPr>
          <w:p>
            <w:pPr>
              <w:jc w:val="center"/>
              <w:ind w:right="28"/>
              <w:spacing w:after="0" w:line="159" w:lineRule="exact"/>
              <w:rPr>
                <w:sz w:val="20"/>
                <w:szCs w:val="20"/>
                <w:color w:val="auto"/>
              </w:rPr>
            </w:pPr>
            <w:r>
              <w:rPr>
                <w:rFonts w:ascii="Arial" w:cs="Arial" w:eastAsia="Arial" w:hAnsi="Arial"/>
                <w:sz w:val="14"/>
                <w:szCs w:val="14"/>
                <w:color w:val="auto"/>
                <w:w w:val="99"/>
              </w:rPr>
              <w:t>0 - 200%</w:t>
            </w:r>
          </w:p>
        </w:tc>
        <w:tc>
          <w:tcPr>
            <w:tcW w:w="1020" w:type="dxa"/>
            <w:vAlign w:val="bottom"/>
          </w:tcPr>
          <w:p>
            <w:pPr>
              <w:jc w:val="center"/>
              <w:ind w:left="268"/>
              <w:spacing w:after="0" w:line="159" w:lineRule="exact"/>
              <w:rPr>
                <w:sz w:val="20"/>
                <w:szCs w:val="20"/>
                <w:color w:val="auto"/>
              </w:rPr>
            </w:pPr>
            <w:r>
              <w:rPr>
                <w:rFonts w:ascii="Arial" w:cs="Arial" w:eastAsia="Arial" w:hAnsi="Arial"/>
                <w:sz w:val="14"/>
                <w:szCs w:val="14"/>
                <w:color w:val="auto"/>
              </w:rPr>
              <w:t>100%</w:t>
            </w:r>
          </w:p>
        </w:tc>
        <w:tc>
          <w:tcPr>
            <w:tcW w:w="1700" w:type="dxa"/>
            <w:vAlign w:val="bottom"/>
          </w:tcPr>
          <w:p>
            <w:pPr>
              <w:jc w:val="center"/>
              <w:ind w:left="248"/>
              <w:spacing w:after="0" w:line="15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4440" w:type="dxa"/>
            <w:vAlign w:val="bottom"/>
          </w:tcPr>
          <w:p>
            <w:pPr>
              <w:ind w:left="20"/>
              <w:spacing w:after="0"/>
              <w:rPr>
                <w:sz w:val="20"/>
                <w:szCs w:val="20"/>
                <w:color w:val="auto"/>
              </w:rPr>
            </w:pPr>
            <w:r>
              <w:rPr>
                <w:rFonts w:ascii="Arial" w:cs="Arial" w:eastAsia="Arial" w:hAnsi="Arial"/>
                <w:sz w:val="14"/>
                <w:szCs w:val="14"/>
                <w:color w:val="auto"/>
              </w:rPr>
              <w:t>(François Poirier)</w:t>
            </w:r>
          </w:p>
        </w:tc>
        <w:tc>
          <w:tcPr>
            <w:tcW w:w="1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40" w:type="dxa"/>
            <w:vAlign w:val="bottom"/>
            <w:tcBorders>
              <w:bottom w:val="single" w:sz="8" w:color="B2B2B2"/>
            </w:tcBorders>
          </w:tcPr>
          <w:p>
            <w:pPr>
              <w:spacing w:after="0" w:line="20" w:lineRule="exact"/>
              <w:rPr>
                <w:sz w:val="1"/>
                <w:szCs w:val="1"/>
                <w:color w:val="auto"/>
              </w:rPr>
            </w:pPr>
          </w:p>
        </w:tc>
        <w:tc>
          <w:tcPr>
            <w:tcW w:w="1540" w:type="dxa"/>
            <w:vAlign w:val="bottom"/>
            <w:tcBorders>
              <w:bottom w:val="single" w:sz="8" w:color="B2B2B2"/>
            </w:tcBorders>
          </w:tcPr>
          <w:p>
            <w:pPr>
              <w:spacing w:after="0" w:line="20" w:lineRule="exact"/>
              <w:rPr>
                <w:sz w:val="1"/>
                <w:szCs w:val="1"/>
                <w:color w:val="auto"/>
              </w:rPr>
            </w:pPr>
          </w:p>
        </w:tc>
        <w:tc>
          <w:tcPr>
            <w:tcW w:w="1260" w:type="dxa"/>
            <w:vAlign w:val="bottom"/>
            <w:tcBorders>
              <w:bottom w:val="single" w:sz="8" w:color="B2B2B2"/>
            </w:tcBorders>
          </w:tcPr>
          <w:p>
            <w:pPr>
              <w:spacing w:after="0" w:line="20" w:lineRule="exact"/>
              <w:rPr>
                <w:sz w:val="1"/>
                <w:szCs w:val="1"/>
                <w:color w:val="auto"/>
              </w:rPr>
            </w:pPr>
          </w:p>
        </w:tc>
        <w:tc>
          <w:tcPr>
            <w:tcW w:w="1020" w:type="dxa"/>
            <w:vAlign w:val="bottom"/>
            <w:tcBorders>
              <w:bottom w:val="single" w:sz="8" w:color="B2B2B2"/>
            </w:tcBorders>
          </w:tcPr>
          <w:p>
            <w:pPr>
              <w:spacing w:after="0" w:line="20" w:lineRule="exact"/>
              <w:rPr>
                <w:sz w:val="1"/>
                <w:szCs w:val="1"/>
                <w:color w:val="auto"/>
              </w:rPr>
            </w:pPr>
          </w:p>
        </w:tc>
        <w:tc>
          <w:tcPr>
            <w:tcW w:w="17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line="141" w:lineRule="exact"/>
              <w:rPr>
                <w:sz w:val="20"/>
                <w:szCs w:val="20"/>
                <w:color w:val="auto"/>
              </w:rPr>
            </w:pPr>
            <w:r>
              <w:rPr>
                <w:rFonts w:ascii="Arial" w:cs="Arial" w:eastAsia="Arial" w:hAnsi="Arial"/>
                <w:sz w:val="14"/>
                <w:szCs w:val="14"/>
                <w:color w:val="auto"/>
              </w:rPr>
              <w:t>Executive Vice-President, Strategy and Corporate Development and</w:t>
            </w:r>
          </w:p>
        </w:tc>
        <w:tc>
          <w:tcPr>
            <w:tcW w:w="1540" w:type="dxa"/>
            <w:vAlign w:val="bottom"/>
          </w:tcPr>
          <w:p>
            <w:pPr>
              <w:jc w:val="center"/>
              <w:ind w:right="28"/>
              <w:spacing w:after="0" w:line="141" w:lineRule="exact"/>
              <w:rPr>
                <w:sz w:val="20"/>
                <w:szCs w:val="20"/>
                <w:color w:val="auto"/>
              </w:rPr>
            </w:pPr>
            <w:r>
              <w:rPr>
                <w:rFonts w:ascii="Arial" w:cs="Arial" w:eastAsia="Arial" w:hAnsi="Arial"/>
                <w:sz w:val="14"/>
                <w:szCs w:val="14"/>
                <w:color w:val="auto"/>
                <w:w w:val="99"/>
              </w:rPr>
              <w:t>80%</w:t>
            </w:r>
          </w:p>
        </w:tc>
        <w:tc>
          <w:tcPr>
            <w:tcW w:w="1260" w:type="dxa"/>
            <w:vAlign w:val="bottom"/>
          </w:tcPr>
          <w:p>
            <w:pPr>
              <w:jc w:val="center"/>
              <w:ind w:right="28"/>
              <w:spacing w:after="0" w:line="141" w:lineRule="exact"/>
              <w:rPr>
                <w:sz w:val="20"/>
                <w:szCs w:val="20"/>
                <w:color w:val="auto"/>
              </w:rPr>
            </w:pPr>
            <w:r>
              <w:rPr>
                <w:rFonts w:ascii="Arial" w:cs="Arial" w:eastAsia="Arial" w:hAnsi="Arial"/>
                <w:sz w:val="14"/>
                <w:szCs w:val="14"/>
                <w:color w:val="auto"/>
                <w:w w:val="99"/>
              </w:rPr>
              <w:t>0 - 200%</w:t>
            </w:r>
          </w:p>
        </w:tc>
        <w:tc>
          <w:tcPr>
            <w:tcW w:w="1020" w:type="dxa"/>
            <w:vAlign w:val="bottom"/>
          </w:tcPr>
          <w:p>
            <w:pPr>
              <w:jc w:val="center"/>
              <w:ind w:left="268"/>
              <w:spacing w:after="0" w:line="141" w:lineRule="exact"/>
              <w:rPr>
                <w:sz w:val="20"/>
                <w:szCs w:val="20"/>
                <w:color w:val="auto"/>
              </w:rPr>
            </w:pPr>
            <w:r>
              <w:rPr>
                <w:rFonts w:ascii="Arial" w:cs="Arial" w:eastAsia="Arial" w:hAnsi="Arial"/>
                <w:sz w:val="14"/>
                <w:szCs w:val="14"/>
                <w:color w:val="auto"/>
              </w:rPr>
              <w:t>100%</w:t>
            </w:r>
          </w:p>
        </w:tc>
        <w:tc>
          <w:tcPr>
            <w:tcW w:w="1700" w:type="dxa"/>
            <w:vAlign w:val="bottom"/>
          </w:tcPr>
          <w:p>
            <w:pPr>
              <w:jc w:val="center"/>
              <w:ind w:left="248"/>
              <w:spacing w:after="0" w:line="14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2"/>
        </w:trPr>
        <w:tc>
          <w:tcPr>
            <w:tcW w:w="4440" w:type="dxa"/>
            <w:vAlign w:val="bottom"/>
          </w:tcPr>
          <w:p>
            <w:pPr>
              <w:ind w:left="20"/>
              <w:spacing w:after="0" w:line="152" w:lineRule="exact"/>
              <w:rPr>
                <w:sz w:val="20"/>
                <w:szCs w:val="20"/>
                <w:color w:val="auto"/>
              </w:rPr>
            </w:pPr>
            <w:r>
              <w:rPr>
                <w:rFonts w:ascii="Arial" w:cs="Arial" w:eastAsia="Arial" w:hAnsi="Arial"/>
                <w:sz w:val="14"/>
                <w:szCs w:val="14"/>
                <w:color w:val="auto"/>
              </w:rPr>
              <w:t>Chief Financial Officer</w:t>
            </w:r>
          </w:p>
        </w:tc>
        <w:tc>
          <w:tcPr>
            <w:tcW w:w="1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440" w:type="dxa"/>
            <w:vAlign w:val="bottom"/>
          </w:tcPr>
          <w:p>
            <w:pPr>
              <w:ind w:left="20"/>
              <w:spacing w:after="0"/>
              <w:rPr>
                <w:sz w:val="20"/>
                <w:szCs w:val="20"/>
                <w:color w:val="auto"/>
              </w:rPr>
            </w:pPr>
            <w:r>
              <w:rPr>
                <w:rFonts w:ascii="Arial" w:cs="Arial" w:eastAsia="Arial" w:hAnsi="Arial"/>
                <w:sz w:val="14"/>
                <w:szCs w:val="14"/>
                <w:color w:val="auto"/>
              </w:rPr>
              <w:t>(Sean O'Donnell)</w:t>
            </w:r>
          </w:p>
        </w:tc>
        <w:tc>
          <w:tcPr>
            <w:tcW w:w="1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440" w:type="dxa"/>
            <w:vAlign w:val="bottom"/>
            <w:tcBorders>
              <w:bottom w:val="single" w:sz="8" w:color="B2B2B2"/>
            </w:tcBorders>
          </w:tcPr>
          <w:p>
            <w:pPr>
              <w:spacing w:after="0"/>
              <w:rPr>
                <w:sz w:val="3"/>
                <w:szCs w:val="3"/>
                <w:color w:val="auto"/>
              </w:rPr>
            </w:pPr>
          </w:p>
        </w:tc>
        <w:tc>
          <w:tcPr>
            <w:tcW w:w="1540" w:type="dxa"/>
            <w:vAlign w:val="bottom"/>
            <w:tcBorders>
              <w:bottom w:val="single" w:sz="8" w:color="B2B2B2"/>
            </w:tcBorders>
          </w:tcPr>
          <w:p>
            <w:pPr>
              <w:spacing w:after="0"/>
              <w:rPr>
                <w:sz w:val="3"/>
                <w:szCs w:val="3"/>
                <w:color w:val="auto"/>
              </w:rPr>
            </w:pPr>
          </w:p>
        </w:tc>
        <w:tc>
          <w:tcPr>
            <w:tcW w:w="1260" w:type="dxa"/>
            <w:vAlign w:val="bottom"/>
            <w:tcBorders>
              <w:bottom w:val="single" w:sz="8" w:color="B2B2B2"/>
            </w:tcBorders>
          </w:tcPr>
          <w:p>
            <w:pPr>
              <w:spacing w:after="0"/>
              <w:rPr>
                <w:sz w:val="3"/>
                <w:szCs w:val="3"/>
                <w:color w:val="auto"/>
              </w:rPr>
            </w:pPr>
          </w:p>
        </w:tc>
        <w:tc>
          <w:tcPr>
            <w:tcW w:w="1020" w:type="dxa"/>
            <w:vAlign w:val="bottom"/>
            <w:tcBorders>
              <w:bottom w:val="single" w:sz="8" w:color="B2B2B2"/>
            </w:tcBorders>
          </w:tcPr>
          <w:p>
            <w:pPr>
              <w:spacing w:after="0"/>
              <w:rPr>
                <w:sz w:val="3"/>
                <w:szCs w:val="3"/>
                <w:color w:val="auto"/>
              </w:rPr>
            </w:pPr>
          </w:p>
        </w:tc>
        <w:tc>
          <w:tcPr>
            <w:tcW w:w="170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line="141" w:lineRule="exact"/>
              <w:rPr>
                <w:sz w:val="20"/>
                <w:szCs w:val="20"/>
                <w:color w:val="auto"/>
              </w:rPr>
            </w:pPr>
            <w:r>
              <w:rPr>
                <w:rFonts w:ascii="Arial" w:cs="Arial" w:eastAsia="Arial" w:hAnsi="Arial"/>
                <w:sz w:val="14"/>
                <w:szCs w:val="14"/>
                <w:color w:val="auto"/>
              </w:rPr>
              <w:t>Executive Vice-President and Chief Operating Officer, Natural Gas</w:t>
            </w:r>
          </w:p>
        </w:tc>
        <w:tc>
          <w:tcPr>
            <w:tcW w:w="1540" w:type="dxa"/>
            <w:vAlign w:val="bottom"/>
          </w:tcPr>
          <w:p>
            <w:pPr>
              <w:jc w:val="center"/>
              <w:ind w:right="28"/>
              <w:spacing w:after="0" w:line="141" w:lineRule="exact"/>
              <w:rPr>
                <w:sz w:val="20"/>
                <w:szCs w:val="20"/>
                <w:color w:val="auto"/>
              </w:rPr>
            </w:pPr>
            <w:r>
              <w:rPr>
                <w:rFonts w:ascii="Arial" w:cs="Arial" w:eastAsia="Arial" w:hAnsi="Arial"/>
                <w:sz w:val="14"/>
                <w:szCs w:val="14"/>
                <w:color w:val="auto"/>
                <w:w w:val="99"/>
              </w:rPr>
              <w:t>80%</w:t>
            </w:r>
          </w:p>
        </w:tc>
        <w:tc>
          <w:tcPr>
            <w:tcW w:w="1260" w:type="dxa"/>
            <w:vAlign w:val="bottom"/>
          </w:tcPr>
          <w:p>
            <w:pPr>
              <w:jc w:val="center"/>
              <w:ind w:right="28"/>
              <w:spacing w:after="0" w:line="141" w:lineRule="exact"/>
              <w:rPr>
                <w:sz w:val="20"/>
                <w:szCs w:val="20"/>
                <w:color w:val="auto"/>
              </w:rPr>
            </w:pPr>
            <w:r>
              <w:rPr>
                <w:rFonts w:ascii="Arial" w:cs="Arial" w:eastAsia="Arial" w:hAnsi="Arial"/>
                <w:sz w:val="14"/>
                <w:szCs w:val="14"/>
                <w:color w:val="auto"/>
                <w:w w:val="99"/>
              </w:rPr>
              <w:t>0 - 200%</w:t>
            </w:r>
          </w:p>
        </w:tc>
        <w:tc>
          <w:tcPr>
            <w:tcW w:w="1020" w:type="dxa"/>
            <w:vAlign w:val="bottom"/>
          </w:tcPr>
          <w:p>
            <w:pPr>
              <w:jc w:val="center"/>
              <w:ind w:left="268"/>
              <w:spacing w:after="0" w:line="141" w:lineRule="exact"/>
              <w:rPr>
                <w:sz w:val="20"/>
                <w:szCs w:val="20"/>
                <w:color w:val="auto"/>
              </w:rPr>
            </w:pPr>
            <w:r>
              <w:rPr>
                <w:rFonts w:ascii="Arial" w:cs="Arial" w:eastAsia="Arial" w:hAnsi="Arial"/>
                <w:sz w:val="14"/>
                <w:szCs w:val="14"/>
                <w:color w:val="auto"/>
              </w:rPr>
              <w:t>100%</w:t>
            </w:r>
          </w:p>
        </w:tc>
        <w:tc>
          <w:tcPr>
            <w:tcW w:w="1700" w:type="dxa"/>
            <w:vAlign w:val="bottom"/>
          </w:tcPr>
          <w:p>
            <w:pPr>
              <w:jc w:val="center"/>
              <w:ind w:left="248"/>
              <w:spacing w:after="0" w:line="14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9"/>
        </w:trPr>
        <w:tc>
          <w:tcPr>
            <w:tcW w:w="4440" w:type="dxa"/>
            <w:vAlign w:val="bottom"/>
          </w:tcPr>
          <w:p>
            <w:pPr>
              <w:ind w:left="20"/>
              <w:spacing w:after="0" w:line="139" w:lineRule="exact"/>
              <w:rPr>
                <w:sz w:val="20"/>
                <w:szCs w:val="20"/>
                <w:color w:val="auto"/>
              </w:rPr>
            </w:pPr>
            <w:r>
              <w:rPr>
                <w:rFonts w:ascii="Arial" w:cs="Arial" w:eastAsia="Arial" w:hAnsi="Arial"/>
                <w:sz w:val="14"/>
                <w:szCs w:val="14"/>
                <w:color w:val="auto"/>
              </w:rPr>
              <w:t>Pipelines</w:t>
            </w:r>
          </w:p>
        </w:tc>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4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(Tina Faraca)</w:t>
            </w:r>
          </w:p>
        </w:tc>
        <w:tc>
          <w:tcPr>
            <w:tcW w:w="1540" w:type="dxa"/>
            <w:vAlign w:val="bottom"/>
            <w:tcBorders>
              <w:bottom w:val="single" w:sz="8" w:color="B2B2B2"/>
            </w:tcBorders>
          </w:tcPr>
          <w:p>
            <w:pPr>
              <w:spacing w:after="0"/>
              <w:rPr>
                <w:sz w:val="16"/>
                <w:szCs w:val="16"/>
                <w:color w:val="auto"/>
              </w:rPr>
            </w:pPr>
          </w:p>
        </w:tc>
        <w:tc>
          <w:tcPr>
            <w:tcW w:w="1260" w:type="dxa"/>
            <w:vAlign w:val="bottom"/>
            <w:tcBorders>
              <w:bottom w:val="single" w:sz="8" w:color="B2B2B2"/>
            </w:tcBorders>
          </w:tcPr>
          <w:p>
            <w:pPr>
              <w:spacing w:after="0"/>
              <w:rPr>
                <w:sz w:val="16"/>
                <w:szCs w:val="16"/>
                <w:color w:val="auto"/>
              </w:rPr>
            </w:pPr>
          </w:p>
        </w:tc>
        <w:tc>
          <w:tcPr>
            <w:tcW w:w="1020" w:type="dxa"/>
            <w:vAlign w:val="bottom"/>
            <w:tcBorders>
              <w:bottom w:val="single" w:sz="8" w:color="B2B2B2"/>
            </w:tcBorders>
          </w:tcPr>
          <w:p>
            <w:pPr>
              <w:spacing w:after="0"/>
              <w:rPr>
                <w:sz w:val="16"/>
                <w:szCs w:val="16"/>
                <w:color w:val="auto"/>
              </w:rPr>
            </w:pPr>
          </w:p>
        </w:tc>
        <w:tc>
          <w:tcPr>
            <w:tcW w:w="170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440" w:type="dxa"/>
            <w:vAlign w:val="bottom"/>
          </w:tcPr>
          <w:p>
            <w:pPr>
              <w:ind w:left="20"/>
              <w:spacing w:after="0"/>
              <w:rPr>
                <w:sz w:val="20"/>
                <w:szCs w:val="20"/>
                <w:color w:val="auto"/>
              </w:rPr>
            </w:pPr>
            <w:r>
              <w:rPr>
                <w:rFonts w:ascii="Arial" w:cs="Arial" w:eastAsia="Arial" w:hAnsi="Arial"/>
                <w:sz w:val="14"/>
                <w:szCs w:val="14"/>
                <w:color w:val="auto"/>
              </w:rPr>
              <w:t>Executive Vice-President and General Counsel</w:t>
            </w:r>
          </w:p>
        </w:tc>
        <w:tc>
          <w:tcPr>
            <w:tcW w:w="1540" w:type="dxa"/>
            <w:vAlign w:val="bottom"/>
          </w:tcPr>
          <w:p>
            <w:pPr>
              <w:jc w:val="center"/>
              <w:ind w:right="28"/>
              <w:spacing w:after="0"/>
              <w:rPr>
                <w:sz w:val="20"/>
                <w:szCs w:val="20"/>
                <w:color w:val="auto"/>
              </w:rPr>
            </w:pPr>
            <w:r>
              <w:rPr>
                <w:rFonts w:ascii="Arial" w:cs="Arial" w:eastAsia="Arial" w:hAnsi="Arial"/>
                <w:sz w:val="14"/>
                <w:szCs w:val="14"/>
                <w:color w:val="auto"/>
                <w:w w:val="99"/>
              </w:rPr>
              <w:t>80%</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w w:val="99"/>
              </w:rPr>
              <w:t>0 - 200%</w:t>
            </w:r>
          </w:p>
        </w:tc>
        <w:tc>
          <w:tcPr>
            <w:tcW w:w="1020" w:type="dxa"/>
            <w:vAlign w:val="bottom"/>
          </w:tcPr>
          <w:p>
            <w:pPr>
              <w:jc w:val="center"/>
              <w:ind w:left="268"/>
              <w:spacing w:after="0"/>
              <w:rPr>
                <w:sz w:val="20"/>
                <w:szCs w:val="20"/>
                <w:color w:val="auto"/>
              </w:rPr>
            </w:pPr>
            <w:r>
              <w:rPr>
                <w:rFonts w:ascii="Arial" w:cs="Arial" w:eastAsia="Arial" w:hAnsi="Arial"/>
                <w:sz w:val="14"/>
                <w:szCs w:val="14"/>
                <w:color w:val="auto"/>
              </w:rPr>
              <w:t>100%</w:t>
            </w:r>
          </w:p>
        </w:tc>
        <w:tc>
          <w:tcPr>
            <w:tcW w:w="170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4"/>
        </w:trPr>
        <w:tc>
          <w:tcPr>
            <w:tcW w:w="44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(Anita Dusevic Oliva)</w:t>
            </w:r>
          </w:p>
        </w:tc>
        <w:tc>
          <w:tcPr>
            <w:tcW w:w="1540" w:type="dxa"/>
            <w:vAlign w:val="bottom"/>
            <w:tcBorders>
              <w:bottom w:val="single" w:sz="8" w:color="B2B2B2"/>
            </w:tcBorders>
          </w:tcPr>
          <w:p>
            <w:pPr>
              <w:spacing w:after="0"/>
              <w:rPr>
                <w:sz w:val="16"/>
                <w:szCs w:val="16"/>
                <w:color w:val="auto"/>
              </w:rPr>
            </w:pPr>
          </w:p>
        </w:tc>
        <w:tc>
          <w:tcPr>
            <w:tcW w:w="1260" w:type="dxa"/>
            <w:vAlign w:val="bottom"/>
            <w:tcBorders>
              <w:bottom w:val="single" w:sz="8" w:color="B2B2B2"/>
            </w:tcBorders>
          </w:tcPr>
          <w:p>
            <w:pPr>
              <w:spacing w:after="0"/>
              <w:rPr>
                <w:sz w:val="16"/>
                <w:szCs w:val="16"/>
                <w:color w:val="auto"/>
              </w:rPr>
            </w:pPr>
          </w:p>
        </w:tc>
        <w:tc>
          <w:tcPr>
            <w:tcW w:w="1020" w:type="dxa"/>
            <w:vAlign w:val="bottom"/>
            <w:tcBorders>
              <w:bottom w:val="single" w:sz="8" w:color="B2B2B2"/>
            </w:tcBorders>
          </w:tcPr>
          <w:p>
            <w:pPr>
              <w:spacing w:after="0"/>
              <w:rPr>
                <w:sz w:val="16"/>
                <w:szCs w:val="16"/>
                <w:color w:val="auto"/>
              </w:rPr>
            </w:pPr>
          </w:p>
        </w:tc>
        <w:tc>
          <w:tcPr>
            <w:tcW w:w="170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440" w:type="dxa"/>
            <w:vAlign w:val="bottom"/>
          </w:tcPr>
          <w:p>
            <w:pPr>
              <w:ind w:left="20"/>
              <w:spacing w:after="0" w:line="145" w:lineRule="exact"/>
              <w:rPr>
                <w:sz w:val="20"/>
                <w:szCs w:val="20"/>
                <w:color w:val="auto"/>
              </w:rPr>
            </w:pPr>
            <w:r>
              <w:rPr>
                <w:rFonts w:ascii="Arial" w:cs="Arial" w:eastAsia="Arial" w:hAnsi="Arial"/>
                <w:sz w:val="14"/>
                <w:szCs w:val="14"/>
                <w:color w:val="auto"/>
              </w:rPr>
              <w:t>Executive Vice-President and Executive Advisor</w:t>
            </w:r>
          </w:p>
        </w:tc>
        <w:tc>
          <w:tcPr>
            <w:tcW w:w="154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100%</w:t>
            </w:r>
          </w:p>
        </w:tc>
        <w:tc>
          <w:tcPr>
            <w:tcW w:w="1260" w:type="dxa"/>
            <w:vAlign w:val="bottom"/>
          </w:tcPr>
          <w:p>
            <w:pPr>
              <w:jc w:val="center"/>
              <w:ind w:right="28"/>
              <w:spacing w:after="0" w:line="145" w:lineRule="exact"/>
              <w:rPr>
                <w:sz w:val="20"/>
                <w:szCs w:val="20"/>
                <w:color w:val="auto"/>
              </w:rPr>
            </w:pPr>
            <w:r>
              <w:rPr>
                <w:rFonts w:ascii="Arial" w:cs="Arial" w:eastAsia="Arial" w:hAnsi="Arial"/>
                <w:sz w:val="14"/>
                <w:szCs w:val="14"/>
                <w:color w:val="auto"/>
                <w:w w:val="99"/>
              </w:rPr>
              <w:t>0 - 200%</w:t>
            </w:r>
          </w:p>
        </w:tc>
        <w:tc>
          <w:tcPr>
            <w:tcW w:w="1020" w:type="dxa"/>
            <w:vAlign w:val="bottom"/>
          </w:tcPr>
          <w:p>
            <w:pPr>
              <w:jc w:val="center"/>
              <w:ind w:left="268"/>
              <w:spacing w:after="0" w:line="145" w:lineRule="exact"/>
              <w:rPr>
                <w:sz w:val="20"/>
                <w:szCs w:val="20"/>
                <w:color w:val="auto"/>
              </w:rPr>
            </w:pPr>
            <w:r>
              <w:rPr>
                <w:rFonts w:ascii="Arial" w:cs="Arial" w:eastAsia="Arial" w:hAnsi="Arial"/>
                <w:sz w:val="14"/>
                <w:szCs w:val="14"/>
                <w:color w:val="auto"/>
              </w:rPr>
              <w:t>100%</w:t>
            </w:r>
          </w:p>
        </w:tc>
        <w:tc>
          <w:tcPr>
            <w:tcW w:w="1700" w:type="dxa"/>
            <w:vAlign w:val="bottom"/>
          </w:tcPr>
          <w:p>
            <w:pPr>
              <w:jc w:val="center"/>
              <w:ind w:left="248"/>
              <w:spacing w:after="0" w:line="145"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4440" w:type="dxa"/>
            <w:vAlign w:val="bottom"/>
          </w:tcPr>
          <w:p>
            <w:pPr>
              <w:ind w:left="20"/>
              <w:spacing w:after="0"/>
              <w:rPr>
                <w:sz w:val="20"/>
                <w:szCs w:val="20"/>
                <w:color w:val="auto"/>
              </w:rPr>
            </w:pPr>
            <w:r>
              <w:rPr>
                <w:rFonts w:ascii="Arial" w:cs="Arial" w:eastAsia="Arial" w:hAnsi="Arial"/>
                <w:sz w:val="14"/>
                <w:szCs w:val="14"/>
                <w:color w:val="auto"/>
              </w:rPr>
              <w:t>(Stanley Chapman III)</w:t>
            </w:r>
          </w:p>
        </w:tc>
        <w:tc>
          <w:tcPr>
            <w:tcW w:w="1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40" w:type="dxa"/>
            <w:vAlign w:val="bottom"/>
            <w:tcBorders>
              <w:bottom w:val="single" w:sz="8" w:color="0D64EF"/>
            </w:tcBorders>
          </w:tcPr>
          <w:p>
            <w:pPr>
              <w:spacing w:after="0"/>
              <w:rPr>
                <w:sz w:val="2"/>
                <w:szCs w:val="2"/>
                <w:color w:val="auto"/>
              </w:rPr>
            </w:pPr>
          </w:p>
        </w:tc>
        <w:tc>
          <w:tcPr>
            <w:tcW w:w="1540" w:type="dxa"/>
            <w:vAlign w:val="bottom"/>
            <w:tcBorders>
              <w:bottom w:val="single" w:sz="8" w:color="0D64EF"/>
            </w:tcBorders>
          </w:tcPr>
          <w:p>
            <w:pPr>
              <w:spacing w:after="0"/>
              <w:rPr>
                <w:sz w:val="2"/>
                <w:szCs w:val="2"/>
                <w:color w:val="auto"/>
              </w:rPr>
            </w:pPr>
          </w:p>
        </w:tc>
        <w:tc>
          <w:tcPr>
            <w:tcW w:w="1260" w:type="dxa"/>
            <w:vAlign w:val="bottom"/>
            <w:tcBorders>
              <w:bottom w:val="single" w:sz="8" w:color="0D64EF"/>
            </w:tcBorders>
          </w:tcPr>
          <w:p>
            <w:pPr>
              <w:spacing w:after="0"/>
              <w:rPr>
                <w:sz w:val="2"/>
                <w:szCs w:val="2"/>
                <w:color w:val="auto"/>
              </w:rPr>
            </w:pPr>
          </w:p>
        </w:tc>
        <w:tc>
          <w:tcPr>
            <w:tcW w:w="1020" w:type="dxa"/>
            <w:vAlign w:val="bottom"/>
            <w:tcBorders>
              <w:bottom w:val="single" w:sz="8" w:color="0D64EF"/>
            </w:tcBorders>
          </w:tcPr>
          <w:p>
            <w:pPr>
              <w:spacing w:after="0"/>
              <w:rPr>
                <w:sz w:val="2"/>
                <w:szCs w:val="2"/>
                <w:color w:val="auto"/>
              </w:rPr>
            </w:pPr>
          </w:p>
        </w:tc>
        <w:tc>
          <w:tcPr>
            <w:tcW w:w="1700" w:type="dxa"/>
            <w:vAlign w:val="bottom"/>
            <w:tcBorders>
              <w:bottom w:val="single" w:sz="8" w:color="0D64E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0"/>
        <w:spacing w:after="0" w:line="337" w:lineRule="auto"/>
        <w:rPr>
          <w:sz w:val="20"/>
          <w:szCs w:val="20"/>
          <w:color w:val="auto"/>
        </w:rPr>
      </w:pPr>
      <w:r>
        <w:rPr>
          <w:rFonts w:ascii="Arial" w:cs="Arial" w:eastAsia="Arial" w:hAnsi="Arial"/>
          <w:sz w:val="16"/>
          <w:szCs w:val="16"/>
          <w:color w:val="auto"/>
        </w:rPr>
        <w:t>As with base pay, targets are set relative to market median, with actual ranges reflecting TC Energy's size and complexity compared to other peers as well as the scope and experience of the executive in the role.</w:t>
      </w:r>
    </w:p>
    <w:p>
      <w:pPr>
        <w:spacing w:after="0" w:line="34" w:lineRule="exact"/>
        <w:rPr>
          <w:sz w:val="20"/>
          <w:szCs w:val="20"/>
          <w:color w:val="auto"/>
        </w:rPr>
      </w:pPr>
    </w:p>
    <w:p>
      <w:pPr>
        <w:ind w:right="120"/>
        <w:spacing w:after="0" w:line="354" w:lineRule="auto"/>
        <w:rPr>
          <w:sz w:val="20"/>
          <w:szCs w:val="20"/>
          <w:color w:val="auto"/>
        </w:rPr>
      </w:pPr>
      <w:r>
        <w:rPr>
          <w:rFonts w:ascii="Arial" w:cs="Arial" w:eastAsia="Arial" w:hAnsi="Arial"/>
          <w:sz w:val="16"/>
          <w:szCs w:val="16"/>
          <w:color w:val="auto"/>
        </w:rPr>
        <w:t>Anita Dusevic Oliva joined TC Energy as Executive Vice-President and General Counsel on April 1, 2025, with a short-term incentive target of 80 per cent of base salary.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95</w:t>
      </w:r>
    </w:p>
    <w:p>
      <w:pPr>
        <w:sectPr>
          <w:pgSz w:w="11900" w:h="16838" w:orient="portrait"/>
          <w:cols w:equalWidth="0" w:num="1">
            <w:col w:w="11240"/>
          </w:cols>
          <w:pgMar w:left="320" w:top="1061"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Long-term incentive</w:t>
      </w:r>
    </w:p>
    <w:p>
      <w:pPr>
        <w:spacing w:after="0" w:line="58" w:lineRule="exact"/>
        <w:rPr>
          <w:sz w:val="20"/>
          <w:szCs w:val="20"/>
          <w:color w:val="auto"/>
        </w:rPr>
      </w:pPr>
    </w:p>
    <w:p>
      <w:pPr>
        <w:ind w:right="200"/>
        <w:spacing w:after="0" w:line="337" w:lineRule="auto"/>
        <w:rPr>
          <w:sz w:val="20"/>
          <w:szCs w:val="20"/>
          <w:color w:val="auto"/>
        </w:rPr>
      </w:pPr>
      <w:r>
        <w:rPr>
          <w:rFonts w:ascii="Arial" w:cs="Arial" w:eastAsia="Arial" w:hAnsi="Arial"/>
          <w:sz w:val="16"/>
          <w:szCs w:val="16"/>
          <w:color w:val="auto"/>
        </w:rPr>
        <w:t>Each year, the Human Resources Committee and the Board grant long-term incentive awards to the named executives considering median market levels, previous grants and potential to contribute to TC Energy's future success.</w:t>
      </w:r>
    </w:p>
    <w:p>
      <w:pPr>
        <w:spacing w:after="0" w:line="48"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The long-term incentive awards for our CEO and executive vice-presidents are awarded as 70 per cent PSUs and 30 per cent RSUs. Beginning in 2024, long-term incentive awards for eligible U.S. participants were granted in U.S. dollars based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TC Energy's share price on the New York Stock Exchange (NYSE). Stock Options are no longer granted.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share units</w:t>
      </w:r>
    </w:p>
    <w:p>
      <w:pPr>
        <w:spacing w:after="0" w:line="42" w:lineRule="exact"/>
        <w:rPr>
          <w:sz w:val="20"/>
          <w:szCs w:val="20"/>
          <w:color w:val="auto"/>
        </w:rPr>
      </w:pPr>
    </w:p>
    <w:p>
      <w:pPr>
        <w:ind w:right="540"/>
        <w:spacing w:after="0" w:line="326" w:lineRule="auto"/>
        <w:rPr>
          <w:sz w:val="20"/>
          <w:szCs w:val="20"/>
          <w:color w:val="auto"/>
        </w:rPr>
      </w:pPr>
      <w:r>
        <w:rPr>
          <w:rFonts w:ascii="Arial" w:cs="Arial" w:eastAsia="Arial" w:hAnsi="Arial"/>
          <w:sz w:val="16"/>
          <w:szCs w:val="16"/>
          <w:color w:val="auto"/>
        </w:rPr>
        <w:t>These are notional share units awarded under the PSU Plan. PSUs accrue dividend equivalents and vest at the end of a three-year grant term. The performance period is measured over three calendar years. PSUs (and dividend equivalents) can vest at zero per cent to 200 per cent, depending on performance against targets established at the beginning of the period.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PSUs, if earned, are paid out in a lump sum cash payment in the first quarter following the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88265</wp:posOffset>
            </wp:positionV>
            <wp:extent cx="4709795" cy="4610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09795" cy="46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59" w:lineRule="exact"/>
        <w:rPr>
          <w:sz w:val="20"/>
          <w:szCs w:val="20"/>
          <w:color w:val="auto"/>
        </w:rPr>
      </w:pPr>
    </w:p>
    <w:p>
      <w:pPr>
        <w:ind w:left="160" w:hanging="153"/>
        <w:spacing w:after="0"/>
        <w:tabs>
          <w:tab w:leader="none" w:pos="160" w:val="left"/>
        </w:tabs>
        <w:numPr>
          <w:ilvl w:val="0"/>
          <w:numId w:val="120"/>
        </w:numPr>
        <w:rPr>
          <w:rFonts w:ascii="Arial" w:cs="Arial" w:eastAsia="Arial" w:hAnsi="Arial"/>
          <w:sz w:val="14"/>
          <w:szCs w:val="14"/>
          <w:i w:val="1"/>
          <w:iCs w:val="1"/>
          <w:color w:val="auto"/>
        </w:rPr>
      </w:pPr>
      <w:r>
        <w:rPr>
          <w:rFonts w:ascii="Arial" w:cs="Arial" w:eastAsia="Arial" w:hAnsi="Arial"/>
          <w:sz w:val="13"/>
          <w:szCs w:val="13"/>
          <w:i w:val="1"/>
          <w:iCs w:val="1"/>
          <w:color w:val="auto"/>
        </w:rPr>
        <w:t xml:space="preserve">Number of PSUs vesting </w:t>
      </w:r>
      <w:r>
        <w:rPr>
          <w:rFonts w:ascii="Arial" w:cs="Arial" w:eastAsia="Arial" w:hAnsi="Arial"/>
          <w:sz w:val="13"/>
          <w:szCs w:val="13"/>
          <w:color w:val="auto"/>
        </w:rPr>
        <w:t>is the number of PSUs originally granted plus PSUs earned as dividend equivalents (reinvested in accordance with our DRP in place</w:t>
      </w:r>
    </w:p>
    <w:p>
      <w:pPr>
        <w:spacing w:after="0" w:line="27" w:lineRule="exact"/>
        <w:rPr>
          <w:rFonts w:ascii="Arial" w:cs="Arial" w:eastAsia="Arial" w:hAnsi="Arial"/>
          <w:sz w:val="14"/>
          <w:szCs w:val="14"/>
          <w:i w:val="1"/>
          <w:iCs w:val="1"/>
          <w:color w:val="auto"/>
        </w:rPr>
      </w:pPr>
    </w:p>
    <w:p>
      <w:pPr>
        <w:ind w:left="160"/>
        <w:spacing w:after="0"/>
        <w:rPr>
          <w:rFonts w:ascii="Arial" w:cs="Arial" w:eastAsia="Arial" w:hAnsi="Arial"/>
          <w:sz w:val="14"/>
          <w:szCs w:val="14"/>
          <w:i w:val="1"/>
          <w:iCs w:val="1"/>
          <w:color w:val="auto"/>
        </w:rPr>
      </w:pPr>
      <w:r>
        <w:rPr>
          <w:rFonts w:ascii="Arial" w:cs="Arial" w:eastAsia="Arial" w:hAnsi="Arial"/>
          <w:sz w:val="13"/>
          <w:szCs w:val="13"/>
          <w:color w:val="auto"/>
        </w:rPr>
        <w:t>at the time, if applicable) during the three-year grant term. Dividends and PSUs vest at the same time and only to the same extent that the underlying PSUs vest.</w:t>
      </w:r>
    </w:p>
    <w:p>
      <w:pPr>
        <w:spacing w:after="0" w:line="25" w:lineRule="exact"/>
        <w:rPr>
          <w:rFonts w:ascii="Arial" w:cs="Arial" w:eastAsia="Arial" w:hAnsi="Arial"/>
          <w:sz w:val="14"/>
          <w:szCs w:val="14"/>
          <w:i w:val="1"/>
          <w:iCs w:val="1"/>
          <w:color w:val="auto"/>
        </w:rPr>
      </w:pPr>
    </w:p>
    <w:p>
      <w:pPr>
        <w:ind w:left="160" w:right="2620" w:hanging="153"/>
        <w:spacing w:after="0" w:line="327" w:lineRule="auto"/>
        <w:tabs>
          <w:tab w:leader="none" w:pos="150" w:val="left"/>
        </w:tabs>
        <w:numPr>
          <w:ilvl w:val="0"/>
          <w:numId w:val="120"/>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Valuation price on the grant term end date </w:t>
      </w:r>
      <w:r>
        <w:rPr>
          <w:rFonts w:ascii="Arial" w:cs="Arial" w:eastAsia="Arial" w:hAnsi="Arial"/>
          <w:sz w:val="13"/>
          <w:szCs w:val="13"/>
          <w:color w:val="auto"/>
        </w:rPr>
        <w:t>is the volume-weighted average closing price of TC Energy shares for the five trading days immediately prior</w:t>
      </w:r>
      <w:r>
        <w:rPr>
          <w:rFonts w:ascii="Arial" w:cs="Arial" w:eastAsia="Arial" w:hAnsi="Arial"/>
          <w:sz w:val="13"/>
          <w:szCs w:val="13"/>
          <w:i w:val="1"/>
          <w:iCs w:val="1"/>
          <w:color w:val="auto"/>
        </w:rPr>
        <w:t xml:space="preserve"> </w:t>
      </w:r>
      <w:r>
        <w:rPr>
          <w:rFonts w:ascii="Arial" w:cs="Arial" w:eastAsia="Arial" w:hAnsi="Arial"/>
          <w:sz w:val="13"/>
          <w:szCs w:val="13"/>
          <w:color w:val="auto"/>
        </w:rPr>
        <w:t>to and including the grant term end date.</w:t>
      </w:r>
    </w:p>
    <w:p>
      <w:pPr>
        <w:spacing w:after="0" w:line="53"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Out-of-cycle PSU grants may be made to newly hired executives and to executives promoted part way through the year. Out-of-cycle PSU grants will vest on the same schedule as the standard grants that year and will be subject to the same valuation methodology and performance multiplier, however, they will be granted based on the five-day volume weighted average share price at the time of award and accrue fewer dividends than the standard grant.</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share units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These are notional time vested units awarded under the RSU Plan and starting in 2024, became a part of the executive</w:t>
      </w:r>
    </w:p>
    <w:p>
      <w:pPr>
        <w:spacing w:after="0" w:line="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long-term incentive mix. RSUs cliff vest over a three-year period. During the vesting period, the notional share units accrue notional dividend equivalents that are reinvested, increasing the total number of share units each quarter. RSU awards,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if earned, are paid out at in a lump sum cash payment in the first quarter following the end of the vesting period.</w:t>
      </w:r>
    </w:p>
    <w:p>
      <w:pPr>
        <w:spacing w:after="0" w:line="152" w:lineRule="exact"/>
        <w:rPr>
          <w:sz w:val="20"/>
          <w:szCs w:val="20"/>
          <w:color w:val="auto"/>
        </w:rPr>
      </w:pPr>
    </w:p>
    <w:p>
      <w:pPr>
        <w:ind w:right="100"/>
        <w:spacing w:after="0" w:line="337" w:lineRule="auto"/>
        <w:rPr>
          <w:sz w:val="20"/>
          <w:szCs w:val="20"/>
          <w:color w:val="auto"/>
        </w:rPr>
      </w:pPr>
      <w:r>
        <w:rPr>
          <w:rFonts w:ascii="Arial" w:cs="Arial" w:eastAsia="Arial" w:hAnsi="Arial"/>
          <w:sz w:val="16"/>
          <w:szCs w:val="16"/>
          <w:color w:val="auto"/>
        </w:rPr>
        <w:t>Out-of-cycle RSU grants may be made to newly hired executives and to executives promoted part way through the year. Out-of-cycle RSUs can be granted with a one-year, two-year, or three-year term, all of which cliff vest based on the grant date anniversary.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Treatment of PSUs and RSUs pursuant to the spinoff of the Liquids Pipelines business</w:t>
      </w:r>
    </w:p>
    <w:p>
      <w:pPr>
        <w:spacing w:after="0" w:line="42" w:lineRule="exact"/>
        <w:rPr>
          <w:sz w:val="20"/>
          <w:szCs w:val="20"/>
          <w:color w:val="auto"/>
        </w:rPr>
      </w:pPr>
    </w:p>
    <w:p>
      <w:pPr>
        <w:ind w:right="40"/>
        <w:spacing w:after="0" w:line="326" w:lineRule="auto"/>
        <w:rPr>
          <w:sz w:val="20"/>
          <w:szCs w:val="20"/>
          <w:color w:val="auto"/>
        </w:rPr>
      </w:pPr>
      <w:r>
        <w:rPr>
          <w:rFonts w:ascii="Arial" w:cs="Arial" w:eastAsia="Arial" w:hAnsi="Arial"/>
          <w:sz w:val="16"/>
          <w:szCs w:val="16"/>
          <w:color w:val="auto"/>
        </w:rPr>
        <w:t>In connection with the spinoff of the Liquids Pipelines business, PSU and RSU units held by TC Energy employees and former TC Energy employees were adjusted such that the number of units held equaled the number of units held immediately prior to closing of the spinoff on October 1, 2024, multiplied by the Non-Transferred Employee exchange ratio.</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Non-Transferred Employee exchange ratio was the quotient of (a) the volume weighted average trading price of</w:t>
      </w:r>
    </w:p>
    <w:p>
      <w:pPr>
        <w:spacing w:after="0" w:line="4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TC Energy Common Shares on the TSX for the five trading days preceding October 1, 2024, divided by (b) the volume weighted average trading price of the TC Energy Common Shares on the TSX for the first five trading days commencing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October 1, 2024. The Non-Transferred Employee exchange ratio applied to the grants was $63.49/$60.60.</w:t>
      </w:r>
    </w:p>
    <w:p>
      <w:pPr>
        <w:spacing w:after="0" w:line="138"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auto"/>
        </w:rPr>
        <w:t>This adjustment was intended to provide grant holders with the same aggregate value of PSUs and RSUs before and after October 1, 2024, the closing date of the transaction.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160"/>
          </w:cols>
          <w:pgMar w:left="320" w:top="1039" w:right="41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56" w:lineRule="exact"/>
        <w:rPr>
          <w:sz w:val="20"/>
          <w:szCs w:val="20"/>
          <w:color w:val="auto"/>
        </w:rPr>
      </w:pPr>
    </w:p>
    <w:p>
      <w:pPr>
        <w:ind w:right="2980"/>
        <w:spacing w:after="0" w:line="310" w:lineRule="auto"/>
        <w:rPr>
          <w:sz w:val="20"/>
          <w:szCs w:val="20"/>
          <w:color w:val="auto"/>
        </w:rPr>
      </w:pPr>
      <w:r>
        <w:rPr>
          <w:rFonts w:ascii="Arial" w:cs="Arial" w:eastAsia="Arial" w:hAnsi="Arial"/>
          <w:sz w:val="16"/>
          <w:szCs w:val="16"/>
          <w:color w:val="auto"/>
        </w:rPr>
        <w:t>Beginning in 2024, the Human Resources Committee approved the decision to no longer offer stock options as part of executive long-term incentive awards. Under the terms of the plan, the Human Resources Committee determined which employees were eligible to participate. Only employees at the vice-president level or above were eligible to receive Stock Options.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Vesting</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vest one third each year, beginning on the first anniversary of the grant date and have a seven-year term.</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Executives who hold options are limited to trading TC Energy shares in four windows (open trading windows), which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are designated quarterly. The open trading windows relate to the completion and disclosure of quarterly and annual financial reports.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Executives who hold options are not permitted to trade when they are in possession of material, non-public information.</w:t>
      </w:r>
    </w:p>
    <w:p>
      <w:pPr>
        <w:spacing w:after="0" w:line="44" w:lineRule="exact"/>
        <w:rPr>
          <w:sz w:val="20"/>
          <w:szCs w:val="20"/>
          <w:color w:val="auto"/>
        </w:rPr>
      </w:pPr>
    </w:p>
    <w:p>
      <w:pPr>
        <w:jc w:val="both"/>
        <w:ind w:right="180"/>
        <w:spacing w:after="0" w:line="317" w:lineRule="auto"/>
        <w:rPr>
          <w:sz w:val="20"/>
          <w:szCs w:val="20"/>
          <w:color w:val="auto"/>
        </w:rPr>
      </w:pPr>
      <w:r>
        <w:rPr>
          <w:rFonts w:ascii="Arial" w:cs="Arial" w:eastAsia="Arial" w:hAnsi="Arial"/>
          <w:sz w:val="16"/>
          <w:szCs w:val="16"/>
          <w:color w:val="auto"/>
        </w:rPr>
        <w:t>If the expiry date of a stock option does not fall during an open trading window, or falls within the first five days of an open trading window, the expiry date is extended to ten trading days after the next window opens. Similar extensions apply when there is a special trading blackout imposed during one of the four open trading windows and stock options expire during the trading blackout.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Exercise price</w:t>
      </w:r>
    </w:p>
    <w:p>
      <w:pPr>
        <w:spacing w:after="0" w:line="42"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exercise price of stock option is the closing price of TC Energy shares on the TSX on the last trading day immediately preceding the grant date. Stock option holders only benefit if the price of TC Energy shares exceeds the exercise price at</w:t>
      </w:r>
    </w:p>
    <w:p>
      <w:pPr>
        <w:spacing w:after="0" w:line="1" w:lineRule="exact"/>
        <w:rPr>
          <w:sz w:val="20"/>
          <w:szCs w:val="20"/>
          <w:color w:val="auto"/>
        </w:rPr>
      </w:pPr>
    </w:p>
    <w:p>
      <w:pPr>
        <w:ind w:right="2840"/>
        <w:spacing w:after="0" w:line="337" w:lineRule="auto"/>
        <w:rPr>
          <w:sz w:val="20"/>
          <w:szCs w:val="20"/>
          <w:color w:val="auto"/>
        </w:rPr>
      </w:pPr>
      <w:r>
        <w:rPr>
          <w:rFonts w:ascii="Arial" w:cs="Arial" w:eastAsia="Arial" w:hAnsi="Arial"/>
          <w:sz w:val="16"/>
          <w:szCs w:val="16"/>
          <w:color w:val="auto"/>
        </w:rPr>
        <w:t>the time they exercise the stock options. We do not provide financial assistance to plan participants in connection with the exercise of stock options.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Adjustments</w:t>
      </w:r>
    </w:p>
    <w:p>
      <w:pPr>
        <w:spacing w:after="0" w:line="42" w:lineRule="exact"/>
        <w:rPr>
          <w:sz w:val="20"/>
          <w:szCs w:val="20"/>
          <w:color w:val="auto"/>
        </w:rPr>
      </w:pPr>
    </w:p>
    <w:p>
      <w:pPr>
        <w:ind w:right="3300"/>
        <w:spacing w:after="0" w:line="337" w:lineRule="auto"/>
        <w:rPr>
          <w:sz w:val="20"/>
          <w:szCs w:val="20"/>
          <w:color w:val="auto"/>
        </w:rPr>
      </w:pPr>
      <w:r>
        <w:rPr>
          <w:rFonts w:ascii="Arial" w:cs="Arial" w:eastAsia="Arial" w:hAnsi="Arial"/>
          <w:sz w:val="16"/>
          <w:szCs w:val="16"/>
          <w:color w:val="auto"/>
        </w:rPr>
        <w:t>The number of shares subject to an stock option will be adjusted under the terms of the plan when exercised, if, before the exercise of any stock option:</w:t>
      </w:r>
    </w:p>
    <w:p>
      <w:pPr>
        <w:spacing w:after="0" w:line="34" w:lineRule="exact"/>
        <w:rPr>
          <w:sz w:val="20"/>
          <w:szCs w:val="20"/>
          <w:color w:val="auto"/>
        </w:rPr>
      </w:pPr>
    </w:p>
    <w:p>
      <w:pPr>
        <w:ind w:left="160" w:hanging="153"/>
        <w:spacing w:after="0"/>
        <w:tabs>
          <w:tab w:leader="none" w:pos="160" w:val="left"/>
        </w:tabs>
        <w:numPr>
          <w:ilvl w:val="0"/>
          <w:numId w:val="121"/>
        </w:numPr>
        <w:rPr>
          <w:rFonts w:ascii="Arial" w:cs="Arial" w:eastAsia="Arial" w:hAnsi="Arial"/>
          <w:sz w:val="14"/>
          <w:szCs w:val="14"/>
          <w:color w:val="auto"/>
        </w:rPr>
      </w:pPr>
      <w:r>
        <w:rPr>
          <w:rFonts w:ascii="Arial" w:cs="Arial" w:eastAsia="Arial" w:hAnsi="Arial"/>
          <w:sz w:val="16"/>
          <w:szCs w:val="16"/>
          <w:color w:val="auto"/>
        </w:rPr>
        <w:t>the TC Energy shares are consolidated, subdivided, converted, exchanged, reclassified or in any way substituted, or</w:t>
      </w:r>
    </w:p>
    <w:p>
      <w:pPr>
        <w:spacing w:after="0" w:line="44" w:lineRule="exact"/>
        <w:rPr>
          <w:rFonts w:ascii="Arial" w:cs="Arial" w:eastAsia="Arial" w:hAnsi="Arial"/>
          <w:sz w:val="14"/>
          <w:szCs w:val="14"/>
          <w:color w:val="auto"/>
        </w:rPr>
      </w:pPr>
    </w:p>
    <w:p>
      <w:pPr>
        <w:ind w:left="160" w:hanging="153"/>
        <w:spacing w:after="0"/>
        <w:tabs>
          <w:tab w:leader="none" w:pos="160" w:val="left"/>
        </w:tabs>
        <w:numPr>
          <w:ilvl w:val="0"/>
          <w:numId w:val="121"/>
        </w:numPr>
        <w:rPr>
          <w:rFonts w:ascii="Arial" w:cs="Arial" w:eastAsia="Arial" w:hAnsi="Arial"/>
          <w:sz w:val="14"/>
          <w:szCs w:val="14"/>
          <w:color w:val="auto"/>
        </w:rPr>
      </w:pPr>
      <w:r>
        <w:rPr>
          <w:rFonts w:ascii="Arial" w:cs="Arial" w:eastAsia="Arial" w:hAnsi="Arial"/>
          <w:sz w:val="16"/>
          <w:szCs w:val="16"/>
          <w:color w:val="auto"/>
        </w:rPr>
        <w:t>a stock dividend that is not in place of an ordinary course cash dividend is paid on TC Energy shares.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More about the Stock Option Plan</w:t>
      </w:r>
    </w:p>
    <w:p>
      <w:pPr>
        <w:spacing w:after="0" w:line="42" w:lineRule="exact"/>
        <w:rPr>
          <w:sz w:val="20"/>
          <w:szCs w:val="20"/>
          <w:color w:val="auto"/>
        </w:rPr>
      </w:pPr>
    </w:p>
    <w:p>
      <w:pPr>
        <w:ind w:right="200"/>
        <w:spacing w:after="0" w:line="337" w:lineRule="auto"/>
        <w:rPr>
          <w:sz w:val="20"/>
          <w:szCs w:val="20"/>
          <w:color w:val="auto"/>
        </w:rPr>
      </w:pPr>
      <w:r>
        <w:rPr>
          <w:rFonts w:ascii="Arial" w:cs="Arial" w:eastAsia="Arial" w:hAnsi="Arial"/>
          <w:sz w:val="16"/>
          <w:szCs w:val="16"/>
          <w:color w:val="auto"/>
        </w:rPr>
        <w:t>Stock options cannot be transferred or assigned to another person. A personal representative can exercise options on behalf of the holder if they die or are incapacitated.</w:t>
      </w:r>
    </w:p>
    <w:p>
      <w:pPr>
        <w:spacing w:after="0" w:line="34" w:lineRule="exact"/>
        <w:rPr>
          <w:sz w:val="20"/>
          <w:szCs w:val="20"/>
          <w:color w:val="auto"/>
        </w:rPr>
      </w:pPr>
    </w:p>
    <w:p>
      <w:pPr>
        <w:ind w:right="220"/>
        <w:spacing w:after="0" w:line="317" w:lineRule="auto"/>
        <w:rPr>
          <w:sz w:val="20"/>
          <w:szCs w:val="20"/>
          <w:color w:val="auto"/>
        </w:rPr>
      </w:pPr>
      <w:r>
        <w:rPr>
          <w:rFonts w:ascii="Arial" w:cs="Arial" w:eastAsia="Arial" w:hAnsi="Arial"/>
          <w:sz w:val="16"/>
          <w:szCs w:val="16"/>
          <w:color w:val="auto"/>
        </w:rPr>
        <w:t>The Human Resources Committee has the authority to suspend or discontinue the plan at any time without shareholder approval. Management does not have this right and cannot make changes to the plan. The Human Resources Committee can recommend to the Board for approval certain amendments to the plan, or any stock option grant without shareholder approval, provided they are to:</w:t>
      </w:r>
    </w:p>
    <w:p>
      <w:pPr>
        <w:spacing w:after="0" w:line="50" w:lineRule="exact"/>
        <w:rPr>
          <w:sz w:val="20"/>
          <w:szCs w:val="20"/>
          <w:color w:val="auto"/>
        </w:rPr>
      </w:pPr>
    </w:p>
    <w:p>
      <w:pPr>
        <w:ind w:left="140" w:hanging="133"/>
        <w:spacing w:after="0"/>
        <w:tabs>
          <w:tab w:leader="none" w:pos="1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clarify an item,</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correct an error or omission,</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change the vesting date of an existing grant, or</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change the expiry date of an outstanding option to an earlier date.</w:t>
      </w:r>
    </w:p>
    <w:p>
      <w:pPr>
        <w:spacing w:after="0" w:line="138" w:lineRule="exact"/>
        <w:rPr>
          <w:sz w:val="20"/>
          <w:szCs w:val="20"/>
          <w:color w:val="auto"/>
        </w:rPr>
      </w:pPr>
    </w:p>
    <w:p>
      <w:pPr>
        <w:ind w:right="480"/>
        <w:spacing w:after="0" w:line="337" w:lineRule="auto"/>
        <w:rPr>
          <w:sz w:val="20"/>
          <w:szCs w:val="20"/>
          <w:color w:val="auto"/>
        </w:rPr>
      </w:pPr>
      <w:r>
        <w:rPr>
          <w:rFonts w:ascii="Arial" w:cs="Arial" w:eastAsia="Arial" w:hAnsi="Arial"/>
          <w:sz w:val="16"/>
          <w:szCs w:val="16"/>
          <w:color w:val="auto"/>
        </w:rPr>
        <w:t>The Human Resources Committee cannot make any amendments to the plan that adversely affect the holders’ rights relating to any previously granted options without their consent.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plan requires the following amendments to be approved by shareholders:</w:t>
      </w:r>
    </w:p>
    <w:p>
      <w:pPr>
        <w:spacing w:after="0" w:line="138" w:lineRule="exact"/>
        <w:rPr>
          <w:sz w:val="20"/>
          <w:szCs w:val="20"/>
          <w:color w:val="auto"/>
        </w:rPr>
      </w:pPr>
    </w:p>
    <w:p>
      <w:pPr>
        <w:ind w:left="140" w:hanging="133"/>
        <w:spacing w:after="0"/>
        <w:tabs>
          <w:tab w:leader="none" w:pos="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increasing the number of TC Energy shares available for issue under the plan,</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lowering the exercise price of a previously granted option,</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canceling and reissuing an option,</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permitting options to be transferable or assignable other than for normal estate settlement purposes,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changing the categories of individuals eligible to participate in the plan,</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providing financial assistance to a participant in connection with the exercise of options,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extending the expiry date of an option,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changing the types of amendments that require shareholder approval.</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Beginning in 2024, stock options are no longer granted.</w:t>
      </w:r>
    </w:p>
    <w:p>
      <w:pPr>
        <w:sectPr>
          <w:pgSz w:w="11900" w:h="16838" w:orient="portrait"/>
          <w:cols w:equalWidth="0" w:num="1">
            <w:col w:w="11240"/>
          </w:cols>
          <w:pgMar w:left="320" w:top="10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97</w:t>
      </w:r>
    </w:p>
    <w:p>
      <w:pPr>
        <w:sectPr>
          <w:pgSz w:w="11900" w:h="16838" w:orient="portrait"/>
          <w:cols w:equalWidth="0" w:num="1">
            <w:col w:w="11240"/>
          </w:cols>
          <w:pgMar w:left="320" w:top="1041"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6"/>
          <w:szCs w:val="16"/>
          <w:b w:val="1"/>
          <w:bCs w:val="1"/>
          <w:i w:val="1"/>
          <w:iCs w:val="1"/>
          <w:color w:val="auto"/>
        </w:rPr>
        <w:t>Treatment of Outstanding Stock Options pursuant to the spinoff of the Liquids Pipelines business</w:t>
      </w:r>
    </w:p>
    <w:p>
      <w:pPr>
        <w:spacing w:after="0" w:line="56" w:lineRule="exact"/>
        <w:rPr>
          <w:sz w:val="20"/>
          <w:szCs w:val="20"/>
          <w:color w:val="auto"/>
        </w:rPr>
      </w:pPr>
    </w:p>
    <w:p>
      <w:pPr>
        <w:ind w:right="2940"/>
        <w:spacing w:after="0" w:line="319" w:lineRule="auto"/>
        <w:rPr>
          <w:sz w:val="20"/>
          <w:szCs w:val="20"/>
          <w:color w:val="auto"/>
        </w:rPr>
      </w:pPr>
      <w:r>
        <w:rPr>
          <w:rFonts w:ascii="Arial" w:cs="Arial" w:eastAsia="Arial" w:hAnsi="Arial"/>
          <w:sz w:val="16"/>
          <w:szCs w:val="16"/>
          <w:color w:val="auto"/>
        </w:rPr>
        <w:t>For stock options held as of immediately prior to closing of the spinoff on October 1, 2024 by TC Energy employees and former TC Energy employees:</w:t>
      </w:r>
    </w:p>
    <w:p>
      <w:pPr>
        <w:spacing w:after="0" w:line="48" w:lineRule="exact"/>
        <w:rPr>
          <w:sz w:val="20"/>
          <w:szCs w:val="20"/>
          <w:color w:val="auto"/>
        </w:rPr>
      </w:pPr>
    </w:p>
    <w:p>
      <w:pPr>
        <w:ind w:left="140" w:hanging="133"/>
        <w:spacing w:after="0"/>
        <w:tabs>
          <w:tab w:leader="none" w:pos="1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each stock option was exchanged for one new stock option, and</w:t>
      </w:r>
    </w:p>
    <w:p>
      <w:pPr>
        <w:spacing w:after="0" w:line="44" w:lineRule="exact"/>
        <w:rPr>
          <w:rFonts w:ascii="Arial" w:cs="Arial" w:eastAsia="Arial" w:hAnsi="Arial"/>
          <w:sz w:val="16"/>
          <w:szCs w:val="16"/>
          <w:color w:val="auto"/>
        </w:rPr>
      </w:pPr>
    </w:p>
    <w:p>
      <w:pPr>
        <w:ind w:left="160" w:right="2660" w:hanging="153"/>
        <w:spacing w:after="0" w:line="337" w:lineRule="auto"/>
        <w:tabs>
          <w:tab w:leader="none" w:pos="13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exercise price of each new stock option was set equal to the original exercise price of the stock option exchanged less the fair market value reduction of a TC Energy common share (rounded up to the nearest whole cent).</w:t>
      </w:r>
    </w:p>
    <w:p>
      <w:pPr>
        <w:spacing w:after="0" w:line="34"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The fair market value reduction of a TC Energy common share was calculated based on the volume weighted average trading price of the TC Energy common shares on the TSX for the five trading days preceding October 1, 2024 minus the volume weighted average trading price of the TC Energy common shares on the TSX for the first five trading days commencing October 1, 2024, which resulted in a reduction to each exercise price of $2.89. The adjustment was designed to provide option holders with the same value before and after the spinoff.</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details on stock options, see </w:t>
      </w:r>
      <w:r>
        <w:rPr>
          <w:rFonts w:ascii="Arial" w:cs="Arial" w:eastAsia="Arial" w:hAnsi="Arial"/>
          <w:sz w:val="16"/>
          <w:szCs w:val="16"/>
          <w:i w:val="1"/>
          <w:iCs w:val="1"/>
          <w:color w:val="auto"/>
        </w:rPr>
        <w:t>Equity Compensation Plan Information</w:t>
      </w:r>
      <w:r>
        <w:rPr>
          <w:rFonts w:ascii="Arial" w:cs="Arial" w:eastAsia="Arial" w:hAnsi="Arial"/>
          <w:sz w:val="16"/>
          <w:szCs w:val="16"/>
          <w:color w:val="auto"/>
        </w:rPr>
        <w:t xml:space="preserve"> on page 118.</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Compensation on termination</w:t>
      </w:r>
      <w:r>
        <w:rPr>
          <w:rFonts w:ascii="Arial" w:cs="Arial" w:eastAsia="Arial" w:hAnsi="Arial"/>
          <w:sz w:val="16"/>
          <w:szCs w:val="16"/>
          <w:color w:val="auto"/>
        </w:rPr>
        <w:t xml:space="preserve"> table starting on page 122 for the effect of certain employment events on participants’ entitlements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160"/>
          </w:cols>
          <w:pgMar w:left="320" w:top="1041" w:right="4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0D64EF"/>
        </w:rPr>
        <w:t>Retirement benefits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Canadian defined benefit plans include the DB Plan and the Supplemental DB Plan for eligible employees.</w:t>
      </w:r>
    </w:p>
    <w:p>
      <w:pPr>
        <w:spacing w:after="0" w:line="138" w:lineRule="exact"/>
        <w:rPr>
          <w:sz w:val="20"/>
          <w:szCs w:val="20"/>
          <w:color w:val="auto"/>
        </w:rPr>
      </w:pPr>
    </w:p>
    <w:p>
      <w:pPr>
        <w:ind w:right="2740"/>
        <w:spacing w:after="0" w:line="317" w:lineRule="auto"/>
        <w:rPr>
          <w:sz w:val="20"/>
          <w:szCs w:val="20"/>
          <w:color w:val="auto"/>
        </w:rPr>
      </w:pPr>
      <w:r>
        <w:rPr>
          <w:rFonts w:ascii="Arial" w:cs="Arial" w:eastAsia="Arial" w:hAnsi="Arial"/>
          <w:sz w:val="16"/>
          <w:szCs w:val="16"/>
          <w:color w:val="auto"/>
        </w:rPr>
        <w:t>For employees hired before January 1, 2024, participation in the DB Plan is mandatory once a Canadian employee has ten years of continuous service. Mr. Poirier participates in the DB Plan. Mr. O'Donnell, Ms. Faraca, and Mr. Chapman are U.S. employees and participate in the 401(k) Plan and the Non-Qualified Plan.</w:t>
      </w:r>
    </w:p>
    <w:p>
      <w:pPr>
        <w:spacing w:after="0" w:line="50" w:lineRule="exact"/>
        <w:rPr>
          <w:sz w:val="20"/>
          <w:szCs w:val="20"/>
          <w:color w:val="auto"/>
        </w:rPr>
      </w:pPr>
    </w:p>
    <w:p>
      <w:pPr>
        <w:ind w:right="740"/>
        <w:spacing w:after="0" w:line="289" w:lineRule="auto"/>
        <w:rPr>
          <w:sz w:val="20"/>
          <w:szCs w:val="20"/>
          <w:color w:val="auto"/>
        </w:rPr>
      </w:pPr>
      <w:r>
        <w:rPr>
          <w:rFonts w:ascii="Arial" w:cs="Arial" w:eastAsia="Arial" w:hAnsi="Arial"/>
          <w:sz w:val="16"/>
          <w:szCs w:val="16"/>
          <w:color w:val="auto"/>
        </w:rPr>
        <w:t>For employees hired before January 1, 2019, normal retirement for participants is when they turn 60, or between 55 and 60 if their age and years of continuous service add up to 85 points. These retirement benefit provisions apply to Mr. Poirier.</w:t>
      </w:r>
    </w:p>
    <w:p>
      <w:pPr>
        <w:spacing w:after="0"/>
        <w:rPr>
          <w:sz w:val="20"/>
          <w:szCs w:val="20"/>
          <w:color w:val="auto"/>
        </w:rPr>
      </w:pPr>
      <w:r>
        <w:rPr>
          <w:rFonts w:ascii="Arial" w:cs="Arial" w:eastAsia="Arial" w:hAnsi="Arial"/>
          <w:sz w:val="16"/>
          <w:szCs w:val="16"/>
          <w:color w:val="auto"/>
        </w:rPr>
        <w:t>The retirement benefit at normal retirement age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88265</wp:posOffset>
            </wp:positionV>
            <wp:extent cx="4914265" cy="4267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14265" cy="42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0"/>
        <w:spacing w:after="0" w:line="337" w:lineRule="auto"/>
        <w:rPr>
          <w:sz w:val="20"/>
          <w:szCs w:val="20"/>
          <w:color w:val="auto"/>
        </w:rPr>
      </w:pPr>
      <w:r>
        <w:rPr>
          <w:rFonts w:ascii="Arial" w:cs="Arial" w:eastAsia="Arial" w:hAnsi="Arial"/>
          <w:sz w:val="16"/>
          <w:szCs w:val="16"/>
          <w:color w:val="auto"/>
        </w:rPr>
        <w:t>Participants can retire between 55 and 60, but the benefit is reduced by 4.8 per cent per year for each year until they reach age 60 or 85 points, whichever is earlier. They can retire ten years prior to normal retirement age, however, the benefit is reduced by an actuarial equivalence from age 55.</w:t>
      </w:r>
    </w:p>
    <w:p>
      <w:pPr>
        <w:spacing w:after="0" w:line="34"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For employees hired on or after January 1, 2019, normal retirement for participants is age 60. This retirement benefit provision does not apply to any named executives. The retirement benefit at normal retirement age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125095</wp:posOffset>
            </wp:positionV>
            <wp:extent cx="2781300" cy="409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81300"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960"/>
        <w:spacing w:after="0" w:line="337" w:lineRule="auto"/>
        <w:rPr>
          <w:sz w:val="20"/>
          <w:szCs w:val="20"/>
          <w:color w:val="auto"/>
        </w:rPr>
      </w:pPr>
      <w:r>
        <w:rPr>
          <w:rFonts w:ascii="Arial" w:cs="Arial" w:eastAsia="Arial" w:hAnsi="Arial"/>
          <w:sz w:val="16"/>
          <w:szCs w:val="16"/>
          <w:color w:val="auto"/>
        </w:rPr>
        <w:t>Participants can retire as early as age 50, but the benefit is reduced by five per cent per year for each year until they reach age 60.</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45" w:lineRule="exact"/>
        <w:rPr>
          <w:sz w:val="20"/>
          <w:szCs w:val="20"/>
          <w:color w:val="auto"/>
        </w:rPr>
      </w:pPr>
    </w:p>
    <w:p>
      <w:pPr>
        <w:ind w:left="160" w:right="140" w:hanging="153"/>
        <w:spacing w:after="0" w:line="287" w:lineRule="auto"/>
        <w:tabs>
          <w:tab w:leader="none" w:pos="137" w:val="left"/>
        </w:tabs>
        <w:numPr>
          <w:ilvl w:val="0"/>
          <w:numId w:val="125"/>
        </w:numPr>
        <w:rPr>
          <w:rFonts w:ascii="Arial" w:cs="Arial" w:eastAsia="Arial" w:hAnsi="Arial"/>
          <w:sz w:val="13"/>
          <w:szCs w:val="13"/>
          <w:color w:val="auto"/>
        </w:rPr>
      </w:pPr>
      <w:r>
        <w:rPr>
          <w:rFonts w:ascii="Arial" w:cs="Arial" w:eastAsia="Arial" w:hAnsi="Arial"/>
          <w:sz w:val="13"/>
          <w:szCs w:val="13"/>
          <w:i w:val="1"/>
          <w:iCs w:val="1"/>
          <w:color w:val="auto"/>
        </w:rPr>
        <w:t xml:space="preserve">Highest average earnings </w:t>
      </w:r>
      <w:r>
        <w:rPr>
          <w:rFonts w:ascii="Arial" w:cs="Arial" w:eastAsia="Arial" w:hAnsi="Arial"/>
          <w:sz w:val="13"/>
          <w:szCs w:val="13"/>
          <w:color w:val="auto"/>
        </w:rPr>
        <w:t>is the average of an employee’s best 36 consecutive months for employees hired before January 1, 2019 or 60 consecutive months for employees hired on or after January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1, 2019 of pensionable earnings in their last 15 years of employment. </w:t>
      </w:r>
      <w:r>
        <w:rPr>
          <w:rFonts w:ascii="Arial" w:cs="Arial" w:eastAsia="Arial" w:hAnsi="Arial"/>
          <w:sz w:val="13"/>
          <w:szCs w:val="13"/>
          <w:i w:val="1"/>
          <w:iCs w:val="1"/>
          <w:color w:val="auto"/>
        </w:rPr>
        <w:t>Pensionable earnings</w:t>
      </w:r>
      <w:r>
        <w:rPr>
          <w:rFonts w:ascii="Arial" w:cs="Arial" w:eastAsia="Arial" w:hAnsi="Arial"/>
          <w:sz w:val="13"/>
          <w:szCs w:val="13"/>
          <w:color w:val="auto"/>
        </w:rPr>
        <w:t xml:space="preserve"> means an employee’s base salary plus the annual short-term incentive award up to a pre-established maximum, expressed as a percentage of base salary. For 2025, this was 100 per cent for Mr. Poirier. Pensionable earnings do not include any other forms of compensation.</w:t>
      </w:r>
    </w:p>
    <w:p>
      <w:pPr>
        <w:spacing w:after="0" w:line="1" w:lineRule="exact"/>
        <w:rPr>
          <w:rFonts w:ascii="Arial" w:cs="Arial" w:eastAsia="Arial" w:hAnsi="Arial"/>
          <w:sz w:val="13"/>
          <w:szCs w:val="13"/>
          <w:color w:val="auto"/>
        </w:rPr>
      </w:pPr>
    </w:p>
    <w:p>
      <w:pPr>
        <w:ind w:left="140" w:hanging="133"/>
        <w:spacing w:after="0"/>
        <w:tabs>
          <w:tab w:leader="none" w:pos="140" w:val="left"/>
        </w:tabs>
        <w:numPr>
          <w:ilvl w:val="0"/>
          <w:numId w:val="125"/>
        </w:numPr>
        <w:rPr>
          <w:rFonts w:ascii="Arial" w:cs="Arial" w:eastAsia="Arial" w:hAnsi="Arial"/>
          <w:sz w:val="13"/>
          <w:szCs w:val="13"/>
          <w:color w:val="auto"/>
        </w:rPr>
      </w:pPr>
      <w:r>
        <w:rPr>
          <w:rFonts w:ascii="Arial" w:cs="Arial" w:eastAsia="Arial" w:hAnsi="Arial"/>
          <w:sz w:val="13"/>
          <w:szCs w:val="13"/>
          <w:i w:val="1"/>
          <w:iCs w:val="1"/>
          <w:color w:val="auto"/>
        </w:rPr>
        <w:t xml:space="preserve">YMPE </w:t>
      </w:r>
      <w:r>
        <w:rPr>
          <w:rFonts w:ascii="Arial" w:cs="Arial" w:eastAsia="Arial" w:hAnsi="Arial"/>
          <w:sz w:val="13"/>
          <w:szCs w:val="13"/>
          <w:color w:val="auto"/>
        </w:rPr>
        <w:t>is the Year’s Maximum Pensionable Earnings under the Canada/Québec Pension Plan.</w:t>
      </w:r>
    </w:p>
    <w:p>
      <w:pPr>
        <w:spacing w:after="0" w:line="38" w:lineRule="exact"/>
        <w:rPr>
          <w:rFonts w:ascii="Arial" w:cs="Arial" w:eastAsia="Arial" w:hAnsi="Arial"/>
          <w:sz w:val="13"/>
          <w:szCs w:val="13"/>
          <w:color w:val="auto"/>
        </w:rPr>
      </w:pPr>
    </w:p>
    <w:p>
      <w:pPr>
        <w:ind w:left="160" w:right="220" w:hanging="153"/>
        <w:spacing w:after="0" w:line="291" w:lineRule="auto"/>
        <w:tabs>
          <w:tab w:leader="none" w:pos="137" w:val="left"/>
        </w:tabs>
        <w:numPr>
          <w:ilvl w:val="0"/>
          <w:numId w:val="125"/>
        </w:numPr>
        <w:rPr>
          <w:rFonts w:ascii="Arial" w:cs="Arial" w:eastAsia="Arial" w:hAnsi="Arial"/>
          <w:sz w:val="13"/>
          <w:szCs w:val="13"/>
          <w:color w:val="auto"/>
        </w:rPr>
      </w:pPr>
      <w:r>
        <w:rPr>
          <w:rFonts w:ascii="Arial" w:cs="Arial" w:eastAsia="Arial" w:hAnsi="Arial"/>
          <w:sz w:val="13"/>
          <w:szCs w:val="13"/>
          <w:i w:val="1"/>
          <w:iCs w:val="1"/>
          <w:color w:val="auto"/>
        </w:rPr>
        <w:t xml:space="preserve">Final average YMPE </w:t>
      </w:r>
      <w:r>
        <w:rPr>
          <w:rFonts w:ascii="Arial" w:cs="Arial" w:eastAsia="Arial" w:hAnsi="Arial"/>
          <w:sz w:val="13"/>
          <w:szCs w:val="13"/>
          <w:color w:val="auto"/>
        </w:rPr>
        <w:t>is the average of the YMPE in effect for the latest calendar year from which earnings are included in the</w:t>
      </w:r>
      <w:r>
        <w:rPr>
          <w:rFonts w:ascii="Arial" w:cs="Arial" w:eastAsia="Arial" w:hAnsi="Arial"/>
          <w:sz w:val="13"/>
          <w:szCs w:val="13"/>
          <w:i w:val="1"/>
          <w:iCs w:val="1"/>
          <w:color w:val="auto"/>
        </w:rPr>
        <w:t xml:space="preserve"> Employee's highest average earnings </w:t>
      </w:r>
      <w:r>
        <w:rPr>
          <w:rFonts w:ascii="Arial" w:cs="Arial" w:eastAsia="Arial" w:hAnsi="Arial"/>
          <w:sz w:val="13"/>
          <w:szCs w:val="13"/>
          <w:color w:val="auto"/>
        </w:rPr>
        <w:t>calculation plus the two previous</w:t>
      </w:r>
      <w:r>
        <w:rPr>
          <w:rFonts w:ascii="Arial" w:cs="Arial" w:eastAsia="Arial" w:hAnsi="Arial"/>
          <w:sz w:val="13"/>
          <w:szCs w:val="13"/>
          <w:i w:val="1"/>
          <w:iCs w:val="1"/>
          <w:color w:val="auto"/>
        </w:rPr>
        <w:t xml:space="preserve"> </w:t>
      </w:r>
      <w:r>
        <w:rPr>
          <w:rFonts w:ascii="Arial" w:cs="Arial" w:eastAsia="Arial" w:hAnsi="Arial"/>
          <w:sz w:val="13"/>
          <w:szCs w:val="13"/>
          <w:color w:val="auto"/>
        </w:rPr>
        <w:t>years.</w:t>
      </w:r>
    </w:p>
    <w:p>
      <w:pPr>
        <w:ind w:left="160" w:right="60" w:hanging="153"/>
        <w:spacing w:after="0" w:line="304" w:lineRule="auto"/>
        <w:tabs>
          <w:tab w:leader="none" w:pos="137" w:val="left"/>
        </w:tabs>
        <w:numPr>
          <w:ilvl w:val="0"/>
          <w:numId w:val="125"/>
        </w:numPr>
        <w:rPr>
          <w:rFonts w:ascii="Arial" w:cs="Arial" w:eastAsia="Arial" w:hAnsi="Arial"/>
          <w:sz w:val="13"/>
          <w:szCs w:val="13"/>
          <w:color w:val="auto"/>
        </w:rPr>
      </w:pPr>
      <w:r>
        <w:rPr>
          <w:rFonts w:ascii="Arial" w:cs="Arial" w:eastAsia="Arial" w:hAnsi="Arial"/>
          <w:sz w:val="13"/>
          <w:szCs w:val="13"/>
          <w:i w:val="1"/>
          <w:iCs w:val="1"/>
          <w:color w:val="auto"/>
        </w:rPr>
        <w:t xml:space="preserve">Credited service </w:t>
      </w:r>
      <w:r>
        <w:rPr>
          <w:rFonts w:ascii="Arial" w:cs="Arial" w:eastAsia="Arial" w:hAnsi="Arial"/>
          <w:sz w:val="13"/>
          <w:szCs w:val="13"/>
          <w:color w:val="auto"/>
        </w:rPr>
        <w:t>is the employee’s years of credited pensionable service in the plan. Registered defined benefit plans are subject to a maximum annual benefit accrual under the</w:t>
      </w:r>
      <w:r>
        <w:rPr>
          <w:rFonts w:ascii="Arial" w:cs="Arial" w:eastAsia="Arial" w:hAnsi="Arial"/>
          <w:sz w:val="13"/>
          <w:szCs w:val="13"/>
          <w:i w:val="1"/>
          <w:iCs w:val="1"/>
          <w:color w:val="auto"/>
        </w:rPr>
        <w:t xml:space="preserve"> Income Tax Act </w:t>
      </w:r>
      <w:r>
        <w:rPr>
          <w:rFonts w:ascii="Arial" w:cs="Arial" w:eastAsia="Arial" w:hAnsi="Arial"/>
          <w:sz w:val="13"/>
          <w:szCs w:val="13"/>
          <w:color w:val="auto"/>
        </w:rPr>
        <w:t>which</w:t>
      </w:r>
      <w:r>
        <w:rPr>
          <w:rFonts w:ascii="Arial" w:cs="Arial" w:eastAsia="Arial" w:hAnsi="Arial"/>
          <w:sz w:val="13"/>
          <w:szCs w:val="13"/>
          <w:i w:val="1"/>
          <w:iCs w:val="1"/>
          <w:color w:val="auto"/>
        </w:rPr>
        <w:t xml:space="preserve"> </w:t>
      </w:r>
      <w:r>
        <w:rPr>
          <w:rFonts w:ascii="Arial" w:cs="Arial" w:eastAsia="Arial" w:hAnsi="Arial"/>
          <w:sz w:val="13"/>
          <w:szCs w:val="13"/>
          <w:color w:val="auto"/>
        </w:rPr>
        <w:t>is currently $3,932 for each year of credited service. Participants therefore cannot earn benefits in the registered plan on any compensation that is higher than approximately $246,000 per year for employees hired before January 1, 2019 or $262,000 per year for employees hired on or after January 1, 2019.</w:t>
      </w:r>
    </w:p>
    <w:p>
      <w:pPr>
        <w:spacing w:after="0" w:line="81" w:lineRule="exact"/>
        <w:rPr>
          <w:sz w:val="20"/>
          <w:szCs w:val="20"/>
          <w:color w:val="auto"/>
        </w:rPr>
      </w:pPr>
    </w:p>
    <w:p>
      <w:pPr>
        <w:ind w:right="260"/>
        <w:spacing w:after="0" w:line="317" w:lineRule="auto"/>
        <w:rPr>
          <w:sz w:val="20"/>
          <w:szCs w:val="20"/>
          <w:color w:val="auto"/>
        </w:rPr>
      </w:pPr>
      <w:r>
        <w:rPr>
          <w:rFonts w:ascii="Arial" w:cs="Arial" w:eastAsia="Arial" w:hAnsi="Arial"/>
          <w:sz w:val="16"/>
          <w:szCs w:val="16"/>
          <w:color w:val="auto"/>
        </w:rPr>
        <w:t>Although our DB Plan and Supplemental DB Plan are non-contributory, participants can make pension contributions to an enhancement account to buy ancillary or "add-on" benefits within the registered pension plan. The DB Plan and Supplemental DB Plan are integrated with the Canada/Québec Pension Plan benefits.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contribution plan</w:t>
      </w:r>
    </w:p>
    <w:p>
      <w:pPr>
        <w:spacing w:after="0" w:line="44" w:lineRule="exact"/>
        <w:rPr>
          <w:sz w:val="20"/>
          <w:szCs w:val="20"/>
          <w:color w:val="auto"/>
        </w:rPr>
      </w:pPr>
    </w:p>
    <w:p>
      <w:pPr>
        <w:ind w:right="2360"/>
        <w:spacing w:after="0" w:line="322" w:lineRule="auto"/>
        <w:rPr>
          <w:sz w:val="20"/>
          <w:szCs w:val="20"/>
          <w:color w:val="auto"/>
        </w:rPr>
      </w:pPr>
      <w:r>
        <w:rPr>
          <w:rFonts w:ascii="Arial" w:cs="Arial" w:eastAsia="Arial" w:hAnsi="Arial"/>
          <w:sz w:val="16"/>
          <w:szCs w:val="16"/>
          <w:color w:val="auto"/>
        </w:rPr>
        <w:t>Our Canadian defined contribution plans include the DC Plan and the Supplemental DC Plan for eligible employees. Employees hired on or after January 1, 2024 participate in the DC Plan and the Savings Plan. Ms. Dusevic Oliva participates in the DC Plan and Savings Plan. The employer contribution to the DC Plan is nine per cent of base salary and TC Energy will match up to three per cent of an employee's voluntary contributions to the Savings Plan.</w:t>
      </w:r>
    </w:p>
    <w:p>
      <w:pPr>
        <w:spacing w:after="0" w:line="47" w:lineRule="exact"/>
        <w:rPr>
          <w:sz w:val="20"/>
          <w:szCs w:val="20"/>
          <w:color w:val="auto"/>
        </w:rPr>
      </w:pPr>
    </w:p>
    <w:p>
      <w:pPr>
        <w:ind w:right="660"/>
        <w:spacing w:after="0" w:line="354" w:lineRule="auto"/>
        <w:rPr>
          <w:sz w:val="20"/>
          <w:szCs w:val="20"/>
          <w:color w:val="auto"/>
        </w:rPr>
      </w:pPr>
      <w:r>
        <w:rPr>
          <w:rFonts w:ascii="Arial" w:cs="Arial" w:eastAsia="Arial" w:hAnsi="Arial"/>
          <w:sz w:val="16"/>
          <w:szCs w:val="16"/>
          <w:color w:val="auto"/>
        </w:rPr>
        <w:t>Normal retirement age for participants is age 60. Participants can retire and begin receiving a benefit up to ten years preceding normal retirement. At retirement, participants may elect to purchase an annuity or transfer their account balance to a locked in retirement vehicle.</w:t>
      </w:r>
    </w:p>
    <w:p>
      <w:pPr>
        <w:spacing w:after="0" w:line="22" w:lineRule="exact"/>
        <w:rPr>
          <w:sz w:val="20"/>
          <w:szCs w:val="20"/>
          <w:color w:val="auto"/>
        </w:rPr>
      </w:pPr>
    </w:p>
    <w:p>
      <w:pPr>
        <w:jc w:val="both"/>
        <w:ind w:right="120"/>
        <w:spacing w:after="0" w:line="326" w:lineRule="auto"/>
        <w:rPr>
          <w:sz w:val="20"/>
          <w:szCs w:val="20"/>
          <w:color w:val="auto"/>
        </w:rPr>
      </w:pPr>
      <w:r>
        <w:rPr>
          <w:rFonts w:ascii="Arial" w:cs="Arial" w:eastAsia="Arial" w:hAnsi="Arial"/>
          <w:sz w:val="16"/>
          <w:szCs w:val="16"/>
          <w:color w:val="auto"/>
        </w:rPr>
        <w:t>The DC Plan offers a number of investment options to help participants meet their saving goals. The TCPL Pension Committee monitors and measures the performance of the investment funds offered in the DC Plan in relation to established performance guidelines and occasionally makes changes to the choice of investment funds where necessary.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99</w:t>
      </w:r>
    </w:p>
    <w:p>
      <w:pPr>
        <w:sectPr>
          <w:pgSz w:w="11900" w:h="16838" w:orient="portrait"/>
          <w:cols w:equalWidth="0" w:num="1">
            <w:col w:w="11240"/>
          </w:cols>
          <w:pgMar w:left="320" w:top="1061"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Supplemental defined benefit plan</w:t>
      </w:r>
    </w:p>
    <w:p>
      <w:pPr>
        <w:spacing w:after="0" w:line="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Canadian defined benefit plans use a hold harmless approach, where the maximum amount allowed under the Income Tax Act (Canada) is paid from the DB Plan and the remainder is paid from the Supplemental DB Plan. The Supplemental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DB Plan is funded through a retirement compensation arrangement under the Income Tax Act (Canada). Currently, there</w:t>
      </w:r>
    </w:p>
    <w:p>
      <w:pPr>
        <w:spacing w:after="0" w:line="5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are 970 participants in the Supplemental DB Plan including Mr. Poirier. All DB Plan participants with pensionable earnings exceeding approximately $246,000 per year for those hired before January 1, 2019 and $262,000 for those hired on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after January 1, 2019 are eligible to participate in the Supplemental DB Plan.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Contributions to the plan are subject to Board approval and are based on an actuarial valuation of the Supplemental DB Plan obligations each year.</w:t>
      </w:r>
    </w:p>
    <w:p>
      <w:pPr>
        <w:spacing w:after="0" w:line="152" w:lineRule="exact"/>
        <w:rPr>
          <w:sz w:val="20"/>
          <w:szCs w:val="20"/>
          <w:color w:val="auto"/>
        </w:rPr>
      </w:pPr>
    </w:p>
    <w:p>
      <w:pPr>
        <w:ind w:right="20"/>
        <w:spacing w:after="0" w:line="337" w:lineRule="auto"/>
        <w:rPr>
          <w:sz w:val="20"/>
          <w:szCs w:val="20"/>
          <w:color w:val="auto"/>
        </w:rPr>
      </w:pPr>
      <w:r>
        <w:rPr>
          <w:rFonts w:ascii="Arial" w:cs="Arial" w:eastAsia="Arial" w:hAnsi="Arial"/>
          <w:sz w:val="16"/>
          <w:szCs w:val="16"/>
          <w:color w:val="auto"/>
        </w:rPr>
        <w:t>At the discretion of the Board, annual funding for the Supplemental DB Plan approximates current year service cost accruals and the five-year amortization of deficits. This funding practice is aligned with the approach utilized under our DB Plan.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All DB Plan and Supplemental DB Plan participants, including Mr. Poirier, receive the normal form of pension when they retire:</w:t>
      </w:r>
    </w:p>
    <w:p>
      <w:pPr>
        <w:spacing w:after="0" w:line="138" w:lineRule="exact"/>
        <w:rPr>
          <w:sz w:val="20"/>
          <w:szCs w:val="20"/>
          <w:color w:val="auto"/>
        </w:rPr>
      </w:pPr>
    </w:p>
    <w:p>
      <w:pPr>
        <w:ind w:left="140" w:hanging="133"/>
        <w:spacing w:after="0"/>
        <w:tabs>
          <w:tab w:leader="none" w:pos="1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monthly pension for life, and 60 per cent is paid to the spouse after the employee dies, or</w:t>
      </w:r>
    </w:p>
    <w:p>
      <w:pPr>
        <w:spacing w:after="0" w:line="57" w:lineRule="exact"/>
        <w:rPr>
          <w:rFonts w:ascii="Arial" w:cs="Arial" w:eastAsia="Arial" w:hAnsi="Arial"/>
          <w:sz w:val="16"/>
          <w:szCs w:val="16"/>
          <w:color w:val="auto"/>
        </w:rPr>
      </w:pPr>
    </w:p>
    <w:p>
      <w:pPr>
        <w:ind w:left="160" w:right="3000" w:hanging="153"/>
        <w:spacing w:after="0" w:line="337" w:lineRule="auto"/>
        <w:tabs>
          <w:tab w:leader="none" w:pos="13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the employee is not married, the monthly pension is paid to the employee’s beneficiary or estate for the balance of the ten years, if the employee dies within ten years of retirement.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Participants can choose a different form of payment, but must complete waivers, as required by law. Options include:</w:t>
      </w:r>
    </w:p>
    <w:p>
      <w:pPr>
        <w:spacing w:after="0" w:line="138" w:lineRule="exact"/>
        <w:rPr>
          <w:sz w:val="20"/>
          <w:szCs w:val="20"/>
          <w:color w:val="auto"/>
        </w:rPr>
      </w:pPr>
    </w:p>
    <w:p>
      <w:pPr>
        <w:ind w:left="140" w:hanging="133"/>
        <w:spacing w:after="0"/>
        <w:tabs>
          <w:tab w:leader="none" w:pos="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increasing the percentage of the pension value that continues after they die,</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adding a guarantee period to the pension, or</w:t>
      </w:r>
    </w:p>
    <w:p>
      <w:pPr>
        <w:spacing w:after="0" w:line="44" w:lineRule="exact"/>
        <w:rPr>
          <w:rFonts w:ascii="Arial" w:cs="Arial" w:eastAsia="Arial" w:hAnsi="Arial"/>
          <w:sz w:val="16"/>
          <w:szCs w:val="16"/>
          <w:color w:val="auto"/>
        </w:rPr>
      </w:pPr>
    </w:p>
    <w:p>
      <w:pPr>
        <w:ind w:left="160" w:right="60" w:hanging="153"/>
        <w:spacing w:after="0" w:line="337" w:lineRule="auto"/>
        <w:tabs>
          <w:tab w:leader="none" w:pos="13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transferring the lump sum commuted value of the registered pension plan to a locked-in retirement account up to certain tax limits and the excess is paid in cash. Subject to company discretion, the supplemental pension plan commuted value may also be transferred and paid in cash.</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defined contribution plan</w:t>
      </w:r>
    </w:p>
    <w:p>
      <w:pPr>
        <w:spacing w:after="0" w:line="44" w:lineRule="exact"/>
        <w:rPr>
          <w:sz w:val="20"/>
          <w:szCs w:val="20"/>
          <w:color w:val="auto"/>
        </w:rPr>
      </w:pPr>
    </w:p>
    <w:p>
      <w:pPr>
        <w:jc w:val="both"/>
        <w:ind w:right="160"/>
        <w:spacing w:after="0" w:line="303" w:lineRule="auto"/>
        <w:rPr>
          <w:sz w:val="20"/>
          <w:szCs w:val="20"/>
          <w:color w:val="auto"/>
        </w:rPr>
      </w:pPr>
      <w:r>
        <w:rPr>
          <w:rFonts w:ascii="Arial" w:cs="Arial" w:eastAsia="Arial" w:hAnsi="Arial"/>
          <w:sz w:val="16"/>
          <w:szCs w:val="16"/>
          <w:color w:val="auto"/>
        </w:rPr>
        <w:t>Contributions up to the money purchase limit under the Income Tax Act (Canada) are made to the DC Plan, and any company contributions above that limit are credited to the Supplemental DC Plan. The Supplemental DC Plan is unfunded and contributions are notionally invested, per the directions provided by the participant. Currently, Ms. Dusevic Oliva</w:t>
      </w:r>
    </w:p>
    <w:p>
      <w:pPr>
        <w:spacing w:after="0" w:line="2" w:lineRule="exact"/>
        <w:rPr>
          <w:sz w:val="20"/>
          <w:szCs w:val="20"/>
          <w:color w:val="auto"/>
        </w:rPr>
      </w:pPr>
    </w:p>
    <w:p>
      <w:pPr>
        <w:ind w:right="280"/>
        <w:spacing w:after="0" w:line="354" w:lineRule="auto"/>
        <w:rPr>
          <w:sz w:val="20"/>
          <w:szCs w:val="20"/>
          <w:color w:val="auto"/>
        </w:rPr>
      </w:pPr>
      <w:r>
        <w:rPr>
          <w:rFonts w:ascii="Arial" w:cs="Arial" w:eastAsia="Arial" w:hAnsi="Arial"/>
          <w:sz w:val="16"/>
          <w:szCs w:val="16"/>
          <w:color w:val="auto"/>
        </w:rPr>
        <w:t>is the only participant in the Supplemental DC Plan. All DC Plan participants with a base salary exceeding approximately $393,000 per year are eligible to participate in the Supplemental DC Plan.</w:t>
      </w:r>
    </w:p>
    <w:p>
      <w:pPr>
        <w:spacing w:after="0" w:line="22" w:lineRule="exact"/>
        <w:rPr>
          <w:sz w:val="20"/>
          <w:szCs w:val="20"/>
          <w:color w:val="auto"/>
        </w:rPr>
      </w:pPr>
    </w:p>
    <w:p>
      <w:pPr>
        <w:ind w:right="160"/>
        <w:spacing w:after="0" w:line="354" w:lineRule="auto"/>
        <w:rPr>
          <w:sz w:val="20"/>
          <w:szCs w:val="20"/>
          <w:color w:val="auto"/>
        </w:rPr>
      </w:pPr>
      <w:r>
        <w:rPr>
          <w:rFonts w:ascii="Arial" w:cs="Arial" w:eastAsia="Arial" w:hAnsi="Arial"/>
          <w:sz w:val="16"/>
          <w:szCs w:val="16"/>
          <w:color w:val="auto"/>
        </w:rPr>
        <w:t>All Supplemental DC Plan participants, including Ms. Dusevic Oliva, receive a cash payment equal to their notional Supplemental DC Plan account balance paid from general revenues when they retire. The investment options and monitoring align to the DC Plan.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TransCanada 401(k) and Savings Plan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401(k) Plan provides a company contribution in addition to a voluntary employee contribution with a company match. Mr. O'Donnell, Ms. Faraca and Mr.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Chapman participate in the 401(k) Plan.</w:t>
      </w:r>
    </w:p>
    <w:p>
      <w:pPr>
        <w:spacing w:after="0" w:line="152" w:lineRule="exact"/>
        <w:rPr>
          <w:sz w:val="20"/>
          <w:szCs w:val="20"/>
          <w:color w:val="auto"/>
        </w:rPr>
      </w:pPr>
    </w:p>
    <w:p>
      <w:pPr>
        <w:ind w:right="260"/>
        <w:spacing w:after="0" w:line="316" w:lineRule="auto"/>
        <w:rPr>
          <w:sz w:val="20"/>
          <w:szCs w:val="20"/>
          <w:color w:val="auto"/>
        </w:rPr>
      </w:pPr>
      <w:r>
        <w:rPr>
          <w:rFonts w:ascii="Arial" w:cs="Arial" w:eastAsia="Arial" w:hAnsi="Arial"/>
          <w:sz w:val="16"/>
          <w:szCs w:val="16"/>
          <w:color w:val="auto"/>
        </w:rPr>
        <w:t>The company contributes seven per cent of each participant's base salary (up to IRS contribution limits) to a 401(k) account. Participants can also make voluntary contributions and receive a company match equal to 100 per cent up to the first five per cent of eligible earnings. All Company contributions vest immediately. For 2026, the IRS annual compensation limit is U.S.$360,000 while the annual employee 401(k) contribution limit is U.S.$24,500 with an additional U.S.$8,000 of contribution room for employees age 50 and older.</w:t>
      </w:r>
    </w:p>
    <w:p>
      <w:pPr>
        <w:spacing w:after="0" w:line="66" w:lineRule="exact"/>
        <w:rPr>
          <w:sz w:val="20"/>
          <w:szCs w:val="20"/>
          <w:color w:val="auto"/>
        </w:rPr>
      </w:pPr>
    </w:p>
    <w:p>
      <w:pPr>
        <w:ind w:right="460"/>
        <w:spacing w:after="0" w:line="317" w:lineRule="auto"/>
        <w:rPr>
          <w:sz w:val="20"/>
          <w:szCs w:val="20"/>
          <w:color w:val="auto"/>
        </w:rPr>
      </w:pPr>
      <w:r>
        <w:rPr>
          <w:rFonts w:ascii="Arial" w:cs="Arial" w:eastAsia="Arial" w:hAnsi="Arial"/>
          <w:sz w:val="16"/>
          <w:szCs w:val="16"/>
          <w:color w:val="auto"/>
        </w:rPr>
        <w:t>The 401(k) Plan offers a number of investment options to help participants meet their saving goals. The TC USA Investment Committee monitors and measures the performance of the investment funds offered in the 401(k) Plan in relation to established performance guidelines and occasionally makes changes to the choice of investment funds where necessary.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39" w:right="35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color w:val="auto"/>
        </w:rPr>
        <w:t>TC USA Non-Qualified Plan</w:t>
      </w:r>
    </w:p>
    <w:p>
      <w:pPr>
        <w:spacing w:after="0" w:line="58" w:lineRule="exact"/>
        <w:rPr>
          <w:sz w:val="20"/>
          <w:szCs w:val="20"/>
          <w:color w:val="auto"/>
        </w:rPr>
      </w:pPr>
    </w:p>
    <w:p>
      <w:pPr>
        <w:ind w:right="2680"/>
        <w:spacing w:after="0" w:line="317" w:lineRule="auto"/>
        <w:rPr>
          <w:sz w:val="20"/>
          <w:szCs w:val="20"/>
          <w:color w:val="auto"/>
        </w:rPr>
      </w:pPr>
      <w:r>
        <w:rPr>
          <w:rFonts w:ascii="Arial" w:cs="Arial" w:eastAsia="Arial" w:hAnsi="Arial"/>
          <w:sz w:val="16"/>
          <w:szCs w:val="16"/>
          <w:color w:val="auto"/>
        </w:rPr>
        <w:t>The Non-Qualified Plan is offered to employees with earnings in excess of the annual compensation limit imposed by the IRS on qualified retirement plans. Employee contributions are voluntary and eligible employees must enroll annually. Mr. O'Donnell, Ms. Faraca and Mr. Chapman participate in the Non-Qualified Plan.</w:t>
      </w:r>
    </w:p>
    <w:p>
      <w:pPr>
        <w:spacing w:after="0" w:line="64" w:lineRule="exact"/>
        <w:rPr>
          <w:sz w:val="20"/>
          <w:szCs w:val="20"/>
          <w:color w:val="auto"/>
        </w:rPr>
      </w:pPr>
    </w:p>
    <w:p>
      <w:pPr>
        <w:ind w:right="180"/>
        <w:spacing w:after="0" w:line="326" w:lineRule="auto"/>
        <w:rPr>
          <w:sz w:val="20"/>
          <w:szCs w:val="20"/>
          <w:color w:val="auto"/>
        </w:rPr>
      </w:pPr>
      <w:r>
        <w:rPr>
          <w:rFonts w:ascii="Arial" w:cs="Arial" w:eastAsia="Arial" w:hAnsi="Arial"/>
          <w:sz w:val="16"/>
          <w:szCs w:val="16"/>
          <w:color w:val="auto"/>
        </w:rPr>
        <w:t>The Company provides employer matching contributions to eligible participants using the same formula as the 401(k) Plan offset by the maximum amount allowed in the 401(k) Plan. The company will also contribute seven per cent of base pay less what is contributed in the 401(k) Plan. The investment options and monitoring align to the 401(k) Plan.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Other benefits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All employees, including the named executives, receive other benefits such as traditional health and welfare programs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that are based on competitive market practices in the country in which they work. These benefits help to attract and retain talent.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Perquisites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executives receive a limited number of perquisites, including:</w:t>
      </w:r>
    </w:p>
    <w:p>
      <w:pPr>
        <w:spacing w:after="0" w:line="138" w:lineRule="exact"/>
        <w:rPr>
          <w:sz w:val="20"/>
          <w:szCs w:val="20"/>
          <w:color w:val="auto"/>
        </w:rPr>
      </w:pPr>
    </w:p>
    <w:p>
      <w:pPr>
        <w:ind w:left="140" w:hanging="133"/>
        <w:spacing w:after="0"/>
        <w:tabs>
          <w:tab w:leader="none" w:pos="1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flexible perquisite allowance to use at their discretion,</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club memberships,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reserved parking space,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 annual car allowance.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101</w:t>
      </w:r>
    </w:p>
    <w:p>
      <w:pPr>
        <w:sectPr>
          <w:pgSz w:w="11900" w:h="16838" w:orient="portrait"/>
          <w:cols w:equalWidth="0" w:num="1">
            <w:col w:w="11240"/>
          </w:cols>
          <w:pgMar w:left="320" w:top="1039" w:right="3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b w:val="1"/>
          <w:bCs w:val="1"/>
          <w:color w:val="0D64EF"/>
        </w:rPr>
        <w:t>CORPORATE PERFORMANCE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our 2025 corporate performance against annual objectives.</w:t>
      </w:r>
    </w:p>
    <w:p>
      <w:pPr>
        <w:spacing w:after="0" w:line="152" w:lineRule="exact"/>
        <w:rPr>
          <w:sz w:val="20"/>
          <w:szCs w:val="20"/>
          <w:color w:val="auto"/>
        </w:rPr>
      </w:pPr>
    </w:p>
    <w:p>
      <w:pPr>
        <w:ind w:right="420"/>
        <w:spacing w:after="0" w:line="337" w:lineRule="auto"/>
        <w:rPr>
          <w:sz w:val="20"/>
          <w:szCs w:val="20"/>
          <w:color w:val="auto"/>
        </w:rPr>
      </w:pPr>
      <w:r>
        <w:rPr>
          <w:rFonts w:ascii="Arial" w:cs="Arial" w:eastAsia="Arial" w:hAnsi="Arial"/>
          <w:sz w:val="16"/>
          <w:szCs w:val="16"/>
          <w:color w:val="auto"/>
        </w:rPr>
        <w:t>You can find definitions of these terms and more information about our financial and business performance in the TC Energy 2025 Annual MD&amp;A on our website (www.tcenergy.com) and on SEDAR+ (www.sedarplus.ca).</w:t>
      </w:r>
    </w:p>
    <w:p>
      <w:pPr>
        <w:spacing w:after="0" w:line="34" w:lineRule="exact"/>
        <w:rPr>
          <w:sz w:val="20"/>
          <w:szCs w:val="20"/>
          <w:color w:val="auto"/>
        </w:rPr>
      </w:pPr>
    </w:p>
    <w:p>
      <w:pPr>
        <w:ind w:right="580"/>
        <w:spacing w:after="0" w:line="354" w:lineRule="auto"/>
        <w:rPr>
          <w:sz w:val="20"/>
          <w:szCs w:val="20"/>
          <w:color w:val="auto"/>
        </w:rPr>
      </w:pPr>
      <w:r>
        <w:rPr>
          <w:rFonts w:ascii="Arial" w:cs="Arial" w:eastAsia="Arial" w:hAnsi="Arial"/>
          <w:sz w:val="16"/>
          <w:szCs w:val="16"/>
          <w:color w:val="auto"/>
        </w:rPr>
        <w:t>The Board approved a corporate factor of 1.5 to determine the 2025 annual incentive awards for all non-union employees. The Board did not exercise discretion in assessing annual incentive performance in 2025.</w:t>
      </w:r>
    </w:p>
    <w:p>
      <w:pPr>
        <w:spacing w:after="0" w:line="22" w:lineRule="exact"/>
        <w:rPr>
          <w:sz w:val="20"/>
          <w:szCs w:val="20"/>
          <w:color w:val="auto"/>
        </w:rPr>
      </w:pPr>
    </w:p>
    <w:p>
      <w:pPr>
        <w:ind w:right="140"/>
        <w:spacing w:after="0" w:line="354" w:lineRule="auto"/>
        <w:rPr>
          <w:sz w:val="20"/>
          <w:szCs w:val="20"/>
          <w:color w:val="auto"/>
        </w:rPr>
      </w:pPr>
      <w:r>
        <w:rPr>
          <w:rFonts w:ascii="Arial" w:cs="Arial" w:eastAsia="Arial" w:hAnsi="Arial"/>
          <w:sz w:val="16"/>
          <w:szCs w:val="16"/>
          <w:color w:val="auto"/>
        </w:rPr>
        <w:t>Our 2026 corporate scorecard continues to include a 50 per cent weighting to achieving safety and operational excellence and 50 per cent weighting toward delivering financial results.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520" w:type="dxa"/>
            <w:vAlign w:val="bottom"/>
            <w:tcBorders>
              <w:top w:val="single" w:sz="8" w:color="0D64EF"/>
            </w:tcBorders>
            <w:shd w:val="clear" w:color="auto" w:fill="D1D0CF"/>
          </w:tcPr>
          <w:p>
            <w:pPr>
              <w:spacing w:after="0"/>
              <w:rPr>
                <w:sz w:val="14"/>
                <w:szCs w:val="14"/>
                <w:color w:val="auto"/>
              </w:rPr>
            </w:pPr>
          </w:p>
        </w:tc>
        <w:tc>
          <w:tcPr>
            <w:tcW w:w="2060" w:type="dxa"/>
            <w:vAlign w:val="bottom"/>
            <w:tcBorders>
              <w:top w:val="single" w:sz="8" w:color="0D64EF"/>
            </w:tcBorders>
            <w:shd w:val="clear" w:color="auto" w:fill="D1D0CF"/>
          </w:tcPr>
          <w:p>
            <w:pPr>
              <w:spacing w:after="0"/>
              <w:rPr>
                <w:sz w:val="14"/>
                <w:szCs w:val="14"/>
                <w:color w:val="auto"/>
              </w:rPr>
            </w:pPr>
          </w:p>
        </w:tc>
        <w:tc>
          <w:tcPr>
            <w:tcW w:w="1600" w:type="dxa"/>
            <w:vAlign w:val="bottom"/>
            <w:tcBorders>
              <w:top w:val="single" w:sz="8" w:color="0D64EF"/>
            </w:tcBorders>
            <w:shd w:val="clear" w:color="auto" w:fill="D1D0CF"/>
          </w:tcPr>
          <w:p>
            <w:pPr>
              <w:ind w:left="40"/>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top w:val="single" w:sz="8" w:color="0D64EF"/>
            </w:tcBorders>
            <w:shd w:val="clear" w:color="auto" w:fill="D1D0CF"/>
          </w:tcPr>
          <w:p>
            <w:pPr>
              <w:jc w:val="center"/>
              <w:ind w:right="28"/>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top w:val="single" w:sz="8" w:color="0D64EF"/>
            </w:tcBorders>
            <w:shd w:val="clear" w:color="auto" w:fill="D1D0CF"/>
          </w:tcPr>
          <w:p>
            <w:pPr>
              <w:ind w:left="160"/>
              <w:spacing w:after="0"/>
              <w:rPr>
                <w:sz w:val="20"/>
                <w:szCs w:val="20"/>
                <w:color w:val="auto"/>
              </w:rPr>
            </w:pPr>
            <w:r>
              <w:rPr>
                <w:rFonts w:ascii="Arial" w:cs="Arial" w:eastAsia="Arial" w:hAnsi="Arial"/>
                <w:sz w:val="14"/>
                <w:szCs w:val="14"/>
                <w:b w:val="1"/>
                <w:bCs w:val="1"/>
                <w:color w:val="auto"/>
              </w:rPr>
              <w:t>Rating</w:t>
            </w:r>
          </w:p>
        </w:tc>
        <w:tc>
          <w:tcPr>
            <w:tcW w:w="1040" w:type="dxa"/>
            <w:vAlign w:val="bottom"/>
            <w:tcBorders>
              <w:top w:val="single" w:sz="8" w:color="0D64EF"/>
            </w:tcBorders>
            <w:shd w:val="clear" w:color="auto" w:fill="D1D0CF"/>
          </w:tcPr>
          <w:p>
            <w:pPr>
              <w:spacing w:after="0"/>
              <w:rPr>
                <w:sz w:val="14"/>
                <w:szCs w:val="14"/>
                <w:color w:val="auto"/>
              </w:rPr>
            </w:pPr>
          </w:p>
        </w:tc>
        <w:tc>
          <w:tcPr>
            <w:tcW w:w="640" w:type="dxa"/>
            <w:vAlign w:val="bottom"/>
            <w:tcBorders>
              <w:top w:val="single" w:sz="8" w:color="0D64EF"/>
            </w:tcBorders>
            <w:shd w:val="clear" w:color="auto" w:fill="D1D0CF"/>
          </w:tcPr>
          <w:p>
            <w:pPr>
              <w:spacing w:after="0"/>
              <w:rPr>
                <w:sz w:val="14"/>
                <w:szCs w:val="14"/>
                <w:color w:val="auto"/>
              </w:rPr>
            </w:pPr>
          </w:p>
        </w:tc>
        <w:tc>
          <w:tcPr>
            <w:tcW w:w="2540" w:type="dxa"/>
            <w:vAlign w:val="bottom"/>
            <w:tcBorders>
              <w:top w:val="single" w:sz="8" w:color="0D64EF"/>
            </w:tcBorders>
            <w:shd w:val="clear" w:color="auto" w:fill="D1D0C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Objective</w:t>
            </w:r>
          </w:p>
        </w:tc>
        <w:tc>
          <w:tcPr>
            <w:tcW w:w="20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Goals</w:t>
            </w:r>
          </w:p>
        </w:tc>
        <w:tc>
          <w:tcPr>
            <w:tcW w:w="1600" w:type="dxa"/>
            <w:vAlign w:val="bottom"/>
            <w:tcBorders>
              <w:bottom w:val="single" w:sz="8" w:color="0D64EF"/>
            </w:tcBorders>
            <w:shd w:val="clear" w:color="auto" w:fill="D1D0CF"/>
          </w:tcPr>
          <w:p>
            <w:pPr>
              <w:ind w:left="40"/>
              <w:spacing w:after="0"/>
              <w:rPr>
                <w:sz w:val="20"/>
                <w:szCs w:val="20"/>
                <w:color w:val="auto"/>
              </w:rPr>
            </w:pPr>
            <w:r>
              <w:rPr>
                <w:rFonts w:ascii="Arial" w:cs="Arial" w:eastAsia="Arial" w:hAnsi="Arial"/>
                <w:sz w:val="14"/>
                <w:szCs w:val="14"/>
                <w:b w:val="1"/>
                <w:bCs w:val="1"/>
                <w:color w:val="auto"/>
              </w:rPr>
              <w:t>Target</w:t>
            </w:r>
          </w:p>
        </w:tc>
        <w:tc>
          <w:tcPr>
            <w:tcW w:w="1020" w:type="dxa"/>
            <w:vAlign w:val="bottom"/>
            <w:tcBorders>
              <w:bottom w:val="single" w:sz="8" w:color="0D64EF"/>
            </w:tcBorders>
            <w:shd w:val="clear" w:color="auto" w:fill="D1D0CF"/>
          </w:tcPr>
          <w:p>
            <w:pPr>
              <w:jc w:val="center"/>
              <w:ind w:right="28"/>
              <w:spacing w:after="0"/>
              <w:rPr>
                <w:sz w:val="20"/>
                <w:szCs w:val="20"/>
                <w:color w:val="auto"/>
              </w:rPr>
            </w:pPr>
            <w:r>
              <w:rPr>
                <w:rFonts w:ascii="Arial" w:cs="Arial" w:eastAsia="Arial" w:hAnsi="Arial"/>
                <w:sz w:val="14"/>
                <w:szCs w:val="14"/>
                <w:b w:val="1"/>
                <w:bCs w:val="1"/>
                <w:color w:val="auto"/>
              </w:rPr>
              <w:t>Result</w:t>
            </w:r>
          </w:p>
        </w:tc>
        <w:tc>
          <w:tcPr>
            <w:tcW w:w="820" w:type="dxa"/>
            <w:vAlign w:val="bottom"/>
            <w:tcBorders>
              <w:bottom w:val="single" w:sz="8" w:color="0D64E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(0-2.0)</w:t>
            </w:r>
          </w:p>
        </w:tc>
        <w:tc>
          <w:tcPr>
            <w:tcW w:w="1040" w:type="dxa"/>
            <w:vAlign w:val="bottom"/>
            <w:tcBorders>
              <w:bottom w:val="single" w:sz="8" w:color="0D64EF"/>
            </w:tcBorders>
            <w:shd w:val="clear" w:color="auto" w:fill="D1D0CF"/>
          </w:tcPr>
          <w:p>
            <w:pPr>
              <w:ind w:left="200"/>
              <w:spacing w:after="0"/>
              <w:rPr>
                <w:sz w:val="20"/>
                <w:szCs w:val="20"/>
                <w:color w:val="auto"/>
              </w:rPr>
            </w:pPr>
            <w:r>
              <w:rPr>
                <w:rFonts w:ascii="Arial" w:cs="Arial" w:eastAsia="Arial" w:hAnsi="Arial"/>
                <w:sz w:val="14"/>
                <w:szCs w:val="14"/>
                <w:b w:val="1"/>
                <w:bCs w:val="1"/>
                <w:color w:val="auto"/>
              </w:rPr>
              <w:t>Weighting</w:t>
            </w:r>
          </w:p>
        </w:tc>
        <w:tc>
          <w:tcPr>
            <w:tcW w:w="6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4"/>
                <w:szCs w:val="14"/>
                <w:b w:val="1"/>
                <w:bCs w:val="1"/>
                <w:color w:val="auto"/>
              </w:rPr>
              <w:t>Factor</w:t>
            </w:r>
          </w:p>
        </w:tc>
        <w:tc>
          <w:tcPr>
            <w:tcW w:w="2540" w:type="dxa"/>
            <w:vAlign w:val="bottom"/>
            <w:tcBorders>
              <w:bottom w:val="single" w:sz="8" w:color="0D64EF"/>
            </w:tcBorders>
            <w:shd w:val="clear" w:color="auto" w:fill="D1D0CF"/>
          </w:tcPr>
          <w:p>
            <w:pPr>
              <w:ind w:left="80"/>
              <w:spacing w:after="0"/>
              <w:rPr>
                <w:sz w:val="20"/>
                <w:szCs w:val="20"/>
                <w:color w:val="auto"/>
              </w:rPr>
            </w:pPr>
            <w:r>
              <w:rPr>
                <w:rFonts w:ascii="Arial" w:cs="Arial" w:eastAsia="Arial" w:hAnsi="Arial"/>
                <w:sz w:val="14"/>
                <w:szCs w:val="14"/>
                <w:b w:val="1"/>
                <w:bCs w:val="1"/>
                <w:color w:val="auto"/>
              </w:rPr>
              <w:t>Highlights</w:t>
            </w:r>
          </w:p>
        </w:tc>
        <w:tc>
          <w:tcPr>
            <w:tcW w:w="0" w:type="dxa"/>
            <w:vAlign w:val="bottom"/>
          </w:tcPr>
          <w:p>
            <w:pPr>
              <w:spacing w:after="0"/>
              <w:rPr>
                <w:sz w:val="1"/>
                <w:szCs w:val="1"/>
                <w:color w:val="auto"/>
              </w:rPr>
            </w:pPr>
          </w:p>
        </w:tc>
      </w:tr>
      <w:tr>
        <w:trPr>
          <w:trHeight w:val="146"/>
        </w:trPr>
        <w:tc>
          <w:tcPr>
            <w:tcW w:w="152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1. Safety and</w:t>
            </w:r>
          </w:p>
        </w:tc>
        <w:tc>
          <w:tcPr>
            <w:tcW w:w="2060" w:type="dxa"/>
            <w:vAlign w:val="bottom"/>
          </w:tcPr>
          <w:p>
            <w:pPr>
              <w:ind w:left="20"/>
              <w:spacing w:after="0" w:line="147" w:lineRule="exact"/>
              <w:rPr>
                <w:sz w:val="20"/>
                <w:szCs w:val="20"/>
                <w:color w:val="auto"/>
              </w:rPr>
            </w:pPr>
            <w:r>
              <w:rPr>
                <w:rFonts w:ascii="Arial" w:cs="Arial" w:eastAsia="Arial" w:hAnsi="Arial"/>
                <w:sz w:val="14"/>
                <w:szCs w:val="14"/>
                <w:color w:val="auto"/>
              </w:rPr>
              <w:t>Personal safety: Achieve top</w:t>
            </w:r>
          </w:p>
        </w:tc>
        <w:tc>
          <w:tcPr>
            <w:tcW w:w="1600" w:type="dxa"/>
            <w:vAlign w:val="bottom"/>
          </w:tcPr>
          <w:p>
            <w:pPr>
              <w:ind w:left="40"/>
              <w:spacing w:after="0" w:line="147" w:lineRule="exact"/>
              <w:rPr>
                <w:sz w:val="20"/>
                <w:szCs w:val="20"/>
                <w:color w:val="auto"/>
              </w:rPr>
            </w:pPr>
            <w:r>
              <w:rPr>
                <w:rFonts w:ascii="Arial" w:cs="Arial" w:eastAsia="Arial" w:hAnsi="Arial"/>
                <w:sz w:val="14"/>
                <w:szCs w:val="14"/>
                <w:color w:val="auto"/>
              </w:rPr>
              <w:t>Serious Injury and</w:t>
            </w:r>
          </w:p>
        </w:tc>
        <w:tc>
          <w:tcPr>
            <w:tcW w:w="1020" w:type="dxa"/>
            <w:vAlign w:val="bottom"/>
          </w:tcPr>
          <w:p>
            <w:pPr>
              <w:jc w:val="center"/>
              <w:ind w:right="28"/>
              <w:spacing w:after="0" w:line="147" w:lineRule="exact"/>
              <w:rPr>
                <w:sz w:val="20"/>
                <w:szCs w:val="20"/>
                <w:color w:val="auto"/>
              </w:rPr>
            </w:pPr>
            <w:r>
              <w:rPr>
                <w:rFonts w:ascii="Arial" w:cs="Arial" w:eastAsia="Arial" w:hAnsi="Arial"/>
                <w:sz w:val="14"/>
                <w:szCs w:val="14"/>
                <w:color w:val="auto"/>
              </w:rPr>
              <w:t>Exceeded</w:t>
            </w:r>
          </w:p>
        </w:tc>
        <w:tc>
          <w:tcPr>
            <w:tcW w:w="820" w:type="dxa"/>
            <w:vAlign w:val="bottom"/>
          </w:tcPr>
          <w:p>
            <w:pPr>
              <w:jc w:val="center"/>
              <w:spacing w:after="0" w:line="147" w:lineRule="exact"/>
              <w:rPr>
                <w:sz w:val="20"/>
                <w:szCs w:val="20"/>
                <w:color w:val="auto"/>
              </w:rPr>
            </w:pPr>
            <w:r>
              <w:rPr>
                <w:rFonts w:ascii="Arial" w:cs="Arial" w:eastAsia="Arial" w:hAnsi="Arial"/>
                <w:sz w:val="14"/>
                <w:szCs w:val="14"/>
                <w:color w:val="auto"/>
              </w:rPr>
              <w:t>2.0</w:t>
            </w: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auto"/>
              </w:rPr>
              <w:t>10%</w:t>
            </w:r>
          </w:p>
        </w:tc>
        <w:tc>
          <w:tcPr>
            <w:tcW w:w="640" w:type="dxa"/>
            <w:vAlign w:val="bottom"/>
          </w:tcPr>
          <w:p>
            <w:pPr>
              <w:jc w:val="center"/>
              <w:ind w:left="8"/>
              <w:spacing w:after="0" w:line="147" w:lineRule="exact"/>
              <w:rPr>
                <w:sz w:val="20"/>
                <w:szCs w:val="20"/>
                <w:color w:val="auto"/>
              </w:rPr>
            </w:pPr>
            <w:r>
              <w:rPr>
                <w:rFonts w:ascii="Arial" w:cs="Arial" w:eastAsia="Arial" w:hAnsi="Arial"/>
                <w:sz w:val="14"/>
                <w:szCs w:val="14"/>
                <w:color w:val="auto"/>
              </w:rPr>
              <w:t>0.20</w:t>
            </w:r>
          </w:p>
        </w:tc>
        <w:tc>
          <w:tcPr>
            <w:tcW w:w="2540" w:type="dxa"/>
            <w:vAlign w:val="bottom"/>
          </w:tcPr>
          <w:p>
            <w:pPr>
              <w:ind w:left="80"/>
              <w:spacing w:after="0" w:line="147" w:lineRule="exact"/>
              <w:rPr>
                <w:sz w:val="20"/>
                <w:szCs w:val="20"/>
                <w:color w:val="auto"/>
              </w:rPr>
            </w:pPr>
            <w:r>
              <w:rPr>
                <w:rFonts w:ascii="Arial" w:cs="Arial" w:eastAsia="Arial" w:hAnsi="Arial"/>
                <w:sz w:val="14"/>
                <w:szCs w:val="14"/>
                <w:color w:val="auto"/>
              </w:rPr>
              <w:t>HSIF rolling rate decreased</w:t>
            </w:r>
          </w:p>
        </w:tc>
        <w:tc>
          <w:tcPr>
            <w:tcW w:w="0" w:type="dxa"/>
            <w:vAlign w:val="bottom"/>
          </w:tcPr>
          <w:p>
            <w:pPr>
              <w:spacing w:after="0"/>
              <w:rPr>
                <w:sz w:val="1"/>
                <w:szCs w:val="1"/>
                <w:color w:val="auto"/>
              </w:rPr>
            </w:pPr>
          </w:p>
        </w:tc>
      </w:tr>
      <w:tr>
        <w:trPr>
          <w:trHeight w:val="157"/>
        </w:trPr>
        <w:tc>
          <w:tcPr>
            <w:tcW w:w="152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Operational</w:t>
            </w:r>
          </w:p>
        </w:tc>
        <w:tc>
          <w:tcPr>
            <w:tcW w:w="2060" w:type="dxa"/>
            <w:vAlign w:val="bottom"/>
          </w:tcPr>
          <w:p>
            <w:pPr>
              <w:ind w:left="20"/>
              <w:spacing w:after="0" w:line="157" w:lineRule="exact"/>
              <w:rPr>
                <w:sz w:val="20"/>
                <w:szCs w:val="20"/>
                <w:color w:val="auto"/>
              </w:rPr>
            </w:pPr>
            <w:r>
              <w:rPr>
                <w:rFonts w:ascii="Arial" w:cs="Arial" w:eastAsia="Arial" w:hAnsi="Arial"/>
                <w:sz w:val="14"/>
                <w:szCs w:val="14"/>
                <w:color w:val="auto"/>
              </w:rPr>
              <w:t>personal safety, making sure</w:t>
            </w:r>
          </w:p>
        </w:tc>
        <w:tc>
          <w:tcPr>
            <w:tcW w:w="1600" w:type="dxa"/>
            <w:vAlign w:val="bottom"/>
          </w:tcPr>
          <w:p>
            <w:pPr>
              <w:ind w:left="40"/>
              <w:spacing w:after="0" w:line="157" w:lineRule="exact"/>
              <w:rPr>
                <w:sz w:val="20"/>
                <w:szCs w:val="20"/>
                <w:color w:val="auto"/>
              </w:rPr>
            </w:pPr>
            <w:r>
              <w:rPr>
                <w:rFonts w:ascii="Arial" w:cs="Arial" w:eastAsia="Arial" w:hAnsi="Arial"/>
                <w:sz w:val="14"/>
                <w:szCs w:val="14"/>
                <w:color w:val="auto"/>
              </w:rPr>
              <w:t>Fatality (SIF) rate of ≤</w:t>
            </w: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40" w:type="dxa"/>
            <w:vAlign w:val="bottom"/>
          </w:tcPr>
          <w:p>
            <w:pPr>
              <w:ind w:left="80"/>
              <w:spacing w:after="0" w:line="157" w:lineRule="exact"/>
              <w:rPr>
                <w:sz w:val="20"/>
                <w:szCs w:val="20"/>
                <w:color w:val="auto"/>
              </w:rPr>
            </w:pPr>
            <w:r>
              <w:rPr>
                <w:rFonts w:ascii="Arial" w:cs="Arial" w:eastAsia="Arial" w:hAnsi="Arial"/>
                <w:sz w:val="14"/>
                <w:szCs w:val="14"/>
                <w:color w:val="auto"/>
              </w:rPr>
              <w:t>(improved) by 64% compared to 2024.</w:t>
            </w:r>
          </w:p>
        </w:tc>
        <w:tc>
          <w:tcPr>
            <w:tcW w:w="0" w:type="dxa"/>
            <w:vAlign w:val="bottom"/>
          </w:tcPr>
          <w:p>
            <w:pPr>
              <w:spacing w:after="0"/>
              <w:rPr>
                <w:sz w:val="1"/>
                <w:szCs w:val="1"/>
                <w:color w:val="auto"/>
              </w:rPr>
            </w:pPr>
          </w:p>
        </w:tc>
      </w:tr>
      <w:tr>
        <w:trPr>
          <w:trHeight w:val="134"/>
        </w:trPr>
        <w:tc>
          <w:tcPr>
            <w:tcW w:w="1520" w:type="dxa"/>
            <w:vAlign w:val="bottom"/>
          </w:tcPr>
          <w:p>
            <w:pPr>
              <w:ind w:left="180"/>
              <w:spacing w:after="0" w:line="135" w:lineRule="exact"/>
              <w:rPr>
                <w:sz w:val="20"/>
                <w:szCs w:val="20"/>
                <w:color w:val="auto"/>
              </w:rPr>
            </w:pPr>
            <w:r>
              <w:rPr>
                <w:rFonts w:ascii="Arial" w:cs="Arial" w:eastAsia="Arial" w:hAnsi="Arial"/>
                <w:sz w:val="14"/>
                <w:szCs w:val="14"/>
                <w:b w:val="1"/>
                <w:bCs w:val="1"/>
                <w:color w:val="auto"/>
              </w:rPr>
              <w:t>Excellence</w:t>
            </w:r>
          </w:p>
        </w:tc>
        <w:tc>
          <w:tcPr>
            <w:tcW w:w="36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everyone goes home safe every 11 per 100M hours</w:t>
            </w: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60" w:type="dxa"/>
            <w:vAlign w:val="bottom"/>
          </w:tcPr>
          <w:p>
            <w:pPr>
              <w:ind w:left="20"/>
              <w:spacing w:after="0"/>
              <w:rPr>
                <w:sz w:val="20"/>
                <w:szCs w:val="20"/>
                <w:color w:val="auto"/>
              </w:rPr>
            </w:pPr>
            <w:r>
              <w:rPr>
                <w:rFonts w:ascii="Arial" w:cs="Arial" w:eastAsia="Arial" w:hAnsi="Arial"/>
                <w:sz w:val="14"/>
                <w:szCs w:val="14"/>
                <w:color w:val="auto"/>
              </w:rPr>
              <w:t>day.</w:t>
            </w: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520" w:type="dxa"/>
            <w:vAlign w:val="bottom"/>
          </w:tcPr>
          <w:p>
            <w:pPr>
              <w:spacing w:after="0"/>
              <w:rPr>
                <w:sz w:val="17"/>
                <w:szCs w:val="17"/>
                <w:color w:val="auto"/>
              </w:rPr>
            </w:pPr>
          </w:p>
        </w:tc>
        <w:tc>
          <w:tcPr>
            <w:tcW w:w="2060" w:type="dxa"/>
            <w:vAlign w:val="bottom"/>
            <w:tcBorders>
              <w:bottom w:val="single" w:sz="8" w:color="B2B2B2"/>
            </w:tcBorders>
          </w:tcPr>
          <w:p>
            <w:pPr>
              <w:spacing w:after="0"/>
              <w:rPr>
                <w:sz w:val="17"/>
                <w:szCs w:val="17"/>
                <w:color w:val="auto"/>
              </w:rPr>
            </w:pPr>
          </w:p>
        </w:tc>
        <w:tc>
          <w:tcPr>
            <w:tcW w:w="1600" w:type="dxa"/>
            <w:vAlign w:val="bottom"/>
            <w:tcBorders>
              <w:bottom w:val="single" w:sz="8" w:color="B2B2B2"/>
            </w:tcBorders>
          </w:tcPr>
          <w:p>
            <w:pPr>
              <w:spacing w:after="0"/>
              <w:rPr>
                <w:sz w:val="17"/>
                <w:szCs w:val="17"/>
                <w:color w:val="auto"/>
              </w:rPr>
            </w:pPr>
          </w:p>
        </w:tc>
        <w:tc>
          <w:tcPr>
            <w:tcW w:w="1020" w:type="dxa"/>
            <w:vAlign w:val="bottom"/>
            <w:tcBorders>
              <w:bottom w:val="single" w:sz="8" w:color="B2B2B2"/>
            </w:tcBorders>
          </w:tcPr>
          <w:p>
            <w:pPr>
              <w:spacing w:after="0"/>
              <w:rPr>
                <w:sz w:val="17"/>
                <w:szCs w:val="17"/>
                <w:color w:val="auto"/>
              </w:rPr>
            </w:pPr>
          </w:p>
        </w:tc>
        <w:tc>
          <w:tcPr>
            <w:tcW w:w="820" w:type="dxa"/>
            <w:vAlign w:val="bottom"/>
            <w:tcBorders>
              <w:bottom w:val="single" w:sz="8" w:color="B2B2B2"/>
            </w:tcBorders>
          </w:tcPr>
          <w:p>
            <w:pPr>
              <w:spacing w:after="0"/>
              <w:rPr>
                <w:sz w:val="17"/>
                <w:szCs w:val="17"/>
                <w:color w:val="auto"/>
              </w:rPr>
            </w:pPr>
          </w:p>
        </w:tc>
        <w:tc>
          <w:tcPr>
            <w:tcW w:w="1040" w:type="dxa"/>
            <w:vAlign w:val="bottom"/>
            <w:tcBorders>
              <w:bottom w:val="single" w:sz="8" w:color="B2B2B2"/>
            </w:tcBorders>
          </w:tcPr>
          <w:p>
            <w:pPr>
              <w:spacing w:after="0"/>
              <w:rPr>
                <w:sz w:val="17"/>
                <w:szCs w:val="17"/>
                <w:color w:val="auto"/>
              </w:rPr>
            </w:pPr>
          </w:p>
        </w:tc>
        <w:tc>
          <w:tcPr>
            <w:tcW w:w="640" w:type="dxa"/>
            <w:vAlign w:val="bottom"/>
            <w:tcBorders>
              <w:bottom w:val="single" w:sz="8" w:color="B2B2B2"/>
            </w:tcBorders>
          </w:tcPr>
          <w:p>
            <w:pPr>
              <w:spacing w:after="0"/>
              <w:rPr>
                <w:sz w:val="17"/>
                <w:szCs w:val="17"/>
                <w:color w:val="auto"/>
              </w:rPr>
            </w:pPr>
          </w:p>
        </w:tc>
        <w:tc>
          <w:tcPr>
            <w:tcW w:w="254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12"/>
                <w:szCs w:val="12"/>
                <w:color w:val="auto"/>
              </w:rPr>
            </w:pPr>
          </w:p>
        </w:tc>
        <w:tc>
          <w:tcPr>
            <w:tcW w:w="2060" w:type="dxa"/>
            <w:vAlign w:val="bottom"/>
          </w:tcPr>
          <w:p>
            <w:pPr>
              <w:ind w:left="20"/>
              <w:spacing w:after="0" w:line="145" w:lineRule="exact"/>
              <w:rPr>
                <w:sz w:val="20"/>
                <w:szCs w:val="20"/>
                <w:color w:val="auto"/>
              </w:rPr>
            </w:pPr>
            <w:r>
              <w:rPr>
                <w:rFonts w:ascii="Arial" w:cs="Arial" w:eastAsia="Arial" w:hAnsi="Arial"/>
                <w:sz w:val="14"/>
                <w:szCs w:val="14"/>
                <w:color w:val="auto"/>
              </w:rPr>
              <w:t>Process safety: Maintain safe,</w:t>
            </w:r>
          </w:p>
        </w:tc>
        <w:tc>
          <w:tcPr>
            <w:tcW w:w="1600" w:type="dxa"/>
            <w:vAlign w:val="bottom"/>
          </w:tcPr>
          <w:p>
            <w:pPr>
              <w:ind w:left="40"/>
              <w:spacing w:after="0" w:line="145" w:lineRule="exact"/>
              <w:rPr>
                <w:sz w:val="20"/>
                <w:szCs w:val="20"/>
                <w:color w:val="auto"/>
              </w:rPr>
            </w:pPr>
            <w:r>
              <w:rPr>
                <w:rFonts w:ascii="Arial" w:cs="Arial" w:eastAsia="Arial" w:hAnsi="Arial"/>
                <w:sz w:val="14"/>
                <w:szCs w:val="14"/>
                <w:color w:val="auto"/>
              </w:rPr>
              <w:t>Number of major,</w:t>
            </w:r>
          </w:p>
        </w:tc>
        <w:tc>
          <w:tcPr>
            <w:tcW w:w="102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Exceeded</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rPr>
              <w:t>2.0</w:t>
            </w: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rPr>
              <w:t>10%</w:t>
            </w:r>
          </w:p>
        </w:tc>
        <w:tc>
          <w:tcPr>
            <w:tcW w:w="640" w:type="dxa"/>
            <w:vAlign w:val="bottom"/>
          </w:tcPr>
          <w:p>
            <w:pPr>
              <w:jc w:val="center"/>
              <w:ind w:left="8"/>
              <w:spacing w:after="0" w:line="145" w:lineRule="exact"/>
              <w:rPr>
                <w:sz w:val="20"/>
                <w:szCs w:val="20"/>
                <w:color w:val="auto"/>
              </w:rPr>
            </w:pPr>
            <w:r>
              <w:rPr>
                <w:rFonts w:ascii="Arial" w:cs="Arial" w:eastAsia="Arial" w:hAnsi="Arial"/>
                <w:sz w:val="14"/>
                <w:szCs w:val="14"/>
                <w:color w:val="auto"/>
              </w:rPr>
              <w:t>0.20</w:t>
            </w:r>
          </w:p>
        </w:tc>
        <w:tc>
          <w:tcPr>
            <w:tcW w:w="2540" w:type="dxa"/>
            <w:vAlign w:val="bottom"/>
          </w:tcPr>
          <w:p>
            <w:pPr>
              <w:ind w:left="80"/>
              <w:spacing w:after="0" w:line="145" w:lineRule="exact"/>
              <w:rPr>
                <w:sz w:val="20"/>
                <w:szCs w:val="20"/>
                <w:color w:val="auto"/>
              </w:rPr>
            </w:pPr>
            <w:r>
              <w:rPr>
                <w:rFonts w:ascii="Arial" w:cs="Arial" w:eastAsia="Arial" w:hAnsi="Arial"/>
                <w:sz w:val="14"/>
                <w:szCs w:val="14"/>
                <w:color w:val="auto"/>
              </w:rPr>
              <w:t>Zero events in 2025 versus one event</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060" w:type="dxa"/>
            <w:vAlign w:val="bottom"/>
          </w:tcPr>
          <w:p>
            <w:pPr>
              <w:ind w:left="20"/>
              <w:spacing w:after="0" w:line="148" w:lineRule="exact"/>
              <w:rPr>
                <w:sz w:val="20"/>
                <w:szCs w:val="20"/>
                <w:color w:val="auto"/>
              </w:rPr>
            </w:pPr>
            <w:r>
              <w:rPr>
                <w:rFonts w:ascii="Arial" w:cs="Arial" w:eastAsia="Arial" w:hAnsi="Arial"/>
                <w:sz w:val="14"/>
                <w:szCs w:val="14"/>
                <w:color w:val="auto"/>
              </w:rPr>
              <w:t>reliable and efficient operations</w:t>
            </w:r>
          </w:p>
        </w:tc>
        <w:tc>
          <w:tcPr>
            <w:tcW w:w="1600" w:type="dxa"/>
            <w:vAlign w:val="bottom"/>
          </w:tcPr>
          <w:p>
            <w:pPr>
              <w:ind w:left="40"/>
              <w:spacing w:after="0" w:line="148" w:lineRule="exact"/>
              <w:rPr>
                <w:sz w:val="20"/>
                <w:szCs w:val="20"/>
                <w:color w:val="auto"/>
              </w:rPr>
            </w:pPr>
            <w:r>
              <w:rPr>
                <w:rFonts w:ascii="Arial" w:cs="Arial" w:eastAsia="Arial" w:hAnsi="Arial"/>
                <w:sz w:val="14"/>
                <w:szCs w:val="14"/>
                <w:color w:val="auto"/>
              </w:rPr>
              <w:t>critical and catastrophic</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40" w:type="dxa"/>
            <w:vAlign w:val="bottom"/>
          </w:tcPr>
          <w:p>
            <w:pPr>
              <w:ind w:left="80"/>
              <w:spacing w:after="0" w:line="148" w:lineRule="exact"/>
              <w:rPr>
                <w:sz w:val="20"/>
                <w:szCs w:val="20"/>
                <w:color w:val="auto"/>
              </w:rPr>
            </w:pPr>
            <w:r>
              <w:rPr>
                <w:rFonts w:ascii="Arial" w:cs="Arial" w:eastAsia="Arial" w:hAnsi="Arial"/>
                <w:sz w:val="14"/>
                <w:szCs w:val="14"/>
                <w:color w:val="auto"/>
              </w:rPr>
              <w:t>in 2024.</w:t>
            </w: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2060" w:type="dxa"/>
            <w:vAlign w:val="bottom"/>
          </w:tcPr>
          <w:p>
            <w:pPr>
              <w:ind w:left="20"/>
              <w:spacing w:after="0" w:line="144" w:lineRule="exact"/>
              <w:rPr>
                <w:sz w:val="20"/>
                <w:szCs w:val="20"/>
                <w:color w:val="auto"/>
              </w:rPr>
            </w:pPr>
            <w:r>
              <w:rPr>
                <w:rFonts w:ascii="Arial" w:cs="Arial" w:eastAsia="Arial" w:hAnsi="Arial"/>
                <w:sz w:val="14"/>
                <w:szCs w:val="14"/>
                <w:color w:val="auto"/>
              </w:rPr>
              <w:t>through robust asset integrity.</w:t>
            </w:r>
          </w:p>
        </w:tc>
        <w:tc>
          <w:tcPr>
            <w:tcW w:w="1600" w:type="dxa"/>
            <w:vAlign w:val="bottom"/>
          </w:tcPr>
          <w:p>
            <w:pPr>
              <w:ind w:left="40"/>
              <w:spacing w:after="0" w:line="144" w:lineRule="exact"/>
              <w:rPr>
                <w:sz w:val="20"/>
                <w:szCs w:val="20"/>
                <w:color w:val="auto"/>
              </w:rPr>
            </w:pPr>
            <w:r>
              <w:rPr>
                <w:rFonts w:ascii="Arial" w:cs="Arial" w:eastAsia="Arial" w:hAnsi="Arial"/>
                <w:sz w:val="14"/>
                <w:szCs w:val="14"/>
                <w:color w:val="auto"/>
              </w:rPr>
              <w:t>process safety events</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 2</w:t>
            </w: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520" w:type="dxa"/>
            <w:vAlign w:val="bottom"/>
          </w:tcPr>
          <w:p>
            <w:pPr>
              <w:spacing w:after="0"/>
              <w:rPr>
                <w:sz w:val="17"/>
                <w:szCs w:val="17"/>
                <w:color w:val="auto"/>
              </w:rPr>
            </w:pPr>
          </w:p>
        </w:tc>
        <w:tc>
          <w:tcPr>
            <w:tcW w:w="2060" w:type="dxa"/>
            <w:vAlign w:val="bottom"/>
            <w:tcBorders>
              <w:bottom w:val="single" w:sz="8" w:color="B2B2B2"/>
            </w:tcBorders>
          </w:tcPr>
          <w:p>
            <w:pPr>
              <w:spacing w:after="0"/>
              <w:rPr>
                <w:sz w:val="17"/>
                <w:szCs w:val="17"/>
                <w:color w:val="auto"/>
              </w:rPr>
            </w:pPr>
          </w:p>
        </w:tc>
        <w:tc>
          <w:tcPr>
            <w:tcW w:w="1600" w:type="dxa"/>
            <w:vAlign w:val="bottom"/>
            <w:tcBorders>
              <w:bottom w:val="single" w:sz="8" w:color="B2B2B2"/>
            </w:tcBorders>
          </w:tcPr>
          <w:p>
            <w:pPr>
              <w:spacing w:after="0"/>
              <w:rPr>
                <w:sz w:val="17"/>
                <w:szCs w:val="17"/>
                <w:color w:val="auto"/>
              </w:rPr>
            </w:pPr>
          </w:p>
        </w:tc>
        <w:tc>
          <w:tcPr>
            <w:tcW w:w="1020" w:type="dxa"/>
            <w:vAlign w:val="bottom"/>
            <w:tcBorders>
              <w:bottom w:val="single" w:sz="8" w:color="B2B2B2"/>
            </w:tcBorders>
          </w:tcPr>
          <w:p>
            <w:pPr>
              <w:spacing w:after="0"/>
              <w:rPr>
                <w:sz w:val="17"/>
                <w:szCs w:val="17"/>
                <w:color w:val="auto"/>
              </w:rPr>
            </w:pPr>
          </w:p>
        </w:tc>
        <w:tc>
          <w:tcPr>
            <w:tcW w:w="820" w:type="dxa"/>
            <w:vAlign w:val="bottom"/>
            <w:tcBorders>
              <w:bottom w:val="single" w:sz="8" w:color="B2B2B2"/>
            </w:tcBorders>
          </w:tcPr>
          <w:p>
            <w:pPr>
              <w:spacing w:after="0"/>
              <w:rPr>
                <w:sz w:val="17"/>
                <w:szCs w:val="17"/>
                <w:color w:val="auto"/>
              </w:rPr>
            </w:pPr>
          </w:p>
        </w:tc>
        <w:tc>
          <w:tcPr>
            <w:tcW w:w="1040" w:type="dxa"/>
            <w:vAlign w:val="bottom"/>
            <w:tcBorders>
              <w:bottom w:val="single" w:sz="8" w:color="B2B2B2"/>
            </w:tcBorders>
          </w:tcPr>
          <w:p>
            <w:pPr>
              <w:spacing w:after="0"/>
              <w:rPr>
                <w:sz w:val="17"/>
                <w:szCs w:val="17"/>
                <w:color w:val="auto"/>
              </w:rPr>
            </w:pPr>
          </w:p>
        </w:tc>
        <w:tc>
          <w:tcPr>
            <w:tcW w:w="640" w:type="dxa"/>
            <w:vAlign w:val="bottom"/>
            <w:tcBorders>
              <w:bottom w:val="single" w:sz="8" w:color="B2B2B2"/>
            </w:tcBorders>
          </w:tcPr>
          <w:p>
            <w:pPr>
              <w:spacing w:after="0"/>
              <w:rPr>
                <w:sz w:val="17"/>
                <w:szCs w:val="17"/>
                <w:color w:val="auto"/>
              </w:rPr>
            </w:pPr>
          </w:p>
        </w:tc>
        <w:tc>
          <w:tcPr>
            <w:tcW w:w="254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12"/>
                <w:szCs w:val="12"/>
                <w:color w:val="auto"/>
              </w:rPr>
            </w:pPr>
          </w:p>
        </w:tc>
        <w:tc>
          <w:tcPr>
            <w:tcW w:w="2060" w:type="dxa"/>
            <w:vAlign w:val="bottom"/>
          </w:tcPr>
          <w:p>
            <w:pPr>
              <w:ind w:left="20"/>
              <w:spacing w:after="0" w:line="145" w:lineRule="exact"/>
              <w:rPr>
                <w:sz w:val="20"/>
                <w:szCs w:val="20"/>
                <w:color w:val="auto"/>
              </w:rPr>
            </w:pPr>
            <w:r>
              <w:rPr>
                <w:rFonts w:ascii="Arial" w:cs="Arial" w:eastAsia="Arial" w:hAnsi="Arial"/>
                <w:sz w:val="14"/>
                <w:szCs w:val="14"/>
                <w:color w:val="auto"/>
              </w:rPr>
              <w:t>Reliable operations: Optimize</w:t>
            </w:r>
          </w:p>
        </w:tc>
        <w:tc>
          <w:tcPr>
            <w:tcW w:w="1600" w:type="dxa"/>
            <w:vAlign w:val="bottom"/>
          </w:tcPr>
          <w:p>
            <w:pPr>
              <w:ind w:left="40"/>
              <w:spacing w:after="0" w:line="145" w:lineRule="exact"/>
              <w:rPr>
                <w:sz w:val="20"/>
                <w:szCs w:val="20"/>
                <w:color w:val="auto"/>
              </w:rPr>
            </w:pPr>
            <w:r>
              <w:rPr>
                <w:rFonts w:ascii="Arial" w:cs="Arial" w:eastAsia="Arial" w:hAnsi="Arial"/>
                <w:sz w:val="14"/>
                <w:szCs w:val="14"/>
                <w:color w:val="auto"/>
              </w:rPr>
              <w:t>Percentage of asset</w:t>
            </w:r>
          </w:p>
        </w:tc>
        <w:tc>
          <w:tcPr>
            <w:tcW w:w="102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Exceeded</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rPr>
              <w:t>1.7</w:t>
            </w: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rPr>
              <w:t>10%</w:t>
            </w:r>
          </w:p>
        </w:tc>
        <w:tc>
          <w:tcPr>
            <w:tcW w:w="640" w:type="dxa"/>
            <w:vAlign w:val="bottom"/>
          </w:tcPr>
          <w:p>
            <w:pPr>
              <w:jc w:val="center"/>
              <w:ind w:left="8"/>
              <w:spacing w:after="0" w:line="145" w:lineRule="exact"/>
              <w:rPr>
                <w:sz w:val="20"/>
                <w:szCs w:val="20"/>
                <w:color w:val="auto"/>
              </w:rPr>
            </w:pPr>
            <w:r>
              <w:rPr>
                <w:rFonts w:ascii="Arial" w:cs="Arial" w:eastAsia="Arial" w:hAnsi="Arial"/>
                <w:sz w:val="14"/>
                <w:szCs w:val="14"/>
                <w:color w:val="auto"/>
              </w:rPr>
              <w:t>0.17</w:t>
            </w:r>
          </w:p>
        </w:tc>
        <w:tc>
          <w:tcPr>
            <w:tcW w:w="2540" w:type="dxa"/>
            <w:vAlign w:val="bottom"/>
          </w:tcPr>
          <w:p>
            <w:pPr>
              <w:ind w:left="80"/>
              <w:spacing w:after="0" w:line="145" w:lineRule="exact"/>
              <w:rPr>
                <w:sz w:val="20"/>
                <w:szCs w:val="20"/>
                <w:color w:val="auto"/>
              </w:rPr>
            </w:pPr>
            <w:r>
              <w:rPr>
                <w:rFonts w:ascii="Arial" w:cs="Arial" w:eastAsia="Arial" w:hAnsi="Arial"/>
                <w:sz w:val="14"/>
                <w:szCs w:val="14"/>
                <w:color w:val="auto"/>
              </w:rPr>
              <w:t>Gas pipeline utilization increased</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060" w:type="dxa"/>
            <w:vAlign w:val="bottom"/>
          </w:tcPr>
          <w:p>
            <w:pPr>
              <w:ind w:left="20"/>
              <w:spacing w:after="0" w:line="148" w:lineRule="exact"/>
              <w:rPr>
                <w:sz w:val="20"/>
                <w:szCs w:val="20"/>
                <w:color w:val="auto"/>
              </w:rPr>
            </w:pPr>
            <w:r>
              <w:rPr>
                <w:rFonts w:ascii="Arial" w:cs="Arial" w:eastAsia="Arial" w:hAnsi="Arial"/>
                <w:sz w:val="14"/>
                <w:szCs w:val="14"/>
                <w:color w:val="auto"/>
              </w:rPr>
              <w:t>our operations.</w:t>
            </w:r>
          </w:p>
        </w:tc>
        <w:tc>
          <w:tcPr>
            <w:tcW w:w="1600" w:type="dxa"/>
            <w:vAlign w:val="bottom"/>
          </w:tcPr>
          <w:p>
            <w:pPr>
              <w:ind w:left="40"/>
              <w:spacing w:after="0" w:line="148" w:lineRule="exact"/>
              <w:rPr>
                <w:sz w:val="20"/>
                <w:szCs w:val="20"/>
                <w:color w:val="auto"/>
              </w:rPr>
            </w:pPr>
            <w:r>
              <w:rPr>
                <w:rFonts w:ascii="Arial" w:cs="Arial" w:eastAsia="Arial" w:hAnsi="Arial"/>
                <w:sz w:val="14"/>
                <w:szCs w:val="14"/>
                <w:color w:val="auto"/>
              </w:rPr>
              <w:t>availability</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40" w:type="dxa"/>
            <w:vAlign w:val="bottom"/>
          </w:tcPr>
          <w:p>
            <w:pPr>
              <w:ind w:left="80"/>
              <w:spacing w:after="0" w:line="148" w:lineRule="exact"/>
              <w:rPr>
                <w:sz w:val="20"/>
                <w:szCs w:val="20"/>
                <w:color w:val="auto"/>
              </w:rPr>
            </w:pPr>
            <w:r>
              <w:rPr>
                <w:rFonts w:ascii="Arial" w:cs="Arial" w:eastAsia="Arial" w:hAnsi="Arial"/>
                <w:sz w:val="14"/>
                <w:szCs w:val="14"/>
                <w:color w:val="auto"/>
              </w:rPr>
              <w:t>0.9% compared to 2024.</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&gt; 97.1%</w:t>
            </w: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520" w:type="dxa"/>
            <w:vAlign w:val="bottom"/>
          </w:tcPr>
          <w:p>
            <w:pPr>
              <w:spacing w:after="0"/>
              <w:rPr>
                <w:sz w:val="6"/>
                <w:szCs w:val="6"/>
                <w:color w:val="auto"/>
              </w:rPr>
            </w:pPr>
          </w:p>
        </w:tc>
        <w:tc>
          <w:tcPr>
            <w:tcW w:w="2060" w:type="dxa"/>
            <w:vAlign w:val="bottom"/>
            <w:tcBorders>
              <w:bottom w:val="single" w:sz="8" w:color="B2B2B2"/>
            </w:tcBorders>
          </w:tcPr>
          <w:p>
            <w:pPr>
              <w:spacing w:after="0"/>
              <w:rPr>
                <w:sz w:val="6"/>
                <w:szCs w:val="6"/>
                <w:color w:val="auto"/>
              </w:rPr>
            </w:pPr>
          </w:p>
        </w:tc>
        <w:tc>
          <w:tcPr>
            <w:tcW w:w="1600" w:type="dxa"/>
            <w:vAlign w:val="bottom"/>
            <w:tcBorders>
              <w:bottom w:val="single" w:sz="8" w:color="B2B2B2"/>
            </w:tcBorders>
          </w:tcPr>
          <w:p>
            <w:pPr>
              <w:spacing w:after="0"/>
              <w:rPr>
                <w:sz w:val="6"/>
                <w:szCs w:val="6"/>
                <w:color w:val="auto"/>
              </w:rPr>
            </w:pPr>
          </w:p>
        </w:tc>
        <w:tc>
          <w:tcPr>
            <w:tcW w:w="1020" w:type="dxa"/>
            <w:vAlign w:val="bottom"/>
            <w:tcBorders>
              <w:bottom w:val="single" w:sz="8" w:color="B2B2B2"/>
            </w:tcBorders>
          </w:tcPr>
          <w:p>
            <w:pPr>
              <w:spacing w:after="0"/>
              <w:rPr>
                <w:sz w:val="6"/>
                <w:szCs w:val="6"/>
                <w:color w:val="auto"/>
              </w:rPr>
            </w:pPr>
          </w:p>
        </w:tc>
        <w:tc>
          <w:tcPr>
            <w:tcW w:w="820" w:type="dxa"/>
            <w:vAlign w:val="bottom"/>
            <w:tcBorders>
              <w:bottom w:val="single" w:sz="8" w:color="B2B2B2"/>
            </w:tcBorders>
          </w:tcPr>
          <w:p>
            <w:pPr>
              <w:spacing w:after="0"/>
              <w:rPr>
                <w:sz w:val="6"/>
                <w:szCs w:val="6"/>
                <w:color w:val="auto"/>
              </w:rPr>
            </w:pPr>
          </w:p>
        </w:tc>
        <w:tc>
          <w:tcPr>
            <w:tcW w:w="1040" w:type="dxa"/>
            <w:vAlign w:val="bottom"/>
            <w:tcBorders>
              <w:bottom w:val="single" w:sz="8" w:color="B2B2B2"/>
            </w:tcBorders>
          </w:tcPr>
          <w:p>
            <w:pPr>
              <w:spacing w:after="0"/>
              <w:rPr>
                <w:sz w:val="6"/>
                <w:szCs w:val="6"/>
                <w:color w:val="auto"/>
              </w:rPr>
            </w:pPr>
          </w:p>
        </w:tc>
        <w:tc>
          <w:tcPr>
            <w:tcW w:w="640" w:type="dxa"/>
            <w:vAlign w:val="bottom"/>
            <w:tcBorders>
              <w:bottom w:val="single" w:sz="8" w:color="B2B2B2"/>
            </w:tcBorders>
          </w:tcPr>
          <w:p>
            <w:pPr>
              <w:spacing w:after="0"/>
              <w:rPr>
                <w:sz w:val="6"/>
                <w:szCs w:val="6"/>
                <w:color w:val="auto"/>
              </w:rPr>
            </w:pPr>
          </w:p>
        </w:tc>
        <w:tc>
          <w:tcPr>
            <w:tcW w:w="254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12"/>
                <w:szCs w:val="12"/>
                <w:color w:val="auto"/>
              </w:rPr>
            </w:pPr>
          </w:p>
        </w:tc>
        <w:tc>
          <w:tcPr>
            <w:tcW w:w="2060" w:type="dxa"/>
            <w:vAlign w:val="bottom"/>
          </w:tcPr>
          <w:p>
            <w:pPr>
              <w:ind w:left="20"/>
              <w:spacing w:after="0" w:line="145" w:lineRule="exact"/>
              <w:rPr>
                <w:sz w:val="20"/>
                <w:szCs w:val="20"/>
                <w:color w:val="auto"/>
              </w:rPr>
            </w:pPr>
            <w:r>
              <w:rPr>
                <w:rFonts w:ascii="Arial" w:cs="Arial" w:eastAsia="Arial" w:hAnsi="Arial"/>
                <w:sz w:val="14"/>
                <w:szCs w:val="14"/>
                <w:color w:val="auto"/>
              </w:rPr>
              <w:t>Project execution: Execute our</w:t>
            </w:r>
          </w:p>
        </w:tc>
        <w:tc>
          <w:tcPr>
            <w:tcW w:w="1600" w:type="dxa"/>
            <w:vAlign w:val="bottom"/>
          </w:tcPr>
          <w:p>
            <w:pPr>
              <w:ind w:left="40"/>
              <w:spacing w:after="0" w:line="145" w:lineRule="exact"/>
              <w:rPr>
                <w:sz w:val="20"/>
                <w:szCs w:val="20"/>
                <w:color w:val="auto"/>
              </w:rPr>
            </w:pPr>
            <w:r>
              <w:rPr>
                <w:rFonts w:ascii="Arial" w:cs="Arial" w:eastAsia="Arial" w:hAnsi="Arial"/>
                <w:sz w:val="14"/>
                <w:szCs w:val="14"/>
                <w:color w:val="auto"/>
              </w:rPr>
              <w:t>Various targets</w:t>
            </w:r>
          </w:p>
        </w:tc>
        <w:tc>
          <w:tcPr>
            <w:tcW w:w="102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Exceeded</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rPr>
              <w:t>1.3</w:t>
            </w: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rPr>
              <w:t>20%</w:t>
            </w:r>
          </w:p>
        </w:tc>
        <w:tc>
          <w:tcPr>
            <w:tcW w:w="640" w:type="dxa"/>
            <w:vAlign w:val="bottom"/>
          </w:tcPr>
          <w:p>
            <w:pPr>
              <w:jc w:val="center"/>
              <w:ind w:left="8"/>
              <w:spacing w:after="0" w:line="145" w:lineRule="exact"/>
              <w:rPr>
                <w:sz w:val="20"/>
                <w:szCs w:val="20"/>
                <w:color w:val="auto"/>
              </w:rPr>
            </w:pPr>
            <w:r>
              <w:rPr>
                <w:rFonts w:ascii="Arial" w:cs="Arial" w:eastAsia="Arial" w:hAnsi="Arial"/>
                <w:sz w:val="14"/>
                <w:szCs w:val="14"/>
                <w:color w:val="auto"/>
              </w:rPr>
              <w:t>0.26</w:t>
            </w:r>
          </w:p>
        </w:tc>
        <w:tc>
          <w:tcPr>
            <w:tcW w:w="2540" w:type="dxa"/>
            <w:vAlign w:val="bottom"/>
          </w:tcPr>
          <w:p>
            <w:pPr>
              <w:ind w:left="80"/>
              <w:spacing w:after="0" w:line="145" w:lineRule="exact"/>
              <w:rPr>
                <w:sz w:val="20"/>
                <w:szCs w:val="20"/>
                <w:color w:val="auto"/>
              </w:rPr>
            </w:pPr>
            <w:r>
              <w:rPr>
                <w:rFonts w:ascii="Arial" w:cs="Arial" w:eastAsia="Arial" w:hAnsi="Arial"/>
                <w:sz w:val="14"/>
                <w:szCs w:val="14"/>
                <w:color w:val="auto"/>
              </w:rPr>
              <w:t>Largest projects, including Southeast</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060" w:type="dxa"/>
            <w:vAlign w:val="bottom"/>
          </w:tcPr>
          <w:p>
            <w:pPr>
              <w:ind w:left="20"/>
              <w:spacing w:after="0" w:line="148" w:lineRule="exact"/>
              <w:rPr>
                <w:sz w:val="20"/>
                <w:szCs w:val="20"/>
                <w:color w:val="auto"/>
              </w:rPr>
            </w:pPr>
            <w:r>
              <w:rPr>
                <w:rFonts w:ascii="Arial" w:cs="Arial" w:eastAsia="Arial" w:hAnsi="Arial"/>
                <w:sz w:val="14"/>
                <w:szCs w:val="14"/>
                <w:color w:val="auto"/>
              </w:rPr>
              <w:t>capital program, delivering our</w:t>
            </w: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40" w:type="dxa"/>
            <w:vAlign w:val="bottom"/>
          </w:tcPr>
          <w:p>
            <w:pPr>
              <w:ind w:left="80"/>
              <w:spacing w:after="0" w:line="148" w:lineRule="exact"/>
              <w:rPr>
                <w:sz w:val="20"/>
                <w:szCs w:val="20"/>
                <w:color w:val="auto"/>
              </w:rPr>
            </w:pPr>
            <w:r>
              <w:rPr>
                <w:rFonts w:ascii="Arial" w:cs="Arial" w:eastAsia="Arial" w:hAnsi="Arial"/>
                <w:sz w:val="14"/>
                <w:szCs w:val="14"/>
                <w:color w:val="auto"/>
              </w:rPr>
              <w:t>Gateway Pipeline, 14% under budget</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60" w:type="dxa"/>
            <w:vAlign w:val="bottom"/>
          </w:tcPr>
          <w:p>
            <w:pPr>
              <w:ind w:left="20"/>
              <w:spacing w:after="0"/>
              <w:rPr>
                <w:sz w:val="20"/>
                <w:szCs w:val="20"/>
                <w:color w:val="auto"/>
              </w:rPr>
            </w:pPr>
            <w:r>
              <w:rPr>
                <w:rFonts w:ascii="Arial" w:cs="Arial" w:eastAsia="Arial" w:hAnsi="Arial"/>
                <w:sz w:val="14"/>
                <w:szCs w:val="14"/>
                <w:color w:val="auto"/>
              </w:rPr>
              <w:t>largest projects safely.</w:t>
            </w: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ind w:left="80"/>
              <w:spacing w:after="0"/>
              <w:rPr>
                <w:sz w:val="20"/>
                <w:szCs w:val="20"/>
                <w:color w:val="auto"/>
              </w:rPr>
            </w:pPr>
            <w:r>
              <w:rPr>
                <w:rFonts w:ascii="Arial" w:cs="Arial" w:eastAsia="Arial" w:hAnsi="Arial"/>
                <w:sz w:val="14"/>
                <w:szCs w:val="14"/>
                <w:color w:val="auto"/>
              </w:rPr>
              <w:t>and ahead of schedule.</w:t>
            </w:r>
          </w:p>
        </w:tc>
        <w:tc>
          <w:tcPr>
            <w:tcW w:w="0" w:type="dxa"/>
            <w:vAlign w:val="bottom"/>
          </w:tcPr>
          <w:p>
            <w:pPr>
              <w:spacing w:after="0"/>
              <w:rPr>
                <w:sz w:val="1"/>
                <w:szCs w:val="1"/>
                <w:color w:val="auto"/>
              </w:rPr>
            </w:pPr>
          </w:p>
        </w:tc>
      </w:tr>
      <w:tr>
        <w:trPr>
          <w:trHeight w:val="196"/>
        </w:trPr>
        <w:tc>
          <w:tcPr>
            <w:tcW w:w="15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 Financial results</w:t>
            </w:r>
          </w:p>
        </w:tc>
        <w:tc>
          <w:tcPr>
            <w:tcW w:w="2060" w:type="dxa"/>
            <w:vAlign w:val="bottom"/>
            <w:tcBorders>
              <w:bottom w:val="single" w:sz="8" w:color="B2B2B2"/>
            </w:tcBorders>
          </w:tcPr>
          <w:p>
            <w:pPr>
              <w:spacing w:after="0"/>
              <w:rPr>
                <w:sz w:val="17"/>
                <w:szCs w:val="17"/>
                <w:color w:val="auto"/>
              </w:rPr>
            </w:pPr>
          </w:p>
        </w:tc>
        <w:tc>
          <w:tcPr>
            <w:tcW w:w="1600" w:type="dxa"/>
            <w:vAlign w:val="bottom"/>
            <w:tcBorders>
              <w:bottom w:val="single" w:sz="8" w:color="B2B2B2"/>
            </w:tcBorders>
          </w:tcPr>
          <w:p>
            <w:pPr>
              <w:spacing w:after="0"/>
              <w:rPr>
                <w:sz w:val="17"/>
                <w:szCs w:val="17"/>
                <w:color w:val="auto"/>
              </w:rPr>
            </w:pPr>
          </w:p>
        </w:tc>
        <w:tc>
          <w:tcPr>
            <w:tcW w:w="1020" w:type="dxa"/>
            <w:vAlign w:val="bottom"/>
            <w:tcBorders>
              <w:bottom w:val="single" w:sz="8" w:color="B2B2B2"/>
            </w:tcBorders>
          </w:tcPr>
          <w:p>
            <w:pPr>
              <w:spacing w:after="0"/>
              <w:rPr>
                <w:sz w:val="17"/>
                <w:szCs w:val="17"/>
                <w:color w:val="auto"/>
              </w:rPr>
            </w:pPr>
          </w:p>
        </w:tc>
        <w:tc>
          <w:tcPr>
            <w:tcW w:w="820" w:type="dxa"/>
            <w:vAlign w:val="bottom"/>
            <w:tcBorders>
              <w:bottom w:val="single" w:sz="8" w:color="B2B2B2"/>
            </w:tcBorders>
          </w:tcPr>
          <w:p>
            <w:pPr>
              <w:spacing w:after="0"/>
              <w:rPr>
                <w:sz w:val="17"/>
                <w:szCs w:val="17"/>
                <w:color w:val="auto"/>
              </w:rPr>
            </w:pPr>
          </w:p>
        </w:tc>
        <w:tc>
          <w:tcPr>
            <w:tcW w:w="1040" w:type="dxa"/>
            <w:vAlign w:val="bottom"/>
            <w:tcBorders>
              <w:bottom w:val="single" w:sz="8" w:color="B2B2B2"/>
            </w:tcBorders>
          </w:tcPr>
          <w:p>
            <w:pPr>
              <w:spacing w:after="0"/>
              <w:rPr>
                <w:sz w:val="17"/>
                <w:szCs w:val="17"/>
                <w:color w:val="auto"/>
              </w:rPr>
            </w:pPr>
          </w:p>
        </w:tc>
        <w:tc>
          <w:tcPr>
            <w:tcW w:w="640" w:type="dxa"/>
            <w:vAlign w:val="bottom"/>
            <w:tcBorders>
              <w:bottom w:val="single" w:sz="8" w:color="B2B2B2"/>
            </w:tcBorders>
          </w:tcPr>
          <w:p>
            <w:pPr>
              <w:spacing w:after="0"/>
              <w:rPr>
                <w:sz w:val="17"/>
                <w:szCs w:val="17"/>
                <w:color w:val="auto"/>
              </w:rPr>
            </w:pPr>
          </w:p>
        </w:tc>
        <w:tc>
          <w:tcPr>
            <w:tcW w:w="254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520" w:type="dxa"/>
            <w:vAlign w:val="bottom"/>
            <w:vMerge w:val="continue"/>
          </w:tcPr>
          <w:p>
            <w:pPr>
              <w:spacing w:after="0"/>
              <w:rPr>
                <w:sz w:val="12"/>
                <w:szCs w:val="12"/>
                <w:color w:val="auto"/>
              </w:rPr>
            </w:pPr>
          </w:p>
        </w:tc>
        <w:tc>
          <w:tcPr>
            <w:tcW w:w="2060" w:type="dxa"/>
            <w:vAlign w:val="bottom"/>
          </w:tcPr>
          <w:p>
            <w:pPr>
              <w:ind w:left="20"/>
              <w:spacing w:after="0" w:line="145" w:lineRule="exact"/>
              <w:rPr>
                <w:sz w:val="20"/>
                <w:szCs w:val="20"/>
                <w:color w:val="auto"/>
              </w:rPr>
            </w:pPr>
            <w:r>
              <w:rPr>
                <w:rFonts w:ascii="Arial" w:cs="Arial" w:eastAsia="Arial" w:hAnsi="Arial"/>
                <w:sz w:val="14"/>
                <w:szCs w:val="14"/>
                <w:color w:val="auto"/>
              </w:rPr>
              <w:t>Financial performance:</w:t>
            </w:r>
          </w:p>
        </w:tc>
        <w:tc>
          <w:tcPr>
            <w:tcW w:w="1600" w:type="dxa"/>
            <w:vAlign w:val="bottom"/>
          </w:tcPr>
          <w:p>
            <w:pPr>
              <w:ind w:left="40"/>
              <w:spacing w:after="0" w:line="145" w:lineRule="exact"/>
              <w:rPr>
                <w:sz w:val="20"/>
                <w:szCs w:val="20"/>
                <w:color w:val="auto"/>
              </w:rPr>
            </w:pPr>
            <w:r>
              <w:rPr>
                <w:rFonts w:ascii="Arial" w:cs="Arial" w:eastAsia="Arial" w:hAnsi="Arial"/>
                <w:sz w:val="14"/>
                <w:szCs w:val="14"/>
                <w:color w:val="auto"/>
              </w:rPr>
              <w:t>Comparable EBITDA of</w:t>
            </w:r>
          </w:p>
        </w:tc>
        <w:tc>
          <w:tcPr>
            <w:tcW w:w="102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Exceeded</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rPr>
              <w:t>1.5</w:t>
            </w: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rPr>
              <w:t>20%</w:t>
            </w:r>
          </w:p>
        </w:tc>
        <w:tc>
          <w:tcPr>
            <w:tcW w:w="640" w:type="dxa"/>
            <w:vAlign w:val="bottom"/>
          </w:tcPr>
          <w:p>
            <w:pPr>
              <w:jc w:val="center"/>
              <w:ind w:left="8"/>
              <w:spacing w:after="0" w:line="145" w:lineRule="exact"/>
              <w:rPr>
                <w:sz w:val="20"/>
                <w:szCs w:val="20"/>
                <w:color w:val="auto"/>
              </w:rPr>
            </w:pPr>
            <w:r>
              <w:rPr>
                <w:rFonts w:ascii="Arial" w:cs="Arial" w:eastAsia="Arial" w:hAnsi="Arial"/>
                <w:sz w:val="14"/>
                <w:szCs w:val="14"/>
                <w:color w:val="auto"/>
              </w:rPr>
              <w:t>0.30</w:t>
            </w:r>
          </w:p>
        </w:tc>
        <w:tc>
          <w:tcPr>
            <w:tcW w:w="2540" w:type="dxa"/>
            <w:vAlign w:val="bottom"/>
          </w:tcPr>
          <w:p>
            <w:pPr>
              <w:ind w:left="80"/>
              <w:spacing w:after="0" w:line="145" w:lineRule="exact"/>
              <w:rPr>
                <w:sz w:val="20"/>
                <w:szCs w:val="20"/>
                <w:color w:val="auto"/>
              </w:rPr>
            </w:pPr>
            <w:r>
              <w:rPr>
                <w:rFonts w:ascii="Arial" w:cs="Arial" w:eastAsia="Arial" w:hAnsi="Arial"/>
                <w:sz w:val="14"/>
                <w:szCs w:val="14"/>
                <w:color w:val="auto"/>
              </w:rPr>
              <w:t>2025 Comparable EBITDA of</w:t>
            </w:r>
          </w:p>
        </w:tc>
        <w:tc>
          <w:tcPr>
            <w:tcW w:w="0" w:type="dxa"/>
            <w:vAlign w:val="bottom"/>
          </w:tcPr>
          <w:p>
            <w:pPr>
              <w:spacing w:after="0"/>
              <w:rPr>
                <w:sz w:val="1"/>
                <w:szCs w:val="1"/>
                <w:color w:val="auto"/>
              </w:rPr>
            </w:pPr>
          </w:p>
        </w:tc>
      </w:tr>
      <w:tr>
        <w:trPr>
          <w:trHeight w:val="157"/>
        </w:trPr>
        <w:tc>
          <w:tcPr>
            <w:tcW w:w="1520" w:type="dxa"/>
            <w:vAlign w:val="bottom"/>
          </w:tcPr>
          <w:p>
            <w:pPr>
              <w:spacing w:after="0"/>
              <w:rPr>
                <w:sz w:val="13"/>
                <w:szCs w:val="13"/>
                <w:color w:val="auto"/>
              </w:rPr>
            </w:pPr>
          </w:p>
        </w:tc>
        <w:tc>
          <w:tcPr>
            <w:tcW w:w="2060" w:type="dxa"/>
            <w:vAlign w:val="bottom"/>
          </w:tcPr>
          <w:p>
            <w:pPr>
              <w:ind w:left="20"/>
              <w:spacing w:after="0" w:line="157" w:lineRule="exact"/>
              <w:rPr>
                <w:sz w:val="20"/>
                <w:szCs w:val="20"/>
                <w:color w:val="auto"/>
              </w:rPr>
            </w:pPr>
            <w:r>
              <w:rPr>
                <w:rFonts w:ascii="Arial" w:cs="Arial" w:eastAsia="Arial" w:hAnsi="Arial"/>
                <w:sz w:val="14"/>
                <w:szCs w:val="14"/>
                <w:color w:val="auto"/>
              </w:rPr>
              <w:t>Optimize financial performance</w:t>
            </w:r>
          </w:p>
        </w:tc>
        <w:tc>
          <w:tcPr>
            <w:tcW w:w="1600" w:type="dxa"/>
            <w:vAlign w:val="bottom"/>
          </w:tcPr>
          <w:p>
            <w:pPr>
              <w:ind w:left="40"/>
              <w:spacing w:after="0" w:line="157" w:lineRule="exact"/>
              <w:rPr>
                <w:sz w:val="20"/>
                <w:szCs w:val="20"/>
                <w:color w:val="auto"/>
              </w:rPr>
            </w:pPr>
            <w:r>
              <w:rPr>
                <w:rFonts w:ascii="Arial" w:cs="Arial" w:eastAsia="Arial" w:hAnsi="Arial"/>
                <w:sz w:val="14"/>
                <w:szCs w:val="14"/>
                <w:color w:val="auto"/>
              </w:rPr>
              <w:t>$10,800M</w:t>
            </w: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40" w:type="dxa"/>
            <w:vAlign w:val="bottom"/>
          </w:tcPr>
          <w:p>
            <w:pPr>
              <w:ind w:left="80"/>
              <w:spacing w:after="0" w:line="157" w:lineRule="exact"/>
              <w:rPr>
                <w:sz w:val="20"/>
                <w:szCs w:val="20"/>
                <w:color w:val="auto"/>
              </w:rPr>
            </w:pPr>
            <w:r>
              <w:rPr>
                <w:rFonts w:ascii="Arial" w:cs="Arial" w:eastAsia="Arial" w:hAnsi="Arial"/>
                <w:sz w:val="14"/>
                <w:szCs w:val="14"/>
                <w:color w:val="auto"/>
              </w:rPr>
              <w:t>$10,952M.</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60" w:type="dxa"/>
            <w:vAlign w:val="bottom"/>
          </w:tcPr>
          <w:p>
            <w:pPr>
              <w:ind w:left="20"/>
              <w:spacing w:after="0"/>
              <w:rPr>
                <w:sz w:val="20"/>
                <w:szCs w:val="20"/>
                <w:color w:val="auto"/>
              </w:rPr>
            </w:pPr>
            <w:r>
              <w:rPr>
                <w:rFonts w:ascii="Arial" w:cs="Arial" w:eastAsia="Arial" w:hAnsi="Arial"/>
                <w:sz w:val="14"/>
                <w:szCs w:val="14"/>
                <w:color w:val="auto"/>
              </w:rPr>
              <w:t>through EBITDA growth.</w:t>
            </w: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vMerge w:val="restart"/>
          </w:tcPr>
          <w:p>
            <w:pPr>
              <w:ind w:left="80"/>
              <w:spacing w:after="0"/>
              <w:rPr>
                <w:sz w:val="20"/>
                <w:szCs w:val="20"/>
                <w:color w:val="auto"/>
              </w:rPr>
            </w:pPr>
            <w:r>
              <w:rPr>
                <w:rFonts w:ascii="Arial" w:cs="Arial" w:eastAsia="Arial" w:hAnsi="Arial"/>
                <w:sz w:val="14"/>
                <w:szCs w:val="14"/>
                <w:color w:val="auto"/>
              </w:rPr>
              <w:t>Strong performance across the</w:t>
            </w:r>
          </w:p>
        </w:tc>
        <w:tc>
          <w:tcPr>
            <w:tcW w:w="0" w:type="dxa"/>
            <w:vAlign w:val="bottom"/>
          </w:tcPr>
          <w:p>
            <w:pPr>
              <w:spacing w:after="0"/>
              <w:rPr>
                <w:sz w:val="1"/>
                <w:szCs w:val="1"/>
                <w:color w:val="auto"/>
              </w:rPr>
            </w:pPr>
          </w:p>
        </w:tc>
      </w:tr>
      <w:tr>
        <w:trPr>
          <w:trHeight w:val="83"/>
        </w:trPr>
        <w:tc>
          <w:tcPr>
            <w:tcW w:w="15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40" w:type="dxa"/>
            <w:vAlign w:val="bottom"/>
          </w:tcPr>
          <w:p>
            <w:pPr>
              <w:ind w:left="80"/>
              <w:spacing w:after="0" w:line="148" w:lineRule="exact"/>
              <w:rPr>
                <w:sz w:val="20"/>
                <w:szCs w:val="20"/>
                <w:color w:val="auto"/>
              </w:rPr>
            </w:pPr>
            <w:r>
              <w:rPr>
                <w:rFonts w:ascii="Arial" w:cs="Arial" w:eastAsia="Arial" w:hAnsi="Arial"/>
                <w:sz w:val="14"/>
                <w:szCs w:val="14"/>
                <w:color w:val="auto"/>
              </w:rPr>
              <w:t>business with increased earnings from</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40" w:type="dxa"/>
            <w:vAlign w:val="bottom"/>
          </w:tcPr>
          <w:p>
            <w:pPr>
              <w:ind w:left="80"/>
              <w:spacing w:after="0"/>
              <w:rPr>
                <w:sz w:val="20"/>
                <w:szCs w:val="20"/>
                <w:color w:val="auto"/>
              </w:rPr>
            </w:pPr>
            <w:r>
              <w:rPr>
                <w:rFonts w:ascii="Arial" w:cs="Arial" w:eastAsia="Arial" w:hAnsi="Arial"/>
                <w:sz w:val="14"/>
                <w:szCs w:val="14"/>
                <w:color w:val="auto"/>
              </w:rPr>
              <w:t>NGTL System, mainline, Coastal</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40" w:type="dxa"/>
            <w:vAlign w:val="bottom"/>
          </w:tcPr>
          <w:p>
            <w:pPr>
              <w:ind w:left="80"/>
              <w:spacing w:after="0"/>
              <w:rPr>
                <w:sz w:val="20"/>
                <w:szCs w:val="20"/>
                <w:color w:val="auto"/>
              </w:rPr>
            </w:pPr>
            <w:r>
              <w:rPr>
                <w:rFonts w:ascii="Arial" w:cs="Arial" w:eastAsia="Arial" w:hAnsi="Arial"/>
                <w:sz w:val="14"/>
                <w:szCs w:val="14"/>
                <w:color w:val="auto"/>
              </w:rPr>
              <w:t>GasLink and Columbia Gas and</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40" w:type="dxa"/>
            <w:vAlign w:val="bottom"/>
          </w:tcPr>
          <w:p>
            <w:pPr>
              <w:ind w:left="80"/>
              <w:spacing w:after="0"/>
              <w:rPr>
                <w:sz w:val="20"/>
                <w:szCs w:val="20"/>
                <w:color w:val="auto"/>
              </w:rPr>
            </w:pPr>
            <w:r>
              <w:rPr>
                <w:rFonts w:ascii="Arial" w:cs="Arial" w:eastAsia="Arial" w:hAnsi="Arial"/>
                <w:sz w:val="14"/>
                <w:szCs w:val="14"/>
                <w:color w:val="auto"/>
              </w:rPr>
              <w:t>earnings after completion of</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ind w:left="80"/>
              <w:spacing w:after="0"/>
              <w:rPr>
                <w:sz w:val="20"/>
                <w:szCs w:val="20"/>
                <w:color w:val="auto"/>
              </w:rPr>
            </w:pPr>
            <w:r>
              <w:rPr>
                <w:rFonts w:ascii="Arial" w:cs="Arial" w:eastAsia="Arial" w:hAnsi="Arial"/>
                <w:sz w:val="14"/>
                <w:szCs w:val="14"/>
                <w:color w:val="auto"/>
              </w:rPr>
              <w:t>Southeast Gateway pipeline.</w:t>
            </w:r>
          </w:p>
        </w:tc>
        <w:tc>
          <w:tcPr>
            <w:tcW w:w="0" w:type="dxa"/>
            <w:vAlign w:val="bottom"/>
          </w:tcPr>
          <w:p>
            <w:pPr>
              <w:spacing w:after="0"/>
              <w:rPr>
                <w:sz w:val="1"/>
                <w:szCs w:val="1"/>
                <w:color w:val="auto"/>
              </w:rPr>
            </w:pPr>
          </w:p>
        </w:tc>
      </w:tr>
      <w:tr>
        <w:trPr>
          <w:trHeight w:val="236"/>
        </w:trPr>
        <w:tc>
          <w:tcPr>
            <w:tcW w:w="1520" w:type="dxa"/>
            <w:vAlign w:val="bottom"/>
          </w:tcPr>
          <w:p>
            <w:pPr>
              <w:spacing w:after="0"/>
              <w:rPr>
                <w:sz w:val="20"/>
                <w:szCs w:val="20"/>
                <w:color w:val="auto"/>
              </w:rPr>
            </w:pPr>
          </w:p>
        </w:tc>
        <w:tc>
          <w:tcPr>
            <w:tcW w:w="2060" w:type="dxa"/>
            <w:vAlign w:val="bottom"/>
            <w:tcBorders>
              <w:bottom w:val="single" w:sz="8" w:color="B2B2B2"/>
            </w:tcBorders>
          </w:tcPr>
          <w:p>
            <w:pPr>
              <w:spacing w:after="0"/>
              <w:rPr>
                <w:sz w:val="20"/>
                <w:szCs w:val="20"/>
                <w:color w:val="auto"/>
              </w:rPr>
            </w:pPr>
          </w:p>
        </w:tc>
        <w:tc>
          <w:tcPr>
            <w:tcW w:w="160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spacing w:after="0"/>
              <w:rPr>
                <w:sz w:val="20"/>
                <w:szCs w:val="20"/>
                <w:color w:val="auto"/>
              </w:rPr>
            </w:pPr>
          </w:p>
        </w:tc>
        <w:tc>
          <w:tcPr>
            <w:tcW w:w="82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spacing w:after="0"/>
              <w:rPr>
                <w:sz w:val="20"/>
                <w:szCs w:val="20"/>
                <w:color w:val="auto"/>
              </w:rPr>
            </w:pPr>
          </w:p>
        </w:tc>
        <w:tc>
          <w:tcPr>
            <w:tcW w:w="640" w:type="dxa"/>
            <w:vAlign w:val="bottom"/>
            <w:tcBorders>
              <w:bottom w:val="single" w:sz="8" w:color="B2B2B2"/>
            </w:tcBorders>
          </w:tcPr>
          <w:p>
            <w:pPr>
              <w:spacing w:after="0"/>
              <w:rPr>
                <w:sz w:val="20"/>
                <w:szCs w:val="20"/>
                <w:color w:val="auto"/>
              </w:rPr>
            </w:pPr>
          </w:p>
        </w:tc>
        <w:tc>
          <w:tcPr>
            <w:tcW w:w="254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12"/>
                <w:szCs w:val="12"/>
                <w:color w:val="auto"/>
              </w:rPr>
            </w:pPr>
          </w:p>
        </w:tc>
        <w:tc>
          <w:tcPr>
            <w:tcW w:w="2060" w:type="dxa"/>
            <w:vAlign w:val="bottom"/>
          </w:tcPr>
          <w:p>
            <w:pPr>
              <w:ind w:left="20"/>
              <w:spacing w:after="0" w:line="145" w:lineRule="exact"/>
              <w:rPr>
                <w:sz w:val="20"/>
                <w:szCs w:val="20"/>
                <w:color w:val="auto"/>
              </w:rPr>
            </w:pPr>
            <w:r>
              <w:rPr>
                <w:rFonts w:ascii="Arial" w:cs="Arial" w:eastAsia="Arial" w:hAnsi="Arial"/>
                <w:sz w:val="14"/>
                <w:szCs w:val="14"/>
                <w:color w:val="auto"/>
              </w:rPr>
              <w:t>Financial strength: Deliver</w:t>
            </w:r>
          </w:p>
        </w:tc>
        <w:tc>
          <w:tcPr>
            <w:tcW w:w="1600" w:type="dxa"/>
            <w:vAlign w:val="bottom"/>
          </w:tcPr>
          <w:p>
            <w:pPr>
              <w:ind w:left="40"/>
              <w:spacing w:after="0" w:line="145" w:lineRule="exact"/>
              <w:rPr>
                <w:sz w:val="20"/>
                <w:szCs w:val="20"/>
                <w:color w:val="auto"/>
              </w:rPr>
            </w:pPr>
            <w:r>
              <w:rPr>
                <w:rFonts w:ascii="Arial" w:cs="Arial" w:eastAsia="Arial" w:hAnsi="Arial"/>
                <w:sz w:val="14"/>
                <w:szCs w:val="14"/>
                <w:color w:val="auto"/>
              </w:rPr>
              <w:t>Comparable EPS of</w:t>
            </w:r>
          </w:p>
        </w:tc>
        <w:tc>
          <w:tcPr>
            <w:tcW w:w="102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Below Target</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rPr>
              <w:t>0.9</w:t>
            </w: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rPr>
              <w:t>10%</w:t>
            </w:r>
          </w:p>
        </w:tc>
        <w:tc>
          <w:tcPr>
            <w:tcW w:w="640" w:type="dxa"/>
            <w:vAlign w:val="bottom"/>
          </w:tcPr>
          <w:p>
            <w:pPr>
              <w:jc w:val="center"/>
              <w:ind w:left="8"/>
              <w:spacing w:after="0" w:line="145" w:lineRule="exact"/>
              <w:rPr>
                <w:sz w:val="20"/>
                <w:szCs w:val="20"/>
                <w:color w:val="auto"/>
              </w:rPr>
            </w:pPr>
            <w:r>
              <w:rPr>
                <w:rFonts w:ascii="Arial" w:cs="Arial" w:eastAsia="Arial" w:hAnsi="Arial"/>
                <w:sz w:val="14"/>
                <w:szCs w:val="14"/>
                <w:color w:val="auto"/>
              </w:rPr>
              <w:t>0.09</w:t>
            </w:r>
          </w:p>
        </w:tc>
        <w:tc>
          <w:tcPr>
            <w:tcW w:w="2540" w:type="dxa"/>
            <w:vAlign w:val="bottom"/>
          </w:tcPr>
          <w:p>
            <w:pPr>
              <w:ind w:left="80"/>
              <w:spacing w:after="0" w:line="145" w:lineRule="exact"/>
              <w:rPr>
                <w:sz w:val="20"/>
                <w:szCs w:val="20"/>
                <w:color w:val="auto"/>
              </w:rPr>
            </w:pPr>
            <w:r>
              <w:rPr>
                <w:rFonts w:ascii="Arial" w:cs="Arial" w:eastAsia="Arial" w:hAnsi="Arial"/>
                <w:sz w:val="14"/>
                <w:szCs w:val="14"/>
                <w:color w:val="auto"/>
              </w:rPr>
              <w:t>2025 Comparable EPS of $3.51.</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060" w:type="dxa"/>
            <w:vAlign w:val="bottom"/>
          </w:tcPr>
          <w:p>
            <w:pPr>
              <w:ind w:left="20"/>
              <w:spacing w:after="0" w:line="148" w:lineRule="exact"/>
              <w:rPr>
                <w:sz w:val="20"/>
                <w:szCs w:val="20"/>
                <w:color w:val="auto"/>
              </w:rPr>
            </w:pPr>
            <w:r>
              <w:rPr>
                <w:rFonts w:ascii="Arial" w:cs="Arial" w:eastAsia="Arial" w:hAnsi="Arial"/>
                <w:sz w:val="14"/>
                <w:szCs w:val="14"/>
                <w:color w:val="auto"/>
              </w:rPr>
              <w:t>consistent value for our</w:t>
            </w:r>
          </w:p>
        </w:tc>
        <w:tc>
          <w:tcPr>
            <w:tcW w:w="1600" w:type="dxa"/>
            <w:vAlign w:val="bottom"/>
          </w:tcPr>
          <w:p>
            <w:pPr>
              <w:ind w:left="40"/>
              <w:spacing w:after="0" w:line="148" w:lineRule="exact"/>
              <w:rPr>
                <w:sz w:val="20"/>
                <w:szCs w:val="20"/>
                <w:color w:val="auto"/>
              </w:rPr>
            </w:pPr>
            <w:r>
              <w:rPr>
                <w:rFonts w:ascii="Arial" w:cs="Arial" w:eastAsia="Arial" w:hAnsi="Arial"/>
                <w:sz w:val="14"/>
                <w:szCs w:val="14"/>
                <w:color w:val="auto"/>
              </w:rPr>
              <w:t>$3.55</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40" w:type="dxa"/>
            <w:vAlign w:val="bottom"/>
            <w:vMerge w:val="restart"/>
          </w:tcPr>
          <w:p>
            <w:pPr>
              <w:ind w:left="80"/>
              <w:spacing w:after="0"/>
              <w:rPr>
                <w:sz w:val="20"/>
                <w:szCs w:val="20"/>
                <w:color w:val="auto"/>
              </w:rPr>
            </w:pPr>
            <w:r>
              <w:rPr>
                <w:rFonts w:ascii="Arial" w:cs="Arial" w:eastAsia="Arial" w:hAnsi="Arial"/>
                <w:sz w:val="14"/>
                <w:szCs w:val="14"/>
                <w:color w:val="auto"/>
              </w:rPr>
              <w:t>Continued reliability and strong asset</w:t>
            </w: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2060" w:type="dxa"/>
            <w:vAlign w:val="bottom"/>
          </w:tcPr>
          <w:p>
            <w:pPr>
              <w:ind w:left="20"/>
              <w:spacing w:after="0" w:line="144" w:lineRule="exact"/>
              <w:rPr>
                <w:sz w:val="20"/>
                <w:szCs w:val="20"/>
                <w:color w:val="auto"/>
              </w:rPr>
            </w:pPr>
            <w:r>
              <w:rPr>
                <w:rFonts w:ascii="Arial" w:cs="Arial" w:eastAsia="Arial" w:hAnsi="Arial"/>
                <w:sz w:val="14"/>
                <w:szCs w:val="14"/>
                <w:color w:val="auto"/>
              </w:rPr>
              <w:t>shareholders.</w:t>
            </w: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40" w:type="dxa"/>
            <w:vAlign w:val="bottom"/>
          </w:tcPr>
          <w:p>
            <w:pPr>
              <w:ind w:left="80"/>
              <w:spacing w:after="0" w:line="139" w:lineRule="exact"/>
              <w:rPr>
                <w:sz w:val="20"/>
                <w:szCs w:val="20"/>
                <w:color w:val="auto"/>
              </w:rPr>
            </w:pPr>
            <w:r>
              <w:rPr>
                <w:rFonts w:ascii="Arial" w:cs="Arial" w:eastAsia="Arial" w:hAnsi="Arial"/>
                <w:sz w:val="14"/>
                <w:szCs w:val="14"/>
                <w:color w:val="auto"/>
              </w:rPr>
              <w:t>performance, however AFUDC was</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ind w:left="80"/>
              <w:spacing w:after="0"/>
              <w:rPr>
                <w:sz w:val="20"/>
                <w:szCs w:val="20"/>
                <w:color w:val="auto"/>
              </w:rPr>
            </w:pPr>
            <w:r>
              <w:rPr>
                <w:rFonts w:ascii="Arial" w:cs="Arial" w:eastAsia="Arial" w:hAnsi="Arial"/>
                <w:sz w:val="14"/>
                <w:szCs w:val="14"/>
                <w:color w:val="auto"/>
              </w:rPr>
              <w:t>lower than expected.</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060" w:type="dxa"/>
            <w:vAlign w:val="bottom"/>
            <w:tcBorders>
              <w:bottom w:val="single" w:sz="8" w:color="B2B2B2"/>
            </w:tcBorders>
          </w:tcPr>
          <w:p>
            <w:pPr>
              <w:spacing w:after="0"/>
              <w:rPr>
                <w:sz w:val="19"/>
                <w:szCs w:val="19"/>
                <w:color w:val="auto"/>
              </w:rPr>
            </w:pPr>
          </w:p>
        </w:tc>
        <w:tc>
          <w:tcPr>
            <w:tcW w:w="1600" w:type="dxa"/>
            <w:vAlign w:val="bottom"/>
            <w:tcBorders>
              <w:bottom w:val="single" w:sz="8" w:color="B2B2B2"/>
            </w:tcBorders>
          </w:tcPr>
          <w:p>
            <w:pPr>
              <w:spacing w:after="0"/>
              <w:rPr>
                <w:sz w:val="19"/>
                <w:szCs w:val="19"/>
                <w:color w:val="auto"/>
              </w:rPr>
            </w:pPr>
          </w:p>
        </w:tc>
        <w:tc>
          <w:tcPr>
            <w:tcW w:w="1020" w:type="dxa"/>
            <w:vAlign w:val="bottom"/>
            <w:tcBorders>
              <w:bottom w:val="single" w:sz="8" w:color="B2B2B2"/>
            </w:tcBorders>
          </w:tcPr>
          <w:p>
            <w:pPr>
              <w:spacing w:after="0"/>
              <w:rPr>
                <w:sz w:val="19"/>
                <w:szCs w:val="19"/>
                <w:color w:val="auto"/>
              </w:rPr>
            </w:pPr>
          </w:p>
        </w:tc>
        <w:tc>
          <w:tcPr>
            <w:tcW w:w="820" w:type="dxa"/>
            <w:vAlign w:val="bottom"/>
            <w:tcBorders>
              <w:bottom w:val="single" w:sz="8" w:color="B2B2B2"/>
            </w:tcBorders>
          </w:tcPr>
          <w:p>
            <w:pPr>
              <w:spacing w:after="0"/>
              <w:rPr>
                <w:sz w:val="19"/>
                <w:szCs w:val="19"/>
                <w:color w:val="auto"/>
              </w:rPr>
            </w:pPr>
          </w:p>
        </w:tc>
        <w:tc>
          <w:tcPr>
            <w:tcW w:w="1040" w:type="dxa"/>
            <w:vAlign w:val="bottom"/>
            <w:tcBorders>
              <w:bottom w:val="single" w:sz="8" w:color="B2B2B2"/>
            </w:tcBorders>
          </w:tcPr>
          <w:p>
            <w:pPr>
              <w:spacing w:after="0"/>
              <w:rPr>
                <w:sz w:val="19"/>
                <w:szCs w:val="19"/>
                <w:color w:val="auto"/>
              </w:rPr>
            </w:pPr>
          </w:p>
        </w:tc>
        <w:tc>
          <w:tcPr>
            <w:tcW w:w="640" w:type="dxa"/>
            <w:vAlign w:val="bottom"/>
            <w:tcBorders>
              <w:bottom w:val="single" w:sz="8" w:color="B2B2B2"/>
            </w:tcBorders>
          </w:tcPr>
          <w:p>
            <w:pPr>
              <w:spacing w:after="0"/>
              <w:rPr>
                <w:sz w:val="19"/>
                <w:szCs w:val="19"/>
                <w:color w:val="auto"/>
              </w:rPr>
            </w:pPr>
          </w:p>
        </w:tc>
        <w:tc>
          <w:tcPr>
            <w:tcW w:w="254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12"/>
                <w:szCs w:val="12"/>
                <w:color w:val="auto"/>
              </w:rPr>
            </w:pPr>
          </w:p>
        </w:tc>
        <w:tc>
          <w:tcPr>
            <w:tcW w:w="2060" w:type="dxa"/>
            <w:vAlign w:val="bottom"/>
          </w:tcPr>
          <w:p>
            <w:pPr>
              <w:ind w:left="20"/>
              <w:spacing w:after="0" w:line="145" w:lineRule="exact"/>
              <w:rPr>
                <w:sz w:val="20"/>
                <w:szCs w:val="20"/>
                <w:color w:val="auto"/>
              </w:rPr>
            </w:pPr>
            <w:r>
              <w:rPr>
                <w:rFonts w:ascii="Arial" w:cs="Arial" w:eastAsia="Arial" w:hAnsi="Arial"/>
                <w:sz w:val="14"/>
                <w:szCs w:val="14"/>
                <w:color w:val="auto"/>
              </w:rPr>
              <w:t>Balance sheet: Strengthen our</w:t>
            </w:r>
          </w:p>
        </w:tc>
        <w:tc>
          <w:tcPr>
            <w:tcW w:w="1600" w:type="dxa"/>
            <w:vAlign w:val="bottom"/>
          </w:tcPr>
          <w:p>
            <w:pPr>
              <w:ind w:left="40"/>
              <w:spacing w:after="0" w:line="145" w:lineRule="exact"/>
              <w:rPr>
                <w:sz w:val="20"/>
                <w:szCs w:val="20"/>
                <w:color w:val="auto"/>
              </w:rPr>
            </w:pPr>
            <w:r>
              <w:rPr>
                <w:rFonts w:ascii="Arial" w:cs="Arial" w:eastAsia="Arial" w:hAnsi="Arial"/>
                <w:sz w:val="14"/>
                <w:szCs w:val="14"/>
                <w:color w:val="auto"/>
              </w:rPr>
              <w:t>Debt to EBITDA</w:t>
            </w:r>
          </w:p>
        </w:tc>
        <w:tc>
          <w:tcPr>
            <w:tcW w:w="102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Exceeded</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rPr>
              <w:t>1.2</w:t>
            </w: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rPr>
              <w:t>10%</w:t>
            </w:r>
          </w:p>
        </w:tc>
        <w:tc>
          <w:tcPr>
            <w:tcW w:w="640" w:type="dxa"/>
            <w:vAlign w:val="bottom"/>
          </w:tcPr>
          <w:p>
            <w:pPr>
              <w:jc w:val="center"/>
              <w:ind w:left="8"/>
              <w:spacing w:after="0" w:line="145" w:lineRule="exact"/>
              <w:rPr>
                <w:sz w:val="20"/>
                <w:szCs w:val="20"/>
                <w:color w:val="auto"/>
              </w:rPr>
            </w:pPr>
            <w:r>
              <w:rPr>
                <w:rFonts w:ascii="Arial" w:cs="Arial" w:eastAsia="Arial" w:hAnsi="Arial"/>
                <w:sz w:val="14"/>
                <w:szCs w:val="14"/>
                <w:color w:val="auto"/>
              </w:rPr>
              <w:t>0.12</w:t>
            </w:r>
          </w:p>
        </w:tc>
        <w:tc>
          <w:tcPr>
            <w:tcW w:w="2540" w:type="dxa"/>
            <w:vAlign w:val="bottom"/>
          </w:tcPr>
          <w:p>
            <w:pPr>
              <w:ind w:left="80"/>
              <w:spacing w:after="0" w:line="145" w:lineRule="exact"/>
              <w:rPr>
                <w:sz w:val="20"/>
                <w:szCs w:val="20"/>
                <w:color w:val="auto"/>
              </w:rPr>
            </w:pPr>
            <w:r>
              <w:rPr>
                <w:rFonts w:ascii="Arial" w:cs="Arial" w:eastAsia="Arial" w:hAnsi="Arial"/>
                <w:sz w:val="14"/>
                <w:szCs w:val="14"/>
                <w:color w:val="auto"/>
              </w:rPr>
              <w:t>2025 Debt to EBITDA for</w:t>
            </w:r>
          </w:p>
        </w:tc>
        <w:tc>
          <w:tcPr>
            <w:tcW w:w="0" w:type="dxa"/>
            <w:vAlign w:val="bottom"/>
          </w:tcPr>
          <w:p>
            <w:pPr>
              <w:spacing w:after="0"/>
              <w:rPr>
                <w:sz w:val="1"/>
                <w:szCs w:val="1"/>
                <w:color w:val="auto"/>
              </w:rPr>
            </w:pPr>
          </w:p>
        </w:tc>
      </w:tr>
      <w:tr>
        <w:trPr>
          <w:trHeight w:val="157"/>
        </w:trPr>
        <w:tc>
          <w:tcPr>
            <w:tcW w:w="1520" w:type="dxa"/>
            <w:vAlign w:val="bottom"/>
          </w:tcPr>
          <w:p>
            <w:pPr>
              <w:spacing w:after="0"/>
              <w:rPr>
                <w:sz w:val="13"/>
                <w:szCs w:val="13"/>
                <w:color w:val="auto"/>
              </w:rPr>
            </w:pPr>
          </w:p>
        </w:tc>
        <w:tc>
          <w:tcPr>
            <w:tcW w:w="2060" w:type="dxa"/>
            <w:vAlign w:val="bottom"/>
          </w:tcPr>
          <w:p>
            <w:pPr>
              <w:ind w:left="20"/>
              <w:spacing w:after="0" w:line="157" w:lineRule="exact"/>
              <w:rPr>
                <w:sz w:val="20"/>
                <w:szCs w:val="20"/>
                <w:color w:val="auto"/>
              </w:rPr>
            </w:pPr>
            <w:r>
              <w:rPr>
                <w:rFonts w:ascii="Arial" w:cs="Arial" w:eastAsia="Arial" w:hAnsi="Arial"/>
                <w:sz w:val="14"/>
                <w:szCs w:val="14"/>
                <w:color w:val="auto"/>
              </w:rPr>
              <w:t>balance sheet to create</w:t>
            </w:r>
          </w:p>
        </w:tc>
        <w:tc>
          <w:tcPr>
            <w:tcW w:w="1600" w:type="dxa"/>
            <w:vAlign w:val="bottom"/>
          </w:tcPr>
          <w:p>
            <w:pPr>
              <w:ind w:left="40"/>
              <w:spacing w:after="0" w:line="157" w:lineRule="exact"/>
              <w:rPr>
                <w:sz w:val="20"/>
                <w:szCs w:val="20"/>
                <w:color w:val="auto"/>
              </w:rPr>
            </w:pPr>
            <w:r>
              <w:rPr>
                <w:rFonts w:ascii="Arial" w:cs="Arial" w:eastAsia="Arial" w:hAnsi="Arial"/>
                <w:sz w:val="14"/>
                <w:szCs w:val="14"/>
                <w:color w:val="auto"/>
              </w:rPr>
              <w:t>&lt; 4.90x</w:t>
            </w: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40" w:type="dxa"/>
            <w:vAlign w:val="bottom"/>
          </w:tcPr>
          <w:p>
            <w:pPr>
              <w:ind w:left="80"/>
              <w:spacing w:after="0" w:line="157" w:lineRule="exact"/>
              <w:rPr>
                <w:sz w:val="20"/>
                <w:szCs w:val="20"/>
                <w:color w:val="auto"/>
              </w:rPr>
            </w:pPr>
            <w:r>
              <w:rPr>
                <w:rFonts w:ascii="Arial" w:cs="Arial" w:eastAsia="Arial" w:hAnsi="Arial"/>
                <w:sz w:val="14"/>
                <w:szCs w:val="14"/>
                <w:color w:val="auto"/>
              </w:rPr>
              <w:t>compensation purposes of 4.87x.</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60" w:type="dxa"/>
            <w:vAlign w:val="bottom"/>
          </w:tcPr>
          <w:p>
            <w:pPr>
              <w:ind w:left="20"/>
              <w:spacing w:after="0"/>
              <w:rPr>
                <w:sz w:val="20"/>
                <w:szCs w:val="20"/>
                <w:color w:val="auto"/>
              </w:rPr>
            </w:pPr>
            <w:r>
              <w:rPr>
                <w:rFonts w:ascii="Arial" w:cs="Arial" w:eastAsia="Arial" w:hAnsi="Arial"/>
                <w:sz w:val="14"/>
                <w:szCs w:val="14"/>
                <w:color w:val="auto"/>
              </w:rPr>
              <w:t>additional financial flexibility.</w:t>
            </w: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vMerge w:val="restart"/>
          </w:tcPr>
          <w:p>
            <w:pPr>
              <w:ind w:left="80"/>
              <w:spacing w:after="0"/>
              <w:rPr>
                <w:sz w:val="20"/>
                <w:szCs w:val="20"/>
                <w:color w:val="auto"/>
              </w:rPr>
            </w:pPr>
            <w:r>
              <w:rPr>
                <w:rFonts w:ascii="Arial" w:cs="Arial" w:eastAsia="Arial" w:hAnsi="Arial"/>
                <w:sz w:val="14"/>
                <w:szCs w:val="14"/>
                <w:color w:val="auto"/>
              </w:rPr>
              <w:t>Higher Comparable EBITDA, reduced</w:t>
            </w:r>
          </w:p>
        </w:tc>
        <w:tc>
          <w:tcPr>
            <w:tcW w:w="0" w:type="dxa"/>
            <w:vAlign w:val="bottom"/>
          </w:tcPr>
          <w:p>
            <w:pPr>
              <w:spacing w:after="0"/>
              <w:rPr>
                <w:sz w:val="1"/>
                <w:szCs w:val="1"/>
                <w:color w:val="auto"/>
              </w:rPr>
            </w:pPr>
          </w:p>
        </w:tc>
      </w:tr>
      <w:tr>
        <w:trPr>
          <w:trHeight w:val="83"/>
        </w:trPr>
        <w:tc>
          <w:tcPr>
            <w:tcW w:w="15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40" w:type="dxa"/>
            <w:vAlign w:val="bottom"/>
          </w:tcPr>
          <w:p>
            <w:pPr>
              <w:ind w:left="80"/>
              <w:spacing w:after="0" w:line="148" w:lineRule="exact"/>
              <w:rPr>
                <w:sz w:val="20"/>
                <w:szCs w:val="20"/>
                <w:color w:val="auto"/>
              </w:rPr>
            </w:pPr>
            <w:r>
              <w:rPr>
                <w:rFonts w:ascii="Arial" w:cs="Arial" w:eastAsia="Arial" w:hAnsi="Arial"/>
                <w:sz w:val="14"/>
                <w:szCs w:val="14"/>
                <w:color w:val="auto"/>
              </w:rPr>
              <w:t>capital expenditures, and disciplined</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ind w:left="80"/>
              <w:spacing w:after="0"/>
              <w:rPr>
                <w:sz w:val="20"/>
                <w:szCs w:val="20"/>
                <w:color w:val="auto"/>
              </w:rPr>
            </w:pPr>
            <w:r>
              <w:rPr>
                <w:rFonts w:ascii="Arial" w:cs="Arial" w:eastAsia="Arial" w:hAnsi="Arial"/>
                <w:sz w:val="14"/>
                <w:szCs w:val="14"/>
                <w:color w:val="auto"/>
              </w:rPr>
              <w:t>execution across the capital program.</w:t>
            </w:r>
          </w:p>
        </w:tc>
        <w:tc>
          <w:tcPr>
            <w:tcW w:w="0" w:type="dxa"/>
            <w:vAlign w:val="bottom"/>
          </w:tcPr>
          <w:p>
            <w:pPr>
              <w:spacing w:after="0"/>
              <w:rPr>
                <w:sz w:val="1"/>
                <w:szCs w:val="1"/>
                <w:color w:val="auto"/>
              </w:rPr>
            </w:pPr>
          </w:p>
        </w:tc>
      </w:tr>
      <w:tr>
        <w:trPr>
          <w:trHeight w:val="397"/>
        </w:trPr>
        <w:tc>
          <w:tcPr>
            <w:tcW w:w="1520" w:type="dxa"/>
            <w:vAlign w:val="bottom"/>
          </w:tcPr>
          <w:p>
            <w:pPr>
              <w:spacing w:after="0"/>
              <w:rPr>
                <w:sz w:val="24"/>
                <w:szCs w:val="24"/>
                <w:color w:val="auto"/>
              </w:rPr>
            </w:pPr>
          </w:p>
        </w:tc>
        <w:tc>
          <w:tcPr>
            <w:tcW w:w="2060" w:type="dxa"/>
            <w:vAlign w:val="bottom"/>
            <w:tcBorders>
              <w:bottom w:val="single" w:sz="8" w:color="B2B2B2"/>
            </w:tcBorders>
          </w:tcPr>
          <w:p>
            <w:pPr>
              <w:spacing w:after="0"/>
              <w:rPr>
                <w:sz w:val="24"/>
                <w:szCs w:val="24"/>
                <w:color w:val="auto"/>
              </w:rPr>
            </w:pPr>
          </w:p>
        </w:tc>
        <w:tc>
          <w:tcPr>
            <w:tcW w:w="1600" w:type="dxa"/>
            <w:vAlign w:val="bottom"/>
            <w:tcBorders>
              <w:bottom w:val="single" w:sz="8" w:color="B2B2B2"/>
            </w:tcBorders>
          </w:tcPr>
          <w:p>
            <w:pPr>
              <w:spacing w:after="0"/>
              <w:rPr>
                <w:sz w:val="24"/>
                <w:szCs w:val="24"/>
                <w:color w:val="auto"/>
              </w:rPr>
            </w:pPr>
          </w:p>
        </w:tc>
        <w:tc>
          <w:tcPr>
            <w:tcW w:w="1020" w:type="dxa"/>
            <w:vAlign w:val="bottom"/>
            <w:tcBorders>
              <w:bottom w:val="single" w:sz="8" w:color="B2B2B2"/>
            </w:tcBorders>
          </w:tcPr>
          <w:p>
            <w:pPr>
              <w:spacing w:after="0"/>
              <w:rPr>
                <w:sz w:val="24"/>
                <w:szCs w:val="24"/>
                <w:color w:val="auto"/>
              </w:rPr>
            </w:pPr>
          </w:p>
        </w:tc>
        <w:tc>
          <w:tcPr>
            <w:tcW w:w="820" w:type="dxa"/>
            <w:vAlign w:val="bottom"/>
            <w:tcBorders>
              <w:bottom w:val="single" w:sz="8" w:color="B2B2B2"/>
            </w:tcBorders>
          </w:tcPr>
          <w:p>
            <w:pPr>
              <w:spacing w:after="0"/>
              <w:rPr>
                <w:sz w:val="24"/>
                <w:szCs w:val="24"/>
                <w:color w:val="auto"/>
              </w:rPr>
            </w:pPr>
          </w:p>
        </w:tc>
        <w:tc>
          <w:tcPr>
            <w:tcW w:w="1040" w:type="dxa"/>
            <w:vAlign w:val="bottom"/>
            <w:tcBorders>
              <w:bottom w:val="single" w:sz="8" w:color="B2B2B2"/>
            </w:tcBorders>
          </w:tcPr>
          <w:p>
            <w:pPr>
              <w:spacing w:after="0"/>
              <w:rPr>
                <w:sz w:val="24"/>
                <w:szCs w:val="24"/>
                <w:color w:val="auto"/>
              </w:rPr>
            </w:pPr>
          </w:p>
        </w:tc>
        <w:tc>
          <w:tcPr>
            <w:tcW w:w="640" w:type="dxa"/>
            <w:vAlign w:val="bottom"/>
            <w:tcBorders>
              <w:bottom w:val="single" w:sz="8" w:color="B2B2B2"/>
            </w:tcBorders>
          </w:tcPr>
          <w:p>
            <w:pPr>
              <w:spacing w:after="0"/>
              <w:rPr>
                <w:sz w:val="24"/>
                <w:szCs w:val="24"/>
                <w:color w:val="auto"/>
              </w:rPr>
            </w:pPr>
          </w:p>
        </w:tc>
        <w:tc>
          <w:tcPr>
            <w:tcW w:w="2540" w:type="dxa"/>
            <w:vAlign w:val="bottom"/>
            <w:tcBorders>
              <w:bottom w:val="single" w:sz="8" w:color="B2B2B2"/>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12"/>
                <w:szCs w:val="12"/>
                <w:color w:val="auto"/>
              </w:rPr>
            </w:pPr>
          </w:p>
        </w:tc>
        <w:tc>
          <w:tcPr>
            <w:tcW w:w="2060" w:type="dxa"/>
            <w:vAlign w:val="bottom"/>
          </w:tcPr>
          <w:p>
            <w:pPr>
              <w:ind w:left="20"/>
              <w:spacing w:after="0" w:line="145" w:lineRule="exact"/>
              <w:rPr>
                <w:sz w:val="20"/>
                <w:szCs w:val="20"/>
                <w:color w:val="auto"/>
              </w:rPr>
            </w:pPr>
            <w:r>
              <w:rPr>
                <w:rFonts w:ascii="Arial" w:cs="Arial" w:eastAsia="Arial" w:hAnsi="Arial"/>
                <w:sz w:val="14"/>
                <w:szCs w:val="14"/>
                <w:color w:val="auto"/>
              </w:rPr>
              <w:t>Focus financial value: Deliver</w:t>
            </w:r>
          </w:p>
        </w:tc>
        <w:tc>
          <w:tcPr>
            <w:tcW w:w="1600" w:type="dxa"/>
            <w:vAlign w:val="bottom"/>
          </w:tcPr>
          <w:p>
            <w:pPr>
              <w:ind w:left="40"/>
              <w:spacing w:after="0" w:line="145" w:lineRule="exact"/>
              <w:rPr>
                <w:sz w:val="20"/>
                <w:szCs w:val="20"/>
                <w:color w:val="auto"/>
              </w:rPr>
            </w:pPr>
            <w:r>
              <w:rPr>
                <w:rFonts w:ascii="Arial" w:cs="Arial" w:eastAsia="Arial" w:hAnsi="Arial"/>
                <w:sz w:val="14"/>
                <w:szCs w:val="14"/>
                <w:color w:val="auto"/>
              </w:rPr>
              <w:t>Cost savings</w:t>
            </w:r>
          </w:p>
        </w:tc>
        <w:tc>
          <w:tcPr>
            <w:tcW w:w="102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Exceeded</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rPr>
              <w:t>2.0</w:t>
            </w: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rPr>
              <w:t>10%</w:t>
            </w:r>
          </w:p>
        </w:tc>
        <w:tc>
          <w:tcPr>
            <w:tcW w:w="640" w:type="dxa"/>
            <w:vAlign w:val="bottom"/>
          </w:tcPr>
          <w:p>
            <w:pPr>
              <w:jc w:val="center"/>
              <w:ind w:left="8"/>
              <w:spacing w:after="0" w:line="145" w:lineRule="exact"/>
              <w:rPr>
                <w:sz w:val="20"/>
                <w:szCs w:val="20"/>
                <w:color w:val="auto"/>
              </w:rPr>
            </w:pPr>
            <w:r>
              <w:rPr>
                <w:rFonts w:ascii="Arial" w:cs="Arial" w:eastAsia="Arial" w:hAnsi="Arial"/>
                <w:sz w:val="14"/>
                <w:szCs w:val="14"/>
                <w:color w:val="auto"/>
              </w:rPr>
              <w:t>0.20</w:t>
            </w:r>
          </w:p>
        </w:tc>
        <w:tc>
          <w:tcPr>
            <w:tcW w:w="2540" w:type="dxa"/>
            <w:vAlign w:val="bottom"/>
          </w:tcPr>
          <w:p>
            <w:pPr>
              <w:ind w:left="80"/>
              <w:spacing w:after="0" w:line="145" w:lineRule="exact"/>
              <w:rPr>
                <w:sz w:val="20"/>
                <w:szCs w:val="20"/>
                <w:color w:val="auto"/>
              </w:rPr>
            </w:pPr>
            <w:r>
              <w:rPr>
                <w:rFonts w:ascii="Arial" w:cs="Arial" w:eastAsia="Arial" w:hAnsi="Arial"/>
                <w:sz w:val="14"/>
                <w:szCs w:val="14"/>
                <w:color w:val="auto"/>
              </w:rPr>
              <w:t>Exceeded target of over $1.5 billion of</w:t>
            </w:r>
          </w:p>
        </w:tc>
        <w:tc>
          <w:tcPr>
            <w:tcW w:w="0" w:type="dxa"/>
            <w:vAlign w:val="bottom"/>
          </w:tcPr>
          <w:p>
            <w:pPr>
              <w:spacing w:after="0"/>
              <w:rPr>
                <w:sz w:val="1"/>
                <w:szCs w:val="1"/>
                <w:color w:val="auto"/>
              </w:rPr>
            </w:pPr>
          </w:p>
        </w:tc>
      </w:tr>
      <w:tr>
        <w:trPr>
          <w:trHeight w:val="157"/>
        </w:trPr>
        <w:tc>
          <w:tcPr>
            <w:tcW w:w="1520" w:type="dxa"/>
            <w:vAlign w:val="bottom"/>
          </w:tcPr>
          <w:p>
            <w:pPr>
              <w:spacing w:after="0"/>
              <w:rPr>
                <w:sz w:val="13"/>
                <w:szCs w:val="13"/>
                <w:color w:val="auto"/>
              </w:rPr>
            </w:pPr>
          </w:p>
        </w:tc>
        <w:tc>
          <w:tcPr>
            <w:tcW w:w="2060" w:type="dxa"/>
            <w:vAlign w:val="bottom"/>
          </w:tcPr>
          <w:p>
            <w:pPr>
              <w:ind w:left="20"/>
              <w:spacing w:after="0" w:line="157" w:lineRule="exact"/>
              <w:rPr>
                <w:sz w:val="20"/>
                <w:szCs w:val="20"/>
                <w:color w:val="auto"/>
              </w:rPr>
            </w:pPr>
            <w:r>
              <w:rPr>
                <w:rFonts w:ascii="Arial" w:cs="Arial" w:eastAsia="Arial" w:hAnsi="Arial"/>
                <w:sz w:val="14"/>
                <w:szCs w:val="14"/>
                <w:color w:val="auto"/>
              </w:rPr>
              <w:t>maximum value and efficiency</w:t>
            </w:r>
          </w:p>
        </w:tc>
        <w:tc>
          <w:tcPr>
            <w:tcW w:w="1600" w:type="dxa"/>
            <w:vAlign w:val="bottom"/>
          </w:tcPr>
          <w:p>
            <w:pPr>
              <w:ind w:left="40"/>
              <w:spacing w:after="0" w:line="157" w:lineRule="exact"/>
              <w:rPr>
                <w:sz w:val="20"/>
                <w:szCs w:val="20"/>
                <w:color w:val="auto"/>
              </w:rPr>
            </w:pPr>
            <w:r>
              <w:rPr>
                <w:rFonts w:ascii="Arial" w:cs="Arial" w:eastAsia="Arial" w:hAnsi="Arial"/>
                <w:sz w:val="14"/>
                <w:szCs w:val="14"/>
                <w:color w:val="auto"/>
              </w:rPr>
              <w:t>&gt; $1.2 billion</w:t>
            </w: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40" w:type="dxa"/>
            <w:vAlign w:val="bottom"/>
          </w:tcPr>
          <w:p>
            <w:pPr>
              <w:ind w:left="80"/>
              <w:spacing w:after="0" w:line="157" w:lineRule="exact"/>
              <w:rPr>
                <w:sz w:val="20"/>
                <w:szCs w:val="20"/>
                <w:color w:val="auto"/>
              </w:rPr>
            </w:pPr>
            <w:r>
              <w:rPr>
                <w:rFonts w:ascii="Arial" w:cs="Arial" w:eastAsia="Arial" w:hAnsi="Arial"/>
                <w:sz w:val="14"/>
                <w:szCs w:val="14"/>
                <w:color w:val="auto"/>
              </w:rPr>
              <w:t>value in 2025 achieved through</w:t>
            </w: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2060" w:type="dxa"/>
            <w:vAlign w:val="bottom"/>
          </w:tcPr>
          <w:p>
            <w:pPr>
              <w:ind w:left="20"/>
              <w:spacing w:after="0"/>
              <w:rPr>
                <w:sz w:val="20"/>
                <w:szCs w:val="20"/>
                <w:color w:val="auto"/>
              </w:rPr>
            </w:pPr>
            <w:r>
              <w:rPr>
                <w:rFonts w:ascii="Arial" w:cs="Arial" w:eastAsia="Arial" w:hAnsi="Arial"/>
                <w:sz w:val="14"/>
                <w:szCs w:val="14"/>
                <w:color w:val="auto"/>
              </w:rPr>
              <w:t>for every dollar.</w:t>
            </w:r>
          </w:p>
        </w:tc>
        <w:tc>
          <w:tcPr>
            <w:tcW w:w="1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40" w:type="dxa"/>
            <w:vAlign w:val="bottom"/>
          </w:tcPr>
          <w:p>
            <w:pPr>
              <w:ind w:left="80"/>
              <w:spacing w:after="0"/>
              <w:rPr>
                <w:sz w:val="20"/>
                <w:szCs w:val="20"/>
                <w:color w:val="auto"/>
              </w:rPr>
            </w:pPr>
            <w:r>
              <w:rPr>
                <w:rFonts w:ascii="Arial" w:cs="Arial" w:eastAsia="Arial" w:hAnsi="Arial"/>
                <w:sz w:val="14"/>
                <w:szCs w:val="14"/>
                <w:color w:val="auto"/>
              </w:rPr>
              <w:t>approximately 55% capital savings,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40" w:type="dxa"/>
            <w:vAlign w:val="bottom"/>
          </w:tcPr>
          <w:p>
            <w:pPr>
              <w:ind w:left="80"/>
              <w:spacing w:after="0" w:line="148" w:lineRule="exact"/>
              <w:rPr>
                <w:sz w:val="20"/>
                <w:szCs w:val="20"/>
                <w:color w:val="auto"/>
              </w:rPr>
            </w:pPr>
            <w:r>
              <w:rPr>
                <w:rFonts w:ascii="Arial" w:cs="Arial" w:eastAsia="Arial" w:hAnsi="Arial"/>
                <w:sz w:val="14"/>
                <w:szCs w:val="14"/>
                <w:color w:val="auto"/>
              </w:rPr>
              <w:t>22% revenue enhancements and 23%</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ind w:left="80"/>
              <w:spacing w:after="0"/>
              <w:rPr>
                <w:sz w:val="20"/>
                <w:szCs w:val="20"/>
                <w:color w:val="auto"/>
              </w:rPr>
            </w:pPr>
            <w:r>
              <w:rPr>
                <w:rFonts w:ascii="Arial" w:cs="Arial" w:eastAsia="Arial" w:hAnsi="Arial"/>
                <w:sz w:val="14"/>
                <w:szCs w:val="14"/>
                <w:color w:val="auto"/>
              </w:rPr>
              <w:t>OM&amp;A reductions.</w:t>
            </w:r>
          </w:p>
        </w:tc>
        <w:tc>
          <w:tcPr>
            <w:tcW w:w="0" w:type="dxa"/>
            <w:vAlign w:val="bottom"/>
          </w:tcPr>
          <w:p>
            <w:pPr>
              <w:spacing w:after="0"/>
              <w:rPr>
                <w:sz w:val="1"/>
                <w:szCs w:val="1"/>
                <w:color w:val="auto"/>
              </w:rPr>
            </w:pPr>
          </w:p>
        </w:tc>
      </w:tr>
      <w:tr>
        <w:trPr>
          <w:trHeight w:val="384"/>
        </w:trPr>
        <w:tc>
          <w:tcPr>
            <w:tcW w:w="152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Overall corporate factor</w:t>
            </w:r>
          </w:p>
        </w:tc>
        <w:tc>
          <w:tcPr>
            <w:tcW w:w="1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w:t>
            </w:r>
          </w:p>
        </w:tc>
        <w:tc>
          <w:tcPr>
            <w:tcW w:w="640" w:type="dxa"/>
            <w:vAlign w:val="bottom"/>
          </w:tcPr>
          <w:p>
            <w:pPr>
              <w:jc w:val="center"/>
              <w:ind w:left="8"/>
              <w:spacing w:after="0"/>
              <w:rPr>
                <w:sz w:val="20"/>
                <w:szCs w:val="20"/>
                <w:color w:val="auto"/>
              </w:rPr>
            </w:pPr>
            <w:r>
              <w:rPr>
                <w:rFonts w:ascii="Arial" w:cs="Arial" w:eastAsia="Arial" w:hAnsi="Arial"/>
                <w:sz w:val="14"/>
                <w:szCs w:val="14"/>
                <w:b w:val="1"/>
                <w:bCs w:val="1"/>
                <w:color w:val="auto"/>
              </w:rPr>
              <w:t>1.5</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520" w:type="dxa"/>
            <w:vAlign w:val="bottom"/>
            <w:tcBorders>
              <w:bottom w:val="single" w:sz="8" w:color="0D64EF"/>
            </w:tcBorders>
          </w:tcPr>
          <w:p>
            <w:pPr>
              <w:spacing w:after="0"/>
              <w:rPr>
                <w:sz w:val="2"/>
                <w:szCs w:val="2"/>
                <w:color w:val="auto"/>
              </w:rPr>
            </w:pPr>
          </w:p>
        </w:tc>
        <w:tc>
          <w:tcPr>
            <w:tcW w:w="2060" w:type="dxa"/>
            <w:vAlign w:val="bottom"/>
            <w:tcBorders>
              <w:bottom w:val="single" w:sz="8" w:color="0D64EF"/>
            </w:tcBorders>
          </w:tcPr>
          <w:p>
            <w:pPr>
              <w:spacing w:after="0"/>
              <w:rPr>
                <w:sz w:val="2"/>
                <w:szCs w:val="2"/>
                <w:color w:val="auto"/>
              </w:rPr>
            </w:pPr>
          </w:p>
        </w:tc>
        <w:tc>
          <w:tcPr>
            <w:tcW w:w="1600" w:type="dxa"/>
            <w:vAlign w:val="bottom"/>
            <w:tcBorders>
              <w:bottom w:val="single" w:sz="8" w:color="0D64EF"/>
            </w:tcBorders>
          </w:tcPr>
          <w:p>
            <w:pPr>
              <w:spacing w:after="0"/>
              <w:rPr>
                <w:sz w:val="2"/>
                <w:szCs w:val="2"/>
                <w:color w:val="auto"/>
              </w:rPr>
            </w:pPr>
          </w:p>
        </w:tc>
        <w:tc>
          <w:tcPr>
            <w:tcW w:w="1020" w:type="dxa"/>
            <w:vAlign w:val="bottom"/>
            <w:tcBorders>
              <w:bottom w:val="single" w:sz="8" w:color="0D64EF"/>
            </w:tcBorders>
          </w:tcPr>
          <w:p>
            <w:pPr>
              <w:spacing w:after="0"/>
              <w:rPr>
                <w:sz w:val="2"/>
                <w:szCs w:val="2"/>
                <w:color w:val="auto"/>
              </w:rPr>
            </w:pPr>
          </w:p>
        </w:tc>
        <w:tc>
          <w:tcPr>
            <w:tcW w:w="820" w:type="dxa"/>
            <w:vAlign w:val="bottom"/>
            <w:tcBorders>
              <w:bottom w:val="single" w:sz="8" w:color="0D64EF"/>
            </w:tcBorders>
          </w:tcPr>
          <w:p>
            <w:pPr>
              <w:spacing w:after="0"/>
              <w:rPr>
                <w:sz w:val="2"/>
                <w:szCs w:val="2"/>
                <w:color w:val="auto"/>
              </w:rPr>
            </w:pPr>
          </w:p>
        </w:tc>
        <w:tc>
          <w:tcPr>
            <w:tcW w:w="1040" w:type="dxa"/>
            <w:vAlign w:val="bottom"/>
            <w:tcBorders>
              <w:bottom w:val="single" w:sz="8" w:color="0D64EF"/>
            </w:tcBorders>
          </w:tcPr>
          <w:p>
            <w:pPr>
              <w:spacing w:after="0"/>
              <w:rPr>
                <w:sz w:val="2"/>
                <w:szCs w:val="2"/>
                <w:color w:val="auto"/>
              </w:rPr>
            </w:pPr>
          </w:p>
        </w:tc>
        <w:tc>
          <w:tcPr>
            <w:tcW w:w="640" w:type="dxa"/>
            <w:vAlign w:val="bottom"/>
            <w:tcBorders>
              <w:bottom w:val="single" w:sz="8" w:color="0D64EF"/>
            </w:tcBorders>
          </w:tcPr>
          <w:p>
            <w:pPr>
              <w:spacing w:after="0"/>
              <w:rPr>
                <w:sz w:val="2"/>
                <w:szCs w:val="2"/>
                <w:color w:val="auto"/>
              </w:rPr>
            </w:pPr>
          </w:p>
        </w:tc>
        <w:tc>
          <w:tcPr>
            <w:tcW w:w="2540" w:type="dxa"/>
            <w:vAlign w:val="bottom"/>
            <w:tcBorders>
              <w:bottom w:val="single" w:sz="8" w:color="0D64E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97"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color w:val="auto"/>
        </w:rPr>
        <w:t>Notes</w:t>
      </w:r>
    </w:p>
    <w:p>
      <w:pPr>
        <w:spacing w:after="0" w:line="45" w:lineRule="exact"/>
        <w:rPr>
          <w:sz w:val="20"/>
          <w:szCs w:val="20"/>
          <w:color w:val="auto"/>
        </w:rPr>
      </w:pPr>
    </w:p>
    <w:p>
      <w:pPr>
        <w:ind w:left="160" w:right="220" w:hanging="153"/>
        <w:spacing w:after="0" w:line="291" w:lineRule="auto"/>
        <w:tabs>
          <w:tab w:leader="none" w:pos="137" w:val="left"/>
        </w:tabs>
        <w:numPr>
          <w:ilvl w:val="0"/>
          <w:numId w:val="129"/>
        </w:numPr>
        <w:rPr>
          <w:rFonts w:ascii="Arial" w:cs="Arial" w:eastAsia="Arial" w:hAnsi="Arial"/>
          <w:sz w:val="13"/>
          <w:szCs w:val="13"/>
          <w:color w:val="auto"/>
        </w:rPr>
      </w:pPr>
      <w:r>
        <w:rPr>
          <w:rFonts w:ascii="Arial" w:cs="Arial" w:eastAsia="Arial" w:hAnsi="Arial"/>
          <w:sz w:val="13"/>
          <w:szCs w:val="13"/>
          <w:i w:val="1"/>
          <w:iCs w:val="1"/>
          <w:color w:val="auto"/>
        </w:rPr>
        <w:t xml:space="preserve">Comparable EPS </w:t>
      </w:r>
      <w:r>
        <w:rPr>
          <w:rFonts w:ascii="Arial" w:cs="Arial" w:eastAsia="Arial" w:hAnsi="Arial"/>
          <w:sz w:val="13"/>
          <w:szCs w:val="13"/>
          <w:color w:val="auto"/>
        </w:rPr>
        <w:t>is calculated by adjusting Net income per share for specific items, such as unrealized gains/losses, which are believed to be significant but not reflective of TC Energy's underlying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operations in the period. We calculate </w:t>
      </w:r>
      <w:r>
        <w:rPr>
          <w:rFonts w:ascii="Arial" w:cs="Arial" w:eastAsia="Arial" w:hAnsi="Arial"/>
          <w:sz w:val="13"/>
          <w:szCs w:val="13"/>
          <w:i w:val="1"/>
          <w:iCs w:val="1"/>
          <w:color w:val="auto"/>
        </w:rPr>
        <w:t>comparable EPS</w:t>
      </w:r>
      <w:r>
        <w:rPr>
          <w:rFonts w:ascii="Arial" w:cs="Arial" w:eastAsia="Arial" w:hAnsi="Arial"/>
          <w:sz w:val="13"/>
          <w:szCs w:val="13"/>
          <w:color w:val="auto"/>
        </w:rPr>
        <w:t xml:space="preserve"> based on the weighted average number of our common shares outstanding (1,038 million in 2025).</w:t>
      </w:r>
    </w:p>
    <w:p>
      <w:pPr>
        <w:ind w:left="140" w:hanging="133"/>
        <w:spacing w:after="0"/>
        <w:tabs>
          <w:tab w:leader="none" w:pos="140" w:val="left"/>
        </w:tabs>
        <w:numPr>
          <w:ilvl w:val="0"/>
          <w:numId w:val="129"/>
        </w:numPr>
        <w:rPr>
          <w:rFonts w:ascii="Arial" w:cs="Arial" w:eastAsia="Arial" w:hAnsi="Arial"/>
          <w:sz w:val="13"/>
          <w:szCs w:val="13"/>
          <w:color w:val="auto"/>
        </w:rPr>
      </w:pPr>
      <w:r>
        <w:rPr>
          <w:rFonts w:ascii="Arial" w:cs="Arial" w:eastAsia="Arial" w:hAnsi="Arial"/>
          <w:sz w:val="13"/>
          <w:szCs w:val="13"/>
          <w:i w:val="1"/>
          <w:iCs w:val="1"/>
          <w:color w:val="auto"/>
        </w:rPr>
        <w:t xml:space="preserve">Comparable EBITDA </w:t>
      </w:r>
      <w:r>
        <w:rPr>
          <w:rFonts w:ascii="Arial" w:cs="Arial" w:eastAsia="Arial" w:hAnsi="Arial"/>
          <w:sz w:val="13"/>
          <w:szCs w:val="13"/>
          <w:color w:val="auto"/>
        </w:rPr>
        <w:t>represents segmented earnings (losses) adjusted for certain specific items, excluding charges for depreciation and amortization.</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29"/>
        </w:numPr>
        <w:rPr>
          <w:rFonts w:ascii="Arial" w:cs="Arial" w:eastAsia="Arial" w:hAnsi="Arial"/>
          <w:sz w:val="11"/>
          <w:szCs w:val="11"/>
          <w:color w:val="auto"/>
        </w:rPr>
      </w:pPr>
      <w:r>
        <w:rPr>
          <w:rFonts w:ascii="Arial" w:cs="Arial" w:eastAsia="Arial" w:hAnsi="Arial"/>
          <w:sz w:val="11"/>
          <w:szCs w:val="11"/>
          <w:i w:val="1"/>
          <w:iCs w:val="1"/>
          <w:color w:val="auto"/>
        </w:rPr>
        <w:t xml:space="preserve">Comparable EPS and Comparable EBITDA </w:t>
      </w:r>
      <w:r>
        <w:rPr>
          <w:rFonts w:ascii="Arial" w:cs="Arial" w:eastAsia="Arial" w:hAnsi="Arial"/>
          <w:sz w:val="11"/>
          <w:szCs w:val="11"/>
          <w:color w:val="auto"/>
        </w:rPr>
        <w:t>are non-GAAP measures and do not have any standardized meaning under U.S. GAAP and therefore they may not be comparable to similar measures</w:t>
      </w:r>
    </w:p>
    <w:p>
      <w:pPr>
        <w:spacing w:after="0" w:line="61" w:lineRule="exact"/>
        <w:rPr>
          <w:rFonts w:ascii="Arial" w:cs="Arial" w:eastAsia="Arial" w:hAnsi="Arial"/>
          <w:sz w:val="11"/>
          <w:szCs w:val="11"/>
          <w:color w:val="auto"/>
        </w:rPr>
      </w:pPr>
    </w:p>
    <w:p>
      <w:pPr>
        <w:ind w:left="160" w:right="280"/>
        <w:spacing w:after="0" w:line="344" w:lineRule="auto"/>
        <w:rPr>
          <w:rFonts w:ascii="Arial" w:cs="Arial" w:eastAsia="Arial" w:hAnsi="Arial"/>
          <w:sz w:val="11"/>
          <w:szCs w:val="11"/>
          <w:color w:val="auto"/>
        </w:rPr>
      </w:pPr>
      <w:r>
        <w:rPr>
          <w:rFonts w:ascii="Arial" w:cs="Arial" w:eastAsia="Arial" w:hAnsi="Arial"/>
          <w:sz w:val="11"/>
          <w:szCs w:val="11"/>
          <w:color w:val="auto"/>
        </w:rPr>
        <w:t xml:space="preserve">presented by other entities. The most directly comparable U.S. GAAP measure to </w:t>
      </w:r>
      <w:r>
        <w:rPr>
          <w:rFonts w:ascii="Arial" w:cs="Arial" w:eastAsia="Arial" w:hAnsi="Arial"/>
          <w:sz w:val="11"/>
          <w:szCs w:val="11"/>
          <w:i w:val="1"/>
          <w:iCs w:val="1"/>
          <w:color w:val="auto"/>
        </w:rPr>
        <w:t>comparable EPS</w:t>
      </w:r>
      <w:r>
        <w:rPr>
          <w:rFonts w:ascii="Arial" w:cs="Arial" w:eastAsia="Arial" w:hAnsi="Arial"/>
          <w:sz w:val="11"/>
          <w:szCs w:val="11"/>
          <w:color w:val="auto"/>
        </w:rPr>
        <w:t xml:space="preserve"> is Net income per common share and the most directly comparable U.S. GAAP measure to </w:t>
      </w:r>
      <w:r>
        <w:rPr>
          <w:rFonts w:ascii="Arial" w:cs="Arial" w:eastAsia="Arial" w:hAnsi="Arial"/>
          <w:sz w:val="11"/>
          <w:szCs w:val="11"/>
          <w:i w:val="1"/>
          <w:iCs w:val="1"/>
          <w:color w:val="auto"/>
        </w:rPr>
        <w:t xml:space="preserve">comparable EBITDA </w:t>
      </w:r>
      <w:r>
        <w:rPr>
          <w:rFonts w:ascii="Arial" w:cs="Arial" w:eastAsia="Arial" w:hAnsi="Arial"/>
          <w:sz w:val="11"/>
          <w:szCs w:val="11"/>
          <w:color w:val="auto"/>
        </w:rPr>
        <w:t>is segmented earnings (losses). Refer to</w:t>
      </w:r>
      <w:r>
        <w:rPr>
          <w:rFonts w:ascii="Arial" w:cs="Arial" w:eastAsia="Arial" w:hAnsi="Arial"/>
          <w:sz w:val="11"/>
          <w:szCs w:val="11"/>
          <w:i w:val="1"/>
          <w:iCs w:val="1"/>
          <w:color w:val="auto"/>
        </w:rPr>
        <w:t xml:space="preserve"> Non-GAAP Measures </w:t>
      </w:r>
      <w:r>
        <w:rPr>
          <w:rFonts w:ascii="Arial" w:cs="Arial" w:eastAsia="Arial" w:hAnsi="Arial"/>
          <w:sz w:val="11"/>
          <w:szCs w:val="11"/>
          <w:color w:val="auto"/>
        </w:rPr>
        <w:t>in this Circular for additional information and to the</w:t>
      </w:r>
      <w:r>
        <w:rPr>
          <w:rFonts w:ascii="Arial" w:cs="Arial" w:eastAsia="Arial" w:hAnsi="Arial"/>
          <w:sz w:val="11"/>
          <w:szCs w:val="11"/>
          <w:i w:val="1"/>
          <w:iCs w:val="1"/>
          <w:color w:val="auto"/>
        </w:rPr>
        <w:t xml:space="preserve"> About this document – Non-GAAP measures </w:t>
      </w:r>
      <w:r>
        <w:rPr>
          <w:rFonts w:ascii="Arial" w:cs="Arial" w:eastAsia="Arial" w:hAnsi="Arial"/>
          <w:sz w:val="11"/>
          <w:szCs w:val="11"/>
          <w:color w:val="auto"/>
        </w:rPr>
        <w:t>section of the</w:t>
      </w:r>
    </w:p>
    <w:p>
      <w:pPr>
        <w:ind w:left="160" w:right="60"/>
        <w:spacing w:after="0" w:line="291" w:lineRule="auto"/>
        <w:rPr>
          <w:rFonts w:ascii="Arial" w:cs="Arial" w:eastAsia="Arial" w:hAnsi="Arial"/>
          <w:sz w:val="11"/>
          <w:szCs w:val="11"/>
          <w:color w:val="auto"/>
        </w:rPr>
      </w:pPr>
      <w:r>
        <w:rPr>
          <w:rFonts w:ascii="Arial" w:cs="Arial" w:eastAsia="Arial" w:hAnsi="Arial"/>
          <w:sz w:val="13"/>
          <w:szCs w:val="13"/>
          <w:color w:val="auto"/>
        </w:rPr>
        <w:t xml:space="preserve">Annual MD&amp;A for more information about the non-GAAP measures we use and a reconciliation to their U.S. GAAP equivalents, which section of the Annual MD&amp;A is incorporated by reference herein. The specific reconciliation for </w:t>
      </w:r>
      <w:r>
        <w:rPr>
          <w:rFonts w:ascii="Arial" w:cs="Arial" w:eastAsia="Arial" w:hAnsi="Arial"/>
          <w:sz w:val="13"/>
          <w:szCs w:val="13"/>
          <w:i w:val="1"/>
          <w:iCs w:val="1"/>
          <w:color w:val="auto"/>
        </w:rPr>
        <w:t>comparable EPS and EBITDA</w:t>
      </w:r>
      <w:r>
        <w:rPr>
          <w:rFonts w:ascii="Arial" w:cs="Arial" w:eastAsia="Arial" w:hAnsi="Arial"/>
          <w:sz w:val="13"/>
          <w:szCs w:val="13"/>
          <w:color w:val="auto"/>
        </w:rPr>
        <w:t xml:space="preserve"> can be found on pages 22 to 29 in the Annual MD&amp;A.</w:t>
      </w:r>
    </w:p>
    <w:p>
      <w:pPr>
        <w:ind w:left="160" w:right="20" w:hanging="153"/>
        <w:spacing w:after="0" w:line="339" w:lineRule="auto"/>
        <w:tabs>
          <w:tab w:leader="none" w:pos="137" w:val="left"/>
        </w:tabs>
        <w:numPr>
          <w:ilvl w:val="0"/>
          <w:numId w:val="129"/>
        </w:numPr>
        <w:rPr>
          <w:rFonts w:ascii="Arial" w:cs="Arial" w:eastAsia="Arial" w:hAnsi="Arial"/>
          <w:sz w:val="11"/>
          <w:szCs w:val="11"/>
          <w:color w:val="auto"/>
        </w:rPr>
      </w:pPr>
      <w:r>
        <w:rPr>
          <w:rFonts w:ascii="Arial" w:cs="Arial" w:eastAsia="Arial" w:hAnsi="Arial"/>
          <w:sz w:val="11"/>
          <w:szCs w:val="11"/>
          <w:i w:val="1"/>
          <w:iCs w:val="1"/>
          <w:color w:val="auto"/>
        </w:rPr>
        <w:t xml:space="preserve">Debt-to-EBITDA </w:t>
      </w:r>
      <w:r>
        <w:rPr>
          <w:rFonts w:ascii="Arial" w:cs="Arial" w:eastAsia="Arial" w:hAnsi="Arial"/>
          <w:sz w:val="11"/>
          <w:szCs w:val="11"/>
          <w:color w:val="auto"/>
        </w:rPr>
        <w:t>and</w:t>
      </w:r>
      <w:r>
        <w:rPr>
          <w:rFonts w:ascii="Arial" w:cs="Arial" w:eastAsia="Arial" w:hAnsi="Arial"/>
          <w:sz w:val="11"/>
          <w:szCs w:val="11"/>
          <w:i w:val="1"/>
          <w:iCs w:val="1"/>
          <w:color w:val="auto"/>
        </w:rPr>
        <w:t xml:space="preserve"> Debt-to-EBITDA for compensation purposes </w:t>
      </w:r>
      <w:r>
        <w:rPr>
          <w:rFonts w:ascii="Arial" w:cs="Arial" w:eastAsia="Arial" w:hAnsi="Arial"/>
          <w:sz w:val="11"/>
          <w:szCs w:val="11"/>
          <w:color w:val="auto"/>
        </w:rPr>
        <w:t>are non-GAAP ratios.</w:t>
      </w:r>
      <w:r>
        <w:rPr>
          <w:rFonts w:ascii="Arial" w:cs="Arial" w:eastAsia="Arial" w:hAnsi="Arial"/>
          <w:sz w:val="11"/>
          <w:szCs w:val="11"/>
          <w:i w:val="1"/>
          <w:iCs w:val="1"/>
          <w:color w:val="auto"/>
        </w:rPr>
        <w:t xml:space="preserve"> Adjusted debt </w:t>
      </w:r>
      <w:r>
        <w:rPr>
          <w:rFonts w:ascii="Arial" w:cs="Arial" w:eastAsia="Arial" w:hAnsi="Arial"/>
          <w:sz w:val="11"/>
          <w:szCs w:val="11"/>
          <w:color w:val="auto"/>
        </w:rPr>
        <w:t>and</w:t>
      </w:r>
      <w:r>
        <w:rPr>
          <w:rFonts w:ascii="Arial" w:cs="Arial" w:eastAsia="Arial" w:hAnsi="Arial"/>
          <w:sz w:val="11"/>
          <w:szCs w:val="11"/>
          <w:i w:val="1"/>
          <w:iCs w:val="1"/>
          <w:color w:val="auto"/>
        </w:rPr>
        <w:t xml:space="preserve"> adjusted comparable EBITDA </w:t>
      </w:r>
      <w:r>
        <w:rPr>
          <w:rFonts w:ascii="Arial" w:cs="Arial" w:eastAsia="Arial" w:hAnsi="Arial"/>
          <w:sz w:val="11"/>
          <w:szCs w:val="11"/>
          <w:color w:val="auto"/>
        </w:rPr>
        <w:t>are the non-GAAP measures used to calculate</w:t>
      </w:r>
      <w:r>
        <w:rPr>
          <w:rFonts w:ascii="Arial" w:cs="Arial" w:eastAsia="Arial" w:hAnsi="Arial"/>
          <w:sz w:val="11"/>
          <w:szCs w:val="11"/>
          <w:i w:val="1"/>
          <w:iCs w:val="1"/>
          <w:color w:val="auto"/>
        </w:rPr>
        <w:t xml:space="preserve"> Debt-to-EBITDA</w:t>
      </w:r>
      <w:r>
        <w:rPr>
          <w:rFonts w:ascii="Arial" w:cs="Arial" w:eastAsia="Arial" w:hAnsi="Arial"/>
          <w:sz w:val="11"/>
          <w:szCs w:val="11"/>
          <w:color w:val="auto"/>
        </w:rPr>
        <w:t>.</w:t>
      </w:r>
      <w:r>
        <w:rPr>
          <w:rFonts w:ascii="Arial" w:cs="Arial" w:eastAsia="Arial" w:hAnsi="Arial"/>
          <w:sz w:val="11"/>
          <w:szCs w:val="11"/>
          <w:i w:val="1"/>
          <w:iCs w:val="1"/>
          <w:color w:val="auto"/>
        </w:rPr>
        <w:t xml:space="preserve"> Adjusted debt normalized for average foreign exchange </w:t>
      </w:r>
      <w:r>
        <w:rPr>
          <w:rFonts w:ascii="Arial" w:cs="Arial" w:eastAsia="Arial" w:hAnsi="Arial"/>
          <w:sz w:val="11"/>
          <w:szCs w:val="11"/>
          <w:color w:val="auto"/>
        </w:rPr>
        <w:t>and</w:t>
      </w:r>
      <w:r>
        <w:rPr>
          <w:rFonts w:ascii="Arial" w:cs="Arial" w:eastAsia="Arial" w:hAnsi="Arial"/>
          <w:sz w:val="11"/>
          <w:szCs w:val="11"/>
          <w:i w:val="1"/>
          <w:iCs w:val="1"/>
          <w:color w:val="auto"/>
        </w:rPr>
        <w:t xml:space="preserve"> adjusted comparable EBITDA </w:t>
      </w:r>
      <w:r>
        <w:rPr>
          <w:rFonts w:ascii="Arial" w:cs="Arial" w:eastAsia="Arial" w:hAnsi="Arial"/>
          <w:sz w:val="11"/>
          <w:szCs w:val="11"/>
          <w:color w:val="auto"/>
        </w:rPr>
        <w:t>are the non-GAAP measures used to calculate</w:t>
      </w:r>
      <w:r>
        <w:rPr>
          <w:rFonts w:ascii="Arial" w:cs="Arial" w:eastAsia="Arial" w:hAnsi="Arial"/>
          <w:sz w:val="11"/>
          <w:szCs w:val="11"/>
          <w:i w:val="1"/>
          <w:iCs w:val="1"/>
          <w:color w:val="auto"/>
        </w:rPr>
        <w:t xml:space="preserve"> Debt-to-EBITDA for compensation purposes</w:t>
      </w:r>
      <w:r>
        <w:rPr>
          <w:rFonts w:ascii="Arial" w:cs="Arial" w:eastAsia="Arial" w:hAnsi="Arial"/>
          <w:sz w:val="11"/>
          <w:szCs w:val="11"/>
          <w:color w:val="auto"/>
        </w:rPr>
        <w:t>. These</w:t>
      </w:r>
      <w:r>
        <w:rPr>
          <w:rFonts w:ascii="Arial" w:cs="Arial" w:eastAsia="Arial" w:hAnsi="Arial"/>
          <w:sz w:val="11"/>
          <w:szCs w:val="11"/>
          <w:i w:val="1"/>
          <w:iCs w:val="1"/>
          <w:color w:val="auto"/>
        </w:rPr>
        <w:t xml:space="preserve"> </w:t>
      </w:r>
      <w:r>
        <w:rPr>
          <w:rFonts w:ascii="Arial" w:cs="Arial" w:eastAsia="Arial" w:hAnsi="Arial"/>
          <w:sz w:val="11"/>
          <w:szCs w:val="11"/>
          <w:color w:val="auto"/>
        </w:rPr>
        <w:t>ratios and measures do not have any standardized meaning under GAAP and therefore are unlikely to be comparable to similar ratios and measures presented by other companies.</w:t>
      </w:r>
    </w:p>
    <w:p>
      <w:pPr>
        <w:spacing w:after="0" w:line="1" w:lineRule="exact"/>
        <w:rPr>
          <w:rFonts w:ascii="Arial" w:cs="Arial" w:eastAsia="Arial" w:hAnsi="Arial"/>
          <w:sz w:val="11"/>
          <w:szCs w:val="11"/>
          <w:color w:val="auto"/>
        </w:rPr>
      </w:pPr>
    </w:p>
    <w:p>
      <w:pPr>
        <w:ind w:left="160" w:right="100" w:hanging="153"/>
        <w:spacing w:after="0" w:line="356" w:lineRule="auto"/>
        <w:tabs>
          <w:tab w:leader="none" w:pos="137" w:val="left"/>
        </w:tabs>
        <w:numPr>
          <w:ilvl w:val="0"/>
          <w:numId w:val="129"/>
        </w:numPr>
        <w:rPr>
          <w:rFonts w:ascii="Arial" w:cs="Arial" w:eastAsia="Arial" w:hAnsi="Arial"/>
          <w:sz w:val="11"/>
          <w:szCs w:val="11"/>
          <w:color w:val="auto"/>
        </w:rPr>
      </w:pPr>
      <w:r>
        <w:rPr>
          <w:rFonts w:ascii="Arial" w:cs="Arial" w:eastAsia="Arial" w:hAnsi="Arial"/>
          <w:sz w:val="11"/>
          <w:szCs w:val="11"/>
          <w:i w:val="1"/>
          <w:iCs w:val="1"/>
          <w:color w:val="auto"/>
        </w:rPr>
        <w:t xml:space="preserve">Debt-to-EBITDA </w:t>
      </w:r>
      <w:r>
        <w:rPr>
          <w:rFonts w:ascii="Arial" w:cs="Arial" w:eastAsia="Arial" w:hAnsi="Arial"/>
          <w:sz w:val="11"/>
          <w:szCs w:val="11"/>
          <w:color w:val="auto"/>
        </w:rPr>
        <w:t>for 2025 was 4.8x, calculated after applying the U.S./Canadian foreign exchange rate as at December 31, 2025 of 1.37 to the outstanding amounts of our U.S. dollar-denominated</w:t>
      </w:r>
      <w:r>
        <w:rPr>
          <w:rFonts w:ascii="Arial" w:cs="Arial" w:eastAsia="Arial" w:hAnsi="Arial"/>
          <w:sz w:val="11"/>
          <w:szCs w:val="11"/>
          <w:i w:val="1"/>
          <w:iCs w:val="1"/>
          <w:color w:val="auto"/>
        </w:rPr>
        <w:t xml:space="preserve"> </w:t>
      </w:r>
      <w:r>
        <w:rPr>
          <w:rFonts w:ascii="Arial" w:cs="Arial" w:eastAsia="Arial" w:hAnsi="Arial"/>
          <w:sz w:val="11"/>
          <w:szCs w:val="11"/>
          <w:color w:val="auto"/>
        </w:rPr>
        <w:t>notes payable, long-term debt, current portion of long-term debt, junior subordinated notes, and cash and cash equivalents included in adjusted debt. For the purposes of the corporate scorecard and</w:t>
      </w:r>
    </w:p>
    <w:p>
      <w:pPr>
        <w:ind w:left="160" w:right="80"/>
        <w:spacing w:after="0" w:line="344" w:lineRule="auto"/>
        <w:rPr>
          <w:rFonts w:ascii="Arial" w:cs="Arial" w:eastAsia="Arial" w:hAnsi="Arial"/>
          <w:sz w:val="11"/>
          <w:szCs w:val="11"/>
          <w:color w:val="auto"/>
        </w:rPr>
      </w:pPr>
      <w:r>
        <w:rPr>
          <w:rFonts w:ascii="Arial" w:cs="Arial" w:eastAsia="Arial" w:hAnsi="Arial"/>
          <w:sz w:val="11"/>
          <w:szCs w:val="11"/>
          <w:color w:val="auto"/>
        </w:rPr>
        <w:t>PSU payouts, we normalize for significant volatility in the U.S./Canadian foreign exchange rate which is beyond the company's control and does not reflect our ability to service our debt over the long-run. Accordingly, the outstanding amounts of our U.S. dollar-denominated notes payable, long-term debt, current portion of long-term debt, junior subordinated notes, and cash and cash equivalents</w:t>
      </w:r>
    </w:p>
    <w:p>
      <w:pPr>
        <w:ind w:left="160" w:right="300"/>
        <w:spacing w:after="0" w:line="344" w:lineRule="auto"/>
        <w:rPr>
          <w:rFonts w:ascii="Arial" w:cs="Arial" w:eastAsia="Arial" w:hAnsi="Arial"/>
          <w:sz w:val="11"/>
          <w:szCs w:val="11"/>
          <w:color w:val="auto"/>
        </w:rPr>
      </w:pPr>
      <w:r>
        <w:rPr>
          <w:rFonts w:ascii="Arial" w:cs="Arial" w:eastAsia="Arial" w:hAnsi="Arial"/>
          <w:sz w:val="11"/>
          <w:szCs w:val="11"/>
          <w:color w:val="auto"/>
        </w:rPr>
        <w:t>included in the calculation of adjusted debt were translated into Canadian dollars using the average foreign exchange rate for 2025 of 1.40. This results in an a</w:t>
      </w:r>
      <w:r>
        <w:rPr>
          <w:rFonts w:ascii="Arial" w:cs="Arial" w:eastAsia="Arial" w:hAnsi="Arial"/>
          <w:sz w:val="11"/>
          <w:szCs w:val="11"/>
          <w:i w:val="1"/>
          <w:iCs w:val="1"/>
          <w:color w:val="auto"/>
        </w:rPr>
        <w:t>djusted debt normalized for average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foreign exchange </w:t>
      </w:r>
      <w:r>
        <w:rPr>
          <w:rFonts w:ascii="Arial" w:cs="Arial" w:eastAsia="Arial" w:hAnsi="Arial"/>
          <w:sz w:val="11"/>
          <w:szCs w:val="11"/>
          <w:color w:val="auto"/>
        </w:rPr>
        <w:t>that is $713 million higher than</w:t>
      </w:r>
      <w:r>
        <w:rPr>
          <w:rFonts w:ascii="Arial" w:cs="Arial" w:eastAsia="Arial" w:hAnsi="Arial"/>
          <w:sz w:val="11"/>
          <w:szCs w:val="11"/>
          <w:i w:val="1"/>
          <w:iCs w:val="1"/>
          <w:color w:val="auto"/>
        </w:rPr>
        <w:t xml:space="preserve"> adjusted debt</w:t>
      </w:r>
      <w:r>
        <w:rPr>
          <w:rFonts w:ascii="Arial" w:cs="Arial" w:eastAsia="Arial" w:hAnsi="Arial"/>
          <w:sz w:val="11"/>
          <w:szCs w:val="11"/>
          <w:color w:val="auto"/>
        </w:rPr>
        <w:t>, making 2025</w:t>
      </w:r>
      <w:r>
        <w:rPr>
          <w:rFonts w:ascii="Arial" w:cs="Arial" w:eastAsia="Arial" w:hAnsi="Arial"/>
          <w:sz w:val="11"/>
          <w:szCs w:val="11"/>
          <w:i w:val="1"/>
          <w:iCs w:val="1"/>
          <w:color w:val="auto"/>
        </w:rPr>
        <w:t xml:space="preserve"> Debt-to-EBITDA for compensation purposes </w:t>
      </w:r>
      <w:r>
        <w:rPr>
          <w:rFonts w:ascii="Arial" w:cs="Arial" w:eastAsia="Arial" w:hAnsi="Arial"/>
          <w:sz w:val="11"/>
          <w:szCs w:val="11"/>
          <w:color w:val="auto"/>
        </w:rPr>
        <w:t>referenced in the 2025 Results and Highlights section above 4.87x.</w:t>
      </w:r>
    </w:p>
    <w:p>
      <w:pPr>
        <w:ind w:left="160" w:right="40" w:hanging="153"/>
        <w:spacing w:after="0" w:line="304" w:lineRule="auto"/>
        <w:tabs>
          <w:tab w:leader="none" w:pos="137"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Non-GAAP Measures - Reconciliation of Debt-to-EBITDA</w:t>
      </w:r>
      <w:r>
        <w:rPr>
          <w:rFonts w:ascii="Arial" w:cs="Arial" w:eastAsia="Arial" w:hAnsi="Arial"/>
          <w:sz w:val="13"/>
          <w:szCs w:val="13"/>
          <w:color w:val="auto"/>
        </w:rPr>
        <w:t xml:space="preserve"> in this Circular for additional information and a reconciliation of </w:t>
      </w:r>
      <w:r>
        <w:rPr>
          <w:rFonts w:ascii="Arial" w:cs="Arial" w:eastAsia="Arial" w:hAnsi="Arial"/>
          <w:sz w:val="13"/>
          <w:szCs w:val="13"/>
          <w:i w:val="1"/>
          <w:iCs w:val="1"/>
          <w:color w:val="auto"/>
        </w:rPr>
        <w:t>adjusted debt</w:t>
      </w:r>
      <w:r>
        <w:rPr>
          <w:rFonts w:ascii="Arial" w:cs="Arial" w:eastAsia="Arial" w:hAnsi="Arial"/>
          <w:sz w:val="13"/>
          <w:szCs w:val="13"/>
          <w:color w:val="auto"/>
        </w:rPr>
        <w:t xml:space="preserve"> to debt and </w:t>
      </w:r>
      <w:r>
        <w:rPr>
          <w:rFonts w:ascii="Arial" w:cs="Arial" w:eastAsia="Arial" w:hAnsi="Arial"/>
          <w:sz w:val="13"/>
          <w:szCs w:val="13"/>
          <w:i w:val="1"/>
          <w:iCs w:val="1"/>
          <w:color w:val="auto"/>
        </w:rPr>
        <w:t>adjusted comparable EBITDA</w:t>
      </w:r>
      <w:r>
        <w:rPr>
          <w:rFonts w:ascii="Arial" w:cs="Arial" w:eastAsia="Arial" w:hAnsi="Arial"/>
          <w:sz w:val="13"/>
          <w:szCs w:val="13"/>
          <w:color w:val="auto"/>
        </w:rPr>
        <w:t xml:space="preserve"> to </w:t>
      </w:r>
      <w:r>
        <w:rPr>
          <w:rFonts w:ascii="Arial" w:cs="Arial" w:eastAsia="Arial" w:hAnsi="Arial"/>
          <w:sz w:val="13"/>
          <w:szCs w:val="13"/>
          <w:i w:val="1"/>
          <w:iCs w:val="1"/>
          <w:color w:val="auto"/>
        </w:rPr>
        <w:t>comparable EBITDA</w:t>
      </w:r>
      <w:r>
        <w:rPr>
          <w:rFonts w:ascii="Arial" w:cs="Arial" w:eastAsia="Arial" w:hAnsi="Arial"/>
          <w:sz w:val="13"/>
          <w:szCs w:val="13"/>
          <w:color w:val="auto"/>
        </w:rPr>
        <w:t>. An additional reconciliation from</w:t>
      </w:r>
      <w:r>
        <w:rPr>
          <w:rFonts w:ascii="Arial" w:cs="Arial" w:eastAsia="Arial" w:hAnsi="Arial"/>
          <w:sz w:val="13"/>
          <w:szCs w:val="13"/>
          <w:i w:val="1"/>
          <w:iCs w:val="1"/>
          <w:color w:val="auto"/>
        </w:rPr>
        <w:t xml:space="preserve"> comparable EBITDA </w:t>
      </w:r>
      <w:r>
        <w:rPr>
          <w:rFonts w:ascii="Arial" w:cs="Arial" w:eastAsia="Arial" w:hAnsi="Arial"/>
          <w:sz w:val="13"/>
          <w:szCs w:val="13"/>
          <w:color w:val="auto"/>
        </w:rPr>
        <w:t>to segmented earnings (losses) can be found on pages 22 to 29 of in the Annual MD&amp;A, which is incorporated by reference</w:t>
      </w:r>
      <w:r>
        <w:rPr>
          <w:rFonts w:ascii="Arial" w:cs="Arial" w:eastAsia="Arial" w:hAnsi="Arial"/>
          <w:sz w:val="13"/>
          <w:szCs w:val="13"/>
          <w:i w:val="1"/>
          <w:iCs w:val="1"/>
          <w:color w:val="auto"/>
        </w:rPr>
        <w:t xml:space="preserve"> </w:t>
      </w:r>
      <w:r>
        <w:rPr>
          <w:rFonts w:ascii="Arial" w:cs="Arial" w:eastAsia="Arial" w:hAnsi="Arial"/>
          <w:sz w:val="13"/>
          <w:szCs w:val="13"/>
          <w:color w:val="auto"/>
        </w:rPr>
        <w: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103</w:t>
      </w:r>
    </w:p>
    <w:p>
      <w:pPr>
        <w:sectPr>
          <w:pgSz w:w="11900" w:h="16838" w:orient="portrait"/>
          <w:cols w:equalWidth="0" w:num="1">
            <w:col w:w="11240"/>
          </w:cols>
          <w:pgMar w:left="320" w:top="1044" w:right="3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color w:val="0D64EF"/>
        </w:rPr>
        <w:t>PAYOUT OF 2023 PSU AWARD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Performance multiplier</w:t>
      </w:r>
    </w:p>
    <w:p>
      <w:pPr>
        <w:spacing w:after="0" w:line="40" w:lineRule="exact"/>
        <w:rPr>
          <w:sz w:val="20"/>
          <w:szCs w:val="20"/>
          <w:color w:val="auto"/>
        </w:rPr>
      </w:pPr>
    </w:p>
    <w:p>
      <w:pPr>
        <w:ind w:right="2960"/>
        <w:spacing w:after="0" w:line="354" w:lineRule="auto"/>
        <w:rPr>
          <w:sz w:val="20"/>
          <w:szCs w:val="20"/>
          <w:color w:val="auto"/>
        </w:rPr>
      </w:pPr>
      <w:r>
        <w:rPr>
          <w:rFonts w:ascii="Arial" w:cs="Arial" w:eastAsia="Arial" w:hAnsi="Arial"/>
          <w:sz w:val="16"/>
          <w:szCs w:val="16"/>
          <w:color w:val="auto"/>
        </w:rPr>
        <w:t>The PSUs granted in 2023 vested on February 22, 2026, and will be paid in March 2026. The performance multiplier for this award was determined based on the guidelines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5708015" cy="136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08015" cy="13652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2820" w:val="left"/>
        </w:tabs>
        <w:rPr>
          <w:sz w:val="20"/>
          <w:szCs w:val="20"/>
          <w:color w:val="auto"/>
        </w:rPr>
      </w:pPr>
      <w:r>
        <w:rPr>
          <w:rFonts w:ascii="Arial" w:cs="Arial" w:eastAsia="Arial" w:hAnsi="Arial"/>
          <w:sz w:val="14"/>
          <w:szCs w:val="14"/>
          <w:b w:val="1"/>
          <w:bCs w:val="1"/>
          <w:color w:val="auto"/>
        </w:rPr>
        <w:t>If TC Energy’s performance is</w:t>
      </w:r>
      <w:r>
        <w:rPr>
          <w:sz w:val="20"/>
          <w:szCs w:val="20"/>
          <w:color w:val="auto"/>
        </w:rPr>
        <w:tab/>
      </w:r>
      <w:r>
        <w:rPr>
          <w:rFonts w:ascii="Arial" w:cs="Arial" w:eastAsia="Arial" w:hAnsi="Arial"/>
          <w:sz w:val="14"/>
          <w:szCs w:val="14"/>
          <w:b w:val="1"/>
          <w:bCs w:val="1"/>
          <w:color w:val="auto"/>
        </w:rPr>
        <w:t>Then the performance multiplier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5708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08015"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ind w:left="20"/>
              <w:spacing w:after="0"/>
              <w:rPr>
                <w:sz w:val="20"/>
                <w:szCs w:val="20"/>
                <w:color w:val="auto"/>
              </w:rPr>
            </w:pPr>
            <w:r>
              <w:rPr>
                <w:rFonts w:ascii="Arial" w:cs="Arial" w:eastAsia="Arial" w:hAnsi="Arial"/>
                <w:sz w:val="14"/>
                <w:szCs w:val="14"/>
                <w:color w:val="auto"/>
              </w:rPr>
              <w:t>Below threshold</w:t>
            </w:r>
          </w:p>
        </w:tc>
        <w:tc>
          <w:tcPr>
            <w:tcW w:w="3580" w:type="dxa"/>
            <w:vAlign w:val="bottom"/>
          </w:tcPr>
          <w:p>
            <w:pPr>
              <w:ind w:left="720"/>
              <w:spacing w:after="0"/>
              <w:rPr>
                <w:sz w:val="20"/>
                <w:szCs w:val="20"/>
                <w:color w:val="auto"/>
              </w:rPr>
            </w:pPr>
            <w:r>
              <w:rPr>
                <w:rFonts w:ascii="Arial" w:cs="Arial" w:eastAsia="Arial" w:hAnsi="Arial"/>
                <w:sz w:val="14"/>
                <w:szCs w:val="14"/>
                <w:color w:val="auto"/>
              </w:rPr>
              <w:t>0</w:t>
            </w:r>
          </w:p>
        </w:tc>
      </w:tr>
      <w:tr>
        <w:trPr>
          <w:trHeight w:val="35"/>
        </w:trPr>
        <w:tc>
          <w:tcPr>
            <w:tcW w:w="2120" w:type="dxa"/>
            <w:vAlign w:val="bottom"/>
            <w:tcBorders>
              <w:bottom w:val="single" w:sz="8" w:color="B2B2B2"/>
            </w:tcBorders>
          </w:tcPr>
          <w:p>
            <w:pPr>
              <w:spacing w:after="0"/>
              <w:rPr>
                <w:sz w:val="3"/>
                <w:szCs w:val="3"/>
                <w:color w:val="auto"/>
              </w:rPr>
            </w:pPr>
          </w:p>
        </w:tc>
        <w:tc>
          <w:tcPr>
            <w:tcW w:w="3580" w:type="dxa"/>
            <w:vAlign w:val="bottom"/>
            <w:tcBorders>
              <w:bottom w:val="single" w:sz="8" w:color="B2B2B2"/>
            </w:tcBorders>
          </w:tcPr>
          <w:p>
            <w:pPr>
              <w:spacing w:after="0"/>
              <w:rPr>
                <w:sz w:val="3"/>
                <w:szCs w:val="3"/>
                <w:color w:val="auto"/>
              </w:rPr>
            </w:pPr>
          </w:p>
        </w:tc>
      </w:tr>
      <w:tr>
        <w:trPr>
          <w:trHeight w:val="201"/>
        </w:trPr>
        <w:tc>
          <w:tcPr>
            <w:tcW w:w="2120" w:type="dxa"/>
            <w:vAlign w:val="bottom"/>
          </w:tcPr>
          <w:p>
            <w:pPr>
              <w:ind w:left="20"/>
              <w:spacing w:after="0"/>
              <w:rPr>
                <w:sz w:val="20"/>
                <w:szCs w:val="20"/>
                <w:color w:val="auto"/>
              </w:rPr>
            </w:pPr>
            <w:r>
              <w:rPr>
                <w:rFonts w:ascii="Arial" w:cs="Arial" w:eastAsia="Arial" w:hAnsi="Arial"/>
                <w:sz w:val="14"/>
                <w:szCs w:val="14"/>
                <w:color w:val="auto"/>
              </w:rPr>
              <w:t>At threshold</w:t>
            </w:r>
          </w:p>
        </w:tc>
        <w:tc>
          <w:tcPr>
            <w:tcW w:w="3580" w:type="dxa"/>
            <w:vAlign w:val="bottom"/>
          </w:tcPr>
          <w:p>
            <w:pPr>
              <w:ind w:left="720"/>
              <w:spacing w:after="0"/>
              <w:rPr>
                <w:sz w:val="20"/>
                <w:szCs w:val="20"/>
                <w:color w:val="auto"/>
              </w:rPr>
            </w:pPr>
            <w:r>
              <w:rPr>
                <w:rFonts w:ascii="Arial" w:cs="Arial" w:eastAsia="Arial" w:hAnsi="Arial"/>
                <w:sz w:val="14"/>
                <w:szCs w:val="14"/>
                <w:color w:val="auto"/>
              </w:rPr>
              <w:t>0.50</w:t>
            </w:r>
          </w:p>
        </w:tc>
      </w:tr>
      <w:tr>
        <w:trPr>
          <w:trHeight w:val="35"/>
        </w:trPr>
        <w:tc>
          <w:tcPr>
            <w:tcW w:w="2120" w:type="dxa"/>
            <w:vAlign w:val="bottom"/>
            <w:tcBorders>
              <w:bottom w:val="single" w:sz="8" w:color="B2B2B2"/>
            </w:tcBorders>
          </w:tcPr>
          <w:p>
            <w:pPr>
              <w:spacing w:after="0"/>
              <w:rPr>
                <w:sz w:val="3"/>
                <w:szCs w:val="3"/>
                <w:color w:val="auto"/>
              </w:rPr>
            </w:pPr>
          </w:p>
        </w:tc>
        <w:tc>
          <w:tcPr>
            <w:tcW w:w="3580" w:type="dxa"/>
            <w:vAlign w:val="bottom"/>
            <w:tcBorders>
              <w:bottom w:val="single" w:sz="8" w:color="B2B2B2"/>
            </w:tcBorders>
          </w:tcPr>
          <w:p>
            <w:pPr>
              <w:spacing w:after="0"/>
              <w:rPr>
                <w:sz w:val="3"/>
                <w:szCs w:val="3"/>
                <w:color w:val="auto"/>
              </w:rPr>
            </w:pPr>
          </w:p>
        </w:tc>
      </w:tr>
      <w:tr>
        <w:trPr>
          <w:trHeight w:val="201"/>
        </w:trPr>
        <w:tc>
          <w:tcPr>
            <w:tcW w:w="2120" w:type="dxa"/>
            <w:vAlign w:val="bottom"/>
          </w:tcPr>
          <w:p>
            <w:pPr>
              <w:ind w:left="20"/>
              <w:spacing w:after="0"/>
              <w:rPr>
                <w:sz w:val="20"/>
                <w:szCs w:val="20"/>
                <w:color w:val="auto"/>
              </w:rPr>
            </w:pPr>
            <w:r>
              <w:rPr>
                <w:rFonts w:ascii="Arial" w:cs="Arial" w:eastAsia="Arial" w:hAnsi="Arial"/>
                <w:sz w:val="14"/>
                <w:szCs w:val="14"/>
                <w:color w:val="auto"/>
              </w:rPr>
              <w:t>At target</w:t>
            </w:r>
          </w:p>
        </w:tc>
        <w:tc>
          <w:tcPr>
            <w:tcW w:w="3580" w:type="dxa"/>
            <w:vAlign w:val="bottom"/>
          </w:tcPr>
          <w:p>
            <w:pPr>
              <w:ind w:left="720"/>
              <w:spacing w:after="0"/>
              <w:rPr>
                <w:sz w:val="20"/>
                <w:szCs w:val="20"/>
                <w:color w:val="auto"/>
              </w:rPr>
            </w:pPr>
            <w:r>
              <w:rPr>
                <w:rFonts w:ascii="Arial" w:cs="Arial" w:eastAsia="Arial" w:hAnsi="Arial"/>
                <w:sz w:val="14"/>
                <w:szCs w:val="14"/>
                <w:color w:val="auto"/>
              </w:rPr>
              <w:t>1.00</w:t>
            </w:r>
          </w:p>
        </w:tc>
      </w:tr>
      <w:tr>
        <w:trPr>
          <w:trHeight w:val="35"/>
        </w:trPr>
        <w:tc>
          <w:tcPr>
            <w:tcW w:w="2120" w:type="dxa"/>
            <w:vAlign w:val="bottom"/>
            <w:tcBorders>
              <w:bottom w:val="single" w:sz="8" w:color="B2B2B2"/>
            </w:tcBorders>
          </w:tcPr>
          <w:p>
            <w:pPr>
              <w:spacing w:after="0"/>
              <w:rPr>
                <w:sz w:val="3"/>
                <w:szCs w:val="3"/>
                <w:color w:val="auto"/>
              </w:rPr>
            </w:pPr>
          </w:p>
        </w:tc>
        <w:tc>
          <w:tcPr>
            <w:tcW w:w="3580" w:type="dxa"/>
            <w:vAlign w:val="bottom"/>
            <w:tcBorders>
              <w:bottom w:val="single" w:sz="8" w:color="B2B2B2"/>
            </w:tcBorders>
          </w:tcPr>
          <w:p>
            <w:pPr>
              <w:spacing w:after="0"/>
              <w:rPr>
                <w:sz w:val="3"/>
                <w:szCs w:val="3"/>
                <w:color w:val="auto"/>
              </w:rPr>
            </w:pPr>
          </w:p>
        </w:tc>
      </w:tr>
      <w:tr>
        <w:trPr>
          <w:trHeight w:val="201"/>
        </w:trPr>
        <w:tc>
          <w:tcPr>
            <w:tcW w:w="2120" w:type="dxa"/>
            <w:vAlign w:val="bottom"/>
          </w:tcPr>
          <w:p>
            <w:pPr>
              <w:ind w:left="20"/>
              <w:spacing w:after="0"/>
              <w:rPr>
                <w:sz w:val="20"/>
                <w:szCs w:val="20"/>
                <w:color w:val="auto"/>
              </w:rPr>
            </w:pPr>
            <w:r>
              <w:rPr>
                <w:rFonts w:ascii="Arial" w:cs="Arial" w:eastAsia="Arial" w:hAnsi="Arial"/>
                <w:sz w:val="14"/>
                <w:szCs w:val="14"/>
                <w:color w:val="auto"/>
              </w:rPr>
              <w:t>At or above maximum</w:t>
            </w:r>
          </w:p>
        </w:tc>
        <w:tc>
          <w:tcPr>
            <w:tcW w:w="3580" w:type="dxa"/>
            <w:vAlign w:val="bottom"/>
          </w:tcPr>
          <w:p>
            <w:pPr>
              <w:ind w:left="720"/>
              <w:spacing w:after="0"/>
              <w:rPr>
                <w:sz w:val="20"/>
                <w:szCs w:val="20"/>
                <w:color w:val="auto"/>
              </w:rPr>
            </w:pPr>
            <w:r>
              <w:rPr>
                <w:rFonts w:ascii="Arial" w:cs="Arial" w:eastAsia="Arial" w:hAnsi="Arial"/>
                <w:sz w:val="14"/>
                <w:szCs w:val="14"/>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708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08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0" w:right="2400"/>
        <w:spacing w:after="0" w:line="300" w:lineRule="auto"/>
        <w:rPr>
          <w:sz w:val="20"/>
          <w:szCs w:val="20"/>
          <w:color w:val="auto"/>
        </w:rPr>
      </w:pPr>
      <w:r>
        <w:rPr>
          <w:rFonts w:ascii="Arial" w:cs="Arial" w:eastAsia="Arial" w:hAnsi="Arial"/>
          <w:sz w:val="14"/>
          <w:szCs w:val="14"/>
          <w:color w:val="auto"/>
        </w:rPr>
        <w:t>We calculate the performance multiplier using a straight-line interpolation if performance is:</w:t>
      </w:r>
    </w:p>
    <w:p>
      <w:pPr>
        <w:spacing w:after="0" w:line="1" w:lineRule="exact"/>
        <w:rPr>
          <w:sz w:val="20"/>
          <w:szCs w:val="20"/>
          <w:color w:val="auto"/>
        </w:rPr>
      </w:pPr>
    </w:p>
    <w:p>
      <w:pPr>
        <w:ind w:left="150" w:hanging="150"/>
        <w:spacing w:after="0"/>
        <w:tabs>
          <w:tab w:leader="none" w:pos="15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between threshold and target, or</w:t>
      </w:r>
    </w:p>
    <w:p>
      <w:pPr>
        <w:spacing w:after="0" w:line="40" w:lineRule="exact"/>
        <w:rPr>
          <w:rFonts w:ascii="Arial" w:cs="Arial" w:eastAsia="Arial" w:hAnsi="Arial"/>
          <w:sz w:val="14"/>
          <w:szCs w:val="14"/>
          <w:color w:val="auto"/>
        </w:rPr>
      </w:pPr>
    </w:p>
    <w:p>
      <w:pPr>
        <w:ind w:left="150" w:hanging="150"/>
        <w:spacing w:after="0"/>
        <w:tabs>
          <w:tab w:leader="none" w:pos="15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between target and maximum</w:t>
      </w:r>
    </w:p>
    <w:p>
      <w:pPr>
        <w:spacing w:after="0" w:line="322" w:lineRule="exact"/>
        <w:rPr>
          <w:sz w:val="20"/>
          <w:szCs w:val="20"/>
          <w:color w:val="auto"/>
        </w:rPr>
      </w:pPr>
    </w:p>
    <w:p>
      <w:pPr>
        <w:sectPr>
          <w:pgSz w:w="11900" w:h="16838" w:orient="portrait"/>
          <w:cols w:equalWidth="0" w:num="2">
            <w:col w:w="5700" w:space="130"/>
            <w:col w:w="5410"/>
          </w:cols>
          <w:pgMar w:left="320" w:top="1097" w:right="339" w:bottom="1440" w:gutter="0" w:footer="0" w:header="0"/>
          <w:type w:val="continuous"/>
        </w:sectPr>
      </w:pPr>
    </w:p>
    <w:p>
      <w:pPr>
        <w:spacing w:after="0" w:line="3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This award provided for a performance multiplier from zero to 2.00 based on the Board’s assessment of how the company performed in terms of relative TSR and cumulative DCF per share over the course of the three-year period. Debt-to-EBITDA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is calculated as at December 31, 2025. PSU payouts were calculated using a performance multiplier of 1.79, based on the following result: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80" w:type="dxa"/>
            <w:vAlign w:val="bottom"/>
            <w:tcBorders>
              <w:top w:val="single" w:sz="8" w:color="0D64EF"/>
              <w:right w:val="single" w:sz="8" w:color="D1D0CF"/>
            </w:tcBorders>
            <w:shd w:val="clear" w:color="auto" w:fill="D1D0CF"/>
          </w:tcPr>
          <w:p>
            <w:pPr>
              <w:spacing w:after="0"/>
              <w:rPr>
                <w:sz w:val="14"/>
                <w:szCs w:val="14"/>
                <w:color w:val="auto"/>
              </w:rPr>
            </w:pPr>
          </w:p>
        </w:tc>
        <w:tc>
          <w:tcPr>
            <w:tcW w:w="1400" w:type="dxa"/>
            <w:vAlign w:val="bottom"/>
            <w:tcBorders>
              <w:top w:val="single" w:sz="8" w:color="0D64EF"/>
            </w:tcBorders>
            <w:shd w:val="clear" w:color="auto" w:fill="D1D0CF"/>
          </w:tcPr>
          <w:p>
            <w:pPr>
              <w:spacing w:after="0"/>
              <w:rPr>
                <w:sz w:val="14"/>
                <w:szCs w:val="14"/>
                <w:color w:val="auto"/>
              </w:rPr>
            </w:pPr>
          </w:p>
        </w:tc>
        <w:tc>
          <w:tcPr>
            <w:tcW w:w="40" w:type="dxa"/>
            <w:vAlign w:val="bottom"/>
            <w:tcBorders>
              <w:top w:val="single" w:sz="8" w:color="0D64EF"/>
              <w:right w:val="single" w:sz="8" w:color="D1D0CF"/>
            </w:tcBorders>
            <w:shd w:val="clear" w:color="auto" w:fill="D1D0CF"/>
          </w:tcPr>
          <w:p>
            <w:pPr>
              <w:spacing w:after="0"/>
              <w:rPr>
                <w:sz w:val="14"/>
                <w:szCs w:val="14"/>
                <w:color w:val="auto"/>
              </w:rPr>
            </w:pPr>
          </w:p>
        </w:tc>
        <w:tc>
          <w:tcPr>
            <w:tcW w:w="3420" w:type="dxa"/>
            <w:vAlign w:val="bottom"/>
            <w:tcBorders>
              <w:top w:val="single" w:sz="8" w:color="0D64EF"/>
            </w:tcBorders>
            <w:gridSpan w:val="3"/>
            <w:shd w:val="clear" w:color="auto" w:fill="D1D0CF"/>
          </w:tcPr>
          <w:p>
            <w:pPr>
              <w:jc w:val="center"/>
              <w:ind w:right="8"/>
              <w:spacing w:after="0"/>
              <w:rPr>
                <w:sz w:val="20"/>
                <w:szCs w:val="20"/>
                <w:color w:val="auto"/>
              </w:rPr>
            </w:pPr>
            <w:r>
              <w:rPr>
                <w:rFonts w:ascii="Arial" w:cs="Arial" w:eastAsia="Arial" w:hAnsi="Arial"/>
                <w:sz w:val="14"/>
                <w:szCs w:val="14"/>
                <w:b w:val="1"/>
                <w:bCs w:val="1"/>
                <w:color w:val="auto"/>
              </w:rPr>
              <w:t>Performance level targets for</w:t>
            </w:r>
          </w:p>
        </w:tc>
        <w:tc>
          <w:tcPr>
            <w:tcW w:w="1280" w:type="dxa"/>
            <w:vAlign w:val="bottom"/>
            <w:tcBorders>
              <w:top w:val="single" w:sz="8" w:color="0D64EF"/>
            </w:tcBorders>
            <w:shd w:val="clear" w:color="auto" w:fill="D1D0CF"/>
          </w:tcPr>
          <w:p>
            <w:pPr>
              <w:spacing w:after="0"/>
              <w:rPr>
                <w:sz w:val="14"/>
                <w:szCs w:val="14"/>
                <w:color w:val="auto"/>
              </w:rPr>
            </w:pPr>
          </w:p>
        </w:tc>
        <w:tc>
          <w:tcPr>
            <w:tcW w:w="1100" w:type="dxa"/>
            <w:vAlign w:val="bottom"/>
            <w:tcBorders>
              <w:top w:val="single" w:sz="8" w:color="0D64EF"/>
            </w:tcBorders>
            <w:shd w:val="clear" w:color="auto" w:fill="D1D0CF"/>
          </w:tcPr>
          <w:p>
            <w:pPr>
              <w:spacing w:after="0"/>
              <w:rPr>
                <w:sz w:val="14"/>
                <w:szCs w:val="14"/>
                <w:color w:val="auto"/>
              </w:rPr>
            </w:pPr>
          </w:p>
        </w:tc>
        <w:tc>
          <w:tcPr>
            <w:tcW w:w="1180" w:type="dxa"/>
            <w:vAlign w:val="bottom"/>
            <w:tcBorders>
              <w:top w:val="single" w:sz="8" w:color="0D64EF"/>
            </w:tcBorders>
            <w:shd w:val="clear" w:color="auto" w:fill="D1D0CF"/>
          </w:tcPr>
          <w:p>
            <w:pPr>
              <w:spacing w:after="0"/>
              <w:rPr>
                <w:sz w:val="14"/>
                <w:szCs w:val="14"/>
                <w:color w:val="auto"/>
              </w:rPr>
            </w:pPr>
          </w:p>
        </w:tc>
        <w:tc>
          <w:tcPr>
            <w:tcW w:w="1140" w:type="dxa"/>
            <w:vAlign w:val="bottom"/>
            <w:tcBorders>
              <w:top w:val="single" w:sz="8" w:color="0D64EF"/>
            </w:tcBorders>
            <w:shd w:val="clear" w:color="auto" w:fill="D1D0C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680" w:type="dxa"/>
            <w:vAlign w:val="bottom"/>
            <w:tcBorders>
              <w:bottom w:val="single" w:sz="8" w:color="D1D0CF"/>
              <w:right w:val="single" w:sz="8" w:color="D1D0CF"/>
            </w:tcBorders>
            <w:shd w:val="clear" w:color="auto" w:fill="D1D0CF"/>
          </w:tcPr>
          <w:p>
            <w:pPr>
              <w:spacing w:after="0"/>
              <w:rPr>
                <w:sz w:val="19"/>
                <w:szCs w:val="19"/>
                <w:color w:val="auto"/>
              </w:rPr>
            </w:pPr>
          </w:p>
        </w:tc>
        <w:tc>
          <w:tcPr>
            <w:tcW w:w="1400" w:type="dxa"/>
            <w:vAlign w:val="bottom"/>
            <w:tcBorders>
              <w:bottom w:val="single" w:sz="8" w:color="D1D0CF"/>
            </w:tcBorders>
            <w:shd w:val="clear" w:color="auto" w:fill="D1D0CF"/>
          </w:tcPr>
          <w:p>
            <w:pPr>
              <w:spacing w:after="0"/>
              <w:rPr>
                <w:sz w:val="19"/>
                <w:szCs w:val="19"/>
                <w:color w:val="auto"/>
              </w:rPr>
            </w:pPr>
          </w:p>
        </w:tc>
        <w:tc>
          <w:tcPr>
            <w:tcW w:w="40" w:type="dxa"/>
            <w:vAlign w:val="bottom"/>
            <w:tcBorders>
              <w:bottom w:val="single" w:sz="8" w:color="D1D0CF"/>
              <w:right w:val="single" w:sz="8" w:color="D1D0CF"/>
            </w:tcBorders>
            <w:shd w:val="clear" w:color="auto" w:fill="D1D0CF"/>
          </w:tcPr>
          <w:p>
            <w:pPr>
              <w:spacing w:after="0"/>
              <w:rPr>
                <w:sz w:val="19"/>
                <w:szCs w:val="19"/>
                <w:color w:val="auto"/>
              </w:rPr>
            </w:pPr>
          </w:p>
        </w:tc>
        <w:tc>
          <w:tcPr>
            <w:tcW w:w="1080" w:type="dxa"/>
            <w:vAlign w:val="bottom"/>
            <w:tcBorders>
              <w:bottom w:val="single" w:sz="8" w:color="D1D0CF"/>
            </w:tcBorders>
            <w:shd w:val="clear" w:color="auto" w:fill="D1D0CF"/>
          </w:tcPr>
          <w:p>
            <w:pPr>
              <w:spacing w:after="0"/>
              <w:rPr>
                <w:sz w:val="19"/>
                <w:szCs w:val="19"/>
                <w:color w:val="auto"/>
              </w:rPr>
            </w:pPr>
          </w:p>
        </w:tc>
        <w:tc>
          <w:tcPr>
            <w:tcW w:w="1280" w:type="dxa"/>
            <w:vAlign w:val="bottom"/>
            <w:tcBorders>
              <w:bottom w:val="single" w:sz="8" w:color="D1D0C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2023 PSU award</w:t>
            </w:r>
          </w:p>
        </w:tc>
        <w:tc>
          <w:tcPr>
            <w:tcW w:w="1060" w:type="dxa"/>
            <w:vAlign w:val="bottom"/>
            <w:tcBorders>
              <w:bottom w:val="single" w:sz="8" w:color="D1D0CF"/>
            </w:tcBorders>
            <w:shd w:val="clear" w:color="auto" w:fill="D1D0CF"/>
          </w:tcPr>
          <w:p>
            <w:pPr>
              <w:spacing w:after="0"/>
              <w:rPr>
                <w:sz w:val="19"/>
                <w:szCs w:val="19"/>
                <w:color w:val="auto"/>
              </w:rPr>
            </w:pPr>
          </w:p>
        </w:tc>
        <w:tc>
          <w:tcPr>
            <w:tcW w:w="1280" w:type="dxa"/>
            <w:vAlign w:val="bottom"/>
            <w:tcBorders>
              <w:bottom w:val="single" w:sz="8" w:color="D1D0C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Actual</w:t>
            </w:r>
          </w:p>
        </w:tc>
        <w:tc>
          <w:tcPr>
            <w:tcW w:w="1100" w:type="dxa"/>
            <w:vAlign w:val="bottom"/>
            <w:tcBorders>
              <w:bottom w:val="single" w:sz="8" w:color="D1D0CF"/>
            </w:tcBorders>
            <w:shd w:val="clear" w:color="auto" w:fill="D1D0CF"/>
          </w:tcPr>
          <w:p>
            <w:pPr>
              <w:spacing w:after="0"/>
              <w:rPr>
                <w:sz w:val="19"/>
                <w:szCs w:val="19"/>
                <w:color w:val="auto"/>
              </w:rPr>
            </w:pPr>
          </w:p>
        </w:tc>
        <w:tc>
          <w:tcPr>
            <w:tcW w:w="1180" w:type="dxa"/>
            <w:vAlign w:val="bottom"/>
            <w:tcBorders>
              <w:bottom w:val="single" w:sz="8" w:color="D1D0CF"/>
            </w:tcBorders>
            <w:shd w:val="clear" w:color="auto" w:fill="D1D0CF"/>
          </w:tcPr>
          <w:p>
            <w:pPr>
              <w:spacing w:after="0"/>
              <w:rPr>
                <w:sz w:val="19"/>
                <w:szCs w:val="19"/>
                <w:color w:val="auto"/>
              </w:rPr>
            </w:pPr>
          </w:p>
        </w:tc>
        <w:tc>
          <w:tcPr>
            <w:tcW w:w="1140" w:type="dxa"/>
            <w:vAlign w:val="bottom"/>
            <w:tcBorders>
              <w:bottom w:val="single" w:sz="8" w:color="D1D0C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235"/>
        </w:trPr>
        <w:tc>
          <w:tcPr>
            <w:tcW w:w="1680" w:type="dxa"/>
            <w:vAlign w:val="bottom"/>
            <w:tcBorders>
              <w:top w:val="single" w:sz="8" w:color="D1D0CF"/>
              <w:bottom w:val="single" w:sz="8" w:color="D1D0CF"/>
              <w:right w:val="single" w:sz="8" w:color="D1D0C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Measure</w:t>
            </w:r>
          </w:p>
        </w:tc>
        <w:tc>
          <w:tcPr>
            <w:tcW w:w="1400" w:type="dxa"/>
            <w:vAlign w:val="bottom"/>
            <w:tcBorders>
              <w:top w:val="single" w:sz="8" w:color="D1D0CF"/>
              <w:bottom w:val="single" w:sz="8" w:color="D1D0C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Period</w:t>
            </w:r>
          </w:p>
        </w:tc>
        <w:tc>
          <w:tcPr>
            <w:tcW w:w="40" w:type="dxa"/>
            <w:vAlign w:val="bottom"/>
            <w:tcBorders>
              <w:top w:val="single" w:sz="8" w:color="237CC1"/>
              <w:bottom w:val="single" w:sz="8" w:color="D1D0CF"/>
              <w:right w:val="single" w:sz="8" w:color="D1D0CF"/>
            </w:tcBorders>
            <w:shd w:val="clear" w:color="auto" w:fill="D1D0CF"/>
          </w:tcPr>
          <w:p>
            <w:pPr>
              <w:spacing w:after="0"/>
              <w:rPr>
                <w:sz w:val="20"/>
                <w:szCs w:val="20"/>
                <w:color w:val="auto"/>
              </w:rPr>
            </w:pPr>
          </w:p>
        </w:tc>
        <w:tc>
          <w:tcPr>
            <w:tcW w:w="1080" w:type="dxa"/>
            <w:vAlign w:val="bottom"/>
            <w:tcBorders>
              <w:top w:val="single" w:sz="8" w:color="237CC1"/>
              <w:bottom w:val="single" w:sz="8" w:color="D1D0C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Threshold</w:t>
            </w:r>
          </w:p>
        </w:tc>
        <w:tc>
          <w:tcPr>
            <w:tcW w:w="1280" w:type="dxa"/>
            <w:vAlign w:val="bottom"/>
            <w:tcBorders>
              <w:top w:val="single" w:sz="8" w:color="237CC1"/>
              <w:bottom w:val="single" w:sz="8" w:color="D1D0CF"/>
            </w:tcBorders>
            <w:shd w:val="clear" w:color="auto" w:fill="D1D0CF"/>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060" w:type="dxa"/>
            <w:vAlign w:val="bottom"/>
            <w:tcBorders>
              <w:top w:val="single" w:sz="8" w:color="237CC1"/>
              <w:bottom w:val="single" w:sz="8" w:color="D1D0CF"/>
            </w:tcBorders>
            <w:shd w:val="clear" w:color="auto" w:fill="D1D0CF"/>
          </w:tcPr>
          <w:p>
            <w:pPr>
              <w:jc w:val="center"/>
              <w:ind w:right="28"/>
              <w:spacing w:after="0"/>
              <w:rPr>
                <w:sz w:val="20"/>
                <w:szCs w:val="20"/>
                <w:color w:val="auto"/>
              </w:rPr>
            </w:pPr>
            <w:r>
              <w:rPr>
                <w:rFonts w:ascii="Arial" w:cs="Arial" w:eastAsia="Arial" w:hAnsi="Arial"/>
                <w:sz w:val="14"/>
                <w:szCs w:val="14"/>
                <w:b w:val="1"/>
                <w:bCs w:val="1"/>
                <w:color w:val="auto"/>
              </w:rPr>
              <w:t>Maximum</w:t>
            </w:r>
          </w:p>
        </w:tc>
        <w:tc>
          <w:tcPr>
            <w:tcW w:w="1280" w:type="dxa"/>
            <w:vAlign w:val="bottom"/>
            <w:tcBorders>
              <w:top w:val="single" w:sz="8" w:color="D1D0CF"/>
              <w:bottom w:val="single" w:sz="8" w:color="D1D0C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performance</w:t>
            </w:r>
          </w:p>
        </w:tc>
        <w:tc>
          <w:tcPr>
            <w:tcW w:w="1100" w:type="dxa"/>
            <w:vAlign w:val="bottom"/>
            <w:tcBorders>
              <w:top w:val="single" w:sz="8" w:color="D1D0CF"/>
              <w:bottom w:val="single" w:sz="8" w:color="D1D0CF"/>
            </w:tcBorders>
            <w:shd w:val="clear" w:color="auto" w:fill="D1D0CF"/>
          </w:tcPr>
          <w:p>
            <w:pPr>
              <w:jc w:val="center"/>
              <w:spacing w:after="0"/>
              <w:rPr>
                <w:sz w:val="20"/>
                <w:szCs w:val="20"/>
                <w:color w:val="auto"/>
              </w:rPr>
            </w:pPr>
            <w:r>
              <w:rPr>
                <w:rFonts w:ascii="Arial" w:cs="Arial" w:eastAsia="Arial" w:hAnsi="Arial"/>
                <w:sz w:val="14"/>
                <w:szCs w:val="14"/>
                <w:b w:val="1"/>
                <w:bCs w:val="1"/>
                <w:color w:val="auto"/>
                <w:w w:val="99"/>
              </w:rPr>
              <w:t>Multiplier</w:t>
            </w:r>
          </w:p>
        </w:tc>
        <w:tc>
          <w:tcPr>
            <w:tcW w:w="1180" w:type="dxa"/>
            <w:vAlign w:val="bottom"/>
            <w:tcBorders>
              <w:top w:val="single" w:sz="8" w:color="D1D0CF"/>
              <w:bottom w:val="single" w:sz="8" w:color="D1D0C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Weighting</w:t>
            </w:r>
          </w:p>
        </w:tc>
        <w:tc>
          <w:tcPr>
            <w:tcW w:w="1140" w:type="dxa"/>
            <w:vAlign w:val="bottom"/>
            <w:tcBorders>
              <w:top w:val="single" w:sz="8" w:color="D1D0CF"/>
              <w:bottom w:val="single" w:sz="8" w:color="D1D0C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multiplier</w:t>
            </w:r>
          </w:p>
        </w:tc>
        <w:tc>
          <w:tcPr>
            <w:tcW w:w="0" w:type="dxa"/>
            <w:vAlign w:val="bottom"/>
          </w:tcPr>
          <w:p>
            <w:pPr>
              <w:spacing w:after="0"/>
              <w:rPr>
                <w:sz w:val="1"/>
                <w:szCs w:val="1"/>
                <w:color w:val="auto"/>
              </w:rPr>
            </w:pPr>
          </w:p>
        </w:tc>
      </w:tr>
      <w:tr>
        <w:trPr>
          <w:trHeight w:val="145"/>
        </w:trPr>
        <w:tc>
          <w:tcPr>
            <w:tcW w:w="1680" w:type="dxa"/>
            <w:vAlign w:val="bottom"/>
            <w:tcBorders>
              <w:top w:val="single" w:sz="8" w:color="0D64EF"/>
              <w:right w:val="single" w:sz="8" w:color="B2B2B2"/>
            </w:tcBorders>
          </w:tcPr>
          <w:p>
            <w:pPr>
              <w:ind w:left="20"/>
              <w:spacing w:after="0" w:line="145" w:lineRule="exact"/>
              <w:rPr>
                <w:sz w:val="20"/>
                <w:szCs w:val="20"/>
                <w:color w:val="auto"/>
              </w:rPr>
            </w:pPr>
            <w:r>
              <w:rPr>
                <w:rFonts w:ascii="Arial" w:cs="Arial" w:eastAsia="Arial" w:hAnsi="Arial"/>
                <w:sz w:val="14"/>
                <w:szCs w:val="14"/>
                <w:color w:val="auto"/>
              </w:rPr>
              <w:t>Relative TSR against a</w:t>
            </w:r>
          </w:p>
        </w:tc>
        <w:tc>
          <w:tcPr>
            <w:tcW w:w="1400" w:type="dxa"/>
            <w:vAlign w:val="bottom"/>
          </w:tcPr>
          <w:p>
            <w:pPr>
              <w:spacing w:after="0"/>
              <w:rPr>
                <w:sz w:val="12"/>
                <w:szCs w:val="12"/>
                <w:color w:val="auto"/>
              </w:rPr>
            </w:pPr>
          </w:p>
        </w:tc>
        <w:tc>
          <w:tcPr>
            <w:tcW w:w="40" w:type="dxa"/>
            <w:vAlign w:val="bottom"/>
            <w:tcBorders>
              <w:top w:val="single" w:sz="8" w:color="0D64EF"/>
              <w:right w:val="single" w:sz="8" w:color="B2B2B2"/>
            </w:tcBorders>
          </w:tcPr>
          <w:p>
            <w:pPr>
              <w:spacing w:after="0"/>
              <w:rPr>
                <w:sz w:val="12"/>
                <w:szCs w:val="12"/>
                <w:color w:val="auto"/>
              </w:rPr>
            </w:pPr>
          </w:p>
        </w:tc>
        <w:tc>
          <w:tcPr>
            <w:tcW w:w="1080" w:type="dxa"/>
            <w:vAlign w:val="bottom"/>
            <w:tcBorders>
              <w:top w:val="single" w:sz="8" w:color="0D64EF"/>
            </w:tcBorders>
          </w:tcPr>
          <w:p>
            <w:pPr>
              <w:jc w:val="center"/>
              <w:spacing w:after="0" w:line="145" w:lineRule="exact"/>
              <w:rPr>
                <w:sz w:val="20"/>
                <w:szCs w:val="20"/>
                <w:color w:val="auto"/>
              </w:rPr>
            </w:pPr>
            <w:r>
              <w:rPr>
                <w:rFonts w:ascii="Arial" w:cs="Arial" w:eastAsia="Arial" w:hAnsi="Arial"/>
                <w:sz w:val="14"/>
                <w:szCs w:val="14"/>
                <w:color w:val="auto"/>
              </w:rPr>
              <w:t>at least the 25th</w:t>
            </w:r>
          </w:p>
        </w:tc>
        <w:tc>
          <w:tcPr>
            <w:tcW w:w="1280" w:type="dxa"/>
            <w:vAlign w:val="bottom"/>
            <w:tcBorders>
              <w:top w:val="single" w:sz="8" w:color="0D64EF"/>
            </w:tcBorders>
          </w:tcPr>
          <w:p>
            <w:pPr>
              <w:jc w:val="center"/>
              <w:ind w:right="28"/>
              <w:spacing w:after="0" w:line="145" w:lineRule="exact"/>
              <w:rPr>
                <w:sz w:val="20"/>
                <w:szCs w:val="20"/>
                <w:color w:val="auto"/>
              </w:rPr>
            </w:pPr>
            <w:r>
              <w:rPr>
                <w:rFonts w:ascii="Arial" w:cs="Arial" w:eastAsia="Arial" w:hAnsi="Arial"/>
                <w:sz w:val="14"/>
                <w:szCs w:val="14"/>
                <w:color w:val="auto"/>
              </w:rPr>
              <w:t>at least the 50th</w:t>
            </w:r>
          </w:p>
        </w:tc>
        <w:tc>
          <w:tcPr>
            <w:tcW w:w="1060" w:type="dxa"/>
            <w:vAlign w:val="bottom"/>
            <w:tcBorders>
              <w:top w:val="single" w:sz="8" w:color="0D64EF"/>
            </w:tcBorders>
          </w:tcPr>
          <w:p>
            <w:pPr>
              <w:jc w:val="center"/>
              <w:ind w:right="68"/>
              <w:spacing w:after="0" w:line="145" w:lineRule="exact"/>
              <w:rPr>
                <w:sz w:val="20"/>
                <w:szCs w:val="20"/>
                <w:color w:val="auto"/>
              </w:rPr>
            </w:pPr>
            <w:r>
              <w:rPr>
                <w:rFonts w:ascii="Arial" w:cs="Arial" w:eastAsia="Arial" w:hAnsi="Arial"/>
                <w:sz w:val="14"/>
                <w:szCs w:val="14"/>
                <w:color w:val="auto"/>
              </w:rPr>
              <w:t>at least the</w:t>
            </w:r>
          </w:p>
        </w:tc>
        <w:tc>
          <w:tcPr>
            <w:tcW w:w="1280" w:type="dxa"/>
            <w:vAlign w:val="bottom"/>
            <w:tcBorders>
              <w:top w:val="single" w:sz="8" w:color="0D64EF"/>
            </w:tcBorders>
          </w:tcPr>
          <w:p>
            <w:pPr>
              <w:jc w:val="center"/>
              <w:spacing w:after="0" w:line="145" w:lineRule="exact"/>
              <w:rPr>
                <w:sz w:val="20"/>
                <w:szCs w:val="20"/>
                <w:color w:val="auto"/>
              </w:rPr>
            </w:pPr>
            <w:r>
              <w:rPr>
                <w:rFonts w:ascii="Arial" w:cs="Arial" w:eastAsia="Arial" w:hAnsi="Arial"/>
                <w:sz w:val="14"/>
                <w:szCs w:val="14"/>
                <w:color w:val="auto"/>
              </w:rPr>
              <w:t>P72</w:t>
            </w:r>
          </w:p>
        </w:tc>
        <w:tc>
          <w:tcPr>
            <w:tcW w:w="1100" w:type="dxa"/>
            <w:vAlign w:val="bottom"/>
            <w:tcBorders>
              <w:top w:val="single" w:sz="8" w:color="0D64EF"/>
            </w:tcBorders>
          </w:tcPr>
          <w:p>
            <w:pPr>
              <w:jc w:val="center"/>
              <w:spacing w:after="0" w:line="145" w:lineRule="exact"/>
              <w:rPr>
                <w:sz w:val="20"/>
                <w:szCs w:val="20"/>
                <w:color w:val="auto"/>
              </w:rPr>
            </w:pPr>
            <w:r>
              <w:rPr>
                <w:rFonts w:ascii="Arial" w:cs="Arial" w:eastAsia="Arial" w:hAnsi="Arial"/>
                <w:sz w:val="14"/>
                <w:szCs w:val="14"/>
                <w:color w:val="auto"/>
              </w:rPr>
              <w:t>1.86</w:t>
            </w:r>
          </w:p>
        </w:tc>
        <w:tc>
          <w:tcPr>
            <w:tcW w:w="1180" w:type="dxa"/>
            <w:vAlign w:val="bottom"/>
            <w:tcBorders>
              <w:top w:val="single" w:sz="8" w:color="0D64EF"/>
            </w:tcBorders>
          </w:tcPr>
          <w:p>
            <w:pPr>
              <w:jc w:val="center"/>
              <w:spacing w:after="0" w:line="145" w:lineRule="exact"/>
              <w:rPr>
                <w:sz w:val="20"/>
                <w:szCs w:val="20"/>
                <w:color w:val="auto"/>
              </w:rPr>
            </w:pPr>
            <w:r>
              <w:rPr>
                <w:rFonts w:ascii="Arial" w:cs="Arial" w:eastAsia="Arial" w:hAnsi="Arial"/>
                <w:sz w:val="14"/>
                <w:szCs w:val="14"/>
                <w:color w:val="auto"/>
              </w:rPr>
              <w:t>25%</w:t>
            </w:r>
          </w:p>
        </w:tc>
        <w:tc>
          <w:tcPr>
            <w:tcW w:w="1140" w:type="dxa"/>
            <w:vAlign w:val="bottom"/>
            <w:tcBorders>
              <w:top w:val="single" w:sz="8" w:color="0D64EF"/>
            </w:tcBorders>
          </w:tcPr>
          <w:p>
            <w:pPr>
              <w:jc w:val="center"/>
              <w:spacing w:after="0" w:line="145"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44"/>
        </w:trPr>
        <w:tc>
          <w:tcPr>
            <w:tcW w:w="1680" w:type="dxa"/>
            <w:vAlign w:val="bottom"/>
            <w:tcBorders>
              <w:right w:val="single" w:sz="8" w:color="B2B2B2"/>
            </w:tcBorders>
          </w:tcPr>
          <w:p>
            <w:pPr>
              <w:ind w:left="20"/>
              <w:spacing w:after="0" w:line="144" w:lineRule="exact"/>
              <w:rPr>
                <w:sz w:val="20"/>
                <w:szCs w:val="20"/>
                <w:color w:val="auto"/>
              </w:rPr>
            </w:pPr>
            <w:r>
              <w:rPr>
                <w:rFonts w:ascii="Arial" w:cs="Arial" w:eastAsia="Arial" w:hAnsi="Arial"/>
                <w:sz w:val="14"/>
                <w:szCs w:val="14"/>
                <w:color w:val="auto"/>
              </w:rPr>
              <w:t>dividend subset of the</w:t>
            </w:r>
          </w:p>
        </w:tc>
        <w:tc>
          <w:tcPr>
            <w:tcW w:w="1400" w:type="dxa"/>
            <w:vAlign w:val="bottom"/>
          </w:tcPr>
          <w:p>
            <w:pPr>
              <w:spacing w:after="0"/>
              <w:rPr>
                <w:sz w:val="12"/>
                <w:szCs w:val="12"/>
                <w:color w:val="auto"/>
              </w:rPr>
            </w:pPr>
          </w:p>
        </w:tc>
        <w:tc>
          <w:tcPr>
            <w:tcW w:w="40" w:type="dxa"/>
            <w:vAlign w:val="bottom"/>
            <w:tcBorders>
              <w:right w:val="single" w:sz="8" w:color="B2B2B2"/>
            </w:tcBorders>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color w:val="auto"/>
              </w:rPr>
              <w:t>percentile</w:t>
            </w:r>
          </w:p>
        </w:tc>
        <w:tc>
          <w:tcPr>
            <w:tcW w:w="1280" w:type="dxa"/>
            <w:vAlign w:val="bottom"/>
          </w:tcPr>
          <w:p>
            <w:pPr>
              <w:jc w:val="center"/>
              <w:spacing w:after="0" w:line="144" w:lineRule="exact"/>
              <w:rPr>
                <w:sz w:val="20"/>
                <w:szCs w:val="20"/>
                <w:color w:val="auto"/>
              </w:rPr>
            </w:pPr>
            <w:r>
              <w:rPr>
                <w:rFonts w:ascii="Arial" w:cs="Arial" w:eastAsia="Arial" w:hAnsi="Arial"/>
                <w:sz w:val="14"/>
                <w:szCs w:val="14"/>
                <w:color w:val="auto"/>
              </w:rPr>
              <w:t>percentile</w:t>
            </w:r>
          </w:p>
        </w:tc>
        <w:tc>
          <w:tcPr>
            <w:tcW w:w="1060" w:type="dxa"/>
            <w:vAlign w:val="bottom"/>
          </w:tcPr>
          <w:p>
            <w:pPr>
              <w:jc w:val="center"/>
              <w:ind w:right="68"/>
              <w:spacing w:after="0" w:line="144" w:lineRule="exact"/>
              <w:rPr>
                <w:sz w:val="20"/>
                <w:szCs w:val="20"/>
                <w:color w:val="auto"/>
              </w:rPr>
            </w:pPr>
            <w:r>
              <w:rPr>
                <w:rFonts w:ascii="Arial" w:cs="Arial" w:eastAsia="Arial" w:hAnsi="Arial"/>
                <w:sz w:val="14"/>
                <w:szCs w:val="14"/>
                <w:color w:val="auto"/>
              </w:rPr>
              <w:t>75th</w:t>
            </w: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80" w:type="dxa"/>
            <w:vAlign w:val="bottom"/>
            <w:tcBorders>
              <w:right w:val="single" w:sz="8" w:color="B2B2B2"/>
            </w:tcBorders>
          </w:tcPr>
          <w:p>
            <w:pPr>
              <w:ind w:left="20"/>
              <w:spacing w:after="0"/>
              <w:rPr>
                <w:sz w:val="20"/>
                <w:szCs w:val="20"/>
                <w:color w:val="auto"/>
              </w:rPr>
            </w:pPr>
            <w:r>
              <w:rPr>
                <w:rFonts w:ascii="Arial" w:cs="Arial" w:eastAsia="Arial" w:hAnsi="Arial"/>
                <w:sz w:val="14"/>
                <w:szCs w:val="14"/>
                <w:color w:val="auto"/>
              </w:rPr>
              <w:t>TSX 60 Index</w:t>
            </w:r>
          </w:p>
        </w:tc>
        <w:tc>
          <w:tcPr>
            <w:tcW w:w="1400" w:type="dxa"/>
            <w:vAlign w:val="bottom"/>
          </w:tcPr>
          <w:p>
            <w:pPr>
              <w:spacing w:after="0"/>
              <w:rPr>
                <w:sz w:val="16"/>
                <w:szCs w:val="16"/>
                <w:color w:val="auto"/>
              </w:rPr>
            </w:pPr>
          </w:p>
        </w:tc>
        <w:tc>
          <w:tcPr>
            <w:tcW w:w="40" w:type="dxa"/>
            <w:vAlign w:val="bottom"/>
            <w:tcBorders>
              <w:right w:val="single" w:sz="8" w:color="B2B2B2"/>
            </w:tcBorders>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color w:val="auto"/>
              </w:rPr>
              <w:t>percentile</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80" w:type="dxa"/>
            <w:vAlign w:val="bottom"/>
            <w:tcBorders>
              <w:bottom w:val="single" w:sz="8" w:color="B2B2B2"/>
              <w:right w:val="single" w:sz="8" w:color="B2B2B2"/>
            </w:tcBorders>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Borders>
              <w:right w:val="single" w:sz="8" w:color="B2B2B2"/>
            </w:tcBorders>
          </w:tcPr>
          <w:p>
            <w:pPr>
              <w:spacing w:after="0"/>
              <w:rPr>
                <w:sz w:val="2"/>
                <w:szCs w:val="2"/>
                <w:color w:val="auto"/>
              </w:rPr>
            </w:pPr>
          </w:p>
        </w:tc>
        <w:tc>
          <w:tcPr>
            <w:tcW w:w="1080" w:type="dxa"/>
            <w:vAlign w:val="bottom"/>
            <w:tcBorders>
              <w:bottom w:val="single" w:sz="8" w:color="B2B2B2"/>
            </w:tcBorders>
          </w:tcPr>
          <w:p>
            <w:pPr>
              <w:spacing w:after="0"/>
              <w:rPr>
                <w:sz w:val="2"/>
                <w:szCs w:val="2"/>
                <w:color w:val="auto"/>
              </w:rPr>
            </w:pPr>
          </w:p>
        </w:tc>
        <w:tc>
          <w:tcPr>
            <w:tcW w:w="1280" w:type="dxa"/>
            <w:vAlign w:val="bottom"/>
            <w:tcBorders>
              <w:bottom w:val="single" w:sz="8" w:color="B2B2B2"/>
            </w:tcBorders>
          </w:tcPr>
          <w:p>
            <w:pPr>
              <w:spacing w:after="0"/>
              <w:rPr>
                <w:sz w:val="2"/>
                <w:szCs w:val="2"/>
                <w:color w:val="auto"/>
              </w:rPr>
            </w:pPr>
          </w:p>
        </w:tc>
        <w:tc>
          <w:tcPr>
            <w:tcW w:w="1060" w:type="dxa"/>
            <w:vAlign w:val="bottom"/>
            <w:tcBorders>
              <w:bottom w:val="single" w:sz="8" w:color="B2B2B2"/>
            </w:tcBorders>
          </w:tcPr>
          <w:p>
            <w:pPr>
              <w:spacing w:after="0"/>
              <w:rPr>
                <w:sz w:val="2"/>
                <w:szCs w:val="2"/>
                <w:color w:val="auto"/>
              </w:rPr>
            </w:pPr>
          </w:p>
        </w:tc>
        <w:tc>
          <w:tcPr>
            <w:tcW w:w="1280" w:type="dxa"/>
            <w:vAlign w:val="bottom"/>
            <w:tcBorders>
              <w:bottom w:val="single" w:sz="8" w:color="B2B2B2"/>
            </w:tcBorders>
          </w:tcPr>
          <w:p>
            <w:pPr>
              <w:spacing w:after="0"/>
              <w:rPr>
                <w:sz w:val="2"/>
                <w:szCs w:val="2"/>
                <w:color w:val="auto"/>
              </w:rPr>
            </w:pPr>
          </w:p>
        </w:tc>
        <w:tc>
          <w:tcPr>
            <w:tcW w:w="1100" w:type="dxa"/>
            <w:vAlign w:val="bottom"/>
            <w:tcBorders>
              <w:bottom w:val="single" w:sz="8" w:color="B2B2B2"/>
            </w:tcBorders>
          </w:tcPr>
          <w:p>
            <w:pPr>
              <w:spacing w:after="0"/>
              <w:rPr>
                <w:sz w:val="2"/>
                <w:szCs w:val="2"/>
                <w:color w:val="auto"/>
              </w:rPr>
            </w:pPr>
          </w:p>
        </w:tc>
        <w:tc>
          <w:tcPr>
            <w:tcW w:w="1180" w:type="dxa"/>
            <w:vAlign w:val="bottom"/>
            <w:tcBorders>
              <w:bottom w:val="single" w:sz="8" w:color="B2B2B2"/>
            </w:tcBorders>
          </w:tcPr>
          <w:p>
            <w:pPr>
              <w:spacing w:after="0"/>
              <w:rPr>
                <w:sz w:val="2"/>
                <w:szCs w:val="2"/>
                <w:color w:val="auto"/>
              </w:rPr>
            </w:pPr>
          </w:p>
        </w:tc>
        <w:tc>
          <w:tcPr>
            <w:tcW w:w="114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1680" w:type="dxa"/>
            <w:vAlign w:val="bottom"/>
            <w:tcBorders>
              <w:right w:val="single" w:sz="8" w:color="B2B2B2"/>
            </w:tcBorders>
          </w:tcPr>
          <w:p>
            <w:pPr>
              <w:ind w:left="20"/>
              <w:spacing w:after="0" w:line="145" w:lineRule="exact"/>
              <w:rPr>
                <w:sz w:val="20"/>
                <w:szCs w:val="20"/>
                <w:color w:val="auto"/>
              </w:rPr>
            </w:pPr>
            <w:r>
              <w:rPr>
                <w:rFonts w:ascii="Arial" w:cs="Arial" w:eastAsia="Arial" w:hAnsi="Arial"/>
                <w:sz w:val="14"/>
                <w:szCs w:val="14"/>
                <w:color w:val="auto"/>
              </w:rPr>
              <w:t>Relative TSR against the</w:t>
            </w:r>
          </w:p>
        </w:tc>
        <w:tc>
          <w:tcPr>
            <w:tcW w:w="1400" w:type="dxa"/>
            <w:vAlign w:val="bottom"/>
          </w:tcPr>
          <w:p>
            <w:pPr>
              <w:spacing w:after="0"/>
              <w:rPr>
                <w:sz w:val="12"/>
                <w:szCs w:val="12"/>
                <w:color w:val="auto"/>
              </w:rPr>
            </w:pPr>
          </w:p>
        </w:tc>
        <w:tc>
          <w:tcPr>
            <w:tcW w:w="40" w:type="dxa"/>
            <w:vAlign w:val="bottom"/>
            <w:tcBorders>
              <w:right w:val="single" w:sz="8" w:color="B2B2B2"/>
            </w:tcBorders>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color w:val="auto"/>
              </w:rPr>
              <w:t>at least the 25th</w:t>
            </w:r>
          </w:p>
        </w:tc>
        <w:tc>
          <w:tcPr>
            <w:tcW w:w="128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at least the 50th</w:t>
            </w:r>
          </w:p>
        </w:tc>
        <w:tc>
          <w:tcPr>
            <w:tcW w:w="1060" w:type="dxa"/>
            <w:vAlign w:val="bottom"/>
          </w:tcPr>
          <w:p>
            <w:pPr>
              <w:jc w:val="center"/>
              <w:ind w:right="68"/>
              <w:spacing w:after="0" w:line="145" w:lineRule="exact"/>
              <w:rPr>
                <w:sz w:val="20"/>
                <w:szCs w:val="20"/>
                <w:color w:val="auto"/>
              </w:rPr>
            </w:pPr>
            <w:r>
              <w:rPr>
                <w:rFonts w:ascii="Arial" w:cs="Arial" w:eastAsia="Arial" w:hAnsi="Arial"/>
                <w:sz w:val="14"/>
                <w:szCs w:val="14"/>
                <w:color w:val="auto"/>
              </w:rPr>
              <w:t>at least the</w:t>
            </w:r>
          </w:p>
        </w:tc>
        <w:tc>
          <w:tcPr>
            <w:tcW w:w="1280" w:type="dxa"/>
            <w:vAlign w:val="bottom"/>
          </w:tcPr>
          <w:p>
            <w:pPr>
              <w:jc w:val="center"/>
              <w:spacing w:after="0" w:line="145" w:lineRule="exact"/>
              <w:rPr>
                <w:sz w:val="20"/>
                <w:szCs w:val="20"/>
                <w:color w:val="auto"/>
              </w:rPr>
            </w:pPr>
            <w:r>
              <w:rPr>
                <w:rFonts w:ascii="Arial" w:cs="Arial" w:eastAsia="Arial" w:hAnsi="Arial"/>
                <w:sz w:val="14"/>
                <w:szCs w:val="14"/>
                <w:color w:val="auto"/>
              </w:rPr>
              <w:t>P87</w:t>
            </w:r>
          </w:p>
        </w:tc>
        <w:tc>
          <w:tcPr>
            <w:tcW w:w="1100" w:type="dxa"/>
            <w:vAlign w:val="bottom"/>
          </w:tcPr>
          <w:p>
            <w:pPr>
              <w:jc w:val="center"/>
              <w:spacing w:after="0" w:line="145" w:lineRule="exact"/>
              <w:rPr>
                <w:sz w:val="20"/>
                <w:szCs w:val="20"/>
                <w:color w:val="auto"/>
              </w:rPr>
            </w:pPr>
            <w:r>
              <w:rPr>
                <w:rFonts w:ascii="Arial" w:cs="Arial" w:eastAsia="Arial" w:hAnsi="Arial"/>
                <w:sz w:val="14"/>
                <w:szCs w:val="14"/>
                <w:color w:val="auto"/>
              </w:rPr>
              <w:t>2.00</w:t>
            </w:r>
          </w:p>
        </w:tc>
        <w:tc>
          <w:tcPr>
            <w:tcW w:w="1180" w:type="dxa"/>
            <w:vAlign w:val="bottom"/>
          </w:tcPr>
          <w:p>
            <w:pPr>
              <w:jc w:val="center"/>
              <w:spacing w:after="0" w:line="145" w:lineRule="exact"/>
              <w:rPr>
                <w:sz w:val="20"/>
                <w:szCs w:val="20"/>
                <w:color w:val="auto"/>
              </w:rPr>
            </w:pPr>
            <w:r>
              <w:rPr>
                <w:rFonts w:ascii="Arial" w:cs="Arial" w:eastAsia="Arial" w:hAnsi="Arial"/>
                <w:sz w:val="14"/>
                <w:szCs w:val="14"/>
                <w:color w:val="auto"/>
              </w:rPr>
              <w:t>25%</w:t>
            </w:r>
          </w:p>
        </w:tc>
        <w:tc>
          <w:tcPr>
            <w:tcW w:w="1140" w:type="dxa"/>
            <w:vAlign w:val="bottom"/>
          </w:tcPr>
          <w:p>
            <w:pPr>
              <w:jc w:val="center"/>
              <w:spacing w:after="0" w:line="145" w:lineRule="exact"/>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44"/>
        </w:trPr>
        <w:tc>
          <w:tcPr>
            <w:tcW w:w="1680" w:type="dxa"/>
            <w:vAlign w:val="bottom"/>
            <w:tcBorders>
              <w:right w:val="single" w:sz="8" w:color="B2B2B2"/>
            </w:tcBorders>
          </w:tcPr>
          <w:p>
            <w:pPr>
              <w:ind w:left="20"/>
              <w:spacing w:after="0" w:line="144" w:lineRule="exact"/>
              <w:rPr>
                <w:sz w:val="20"/>
                <w:szCs w:val="20"/>
                <w:color w:val="auto"/>
              </w:rPr>
            </w:pPr>
            <w:r>
              <w:rPr>
                <w:rFonts w:ascii="Arial" w:cs="Arial" w:eastAsia="Arial" w:hAnsi="Arial"/>
                <w:sz w:val="14"/>
                <w:szCs w:val="14"/>
                <w:color w:val="auto"/>
              </w:rPr>
              <w:t>PSU industry peer group</w:t>
            </w:r>
          </w:p>
        </w:tc>
        <w:tc>
          <w:tcPr>
            <w:tcW w:w="1400" w:type="dxa"/>
            <w:vAlign w:val="bottom"/>
          </w:tcPr>
          <w:p>
            <w:pPr>
              <w:spacing w:after="0"/>
              <w:rPr>
                <w:sz w:val="12"/>
                <w:szCs w:val="12"/>
                <w:color w:val="auto"/>
              </w:rPr>
            </w:pPr>
          </w:p>
        </w:tc>
        <w:tc>
          <w:tcPr>
            <w:tcW w:w="40" w:type="dxa"/>
            <w:vAlign w:val="bottom"/>
            <w:tcBorders>
              <w:right w:val="single" w:sz="8" w:color="B2B2B2"/>
            </w:tcBorders>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color w:val="auto"/>
              </w:rPr>
              <w:t>percentile</w:t>
            </w:r>
          </w:p>
        </w:tc>
        <w:tc>
          <w:tcPr>
            <w:tcW w:w="1280" w:type="dxa"/>
            <w:vAlign w:val="bottom"/>
          </w:tcPr>
          <w:p>
            <w:pPr>
              <w:jc w:val="center"/>
              <w:spacing w:after="0" w:line="144" w:lineRule="exact"/>
              <w:rPr>
                <w:sz w:val="20"/>
                <w:szCs w:val="20"/>
                <w:color w:val="auto"/>
              </w:rPr>
            </w:pPr>
            <w:r>
              <w:rPr>
                <w:rFonts w:ascii="Arial" w:cs="Arial" w:eastAsia="Arial" w:hAnsi="Arial"/>
                <w:sz w:val="14"/>
                <w:szCs w:val="14"/>
                <w:color w:val="auto"/>
              </w:rPr>
              <w:t>percentile</w:t>
            </w:r>
          </w:p>
        </w:tc>
        <w:tc>
          <w:tcPr>
            <w:tcW w:w="1060" w:type="dxa"/>
            <w:vAlign w:val="bottom"/>
          </w:tcPr>
          <w:p>
            <w:pPr>
              <w:jc w:val="center"/>
              <w:ind w:right="68"/>
              <w:spacing w:after="0" w:line="144" w:lineRule="exact"/>
              <w:rPr>
                <w:sz w:val="20"/>
                <w:szCs w:val="20"/>
                <w:color w:val="auto"/>
              </w:rPr>
            </w:pPr>
            <w:r>
              <w:rPr>
                <w:rFonts w:ascii="Arial" w:cs="Arial" w:eastAsia="Arial" w:hAnsi="Arial"/>
                <w:sz w:val="14"/>
                <w:szCs w:val="14"/>
                <w:color w:val="auto"/>
              </w:rPr>
              <w:t>75th</w:t>
            </w: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80" w:type="dxa"/>
            <w:vAlign w:val="bottom"/>
            <w:tcBorders>
              <w:right w:val="single" w:sz="8" w:color="B2B2B2"/>
            </w:tcBorders>
          </w:tcPr>
          <w:p>
            <w:pPr>
              <w:spacing w:after="0"/>
              <w:rPr>
                <w:sz w:val="16"/>
                <w:szCs w:val="16"/>
                <w:color w:val="auto"/>
              </w:rPr>
            </w:pPr>
          </w:p>
        </w:tc>
        <w:tc>
          <w:tcPr>
            <w:tcW w:w="1440" w:type="dxa"/>
            <w:vAlign w:val="bottom"/>
            <w:tcBorders>
              <w:right w:val="single" w:sz="8" w:color="B2B2B2"/>
            </w:tcBorders>
            <w:gridSpan w:val="2"/>
          </w:tcPr>
          <w:p>
            <w:pPr>
              <w:jc w:val="center"/>
              <w:ind w:right="60"/>
              <w:spacing w:after="0"/>
              <w:rPr>
                <w:sz w:val="20"/>
                <w:szCs w:val="20"/>
                <w:color w:val="auto"/>
              </w:rPr>
            </w:pPr>
            <w:r>
              <w:rPr>
                <w:rFonts w:ascii="Arial" w:cs="Arial" w:eastAsia="Arial" w:hAnsi="Arial"/>
                <w:sz w:val="14"/>
                <w:szCs w:val="14"/>
                <w:color w:val="auto"/>
              </w:rPr>
              <w:t>January 1, 2023 to</w:t>
            </w: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color w:val="auto"/>
              </w:rPr>
              <w:t>percentile</w:t>
            </w: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1680" w:type="dxa"/>
            <w:vAlign w:val="bottom"/>
            <w:tcBorders>
              <w:bottom w:val="single" w:sz="8" w:color="B2B2B2"/>
              <w:right w:val="single" w:sz="8" w:color="B2B2B2"/>
            </w:tcBorders>
          </w:tcPr>
          <w:p>
            <w:pPr>
              <w:spacing w:after="0"/>
              <w:rPr>
                <w:sz w:val="7"/>
                <w:szCs w:val="7"/>
                <w:color w:val="auto"/>
              </w:rPr>
            </w:pPr>
          </w:p>
        </w:tc>
        <w:tc>
          <w:tcPr>
            <w:tcW w:w="1440" w:type="dxa"/>
            <w:vAlign w:val="bottom"/>
            <w:tcBorders>
              <w:right w:val="single" w:sz="8" w:color="B2B2B2"/>
            </w:tcBorders>
            <w:gridSpan w:val="2"/>
            <w:vMerge w:val="restart"/>
          </w:tcPr>
          <w:p>
            <w:pPr>
              <w:jc w:val="center"/>
              <w:ind w:right="60"/>
              <w:spacing w:after="0"/>
              <w:rPr>
                <w:sz w:val="20"/>
                <w:szCs w:val="20"/>
                <w:color w:val="auto"/>
              </w:rPr>
            </w:pPr>
            <w:r>
              <w:rPr>
                <w:rFonts w:ascii="Arial" w:cs="Arial" w:eastAsia="Arial" w:hAnsi="Arial"/>
                <w:sz w:val="14"/>
                <w:szCs w:val="14"/>
                <w:color w:val="auto"/>
              </w:rPr>
              <w:t>December 31, 2025</w:t>
            </w:r>
          </w:p>
        </w:tc>
        <w:tc>
          <w:tcPr>
            <w:tcW w:w="1080" w:type="dxa"/>
            <w:vAlign w:val="bottom"/>
            <w:tcBorders>
              <w:bottom w:val="single" w:sz="8" w:color="B2B2B2"/>
            </w:tcBorders>
          </w:tcPr>
          <w:p>
            <w:pPr>
              <w:spacing w:after="0"/>
              <w:rPr>
                <w:sz w:val="7"/>
                <w:szCs w:val="7"/>
                <w:color w:val="auto"/>
              </w:rPr>
            </w:pPr>
          </w:p>
        </w:tc>
        <w:tc>
          <w:tcPr>
            <w:tcW w:w="1280" w:type="dxa"/>
            <w:vAlign w:val="bottom"/>
            <w:tcBorders>
              <w:bottom w:val="single" w:sz="8" w:color="B2B2B2"/>
            </w:tcBorders>
          </w:tcPr>
          <w:p>
            <w:pPr>
              <w:spacing w:after="0"/>
              <w:rPr>
                <w:sz w:val="7"/>
                <w:szCs w:val="7"/>
                <w:color w:val="auto"/>
              </w:rPr>
            </w:pPr>
          </w:p>
        </w:tc>
        <w:tc>
          <w:tcPr>
            <w:tcW w:w="1060" w:type="dxa"/>
            <w:vAlign w:val="bottom"/>
            <w:tcBorders>
              <w:bottom w:val="single" w:sz="8" w:color="B2B2B2"/>
            </w:tcBorders>
          </w:tcPr>
          <w:p>
            <w:pPr>
              <w:spacing w:after="0"/>
              <w:rPr>
                <w:sz w:val="7"/>
                <w:szCs w:val="7"/>
                <w:color w:val="auto"/>
              </w:rPr>
            </w:pPr>
          </w:p>
        </w:tc>
        <w:tc>
          <w:tcPr>
            <w:tcW w:w="1280" w:type="dxa"/>
            <w:vAlign w:val="bottom"/>
            <w:tcBorders>
              <w:bottom w:val="single" w:sz="8" w:color="B2B2B2"/>
            </w:tcBorders>
          </w:tcPr>
          <w:p>
            <w:pPr>
              <w:spacing w:after="0"/>
              <w:rPr>
                <w:sz w:val="7"/>
                <w:szCs w:val="7"/>
                <w:color w:val="auto"/>
              </w:rPr>
            </w:pPr>
          </w:p>
        </w:tc>
        <w:tc>
          <w:tcPr>
            <w:tcW w:w="1100" w:type="dxa"/>
            <w:vAlign w:val="bottom"/>
            <w:tcBorders>
              <w:bottom w:val="single" w:sz="8" w:color="B2B2B2"/>
            </w:tcBorders>
          </w:tcPr>
          <w:p>
            <w:pPr>
              <w:spacing w:after="0"/>
              <w:rPr>
                <w:sz w:val="7"/>
                <w:szCs w:val="7"/>
                <w:color w:val="auto"/>
              </w:rPr>
            </w:pPr>
          </w:p>
        </w:tc>
        <w:tc>
          <w:tcPr>
            <w:tcW w:w="1180" w:type="dxa"/>
            <w:vAlign w:val="bottom"/>
            <w:tcBorders>
              <w:bottom w:val="single" w:sz="8" w:color="B2B2B2"/>
            </w:tcBorders>
          </w:tcPr>
          <w:p>
            <w:pPr>
              <w:spacing w:after="0"/>
              <w:rPr>
                <w:sz w:val="7"/>
                <w:szCs w:val="7"/>
                <w:color w:val="auto"/>
              </w:rPr>
            </w:pPr>
          </w:p>
        </w:tc>
        <w:tc>
          <w:tcPr>
            <w:tcW w:w="1140" w:type="dxa"/>
            <w:vAlign w:val="bottom"/>
            <w:tcBorders>
              <w:bottom w:val="single" w:sz="8" w:color="B2B2B2"/>
            </w:tcBorders>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1680" w:type="dxa"/>
            <w:vAlign w:val="bottom"/>
            <w:tcBorders>
              <w:right w:val="single" w:sz="8" w:color="B2B2B2"/>
            </w:tcBorders>
          </w:tcPr>
          <w:p>
            <w:pPr>
              <w:ind w:left="20"/>
              <w:spacing w:after="0" w:line="145" w:lineRule="exact"/>
              <w:rPr>
                <w:sz w:val="20"/>
                <w:szCs w:val="20"/>
                <w:color w:val="auto"/>
              </w:rPr>
            </w:pPr>
            <w:r>
              <w:rPr>
                <w:rFonts w:ascii="Arial" w:cs="Arial" w:eastAsia="Arial" w:hAnsi="Arial"/>
                <w:sz w:val="14"/>
                <w:szCs w:val="14"/>
                <w:color w:val="auto"/>
              </w:rPr>
              <w:t>Comparable Distributable</w:t>
            </w:r>
          </w:p>
        </w:tc>
        <w:tc>
          <w:tcPr>
            <w:tcW w:w="1440" w:type="dxa"/>
            <w:vAlign w:val="bottom"/>
            <w:tcBorders>
              <w:right w:val="single" w:sz="8" w:color="B2B2B2"/>
            </w:tcBorders>
            <w:gridSpan w:val="2"/>
            <w:vMerge w:val="continue"/>
          </w:tcPr>
          <w:p>
            <w:pPr>
              <w:spacing w:after="0"/>
              <w:rPr>
                <w:sz w:val="12"/>
                <w:szCs w:val="12"/>
                <w:color w:val="auto"/>
              </w:rPr>
            </w:pPr>
          </w:p>
        </w:tc>
        <w:tc>
          <w:tcPr>
            <w:tcW w:w="1080" w:type="dxa"/>
            <w:vAlign w:val="bottom"/>
          </w:tcPr>
          <w:p>
            <w:pPr>
              <w:jc w:val="right"/>
              <w:ind w:right="288"/>
              <w:spacing w:after="0" w:line="145" w:lineRule="exact"/>
              <w:rPr>
                <w:sz w:val="20"/>
                <w:szCs w:val="20"/>
                <w:color w:val="auto"/>
              </w:rPr>
            </w:pPr>
            <w:r>
              <w:rPr>
                <w:rFonts w:ascii="Arial" w:cs="Arial" w:eastAsia="Arial" w:hAnsi="Arial"/>
                <w:sz w:val="14"/>
                <w:szCs w:val="14"/>
                <w:color w:val="auto"/>
              </w:rPr>
              <w:t>18.60</w:t>
            </w:r>
          </w:p>
        </w:tc>
        <w:tc>
          <w:tcPr>
            <w:tcW w:w="1280" w:type="dxa"/>
            <w:vAlign w:val="bottom"/>
          </w:tcPr>
          <w:p>
            <w:pPr>
              <w:jc w:val="right"/>
              <w:ind w:right="428"/>
              <w:spacing w:after="0" w:line="145" w:lineRule="exact"/>
              <w:rPr>
                <w:sz w:val="20"/>
                <w:szCs w:val="20"/>
                <w:color w:val="auto"/>
              </w:rPr>
            </w:pPr>
            <w:r>
              <w:rPr>
                <w:rFonts w:ascii="Arial" w:cs="Arial" w:eastAsia="Arial" w:hAnsi="Arial"/>
                <w:sz w:val="14"/>
                <w:szCs w:val="14"/>
                <w:color w:val="auto"/>
              </w:rPr>
              <w:t>19.65</w:t>
            </w:r>
          </w:p>
        </w:tc>
        <w:tc>
          <w:tcPr>
            <w:tcW w:w="106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20.69</w:t>
            </w:r>
          </w:p>
        </w:tc>
        <w:tc>
          <w:tcPr>
            <w:tcW w:w="1280" w:type="dxa"/>
            <w:vAlign w:val="bottom"/>
          </w:tcPr>
          <w:p>
            <w:pPr>
              <w:jc w:val="center"/>
              <w:spacing w:after="0" w:line="145" w:lineRule="exact"/>
              <w:rPr>
                <w:sz w:val="20"/>
                <w:szCs w:val="20"/>
                <w:color w:val="auto"/>
              </w:rPr>
            </w:pPr>
            <w:r>
              <w:rPr>
                <w:rFonts w:ascii="Arial" w:cs="Arial" w:eastAsia="Arial" w:hAnsi="Arial"/>
                <w:sz w:val="14"/>
                <w:szCs w:val="14"/>
                <w:color w:val="auto"/>
              </w:rPr>
              <w:t>20.42</w:t>
            </w:r>
          </w:p>
        </w:tc>
        <w:tc>
          <w:tcPr>
            <w:tcW w:w="1100" w:type="dxa"/>
            <w:vAlign w:val="bottom"/>
          </w:tcPr>
          <w:p>
            <w:pPr>
              <w:jc w:val="center"/>
              <w:spacing w:after="0" w:line="145" w:lineRule="exact"/>
              <w:rPr>
                <w:sz w:val="20"/>
                <w:szCs w:val="20"/>
                <w:color w:val="auto"/>
              </w:rPr>
            </w:pPr>
            <w:r>
              <w:rPr>
                <w:rFonts w:ascii="Arial" w:cs="Arial" w:eastAsia="Arial" w:hAnsi="Arial"/>
                <w:sz w:val="14"/>
                <w:szCs w:val="14"/>
                <w:color w:val="auto"/>
              </w:rPr>
              <w:t>1.74</w:t>
            </w:r>
          </w:p>
        </w:tc>
        <w:tc>
          <w:tcPr>
            <w:tcW w:w="1180" w:type="dxa"/>
            <w:vAlign w:val="bottom"/>
          </w:tcPr>
          <w:p>
            <w:pPr>
              <w:jc w:val="center"/>
              <w:spacing w:after="0" w:line="145" w:lineRule="exact"/>
              <w:rPr>
                <w:sz w:val="20"/>
                <w:szCs w:val="20"/>
                <w:color w:val="auto"/>
              </w:rPr>
            </w:pPr>
            <w:r>
              <w:rPr>
                <w:rFonts w:ascii="Arial" w:cs="Arial" w:eastAsia="Arial" w:hAnsi="Arial"/>
                <w:sz w:val="14"/>
                <w:szCs w:val="14"/>
                <w:color w:val="auto"/>
              </w:rPr>
              <w:t>25%</w:t>
            </w:r>
          </w:p>
        </w:tc>
        <w:tc>
          <w:tcPr>
            <w:tcW w:w="1140" w:type="dxa"/>
            <w:vAlign w:val="bottom"/>
          </w:tcPr>
          <w:p>
            <w:pPr>
              <w:jc w:val="center"/>
              <w:spacing w:after="0" w:line="145" w:lineRule="exact"/>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44"/>
        </w:trPr>
        <w:tc>
          <w:tcPr>
            <w:tcW w:w="1680" w:type="dxa"/>
            <w:vAlign w:val="bottom"/>
            <w:tcBorders>
              <w:right w:val="single" w:sz="8" w:color="B2B2B2"/>
            </w:tcBorders>
          </w:tcPr>
          <w:p>
            <w:pPr>
              <w:ind w:left="20"/>
              <w:spacing w:after="0" w:line="144" w:lineRule="exact"/>
              <w:rPr>
                <w:sz w:val="20"/>
                <w:szCs w:val="20"/>
                <w:color w:val="auto"/>
              </w:rPr>
            </w:pPr>
            <w:r>
              <w:rPr>
                <w:rFonts w:ascii="Arial" w:cs="Arial" w:eastAsia="Arial" w:hAnsi="Arial"/>
                <w:sz w:val="14"/>
                <w:szCs w:val="14"/>
                <w:color w:val="auto"/>
              </w:rPr>
              <w:t>cash flow (DCF) per</w:t>
            </w:r>
          </w:p>
        </w:tc>
        <w:tc>
          <w:tcPr>
            <w:tcW w:w="1400" w:type="dxa"/>
            <w:vAlign w:val="bottom"/>
          </w:tcPr>
          <w:p>
            <w:pPr>
              <w:spacing w:after="0"/>
              <w:rPr>
                <w:sz w:val="12"/>
                <w:szCs w:val="12"/>
                <w:color w:val="auto"/>
              </w:rPr>
            </w:pPr>
          </w:p>
        </w:tc>
        <w:tc>
          <w:tcPr>
            <w:tcW w:w="40" w:type="dxa"/>
            <w:vAlign w:val="bottom"/>
            <w:tcBorders>
              <w:right w:val="single" w:sz="8" w:color="B2B2B2"/>
            </w:tcBorders>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80" w:type="dxa"/>
            <w:vAlign w:val="bottom"/>
            <w:tcBorders>
              <w:right w:val="single" w:sz="8" w:color="B2B2B2"/>
            </w:tcBorders>
          </w:tcPr>
          <w:p>
            <w:pPr>
              <w:ind w:left="20"/>
              <w:spacing w:after="0" w:line="139" w:lineRule="exact"/>
              <w:rPr>
                <w:sz w:val="20"/>
                <w:szCs w:val="20"/>
                <w:color w:val="auto"/>
              </w:rPr>
            </w:pPr>
            <w:r>
              <w:rPr>
                <w:rFonts w:ascii="Arial" w:cs="Arial" w:eastAsia="Arial" w:hAnsi="Arial"/>
                <w:sz w:val="14"/>
                <w:szCs w:val="14"/>
                <w:color w:val="auto"/>
              </w:rPr>
              <w:t>share for compensation</w:t>
            </w:r>
          </w:p>
        </w:tc>
        <w:tc>
          <w:tcPr>
            <w:tcW w:w="1400" w:type="dxa"/>
            <w:vAlign w:val="bottom"/>
          </w:tcPr>
          <w:p>
            <w:pPr>
              <w:spacing w:after="0"/>
              <w:rPr>
                <w:sz w:val="12"/>
                <w:szCs w:val="12"/>
                <w:color w:val="auto"/>
              </w:rPr>
            </w:pPr>
          </w:p>
        </w:tc>
        <w:tc>
          <w:tcPr>
            <w:tcW w:w="40" w:type="dxa"/>
            <w:vAlign w:val="bottom"/>
            <w:tcBorders>
              <w:right w:val="single" w:sz="8" w:color="B2B2B2"/>
            </w:tcBorders>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80" w:type="dxa"/>
            <w:vAlign w:val="bottom"/>
            <w:tcBorders>
              <w:right w:val="single" w:sz="8" w:color="B2B2B2"/>
            </w:tcBorders>
          </w:tcPr>
          <w:p>
            <w:pPr>
              <w:ind w:left="20"/>
              <w:spacing w:after="0"/>
              <w:rPr>
                <w:sz w:val="20"/>
                <w:szCs w:val="20"/>
                <w:color w:val="auto"/>
              </w:rPr>
            </w:pPr>
            <w:r>
              <w:rPr>
                <w:rFonts w:ascii="Arial" w:cs="Arial" w:eastAsia="Arial" w:hAnsi="Arial"/>
                <w:sz w:val="14"/>
                <w:szCs w:val="14"/>
                <w:color w:val="auto"/>
              </w:rPr>
              <w:t>purposes</w:t>
            </w:r>
          </w:p>
        </w:tc>
        <w:tc>
          <w:tcPr>
            <w:tcW w:w="1400" w:type="dxa"/>
            <w:vAlign w:val="bottom"/>
          </w:tcPr>
          <w:p>
            <w:pPr>
              <w:spacing w:after="0"/>
              <w:rPr>
                <w:sz w:val="16"/>
                <w:szCs w:val="16"/>
                <w:color w:val="auto"/>
              </w:rPr>
            </w:pPr>
          </w:p>
        </w:tc>
        <w:tc>
          <w:tcPr>
            <w:tcW w:w="40" w:type="dxa"/>
            <w:vAlign w:val="bottom"/>
            <w:tcBorders>
              <w:right w:val="single" w:sz="8" w:color="B2B2B2"/>
            </w:tcBorders>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680" w:type="dxa"/>
            <w:vAlign w:val="bottom"/>
            <w:tcBorders>
              <w:bottom w:val="single" w:sz="8" w:color="B2B2B2"/>
              <w:right w:val="single" w:sz="8" w:color="B2B2B2"/>
            </w:tcBorders>
          </w:tcPr>
          <w:p>
            <w:pPr>
              <w:spacing w:after="0"/>
              <w:rPr>
                <w:sz w:val="24"/>
                <w:szCs w:val="24"/>
                <w:color w:val="auto"/>
              </w:rPr>
            </w:pPr>
          </w:p>
        </w:tc>
        <w:tc>
          <w:tcPr>
            <w:tcW w:w="1400" w:type="dxa"/>
            <w:vAlign w:val="bottom"/>
            <w:tcBorders>
              <w:bottom w:val="single" w:sz="8" w:color="B2B2B2"/>
            </w:tcBorders>
          </w:tcPr>
          <w:p>
            <w:pPr>
              <w:spacing w:after="0"/>
              <w:rPr>
                <w:sz w:val="24"/>
                <w:szCs w:val="24"/>
                <w:color w:val="auto"/>
              </w:rPr>
            </w:pPr>
          </w:p>
        </w:tc>
        <w:tc>
          <w:tcPr>
            <w:tcW w:w="40" w:type="dxa"/>
            <w:vAlign w:val="bottom"/>
            <w:tcBorders>
              <w:bottom w:val="single" w:sz="8" w:color="B2B2B2"/>
              <w:right w:val="single" w:sz="8" w:color="B2B2B2"/>
            </w:tcBorders>
          </w:tcPr>
          <w:p>
            <w:pPr>
              <w:spacing w:after="0"/>
              <w:rPr>
                <w:sz w:val="24"/>
                <w:szCs w:val="24"/>
                <w:color w:val="auto"/>
              </w:rPr>
            </w:pPr>
          </w:p>
        </w:tc>
        <w:tc>
          <w:tcPr>
            <w:tcW w:w="1080" w:type="dxa"/>
            <w:vAlign w:val="bottom"/>
            <w:tcBorders>
              <w:bottom w:val="single" w:sz="8" w:color="B2B2B2"/>
            </w:tcBorders>
          </w:tcPr>
          <w:p>
            <w:pPr>
              <w:spacing w:after="0"/>
              <w:rPr>
                <w:sz w:val="24"/>
                <w:szCs w:val="24"/>
                <w:color w:val="auto"/>
              </w:rPr>
            </w:pPr>
          </w:p>
        </w:tc>
        <w:tc>
          <w:tcPr>
            <w:tcW w:w="1280" w:type="dxa"/>
            <w:vAlign w:val="bottom"/>
            <w:tcBorders>
              <w:bottom w:val="single" w:sz="8" w:color="B2B2B2"/>
            </w:tcBorders>
          </w:tcPr>
          <w:p>
            <w:pPr>
              <w:spacing w:after="0"/>
              <w:rPr>
                <w:sz w:val="24"/>
                <w:szCs w:val="24"/>
                <w:color w:val="auto"/>
              </w:rPr>
            </w:pPr>
          </w:p>
        </w:tc>
        <w:tc>
          <w:tcPr>
            <w:tcW w:w="1060" w:type="dxa"/>
            <w:vAlign w:val="bottom"/>
            <w:tcBorders>
              <w:bottom w:val="single" w:sz="8" w:color="B2B2B2"/>
            </w:tcBorders>
          </w:tcPr>
          <w:p>
            <w:pPr>
              <w:spacing w:after="0"/>
              <w:rPr>
                <w:sz w:val="24"/>
                <w:szCs w:val="24"/>
                <w:color w:val="auto"/>
              </w:rPr>
            </w:pPr>
          </w:p>
        </w:tc>
        <w:tc>
          <w:tcPr>
            <w:tcW w:w="1280" w:type="dxa"/>
            <w:vAlign w:val="bottom"/>
            <w:tcBorders>
              <w:bottom w:val="single" w:sz="8" w:color="B2B2B2"/>
            </w:tcBorders>
          </w:tcPr>
          <w:p>
            <w:pPr>
              <w:spacing w:after="0"/>
              <w:rPr>
                <w:sz w:val="24"/>
                <w:szCs w:val="24"/>
                <w:color w:val="auto"/>
              </w:rPr>
            </w:pPr>
          </w:p>
        </w:tc>
        <w:tc>
          <w:tcPr>
            <w:tcW w:w="1100" w:type="dxa"/>
            <w:vAlign w:val="bottom"/>
            <w:tcBorders>
              <w:bottom w:val="single" w:sz="8" w:color="B2B2B2"/>
            </w:tcBorders>
          </w:tcPr>
          <w:p>
            <w:pPr>
              <w:spacing w:after="0"/>
              <w:rPr>
                <w:sz w:val="24"/>
                <w:szCs w:val="24"/>
                <w:color w:val="auto"/>
              </w:rPr>
            </w:pPr>
          </w:p>
        </w:tc>
        <w:tc>
          <w:tcPr>
            <w:tcW w:w="1180" w:type="dxa"/>
            <w:vAlign w:val="bottom"/>
            <w:tcBorders>
              <w:bottom w:val="single" w:sz="8" w:color="B2B2B2"/>
            </w:tcBorders>
          </w:tcPr>
          <w:p>
            <w:pPr>
              <w:spacing w:after="0"/>
              <w:rPr>
                <w:sz w:val="24"/>
                <w:szCs w:val="24"/>
                <w:color w:val="auto"/>
              </w:rPr>
            </w:pPr>
          </w:p>
        </w:tc>
        <w:tc>
          <w:tcPr>
            <w:tcW w:w="1140" w:type="dxa"/>
            <w:vAlign w:val="bottom"/>
            <w:tcBorders>
              <w:bottom w:val="single" w:sz="8" w:color="B2B2B2"/>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680" w:type="dxa"/>
            <w:vAlign w:val="bottom"/>
            <w:tcBorders>
              <w:right w:val="single" w:sz="8" w:color="B2B2B2"/>
            </w:tcBorders>
          </w:tcPr>
          <w:p>
            <w:pPr>
              <w:ind w:left="20"/>
              <w:spacing w:after="0" w:line="145" w:lineRule="exact"/>
              <w:rPr>
                <w:sz w:val="20"/>
                <w:szCs w:val="20"/>
                <w:color w:val="auto"/>
              </w:rPr>
            </w:pPr>
            <w:r>
              <w:rPr>
                <w:rFonts w:ascii="Arial" w:cs="Arial" w:eastAsia="Arial" w:hAnsi="Arial"/>
                <w:sz w:val="14"/>
                <w:szCs w:val="14"/>
                <w:color w:val="auto"/>
              </w:rPr>
              <w:t>Debt/EBITDA for</w:t>
            </w:r>
          </w:p>
        </w:tc>
        <w:tc>
          <w:tcPr>
            <w:tcW w:w="1440" w:type="dxa"/>
            <w:vAlign w:val="bottom"/>
            <w:tcBorders>
              <w:right w:val="single" w:sz="8" w:color="B2B2B2"/>
            </w:tcBorders>
            <w:gridSpan w:val="2"/>
          </w:tcPr>
          <w:p>
            <w:pPr>
              <w:jc w:val="center"/>
              <w:ind w:right="60"/>
              <w:spacing w:after="0" w:line="145" w:lineRule="exact"/>
              <w:rPr>
                <w:sz w:val="20"/>
                <w:szCs w:val="20"/>
                <w:color w:val="auto"/>
              </w:rPr>
            </w:pPr>
            <w:r>
              <w:rPr>
                <w:rFonts w:ascii="Arial" w:cs="Arial" w:eastAsia="Arial" w:hAnsi="Arial"/>
                <w:sz w:val="14"/>
                <w:szCs w:val="14"/>
                <w:color w:val="auto"/>
              </w:rPr>
              <w:t>At December 31,</w:t>
            </w:r>
          </w:p>
        </w:tc>
        <w:tc>
          <w:tcPr>
            <w:tcW w:w="1080" w:type="dxa"/>
            <w:vAlign w:val="bottom"/>
          </w:tcPr>
          <w:p>
            <w:pPr>
              <w:jc w:val="center"/>
              <w:spacing w:after="0" w:line="145" w:lineRule="exact"/>
              <w:rPr>
                <w:sz w:val="20"/>
                <w:szCs w:val="20"/>
                <w:color w:val="auto"/>
              </w:rPr>
            </w:pPr>
            <w:r>
              <w:rPr>
                <w:rFonts w:ascii="Arial" w:cs="Arial" w:eastAsia="Arial" w:hAnsi="Arial"/>
                <w:sz w:val="14"/>
                <w:szCs w:val="14"/>
                <w:color w:val="auto"/>
              </w:rPr>
              <w:t>5.2x</w:t>
            </w:r>
          </w:p>
        </w:tc>
        <w:tc>
          <w:tcPr>
            <w:tcW w:w="1280" w:type="dxa"/>
            <w:vAlign w:val="bottom"/>
          </w:tcPr>
          <w:p>
            <w:pPr>
              <w:jc w:val="center"/>
              <w:ind w:right="8"/>
              <w:spacing w:after="0" w:line="145" w:lineRule="exact"/>
              <w:rPr>
                <w:sz w:val="20"/>
                <w:szCs w:val="20"/>
                <w:color w:val="auto"/>
              </w:rPr>
            </w:pPr>
            <w:r>
              <w:rPr>
                <w:rFonts w:ascii="Arial" w:cs="Arial" w:eastAsia="Arial" w:hAnsi="Arial"/>
                <w:sz w:val="14"/>
                <w:szCs w:val="14"/>
                <w:color w:val="auto"/>
              </w:rPr>
              <w:t>5.0x</w:t>
            </w:r>
          </w:p>
        </w:tc>
        <w:tc>
          <w:tcPr>
            <w:tcW w:w="106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4.75x</w:t>
            </w:r>
          </w:p>
        </w:tc>
        <w:tc>
          <w:tcPr>
            <w:tcW w:w="1280" w:type="dxa"/>
            <w:vAlign w:val="bottom"/>
          </w:tcPr>
          <w:p>
            <w:pPr>
              <w:jc w:val="center"/>
              <w:spacing w:after="0" w:line="145" w:lineRule="exact"/>
              <w:rPr>
                <w:sz w:val="20"/>
                <w:szCs w:val="20"/>
                <w:color w:val="auto"/>
              </w:rPr>
            </w:pPr>
            <w:r>
              <w:rPr>
                <w:rFonts w:ascii="Arial" w:cs="Arial" w:eastAsia="Arial" w:hAnsi="Arial"/>
                <w:sz w:val="14"/>
                <w:szCs w:val="14"/>
                <w:color w:val="auto"/>
              </w:rPr>
              <w:t>4.87x</w:t>
            </w:r>
          </w:p>
        </w:tc>
        <w:tc>
          <w:tcPr>
            <w:tcW w:w="1100" w:type="dxa"/>
            <w:vAlign w:val="bottom"/>
          </w:tcPr>
          <w:p>
            <w:pPr>
              <w:jc w:val="center"/>
              <w:spacing w:after="0" w:line="145" w:lineRule="exact"/>
              <w:rPr>
                <w:sz w:val="20"/>
                <w:szCs w:val="20"/>
                <w:color w:val="auto"/>
              </w:rPr>
            </w:pPr>
            <w:r>
              <w:rPr>
                <w:rFonts w:ascii="Arial" w:cs="Arial" w:eastAsia="Arial" w:hAnsi="Arial"/>
                <w:sz w:val="14"/>
                <w:szCs w:val="14"/>
                <w:color w:val="auto"/>
              </w:rPr>
              <w:t>1.52</w:t>
            </w:r>
          </w:p>
        </w:tc>
        <w:tc>
          <w:tcPr>
            <w:tcW w:w="1180" w:type="dxa"/>
            <w:vAlign w:val="bottom"/>
          </w:tcPr>
          <w:p>
            <w:pPr>
              <w:jc w:val="center"/>
              <w:spacing w:after="0" w:line="145" w:lineRule="exact"/>
              <w:rPr>
                <w:sz w:val="20"/>
                <w:szCs w:val="20"/>
                <w:color w:val="auto"/>
              </w:rPr>
            </w:pPr>
            <w:r>
              <w:rPr>
                <w:rFonts w:ascii="Arial" w:cs="Arial" w:eastAsia="Arial" w:hAnsi="Arial"/>
                <w:sz w:val="14"/>
                <w:szCs w:val="14"/>
                <w:color w:val="auto"/>
              </w:rPr>
              <w:t>25%</w:t>
            </w:r>
          </w:p>
        </w:tc>
        <w:tc>
          <w:tcPr>
            <w:tcW w:w="1140" w:type="dxa"/>
            <w:vAlign w:val="bottom"/>
          </w:tcPr>
          <w:p>
            <w:pPr>
              <w:jc w:val="center"/>
              <w:spacing w:after="0" w:line="145" w:lineRule="exact"/>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84"/>
        </w:trPr>
        <w:tc>
          <w:tcPr>
            <w:tcW w:w="1680" w:type="dxa"/>
            <w:vAlign w:val="bottom"/>
            <w:tcBorders>
              <w:bottom w:val="single" w:sz="8" w:color="auto"/>
              <w:right w:val="single" w:sz="8" w:color="B2B2B2"/>
            </w:tcBorders>
          </w:tcPr>
          <w:p>
            <w:pPr>
              <w:ind w:left="20"/>
              <w:spacing w:after="0"/>
              <w:rPr>
                <w:sz w:val="20"/>
                <w:szCs w:val="20"/>
                <w:color w:val="auto"/>
              </w:rPr>
            </w:pPr>
            <w:r>
              <w:rPr>
                <w:rFonts w:ascii="Arial" w:cs="Arial" w:eastAsia="Arial" w:hAnsi="Arial"/>
                <w:sz w:val="14"/>
                <w:szCs w:val="14"/>
                <w:color w:val="auto"/>
              </w:rPr>
              <w:t>compensation purposes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40" w:type="dxa"/>
            <w:vAlign w:val="bottom"/>
            <w:tcBorders>
              <w:bottom w:val="single" w:sz="8" w:color="auto"/>
              <w:right w:val="single" w:sz="8" w:color="B2B2B2"/>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80" w:type="dxa"/>
            <w:vAlign w:val="bottom"/>
            <w:tcBorders>
              <w:bottom w:val="single" w:sz="8" w:color="0D64EF"/>
            </w:tcBorders>
          </w:tcPr>
          <w:p>
            <w:pPr>
              <w:ind w:left="20"/>
              <w:spacing w:after="0"/>
              <w:rPr>
                <w:sz w:val="20"/>
                <w:szCs w:val="20"/>
                <w:color w:val="auto"/>
              </w:rPr>
            </w:pPr>
            <w:r>
              <w:rPr>
                <w:rFonts w:ascii="Arial" w:cs="Arial" w:eastAsia="Arial" w:hAnsi="Arial"/>
                <w:sz w:val="14"/>
                <w:szCs w:val="14"/>
                <w:b w:val="1"/>
                <w:bCs w:val="1"/>
                <w:color w:val="auto"/>
              </w:rPr>
              <w:t>Performance multiplier</w:t>
            </w:r>
          </w:p>
        </w:tc>
        <w:tc>
          <w:tcPr>
            <w:tcW w:w="1400" w:type="dxa"/>
            <w:vAlign w:val="bottom"/>
            <w:tcBorders>
              <w:bottom w:val="single" w:sz="8" w:color="0D64EF"/>
            </w:tcBorders>
          </w:tcPr>
          <w:p>
            <w:pPr>
              <w:spacing w:after="0"/>
              <w:rPr>
                <w:sz w:val="16"/>
                <w:szCs w:val="16"/>
                <w:color w:val="auto"/>
              </w:rPr>
            </w:pPr>
          </w:p>
        </w:tc>
        <w:tc>
          <w:tcPr>
            <w:tcW w:w="40" w:type="dxa"/>
            <w:vAlign w:val="bottom"/>
            <w:tcBorders>
              <w:bottom w:val="single" w:sz="8" w:color="0D64EF"/>
            </w:tcBorders>
          </w:tcPr>
          <w:p>
            <w:pPr>
              <w:spacing w:after="0"/>
              <w:rPr>
                <w:sz w:val="16"/>
                <w:szCs w:val="16"/>
                <w:color w:val="auto"/>
              </w:rPr>
            </w:pPr>
          </w:p>
        </w:tc>
        <w:tc>
          <w:tcPr>
            <w:tcW w:w="1080" w:type="dxa"/>
            <w:vAlign w:val="bottom"/>
            <w:tcBorders>
              <w:bottom w:val="single" w:sz="8" w:color="0D64EF"/>
            </w:tcBorders>
          </w:tcPr>
          <w:p>
            <w:pPr>
              <w:spacing w:after="0"/>
              <w:rPr>
                <w:sz w:val="16"/>
                <w:szCs w:val="16"/>
                <w:color w:val="auto"/>
              </w:rPr>
            </w:pPr>
          </w:p>
        </w:tc>
        <w:tc>
          <w:tcPr>
            <w:tcW w:w="1280" w:type="dxa"/>
            <w:vAlign w:val="bottom"/>
            <w:tcBorders>
              <w:bottom w:val="single" w:sz="8" w:color="0D64EF"/>
            </w:tcBorders>
          </w:tcPr>
          <w:p>
            <w:pPr>
              <w:spacing w:after="0"/>
              <w:rPr>
                <w:sz w:val="16"/>
                <w:szCs w:val="16"/>
                <w:color w:val="auto"/>
              </w:rPr>
            </w:pPr>
          </w:p>
        </w:tc>
        <w:tc>
          <w:tcPr>
            <w:tcW w:w="1060" w:type="dxa"/>
            <w:vAlign w:val="bottom"/>
            <w:tcBorders>
              <w:bottom w:val="single" w:sz="8" w:color="0D64EF"/>
            </w:tcBorders>
          </w:tcPr>
          <w:p>
            <w:pPr>
              <w:spacing w:after="0"/>
              <w:rPr>
                <w:sz w:val="16"/>
                <w:szCs w:val="16"/>
                <w:color w:val="auto"/>
              </w:rPr>
            </w:pPr>
          </w:p>
        </w:tc>
        <w:tc>
          <w:tcPr>
            <w:tcW w:w="1280" w:type="dxa"/>
            <w:vAlign w:val="bottom"/>
            <w:tcBorders>
              <w:bottom w:val="single" w:sz="8" w:color="0D64EF"/>
            </w:tcBorders>
          </w:tcPr>
          <w:p>
            <w:pPr>
              <w:spacing w:after="0"/>
              <w:rPr>
                <w:sz w:val="16"/>
                <w:szCs w:val="16"/>
                <w:color w:val="auto"/>
              </w:rPr>
            </w:pPr>
          </w:p>
        </w:tc>
        <w:tc>
          <w:tcPr>
            <w:tcW w:w="1100" w:type="dxa"/>
            <w:vAlign w:val="bottom"/>
            <w:tcBorders>
              <w:bottom w:val="single" w:sz="8" w:color="0D64EF"/>
            </w:tcBorders>
          </w:tcPr>
          <w:p>
            <w:pPr>
              <w:spacing w:after="0"/>
              <w:rPr>
                <w:sz w:val="16"/>
                <w:szCs w:val="16"/>
                <w:color w:val="auto"/>
              </w:rPr>
            </w:pPr>
          </w:p>
        </w:tc>
        <w:tc>
          <w:tcPr>
            <w:tcW w:w="1180" w:type="dxa"/>
            <w:vAlign w:val="bottom"/>
            <w:tcBorders>
              <w:bottom w:val="single" w:sz="8" w:color="0D64EF"/>
            </w:tcBorders>
          </w:tcPr>
          <w:p>
            <w:pPr>
              <w:spacing w:after="0"/>
              <w:rPr>
                <w:sz w:val="16"/>
                <w:szCs w:val="16"/>
                <w:color w:val="auto"/>
              </w:rPr>
            </w:pPr>
          </w:p>
        </w:tc>
        <w:tc>
          <w:tcPr>
            <w:tcW w:w="1140" w:type="dxa"/>
            <w:vAlign w:val="bottom"/>
            <w:tcBorders>
              <w:bottom w:val="single" w:sz="8" w:color="0D64EF"/>
            </w:tcBorders>
          </w:tcPr>
          <w:p>
            <w:pPr>
              <w:jc w:val="center"/>
              <w:spacing w:after="0"/>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45" w:lineRule="exact"/>
        <w:rPr>
          <w:sz w:val="20"/>
          <w:szCs w:val="20"/>
          <w:color w:val="auto"/>
        </w:rPr>
      </w:pPr>
    </w:p>
    <w:p>
      <w:pPr>
        <w:ind w:left="160" w:right="20" w:hanging="153"/>
        <w:spacing w:after="0" w:line="344" w:lineRule="auto"/>
        <w:tabs>
          <w:tab w:leader="none" w:pos="137" w:val="left"/>
        </w:tabs>
        <w:numPr>
          <w:ilvl w:val="0"/>
          <w:numId w:val="131"/>
        </w:numPr>
        <w:rPr>
          <w:rFonts w:ascii="Arial" w:cs="Arial" w:eastAsia="Arial" w:hAnsi="Arial"/>
          <w:sz w:val="11"/>
          <w:szCs w:val="11"/>
          <w:color w:val="auto"/>
        </w:rPr>
      </w:pPr>
      <w:r>
        <w:rPr>
          <w:rFonts w:ascii="Arial" w:cs="Arial" w:eastAsia="Arial" w:hAnsi="Arial"/>
          <w:sz w:val="11"/>
          <w:szCs w:val="11"/>
          <w:i w:val="1"/>
          <w:iCs w:val="1"/>
          <w:color w:val="auto"/>
        </w:rPr>
        <w:t xml:space="preserve">Comparable DCF per share </w:t>
      </w:r>
      <w:r>
        <w:rPr>
          <w:rFonts w:ascii="Arial" w:cs="Arial" w:eastAsia="Arial" w:hAnsi="Arial"/>
          <w:sz w:val="11"/>
          <w:szCs w:val="11"/>
          <w:color w:val="auto"/>
        </w:rPr>
        <w:t>and</w:t>
      </w:r>
      <w:r>
        <w:rPr>
          <w:rFonts w:ascii="Arial" w:cs="Arial" w:eastAsia="Arial" w:hAnsi="Arial"/>
          <w:sz w:val="11"/>
          <w:szCs w:val="11"/>
          <w:i w:val="1"/>
          <w:iCs w:val="1"/>
          <w:color w:val="auto"/>
        </w:rPr>
        <w:t xml:space="preserve"> Comparable DCF per share for compensation purposes </w:t>
      </w:r>
      <w:r>
        <w:rPr>
          <w:rFonts w:ascii="Arial" w:cs="Arial" w:eastAsia="Arial" w:hAnsi="Arial"/>
          <w:sz w:val="11"/>
          <w:szCs w:val="11"/>
          <w:color w:val="auto"/>
        </w:rPr>
        <w:t>represent comparable funds generated from operations, adjusted to reflect non-controlling interest distributions</w:t>
      </w:r>
      <w:r>
        <w:rPr>
          <w:rFonts w:ascii="Arial" w:cs="Arial" w:eastAsia="Arial" w:hAnsi="Arial"/>
          <w:sz w:val="11"/>
          <w:szCs w:val="11"/>
          <w:i w:val="1"/>
          <w:iCs w:val="1"/>
          <w:color w:val="auto"/>
        </w:rPr>
        <w:t xml:space="preserve"> </w:t>
      </w:r>
      <w:r>
        <w:rPr>
          <w:rFonts w:ascii="Arial" w:cs="Arial" w:eastAsia="Arial" w:hAnsi="Arial"/>
          <w:sz w:val="11"/>
          <w:szCs w:val="11"/>
          <w:color w:val="auto"/>
        </w:rPr>
        <w:t>before capex contributions and debt recapitalization, returns of capital from equity investments (including loans from affiliate), non-recoverable maintenance capital, preferred share dividends paid,</w:t>
      </w:r>
    </w:p>
    <w:p>
      <w:pPr>
        <w:ind w:left="160"/>
        <w:spacing w:after="0"/>
        <w:rPr>
          <w:rFonts w:ascii="Arial" w:cs="Arial" w:eastAsia="Arial" w:hAnsi="Arial"/>
          <w:sz w:val="11"/>
          <w:szCs w:val="11"/>
          <w:color w:val="auto"/>
        </w:rPr>
      </w:pPr>
      <w:r>
        <w:rPr>
          <w:rFonts w:ascii="Arial" w:cs="Arial" w:eastAsia="Arial" w:hAnsi="Arial"/>
          <w:sz w:val="13"/>
          <w:szCs w:val="13"/>
          <w:color w:val="auto"/>
        </w:rPr>
        <w:t>capitalized interest and the debt component of Allowance</w:t>
      </w:r>
    </w:p>
    <w:p>
      <w:pPr>
        <w:spacing w:after="0" w:line="25" w:lineRule="exact"/>
        <w:rPr>
          <w:rFonts w:ascii="Arial" w:cs="Arial" w:eastAsia="Arial" w:hAnsi="Arial"/>
          <w:sz w:val="11"/>
          <w:szCs w:val="11"/>
          <w:color w:val="auto"/>
        </w:rPr>
      </w:pPr>
    </w:p>
    <w:p>
      <w:pPr>
        <w:ind w:left="160" w:right="400"/>
        <w:spacing w:after="0" w:line="291" w:lineRule="auto"/>
        <w:rPr>
          <w:rFonts w:ascii="Arial" w:cs="Arial" w:eastAsia="Arial" w:hAnsi="Arial"/>
          <w:sz w:val="11"/>
          <w:szCs w:val="11"/>
          <w:color w:val="auto"/>
        </w:rPr>
      </w:pPr>
      <w:r>
        <w:rPr>
          <w:rFonts w:ascii="Arial" w:cs="Arial" w:eastAsia="Arial" w:hAnsi="Arial"/>
          <w:sz w:val="13"/>
          <w:szCs w:val="13"/>
          <w:color w:val="auto"/>
        </w:rPr>
        <w:t xml:space="preserve">for funds used during construction. We calculate </w:t>
      </w:r>
      <w:r>
        <w:rPr>
          <w:rFonts w:ascii="Arial" w:cs="Arial" w:eastAsia="Arial" w:hAnsi="Arial"/>
          <w:sz w:val="13"/>
          <w:szCs w:val="13"/>
          <w:i w:val="1"/>
          <w:iCs w:val="1"/>
          <w:color w:val="auto"/>
        </w:rPr>
        <w:t>comparable DCF per share</w:t>
      </w:r>
      <w:r>
        <w:rPr>
          <w:rFonts w:ascii="Arial" w:cs="Arial" w:eastAsia="Arial" w:hAnsi="Arial"/>
          <w:sz w:val="13"/>
          <w:szCs w:val="13"/>
          <w:color w:val="auto"/>
        </w:rPr>
        <w:t xml:space="preserve"> and </w:t>
      </w:r>
      <w:r>
        <w:rPr>
          <w:rFonts w:ascii="Arial" w:cs="Arial" w:eastAsia="Arial" w:hAnsi="Arial"/>
          <w:sz w:val="13"/>
          <w:szCs w:val="13"/>
          <w:i w:val="1"/>
          <w:iCs w:val="1"/>
          <w:color w:val="auto"/>
        </w:rPr>
        <w:t>comparable DCF per share for compensation purposes</w:t>
      </w:r>
      <w:r>
        <w:rPr>
          <w:rFonts w:ascii="Arial" w:cs="Arial" w:eastAsia="Arial" w:hAnsi="Arial"/>
          <w:sz w:val="13"/>
          <w:szCs w:val="13"/>
          <w:color w:val="auto"/>
        </w:rPr>
        <w:t xml:space="preserve"> based on the weighted average number of our common shares outstanding (1,038 million in 2025).</w:t>
      </w:r>
    </w:p>
    <w:p>
      <w:pPr>
        <w:ind w:left="160" w:right="40" w:hanging="153"/>
        <w:spacing w:after="0" w:line="291" w:lineRule="auto"/>
        <w:tabs>
          <w:tab w:leader="none" w:pos="137" w:val="left"/>
        </w:tabs>
        <w:numPr>
          <w:ilvl w:val="0"/>
          <w:numId w:val="131"/>
        </w:numPr>
        <w:rPr>
          <w:rFonts w:ascii="Arial" w:cs="Arial" w:eastAsia="Arial" w:hAnsi="Arial"/>
          <w:sz w:val="13"/>
          <w:szCs w:val="13"/>
          <w:color w:val="auto"/>
        </w:rPr>
      </w:pPr>
      <w:r>
        <w:rPr>
          <w:rFonts w:ascii="Arial" w:cs="Arial" w:eastAsia="Arial" w:hAnsi="Arial"/>
          <w:sz w:val="13"/>
          <w:szCs w:val="13"/>
          <w:i w:val="1"/>
          <w:iCs w:val="1"/>
          <w:color w:val="auto"/>
        </w:rPr>
        <w:t xml:space="preserve">Comparable DCF per share </w:t>
      </w:r>
      <w:r>
        <w:rPr>
          <w:rFonts w:ascii="Arial" w:cs="Arial" w:eastAsia="Arial" w:hAnsi="Arial"/>
          <w:sz w:val="13"/>
          <w:szCs w:val="13"/>
          <w:color w:val="auto"/>
        </w:rPr>
        <w:t>and</w:t>
      </w:r>
      <w:r>
        <w:rPr>
          <w:rFonts w:ascii="Arial" w:cs="Arial" w:eastAsia="Arial" w:hAnsi="Arial"/>
          <w:sz w:val="13"/>
          <w:szCs w:val="13"/>
          <w:i w:val="1"/>
          <w:iCs w:val="1"/>
          <w:color w:val="auto"/>
        </w:rPr>
        <w:t xml:space="preserve"> Comparable DCF per share for compensation purposes </w:t>
      </w:r>
      <w:r>
        <w:rPr>
          <w:rFonts w:ascii="Arial" w:cs="Arial" w:eastAsia="Arial" w:hAnsi="Arial"/>
          <w:sz w:val="13"/>
          <w:szCs w:val="13"/>
          <w:color w:val="auto"/>
        </w:rPr>
        <w:t>are non-GAAP measures that do not have any standardized meaning under U.S. GAAP and therefore may not</w:t>
      </w:r>
      <w:r>
        <w:rPr>
          <w:rFonts w:ascii="Arial" w:cs="Arial" w:eastAsia="Arial" w:hAnsi="Arial"/>
          <w:sz w:val="13"/>
          <w:szCs w:val="13"/>
          <w:i w:val="1"/>
          <w:iCs w:val="1"/>
          <w:color w:val="auto"/>
        </w:rPr>
        <w:t xml:space="preserve"> </w:t>
      </w:r>
      <w:r>
        <w:rPr>
          <w:rFonts w:ascii="Arial" w:cs="Arial" w:eastAsia="Arial" w:hAnsi="Arial"/>
          <w:sz w:val="13"/>
          <w:szCs w:val="13"/>
          <w:color w:val="auto"/>
        </w:rPr>
        <w:t>be comparable to similar measures presented by other entities.</w:t>
      </w:r>
    </w:p>
    <w:p>
      <w:pPr>
        <w:ind w:left="140" w:hanging="133"/>
        <w:spacing w:after="0"/>
        <w:tabs>
          <w:tab w:leader="none" w:pos="140" w:val="left"/>
        </w:tabs>
        <w:numPr>
          <w:ilvl w:val="0"/>
          <w:numId w:val="131"/>
        </w:numPr>
        <w:rPr>
          <w:rFonts w:ascii="Arial" w:cs="Arial" w:eastAsia="Arial" w:hAnsi="Arial"/>
          <w:sz w:val="13"/>
          <w:szCs w:val="13"/>
          <w:color w:val="auto"/>
        </w:rPr>
      </w:pPr>
      <w:r>
        <w:rPr>
          <w:rFonts w:ascii="Arial" w:cs="Arial" w:eastAsia="Arial" w:hAnsi="Arial"/>
          <w:sz w:val="13"/>
          <w:szCs w:val="13"/>
          <w:i w:val="1"/>
          <w:iCs w:val="1"/>
          <w:color w:val="auto"/>
        </w:rPr>
        <w:t xml:space="preserve">Comparable DCF per share </w:t>
      </w:r>
      <w:r>
        <w:rPr>
          <w:rFonts w:ascii="Arial" w:cs="Arial" w:eastAsia="Arial" w:hAnsi="Arial"/>
          <w:sz w:val="13"/>
          <w:szCs w:val="13"/>
          <w:color w:val="auto"/>
        </w:rPr>
        <w:t>was $6.64 in 2025, $6.21 in 2024 and $6.81 in 2023. No adjustments were applied to</w:t>
      </w:r>
      <w:r>
        <w:rPr>
          <w:rFonts w:ascii="Arial" w:cs="Arial" w:eastAsia="Arial" w:hAnsi="Arial"/>
          <w:sz w:val="13"/>
          <w:szCs w:val="13"/>
          <w:i w:val="1"/>
          <w:iCs w:val="1"/>
          <w:color w:val="auto"/>
        </w:rPr>
        <w:t xml:space="preserve"> 2025 Comparable DCF per share </w:t>
      </w:r>
      <w:r>
        <w:rPr>
          <w:rFonts w:ascii="Arial" w:cs="Arial" w:eastAsia="Arial" w:hAnsi="Arial"/>
          <w:sz w:val="13"/>
          <w:szCs w:val="13"/>
          <w:color w:val="auto"/>
        </w:rPr>
        <w:t>making</w:t>
      </w:r>
    </w:p>
    <w:p>
      <w:pPr>
        <w:spacing w:after="0" w:line="39" w:lineRule="exact"/>
        <w:rPr>
          <w:sz w:val="20"/>
          <w:szCs w:val="20"/>
          <w:color w:val="auto"/>
        </w:rPr>
      </w:pPr>
    </w:p>
    <w:p>
      <w:pPr>
        <w:ind w:left="160" w:right="200"/>
        <w:spacing w:after="0" w:line="291" w:lineRule="auto"/>
        <w:rPr>
          <w:sz w:val="20"/>
          <w:szCs w:val="20"/>
          <w:color w:val="auto"/>
        </w:rPr>
      </w:pPr>
      <w:r>
        <w:rPr>
          <w:rFonts w:ascii="Arial" w:cs="Arial" w:eastAsia="Arial" w:hAnsi="Arial"/>
          <w:sz w:val="13"/>
          <w:szCs w:val="13"/>
          <w:color w:val="auto"/>
        </w:rPr>
        <w:t xml:space="preserve">2025 </w:t>
      </w:r>
      <w:r>
        <w:rPr>
          <w:rFonts w:ascii="Arial" w:cs="Arial" w:eastAsia="Arial" w:hAnsi="Arial"/>
          <w:sz w:val="13"/>
          <w:szCs w:val="13"/>
          <w:i w:val="1"/>
          <w:iCs w:val="1"/>
          <w:color w:val="auto"/>
        </w:rPr>
        <w:t>Comparable DCF per share for compensation purposes</w:t>
      </w:r>
      <w:r>
        <w:rPr>
          <w:rFonts w:ascii="Arial" w:cs="Arial" w:eastAsia="Arial" w:hAnsi="Arial"/>
          <w:sz w:val="13"/>
          <w:szCs w:val="13"/>
          <w:color w:val="auto"/>
        </w:rPr>
        <w:t xml:space="preserve"> $6.64. </w:t>
      </w:r>
      <w:r>
        <w:rPr>
          <w:rFonts w:ascii="Arial" w:cs="Arial" w:eastAsia="Arial" w:hAnsi="Arial"/>
          <w:sz w:val="13"/>
          <w:szCs w:val="13"/>
          <w:i w:val="1"/>
          <w:iCs w:val="1"/>
          <w:color w:val="auto"/>
        </w:rPr>
        <w:t>2024 Comparable DCF per share</w:t>
      </w:r>
      <w:r>
        <w:rPr>
          <w:rFonts w:ascii="Arial" w:cs="Arial" w:eastAsia="Arial" w:hAnsi="Arial"/>
          <w:sz w:val="13"/>
          <w:szCs w:val="13"/>
          <w:color w:val="auto"/>
        </w:rPr>
        <w:t xml:space="preserve"> was adjusted by $0.64 for the following impacts (rounded): $0.15 for the spinoff of the Liquids Pipelines business, $0.46 for the sale of a 40 per cent non-controlling equity interest in Columbia Gas and Columbia Gulf to Global Infrastructure Partners (Columbia sale), $0.02 for the PNGTS divestiture, -$0.02 for Transportadora de Gas Natural de la Huasteca non-controlling interest sale and $0.02 for the Texas Wind Farms acquisition, making </w:t>
      </w:r>
      <w:r>
        <w:rPr>
          <w:rFonts w:ascii="Arial" w:cs="Arial" w:eastAsia="Arial" w:hAnsi="Arial"/>
          <w:sz w:val="13"/>
          <w:szCs w:val="13"/>
          <w:i w:val="1"/>
          <w:iCs w:val="1"/>
          <w:color w:val="auto"/>
        </w:rPr>
        <w:t>2024 Comparable DCF per share for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purposes </w:t>
      </w:r>
      <w:r>
        <w:rPr>
          <w:rFonts w:ascii="Arial" w:cs="Arial" w:eastAsia="Arial" w:hAnsi="Arial"/>
          <w:sz w:val="13"/>
          <w:szCs w:val="13"/>
          <w:color w:val="auto"/>
        </w:rPr>
        <w:t>$6.85 (rounded).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2023 Comparable DCF per share </w:t>
      </w:r>
      <w:r>
        <w:rPr>
          <w:rFonts w:ascii="Arial" w:cs="Arial" w:eastAsia="Arial" w:hAnsi="Arial"/>
          <w:sz w:val="13"/>
          <w:szCs w:val="13"/>
          <w:color w:val="auto"/>
        </w:rPr>
        <w:t>was adjusted by $0.12 for the for the impact of the Columbia sale making</w:t>
      </w:r>
      <w:r>
        <w:rPr>
          <w:rFonts w:ascii="Arial" w:cs="Arial" w:eastAsia="Arial" w:hAnsi="Arial"/>
          <w:sz w:val="13"/>
          <w:szCs w:val="13"/>
          <w:i w:val="1"/>
          <w:iCs w:val="1"/>
          <w:color w:val="auto"/>
        </w:rPr>
        <w:t xml:space="preserve"> 2023 Comparable DCF per share for compensation purposes </w:t>
      </w:r>
      <w:r>
        <w:rPr>
          <w:rFonts w:ascii="Arial" w:cs="Arial" w:eastAsia="Arial" w:hAnsi="Arial"/>
          <w:sz w:val="13"/>
          <w:szCs w:val="13"/>
          <w:color w:val="auto"/>
        </w:rPr>
        <w:t>$6.93.</w:t>
      </w:r>
    </w:p>
    <w:p>
      <w:pPr>
        <w:spacing w:after="0" w:line="39" w:lineRule="exact"/>
        <w:rPr>
          <w:sz w:val="20"/>
          <w:szCs w:val="20"/>
          <w:color w:val="auto"/>
        </w:rPr>
      </w:pPr>
    </w:p>
    <w:p>
      <w:pPr>
        <w:ind w:left="160" w:right="200" w:hanging="153"/>
        <w:spacing w:after="0" w:line="291" w:lineRule="auto"/>
        <w:tabs>
          <w:tab w:leader="none" w:pos="137"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2025 Comparable DCF per share for compensation purposes</w:t>
      </w:r>
      <w:r>
        <w:rPr>
          <w:rFonts w:ascii="Arial" w:cs="Arial" w:eastAsia="Arial" w:hAnsi="Arial"/>
          <w:sz w:val="13"/>
          <w:szCs w:val="13"/>
          <w:color w:val="auto"/>
        </w:rPr>
        <w:t xml:space="preserve"> of $6.64, along with the </w:t>
      </w:r>
      <w:r>
        <w:rPr>
          <w:rFonts w:ascii="Arial" w:cs="Arial" w:eastAsia="Arial" w:hAnsi="Arial"/>
          <w:sz w:val="13"/>
          <w:szCs w:val="13"/>
          <w:i w:val="1"/>
          <w:iCs w:val="1"/>
          <w:color w:val="auto"/>
        </w:rPr>
        <w:t>2024 Comparable DCF per share for compensation purposes</w:t>
      </w:r>
      <w:r>
        <w:rPr>
          <w:rFonts w:ascii="Arial" w:cs="Arial" w:eastAsia="Arial" w:hAnsi="Arial"/>
          <w:sz w:val="13"/>
          <w:szCs w:val="13"/>
          <w:color w:val="auto"/>
        </w:rPr>
        <w:t xml:space="preserve"> of $6.85 and the </w:t>
      </w:r>
      <w:r>
        <w:rPr>
          <w:rFonts w:ascii="Arial" w:cs="Arial" w:eastAsia="Arial" w:hAnsi="Arial"/>
          <w:sz w:val="13"/>
          <w:szCs w:val="13"/>
          <w:i w:val="1"/>
          <w:iCs w:val="1"/>
          <w:color w:val="auto"/>
        </w:rPr>
        <w:t>2023 Comparable DCF per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share for compensation purposes </w:t>
      </w:r>
      <w:r>
        <w:rPr>
          <w:rFonts w:ascii="Arial" w:cs="Arial" w:eastAsia="Arial" w:hAnsi="Arial"/>
          <w:sz w:val="13"/>
          <w:szCs w:val="13"/>
          <w:color w:val="auto"/>
        </w:rPr>
        <w:t>of $6.93, result in a cumulative three year combined</w:t>
      </w:r>
      <w:r>
        <w:rPr>
          <w:rFonts w:ascii="Arial" w:cs="Arial" w:eastAsia="Arial" w:hAnsi="Arial"/>
          <w:sz w:val="13"/>
          <w:szCs w:val="13"/>
          <w:i w:val="1"/>
          <w:iCs w:val="1"/>
          <w:color w:val="auto"/>
        </w:rPr>
        <w:t xml:space="preserve"> Comparable DCF per share for compensation purposes </w:t>
      </w:r>
      <w:r>
        <w:rPr>
          <w:rFonts w:ascii="Arial" w:cs="Arial" w:eastAsia="Arial" w:hAnsi="Arial"/>
          <w:sz w:val="13"/>
          <w:szCs w:val="13"/>
          <w:color w:val="auto"/>
        </w:rPr>
        <w:t>of $20.42.</w:t>
      </w:r>
    </w:p>
    <w:p>
      <w:pPr>
        <w:ind w:left="160" w:right="60" w:hanging="153"/>
        <w:spacing w:after="0" w:line="344" w:lineRule="auto"/>
        <w:tabs>
          <w:tab w:leader="none" w:pos="137" w:val="left"/>
        </w:tabs>
        <w:numPr>
          <w:ilvl w:val="0"/>
          <w:numId w:val="132"/>
        </w:numPr>
        <w:rPr>
          <w:rFonts w:ascii="Arial" w:cs="Arial" w:eastAsia="Arial" w:hAnsi="Arial"/>
          <w:sz w:val="11"/>
          <w:szCs w:val="11"/>
          <w:color w:val="auto"/>
        </w:rPr>
      </w:pPr>
      <w:r>
        <w:rPr>
          <w:rFonts w:ascii="Arial" w:cs="Arial" w:eastAsia="Arial" w:hAnsi="Arial"/>
          <w:sz w:val="11"/>
          <w:szCs w:val="11"/>
          <w:color w:val="auto"/>
        </w:rPr>
        <w:t xml:space="preserve">The most directly comparable U.S. GAAP measure to </w:t>
      </w:r>
      <w:r>
        <w:rPr>
          <w:rFonts w:ascii="Arial" w:cs="Arial" w:eastAsia="Arial" w:hAnsi="Arial"/>
          <w:sz w:val="11"/>
          <w:szCs w:val="11"/>
          <w:i w:val="1"/>
          <w:iCs w:val="1"/>
          <w:color w:val="auto"/>
        </w:rPr>
        <w:t>Comparable DCF per share</w:t>
      </w:r>
      <w:r>
        <w:rPr>
          <w:rFonts w:ascii="Arial" w:cs="Arial" w:eastAsia="Arial" w:hAnsi="Arial"/>
          <w:sz w:val="11"/>
          <w:szCs w:val="11"/>
          <w:color w:val="auto"/>
        </w:rPr>
        <w:t xml:space="preserve"> and </w:t>
      </w:r>
      <w:r>
        <w:rPr>
          <w:rFonts w:ascii="Arial" w:cs="Arial" w:eastAsia="Arial" w:hAnsi="Arial"/>
          <w:sz w:val="11"/>
          <w:szCs w:val="11"/>
          <w:i w:val="1"/>
          <w:iCs w:val="1"/>
          <w:color w:val="auto"/>
        </w:rPr>
        <w:t>Comparable DCF per share for compensation purposes</w:t>
      </w:r>
      <w:r>
        <w:rPr>
          <w:rFonts w:ascii="Arial" w:cs="Arial" w:eastAsia="Arial" w:hAnsi="Arial"/>
          <w:sz w:val="11"/>
          <w:szCs w:val="11"/>
          <w:color w:val="auto"/>
        </w:rPr>
        <w:t xml:space="preserve"> is </w:t>
      </w:r>
      <w:r>
        <w:rPr>
          <w:rFonts w:ascii="Arial" w:cs="Arial" w:eastAsia="Arial" w:hAnsi="Arial"/>
          <w:sz w:val="11"/>
          <w:szCs w:val="11"/>
          <w:i w:val="1"/>
          <w:iCs w:val="1"/>
          <w:color w:val="auto"/>
        </w:rPr>
        <w:t>net cash provided by operations</w:t>
      </w:r>
      <w:r>
        <w:rPr>
          <w:rFonts w:ascii="Arial" w:cs="Arial" w:eastAsia="Arial" w:hAnsi="Arial"/>
          <w:sz w:val="11"/>
          <w:szCs w:val="11"/>
          <w:color w:val="auto"/>
        </w:rPr>
        <w:t xml:space="preserve">. Refer to </w:t>
      </w:r>
      <w:r>
        <w:rPr>
          <w:rFonts w:ascii="Arial" w:cs="Arial" w:eastAsia="Arial" w:hAnsi="Arial"/>
          <w:sz w:val="11"/>
          <w:szCs w:val="11"/>
          <w:i w:val="1"/>
          <w:iCs w:val="1"/>
          <w:color w:val="auto"/>
        </w:rPr>
        <w:t>Schedule B</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 Non-GAAP Measures - Reconciliation of DCF per share </w:t>
      </w:r>
      <w:r>
        <w:rPr>
          <w:rFonts w:ascii="Arial" w:cs="Arial" w:eastAsia="Arial" w:hAnsi="Arial"/>
          <w:sz w:val="11"/>
          <w:szCs w:val="11"/>
          <w:color w:val="auto"/>
        </w:rPr>
        <w:t>in this Circular for additional information and reconciliations of</w:t>
      </w:r>
      <w:r>
        <w:rPr>
          <w:rFonts w:ascii="Arial" w:cs="Arial" w:eastAsia="Arial" w:hAnsi="Arial"/>
          <w:sz w:val="11"/>
          <w:szCs w:val="11"/>
          <w:i w:val="1"/>
          <w:iCs w:val="1"/>
          <w:color w:val="auto"/>
        </w:rPr>
        <w:t xml:space="preserve"> comparable DCF </w:t>
      </w:r>
      <w:r>
        <w:rPr>
          <w:rFonts w:ascii="Arial" w:cs="Arial" w:eastAsia="Arial" w:hAnsi="Arial"/>
          <w:sz w:val="11"/>
          <w:szCs w:val="11"/>
          <w:color w:val="auto"/>
        </w:rPr>
        <w:t>and</w:t>
      </w:r>
      <w:r>
        <w:rPr>
          <w:rFonts w:ascii="Arial" w:cs="Arial" w:eastAsia="Arial" w:hAnsi="Arial"/>
          <w:sz w:val="11"/>
          <w:szCs w:val="11"/>
          <w:i w:val="1"/>
          <w:iCs w:val="1"/>
          <w:color w:val="auto"/>
        </w:rPr>
        <w:t xml:space="preserve"> comparable DCF per share </w:t>
      </w:r>
      <w:r>
        <w:rPr>
          <w:rFonts w:ascii="Arial" w:cs="Arial" w:eastAsia="Arial" w:hAnsi="Arial"/>
          <w:sz w:val="11"/>
          <w:szCs w:val="11"/>
          <w:color w:val="auto"/>
        </w:rPr>
        <w:t>to</w:t>
      </w:r>
      <w:r>
        <w:rPr>
          <w:rFonts w:ascii="Arial" w:cs="Arial" w:eastAsia="Arial" w:hAnsi="Arial"/>
          <w:sz w:val="11"/>
          <w:szCs w:val="11"/>
          <w:i w:val="1"/>
          <w:iCs w:val="1"/>
          <w:color w:val="auto"/>
        </w:rPr>
        <w:t xml:space="preserve"> Comparable funds</w:t>
      </w:r>
    </w:p>
    <w:p>
      <w:pPr>
        <w:ind w:left="160"/>
        <w:spacing w:after="0"/>
        <w:rPr>
          <w:rFonts w:ascii="Arial" w:cs="Arial" w:eastAsia="Arial" w:hAnsi="Arial"/>
          <w:sz w:val="11"/>
          <w:szCs w:val="11"/>
          <w:color w:val="auto"/>
        </w:rPr>
      </w:pPr>
      <w:r>
        <w:rPr>
          <w:rFonts w:ascii="Arial" w:cs="Arial" w:eastAsia="Arial" w:hAnsi="Arial"/>
          <w:sz w:val="13"/>
          <w:szCs w:val="13"/>
          <w:i w:val="1"/>
          <w:iCs w:val="1"/>
          <w:color w:val="auto"/>
        </w:rPr>
        <w:t xml:space="preserve">generated from operations </w:t>
      </w:r>
      <w:r>
        <w:rPr>
          <w:rFonts w:ascii="Arial" w:cs="Arial" w:eastAsia="Arial" w:hAnsi="Arial"/>
          <w:sz w:val="13"/>
          <w:szCs w:val="13"/>
          <w:color w:val="auto"/>
        </w:rPr>
        <w:t>for the years ended December 31, 2023, 2024 and 2025.</w:t>
      </w:r>
    </w:p>
    <w:p>
      <w:pPr>
        <w:spacing w:after="0" w:line="25" w:lineRule="exact"/>
        <w:rPr>
          <w:rFonts w:ascii="Arial" w:cs="Arial" w:eastAsia="Arial" w:hAnsi="Arial"/>
          <w:sz w:val="11"/>
          <w:szCs w:val="11"/>
          <w:color w:val="auto"/>
        </w:rPr>
      </w:pPr>
    </w:p>
    <w:p>
      <w:pPr>
        <w:ind w:left="160" w:right="80"/>
        <w:spacing w:after="0" w:line="291" w:lineRule="auto"/>
        <w:rPr>
          <w:rFonts w:ascii="Arial" w:cs="Arial" w:eastAsia="Arial" w:hAnsi="Arial"/>
          <w:sz w:val="11"/>
          <w:szCs w:val="11"/>
          <w:color w:val="auto"/>
        </w:rPr>
      </w:pPr>
      <w:r>
        <w:rPr>
          <w:rFonts w:ascii="Arial" w:cs="Arial" w:eastAsia="Arial" w:hAnsi="Arial"/>
          <w:sz w:val="13"/>
          <w:szCs w:val="13"/>
          <w:color w:val="auto"/>
        </w:rPr>
        <w:t>For a reconciliation o</w:t>
      </w:r>
      <w:r>
        <w:rPr>
          <w:rFonts w:ascii="Arial" w:cs="Arial" w:eastAsia="Arial" w:hAnsi="Arial"/>
          <w:sz w:val="13"/>
          <w:szCs w:val="13"/>
          <w:i w:val="1"/>
          <w:iCs w:val="1"/>
          <w:color w:val="auto"/>
        </w:rPr>
        <w:t>f Comparable funds generated from operatio</w:t>
      </w:r>
      <w:r>
        <w:rPr>
          <w:rFonts w:ascii="Arial" w:cs="Arial" w:eastAsia="Arial" w:hAnsi="Arial"/>
          <w:sz w:val="13"/>
          <w:szCs w:val="13"/>
          <w:color w:val="auto"/>
        </w:rPr>
        <w:t>ns to net cash generated from operations, refer to page 76 and the Non-GAAP measures section of our 2025 Annual MD&amp;A, which is incorporated by reference.</w:t>
      </w:r>
    </w:p>
    <w:p>
      <w:pPr>
        <w:ind w:left="140" w:hanging="133"/>
        <w:spacing w:after="0"/>
        <w:tabs>
          <w:tab w:leader="none" w:pos="140" w:val="left"/>
        </w:tabs>
        <w:numPr>
          <w:ilvl w:val="0"/>
          <w:numId w:val="132"/>
        </w:numPr>
        <w:rPr>
          <w:rFonts w:ascii="Arial" w:cs="Arial" w:eastAsia="Arial" w:hAnsi="Arial"/>
          <w:sz w:val="13"/>
          <w:szCs w:val="13"/>
          <w:color w:val="auto"/>
        </w:rPr>
      </w:pPr>
      <w:r>
        <w:rPr>
          <w:rFonts w:ascii="Arial" w:cs="Arial" w:eastAsia="Arial" w:hAnsi="Arial"/>
          <w:sz w:val="13"/>
          <w:szCs w:val="13"/>
          <w:i w:val="1"/>
          <w:iCs w:val="1"/>
          <w:color w:val="auto"/>
        </w:rPr>
        <w:t xml:space="preserve">Debt-to-EBITDA </w:t>
      </w:r>
      <w:r>
        <w:rPr>
          <w:rFonts w:ascii="Arial" w:cs="Arial" w:eastAsia="Arial" w:hAnsi="Arial"/>
          <w:sz w:val="13"/>
          <w:szCs w:val="13"/>
          <w:color w:val="auto"/>
        </w:rPr>
        <w:t>and</w:t>
      </w:r>
      <w:r>
        <w:rPr>
          <w:rFonts w:ascii="Arial" w:cs="Arial" w:eastAsia="Arial" w:hAnsi="Arial"/>
          <w:sz w:val="13"/>
          <w:szCs w:val="13"/>
          <w:i w:val="1"/>
          <w:iCs w:val="1"/>
          <w:color w:val="auto"/>
        </w:rPr>
        <w:t xml:space="preserve"> Debt-to-EBITDA for compensation purposes </w:t>
      </w:r>
      <w:r>
        <w:rPr>
          <w:rFonts w:ascii="Arial" w:cs="Arial" w:eastAsia="Arial" w:hAnsi="Arial"/>
          <w:sz w:val="13"/>
          <w:szCs w:val="13"/>
          <w:color w:val="auto"/>
        </w:rPr>
        <w:t>are non-GAAP ratios.</w:t>
      </w:r>
      <w:r>
        <w:rPr>
          <w:rFonts w:ascii="Arial" w:cs="Arial" w:eastAsia="Arial" w:hAnsi="Arial"/>
          <w:sz w:val="13"/>
          <w:szCs w:val="13"/>
          <w:i w:val="1"/>
          <w:iCs w:val="1"/>
          <w:color w:val="auto"/>
        </w:rPr>
        <w:t xml:space="preserve"> Adjusted debt </w:t>
      </w:r>
      <w:r>
        <w:rPr>
          <w:rFonts w:ascii="Arial" w:cs="Arial" w:eastAsia="Arial" w:hAnsi="Arial"/>
          <w:sz w:val="13"/>
          <w:szCs w:val="13"/>
          <w:color w:val="auto"/>
        </w:rPr>
        <w:t>and</w:t>
      </w:r>
      <w:r>
        <w:rPr>
          <w:rFonts w:ascii="Arial" w:cs="Arial" w:eastAsia="Arial" w:hAnsi="Arial"/>
          <w:sz w:val="13"/>
          <w:szCs w:val="13"/>
          <w:i w:val="1"/>
          <w:iCs w:val="1"/>
          <w:color w:val="auto"/>
        </w:rPr>
        <w:t xml:space="preserve"> adjusted comparable EBITDA </w:t>
      </w:r>
      <w:r>
        <w:rPr>
          <w:rFonts w:ascii="Arial" w:cs="Arial" w:eastAsia="Arial" w:hAnsi="Arial"/>
          <w:sz w:val="13"/>
          <w:szCs w:val="13"/>
          <w:color w:val="auto"/>
        </w:rPr>
        <w:t>are the non-GAAP measures used to calculate</w:t>
      </w:r>
      <w:r>
        <w:rPr>
          <w:rFonts w:ascii="Arial" w:cs="Arial" w:eastAsia="Arial" w:hAnsi="Arial"/>
          <w:sz w:val="13"/>
          <w:szCs w:val="13"/>
          <w:i w:val="1"/>
          <w:iCs w:val="1"/>
          <w:color w:val="auto"/>
        </w:rPr>
        <w:t xml:space="preserve"> Debt-to-</w:t>
      </w:r>
    </w:p>
    <w:p>
      <w:pPr>
        <w:spacing w:after="0" w:line="38" w:lineRule="exact"/>
        <w:rPr>
          <w:rFonts w:ascii="Arial" w:cs="Arial" w:eastAsia="Arial" w:hAnsi="Arial"/>
          <w:sz w:val="13"/>
          <w:szCs w:val="13"/>
          <w:color w:val="auto"/>
        </w:rPr>
      </w:pPr>
    </w:p>
    <w:p>
      <w:pPr>
        <w:ind w:left="160" w:right="20"/>
        <w:spacing w:after="0" w:line="291" w:lineRule="auto"/>
        <w:rPr>
          <w:rFonts w:ascii="Arial" w:cs="Arial" w:eastAsia="Arial" w:hAnsi="Arial"/>
          <w:sz w:val="13"/>
          <w:szCs w:val="13"/>
          <w:color w:val="auto"/>
        </w:rPr>
      </w:pPr>
      <w:r>
        <w:rPr>
          <w:rFonts w:ascii="Arial" w:cs="Arial" w:eastAsia="Arial" w:hAnsi="Arial"/>
          <w:sz w:val="13"/>
          <w:szCs w:val="13"/>
          <w:i w:val="1"/>
          <w:iCs w:val="1"/>
          <w:color w:val="auto"/>
        </w:rPr>
        <w:t>EBITDA</w:t>
      </w:r>
      <w:r>
        <w:rPr>
          <w:rFonts w:ascii="Arial" w:cs="Arial" w:eastAsia="Arial" w:hAnsi="Arial"/>
          <w:sz w:val="13"/>
          <w:szCs w:val="13"/>
          <w:color w:val="auto"/>
        </w:rPr>
        <w:t>.</w:t>
      </w:r>
      <w:r>
        <w:rPr>
          <w:rFonts w:ascii="Arial" w:cs="Arial" w:eastAsia="Arial" w:hAnsi="Arial"/>
          <w:sz w:val="13"/>
          <w:szCs w:val="13"/>
          <w:i w:val="1"/>
          <w:iCs w:val="1"/>
          <w:color w:val="auto"/>
        </w:rPr>
        <w:t xml:space="preserve"> Adjusted debt normalized for average foreign exchange </w:t>
      </w:r>
      <w:r>
        <w:rPr>
          <w:rFonts w:ascii="Arial" w:cs="Arial" w:eastAsia="Arial" w:hAnsi="Arial"/>
          <w:sz w:val="13"/>
          <w:szCs w:val="13"/>
          <w:color w:val="auto"/>
        </w:rPr>
        <w:t>and</w:t>
      </w:r>
      <w:r>
        <w:rPr>
          <w:rFonts w:ascii="Arial" w:cs="Arial" w:eastAsia="Arial" w:hAnsi="Arial"/>
          <w:sz w:val="13"/>
          <w:szCs w:val="13"/>
          <w:i w:val="1"/>
          <w:iCs w:val="1"/>
          <w:color w:val="auto"/>
        </w:rPr>
        <w:t xml:space="preserve"> adjusted comparable EBITDA </w:t>
      </w:r>
      <w:r>
        <w:rPr>
          <w:rFonts w:ascii="Arial" w:cs="Arial" w:eastAsia="Arial" w:hAnsi="Arial"/>
          <w:sz w:val="13"/>
          <w:szCs w:val="13"/>
          <w:color w:val="auto"/>
        </w:rPr>
        <w:t>are the non-GAAP measures used to calculate</w:t>
      </w:r>
      <w:r>
        <w:rPr>
          <w:rFonts w:ascii="Arial" w:cs="Arial" w:eastAsia="Arial" w:hAnsi="Arial"/>
          <w:sz w:val="13"/>
          <w:szCs w:val="13"/>
          <w:i w:val="1"/>
          <w:iCs w:val="1"/>
          <w:color w:val="auto"/>
        </w:rPr>
        <w:t xml:space="preserve"> Debt-to-EBITDA for compensation purposes</w:t>
      </w:r>
      <w:r>
        <w:rPr>
          <w:rFonts w:ascii="Arial" w:cs="Arial" w:eastAsia="Arial" w:hAnsi="Arial"/>
          <w:sz w:val="13"/>
          <w:szCs w:val="13"/>
          <w:color w:val="auto"/>
        </w:rPr>
        <w:t>. These</w:t>
      </w:r>
      <w:r>
        <w:rPr>
          <w:rFonts w:ascii="Arial" w:cs="Arial" w:eastAsia="Arial" w:hAnsi="Arial"/>
          <w:sz w:val="13"/>
          <w:szCs w:val="13"/>
          <w:i w:val="1"/>
          <w:iCs w:val="1"/>
          <w:color w:val="auto"/>
        </w:rPr>
        <w:t xml:space="preserve"> </w:t>
      </w:r>
      <w:r>
        <w:rPr>
          <w:rFonts w:ascii="Arial" w:cs="Arial" w:eastAsia="Arial" w:hAnsi="Arial"/>
          <w:sz w:val="13"/>
          <w:szCs w:val="13"/>
          <w:color w:val="auto"/>
        </w:rPr>
        <w:t>ratios and measures do not have any standardized meaning under GAAP</w:t>
      </w:r>
    </w:p>
    <w:p>
      <w:pPr>
        <w:ind w:left="160"/>
        <w:spacing w:after="0"/>
        <w:rPr>
          <w:rFonts w:ascii="Arial" w:cs="Arial" w:eastAsia="Arial" w:hAnsi="Arial"/>
          <w:sz w:val="13"/>
          <w:szCs w:val="13"/>
          <w:color w:val="auto"/>
        </w:rPr>
      </w:pPr>
      <w:r>
        <w:rPr>
          <w:rFonts w:ascii="Arial" w:cs="Arial" w:eastAsia="Arial" w:hAnsi="Arial"/>
          <w:sz w:val="13"/>
          <w:szCs w:val="13"/>
          <w:color w:val="auto"/>
        </w:rPr>
        <w:t>and therefore are unlikely to be comparable to similar ratios and measures presented by other companies.</w:t>
      </w:r>
    </w:p>
    <w:p>
      <w:pPr>
        <w:sectPr>
          <w:pgSz w:w="11900" w:h="16838" w:orient="portrait"/>
          <w:cols w:equalWidth="0" w:num="1">
            <w:col w:w="11240"/>
          </w:cols>
          <w:pgMar w:left="320" w:top="10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97" w:right="339" w:bottom="1440" w:gutter="0" w:footer="0" w:header="0"/>
          <w:type w:val="continuous"/>
        </w:sectPr>
      </w:pPr>
    </w:p>
    <w:bookmarkStart w:id="110" w:name="page111"/>
    <w:bookmarkEnd w:id="110"/>
    <w:p>
      <w:pPr>
        <w:ind w:left="140" w:hanging="133"/>
        <w:spacing w:after="0"/>
        <w:tabs>
          <w:tab w:leader="none" w:pos="140" w:val="left"/>
        </w:tabs>
        <w:numPr>
          <w:ilvl w:val="0"/>
          <w:numId w:val="133"/>
        </w:numPr>
        <w:rPr>
          <w:rFonts w:ascii="Arial" w:cs="Arial" w:eastAsia="Arial" w:hAnsi="Arial"/>
          <w:sz w:val="11"/>
          <w:szCs w:val="11"/>
          <w:color w:val="auto"/>
        </w:rPr>
      </w:pPr>
      <w:r>
        <w:rPr>
          <w:rFonts w:ascii="Arial" w:cs="Arial" w:eastAsia="Arial" w:hAnsi="Arial"/>
          <w:sz w:val="11"/>
          <w:szCs w:val="11"/>
          <w:i w:val="1"/>
          <w:iCs w:val="1"/>
          <w:color w:val="auto"/>
        </w:rPr>
        <w:t xml:space="preserve">Debt-to-EBITDA </w:t>
      </w:r>
      <w:r>
        <w:rPr>
          <w:rFonts w:ascii="Arial" w:cs="Arial" w:eastAsia="Arial" w:hAnsi="Arial"/>
          <w:sz w:val="11"/>
          <w:szCs w:val="11"/>
          <w:color w:val="auto"/>
        </w:rPr>
        <w:t>for 2025 was 4.8x, calculated after applying the U.S./Canadian foreign exchange rate as at December 31, 2025 of 1.37 to the outstanding amounts of our U.S. dollar-denominated</w:t>
      </w:r>
    </w:p>
    <w:p>
      <w:pPr>
        <w:spacing w:after="0" w:line="61" w:lineRule="exact"/>
        <w:rPr>
          <w:rFonts w:ascii="Arial" w:cs="Arial" w:eastAsia="Arial" w:hAnsi="Arial"/>
          <w:sz w:val="11"/>
          <w:szCs w:val="11"/>
          <w:color w:val="auto"/>
        </w:rPr>
      </w:pPr>
    </w:p>
    <w:p>
      <w:pPr>
        <w:jc w:val="both"/>
        <w:ind w:left="160" w:right="80"/>
        <w:spacing w:after="0" w:line="344" w:lineRule="auto"/>
        <w:rPr>
          <w:rFonts w:ascii="Arial" w:cs="Arial" w:eastAsia="Arial" w:hAnsi="Arial"/>
          <w:sz w:val="11"/>
          <w:szCs w:val="11"/>
          <w:color w:val="auto"/>
        </w:rPr>
      </w:pPr>
      <w:r>
        <w:rPr>
          <w:rFonts w:ascii="Arial" w:cs="Arial" w:eastAsia="Arial" w:hAnsi="Arial"/>
          <w:sz w:val="11"/>
          <w:szCs w:val="11"/>
          <w:color w:val="auto"/>
        </w:rPr>
        <w:t>notes payable, long-term debt, current portion of long-term debt, junior subordinated notes, and cash and cash equivalents included in adjusted debt. For the purposes of the corporate scorecard and PSU payouts, we normalize for significant volatility in the U.S./Canadian foreign exchange rate which is beyond the company's control and does not reflect our ability to service our debt over the long-</w:t>
      </w:r>
    </w:p>
    <w:p>
      <w:pPr>
        <w:ind w:left="160" w:right="1940"/>
        <w:spacing w:after="0" w:line="344" w:lineRule="auto"/>
        <w:rPr>
          <w:rFonts w:ascii="Arial" w:cs="Arial" w:eastAsia="Arial" w:hAnsi="Arial"/>
          <w:sz w:val="11"/>
          <w:szCs w:val="11"/>
          <w:color w:val="auto"/>
        </w:rPr>
      </w:pPr>
      <w:r>
        <w:rPr>
          <w:rFonts w:ascii="Arial" w:cs="Arial" w:eastAsia="Arial" w:hAnsi="Arial"/>
          <w:sz w:val="11"/>
          <w:szCs w:val="11"/>
          <w:color w:val="auto"/>
        </w:rPr>
        <w:t>run. Accordingly, the outstanding amounts of our U.S. dollar-denominated notes payable, long-term debt, current portion of long-term debt, junior subordinated notes, and cash and cash equivalents included in the calculation of adjusted debt were translated into Canadian dollars using the average foreign exchange rate</w:t>
      </w:r>
    </w:p>
    <w:p>
      <w:pPr>
        <w:ind w:left="160" w:right="280"/>
        <w:spacing w:after="0" w:line="291" w:lineRule="auto"/>
        <w:rPr>
          <w:rFonts w:ascii="Arial" w:cs="Arial" w:eastAsia="Arial" w:hAnsi="Arial"/>
          <w:sz w:val="11"/>
          <w:szCs w:val="11"/>
          <w:color w:val="auto"/>
        </w:rPr>
      </w:pPr>
      <w:r>
        <w:rPr>
          <w:rFonts w:ascii="Arial" w:cs="Arial" w:eastAsia="Arial" w:hAnsi="Arial"/>
          <w:sz w:val="13"/>
          <w:szCs w:val="13"/>
          <w:color w:val="auto"/>
        </w:rPr>
        <w:t>for 2025 of 1.40. This results in an a</w:t>
      </w:r>
      <w:r>
        <w:rPr>
          <w:rFonts w:ascii="Arial" w:cs="Arial" w:eastAsia="Arial" w:hAnsi="Arial"/>
          <w:sz w:val="13"/>
          <w:szCs w:val="13"/>
          <w:i w:val="1"/>
          <w:iCs w:val="1"/>
          <w:color w:val="auto"/>
        </w:rPr>
        <w:t>djusted debt normalized for average foreign exchange</w:t>
      </w:r>
      <w:r>
        <w:rPr>
          <w:rFonts w:ascii="Arial" w:cs="Arial" w:eastAsia="Arial" w:hAnsi="Arial"/>
          <w:sz w:val="13"/>
          <w:szCs w:val="13"/>
          <w:color w:val="auto"/>
        </w:rPr>
        <w:t xml:space="preserve"> that is $713 million higher than </w:t>
      </w:r>
      <w:r>
        <w:rPr>
          <w:rFonts w:ascii="Arial" w:cs="Arial" w:eastAsia="Arial" w:hAnsi="Arial"/>
          <w:sz w:val="13"/>
          <w:szCs w:val="13"/>
          <w:i w:val="1"/>
          <w:iCs w:val="1"/>
          <w:color w:val="auto"/>
        </w:rPr>
        <w:t>adjusted debt</w:t>
      </w:r>
      <w:r>
        <w:rPr>
          <w:rFonts w:ascii="Arial" w:cs="Arial" w:eastAsia="Arial" w:hAnsi="Arial"/>
          <w:sz w:val="13"/>
          <w:szCs w:val="13"/>
          <w:color w:val="auto"/>
        </w:rPr>
        <w:t xml:space="preserve">, making 2025 </w:t>
      </w:r>
      <w:r>
        <w:rPr>
          <w:rFonts w:ascii="Arial" w:cs="Arial" w:eastAsia="Arial" w:hAnsi="Arial"/>
          <w:sz w:val="13"/>
          <w:szCs w:val="13"/>
          <w:i w:val="1"/>
          <w:iCs w:val="1"/>
          <w:color w:val="auto"/>
        </w:rPr>
        <w:t>Debt-to-EBITDA for compensation purposes</w:t>
      </w:r>
      <w:r>
        <w:rPr>
          <w:rFonts w:ascii="Arial" w:cs="Arial" w:eastAsia="Arial" w:hAnsi="Arial"/>
          <w:sz w:val="13"/>
          <w:szCs w:val="13"/>
          <w:color w:val="auto"/>
        </w:rPr>
        <w:t xml:space="preserve"> referenced in the 2025 Results and Highlights section above 4.87x.</w:t>
      </w:r>
    </w:p>
    <w:p>
      <w:pPr>
        <w:ind w:left="140" w:hanging="133"/>
        <w:spacing w:after="0"/>
        <w:tabs>
          <w:tab w:leader="none" w:pos="1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Schedule B - Non-GAAP Measures - Reconciliation of Debt-to-EBITDA</w:t>
      </w:r>
      <w:r>
        <w:rPr>
          <w:rFonts w:ascii="Arial" w:cs="Arial" w:eastAsia="Arial" w:hAnsi="Arial"/>
          <w:sz w:val="13"/>
          <w:szCs w:val="13"/>
          <w:color w:val="auto"/>
        </w:rPr>
        <w:t xml:space="preserve"> in this Circular for additional information and a reconciliation of </w:t>
      </w:r>
      <w:r>
        <w:rPr>
          <w:rFonts w:ascii="Arial" w:cs="Arial" w:eastAsia="Arial" w:hAnsi="Arial"/>
          <w:sz w:val="13"/>
          <w:szCs w:val="13"/>
          <w:i w:val="1"/>
          <w:iCs w:val="1"/>
          <w:color w:val="auto"/>
        </w:rPr>
        <w:t>adjusted debt</w:t>
      </w:r>
    </w:p>
    <w:p>
      <w:pPr>
        <w:spacing w:after="0" w:line="25" w:lineRule="exact"/>
        <w:rPr>
          <w:sz w:val="20"/>
          <w:szCs w:val="20"/>
          <w:color w:val="auto"/>
        </w:rPr>
      </w:pPr>
    </w:p>
    <w:p>
      <w:pPr>
        <w:ind w:left="160" w:right="360"/>
        <w:spacing w:after="0" w:line="301" w:lineRule="auto"/>
        <w:rPr>
          <w:sz w:val="20"/>
          <w:szCs w:val="20"/>
          <w:color w:val="auto"/>
        </w:rPr>
      </w:pPr>
      <w:r>
        <w:rPr>
          <w:rFonts w:ascii="Arial" w:cs="Arial" w:eastAsia="Arial" w:hAnsi="Arial"/>
          <w:sz w:val="13"/>
          <w:szCs w:val="13"/>
          <w:color w:val="auto"/>
        </w:rPr>
        <w:t xml:space="preserve">to debt and </w:t>
      </w:r>
      <w:r>
        <w:rPr>
          <w:rFonts w:ascii="Arial" w:cs="Arial" w:eastAsia="Arial" w:hAnsi="Arial"/>
          <w:sz w:val="13"/>
          <w:szCs w:val="13"/>
          <w:i w:val="1"/>
          <w:iCs w:val="1"/>
          <w:color w:val="auto"/>
        </w:rPr>
        <w:t>adjusted comparable EBITDA</w:t>
      </w:r>
      <w:r>
        <w:rPr>
          <w:rFonts w:ascii="Arial" w:cs="Arial" w:eastAsia="Arial" w:hAnsi="Arial"/>
          <w:sz w:val="13"/>
          <w:szCs w:val="13"/>
          <w:color w:val="auto"/>
        </w:rPr>
        <w:t xml:space="preserve"> to </w:t>
      </w:r>
      <w:r>
        <w:rPr>
          <w:rFonts w:ascii="Arial" w:cs="Arial" w:eastAsia="Arial" w:hAnsi="Arial"/>
          <w:sz w:val="13"/>
          <w:szCs w:val="13"/>
          <w:i w:val="1"/>
          <w:iCs w:val="1"/>
          <w:color w:val="auto"/>
        </w:rPr>
        <w:t>comparable EBITDA</w:t>
      </w:r>
      <w:r>
        <w:rPr>
          <w:rFonts w:ascii="Arial" w:cs="Arial" w:eastAsia="Arial" w:hAnsi="Arial"/>
          <w:sz w:val="13"/>
          <w:szCs w:val="13"/>
          <w:color w:val="auto"/>
        </w:rPr>
        <w:t xml:space="preserve">. An additional reconciliation from </w:t>
      </w:r>
      <w:r>
        <w:rPr>
          <w:rFonts w:ascii="Arial" w:cs="Arial" w:eastAsia="Arial" w:hAnsi="Arial"/>
          <w:sz w:val="13"/>
          <w:szCs w:val="13"/>
          <w:i w:val="1"/>
          <w:iCs w:val="1"/>
          <w:color w:val="auto"/>
        </w:rPr>
        <w:t>comparable EBITDA</w:t>
      </w:r>
      <w:r>
        <w:rPr>
          <w:rFonts w:ascii="Arial" w:cs="Arial" w:eastAsia="Arial" w:hAnsi="Arial"/>
          <w:sz w:val="13"/>
          <w:szCs w:val="13"/>
          <w:color w:val="auto"/>
        </w:rPr>
        <w:t xml:space="preserve"> to segmented earnings (losses) can be found on pages 24 to 30 of in the Annual MD&amp;A, which is incorporated by reference herein.</w:t>
      </w:r>
    </w:p>
    <w:p>
      <w:pPr>
        <w:spacing w:after="0" w:line="1" w:lineRule="exact"/>
        <w:rPr>
          <w:sz w:val="20"/>
          <w:szCs w:val="20"/>
          <w:color w:val="auto"/>
        </w:rPr>
      </w:pPr>
    </w:p>
    <w:p>
      <w:pPr>
        <w:ind w:left="160" w:right="120" w:hanging="153"/>
        <w:spacing w:after="0" w:line="306" w:lineRule="auto"/>
        <w:tabs>
          <w:tab w:leader="none" w:pos="137" w:val="left"/>
        </w:tabs>
        <w:numPr>
          <w:ilvl w:val="0"/>
          <w:numId w:val="134"/>
        </w:numPr>
        <w:rPr>
          <w:rFonts w:ascii="Arial" w:cs="Arial" w:eastAsia="Arial" w:hAnsi="Arial"/>
          <w:sz w:val="13"/>
          <w:szCs w:val="13"/>
          <w:color w:val="auto"/>
        </w:rPr>
      </w:pPr>
      <w:r>
        <w:rPr>
          <w:rFonts w:ascii="Arial" w:cs="Arial" w:eastAsia="Arial" w:hAnsi="Arial"/>
          <w:sz w:val="13"/>
          <w:szCs w:val="13"/>
          <w:i w:val="1"/>
          <w:iCs w:val="1"/>
          <w:color w:val="auto"/>
        </w:rPr>
        <w:t xml:space="preserve">Relative TSR </w:t>
      </w:r>
      <w:r>
        <w:rPr>
          <w:rFonts w:ascii="Arial" w:cs="Arial" w:eastAsia="Arial" w:hAnsi="Arial"/>
          <w:sz w:val="13"/>
          <w:szCs w:val="13"/>
          <w:color w:val="auto"/>
        </w:rPr>
        <w:t>is calculated using $76.52, the 5-day volume-weighted average closing price of TC Energy shares on the TSX at December 31, 2025. Our absolute TSR performance was 85.8 per cent</w:t>
      </w:r>
      <w:r>
        <w:rPr>
          <w:rFonts w:ascii="Arial" w:cs="Arial" w:eastAsia="Arial" w:hAnsi="Arial"/>
          <w:sz w:val="13"/>
          <w:szCs w:val="13"/>
          <w:i w:val="1"/>
          <w:iCs w:val="1"/>
          <w:color w:val="auto"/>
        </w:rPr>
        <w:t xml:space="preserve"> </w:t>
      </w:r>
      <w:r>
        <w:rPr>
          <w:rFonts w:ascii="Arial" w:cs="Arial" w:eastAsia="Arial" w:hAnsi="Arial"/>
          <w:sz w:val="13"/>
          <w:szCs w:val="13"/>
          <w:color w:val="auto"/>
        </w:rPr>
        <w:t>over the three year performance period.</w:t>
      </w:r>
    </w:p>
    <w:p>
      <w:pPr>
        <w:spacing w:after="0" w:line="227" w:lineRule="exact"/>
        <w:rPr>
          <w:sz w:val="20"/>
          <w:szCs w:val="20"/>
          <w:color w:val="auto"/>
        </w:rPr>
      </w:pPr>
    </w:p>
    <w:p>
      <w:pPr>
        <w:jc w:val="both"/>
        <w:ind w:right="180"/>
        <w:spacing w:after="0" w:line="303" w:lineRule="auto"/>
        <w:rPr>
          <w:sz w:val="20"/>
          <w:szCs w:val="20"/>
          <w:color w:val="auto"/>
        </w:rPr>
      </w:pPr>
      <w:r>
        <w:rPr>
          <w:rFonts w:ascii="Arial" w:cs="Arial" w:eastAsia="Arial" w:hAnsi="Arial"/>
          <w:sz w:val="16"/>
          <w:szCs w:val="16"/>
          <w:color w:val="auto"/>
        </w:rPr>
        <w:t>We used two peer groups for measuring relative TSR for the 2023 PSUs. The first group for relative TSR was a subset of the TSX 60 Index, which included publicly-traded peer companies that represent dividend subset competitors for shareholder investment. The second group consisted of a group of publicly-traded companies that are in the same or similar business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to TC Energy and which represented investment opportunities for equity investors seeking exposure to the North American pipeline, power and utility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6313805" cy="1365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13805" cy="136525"/>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2023 PSUs – dividend subset of the TSX 60 Index for relative TSR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Borders>
              <w:top w:val="single" w:sz="8" w:color="0D64EF"/>
            </w:tcBorders>
          </w:tcPr>
          <w:p>
            <w:pPr>
              <w:ind w:left="20"/>
              <w:spacing w:after="0"/>
              <w:rPr>
                <w:sz w:val="20"/>
                <w:szCs w:val="20"/>
                <w:color w:val="auto"/>
              </w:rPr>
            </w:pPr>
            <w:r>
              <w:rPr>
                <w:rFonts w:ascii="Arial" w:cs="Arial" w:eastAsia="Arial" w:hAnsi="Arial"/>
                <w:sz w:val="14"/>
                <w:szCs w:val="14"/>
                <w:color w:val="auto"/>
              </w:rPr>
              <w:t>Agnico Eagle Mines Limited</w:t>
            </w:r>
          </w:p>
        </w:tc>
        <w:tc>
          <w:tcPr>
            <w:tcW w:w="3460" w:type="dxa"/>
            <w:vAlign w:val="bottom"/>
            <w:tcBorders>
              <w:top w:val="single" w:sz="8" w:color="0D64EF"/>
            </w:tcBorders>
          </w:tcPr>
          <w:p>
            <w:pPr>
              <w:ind w:left="80"/>
              <w:spacing w:after="0"/>
              <w:rPr>
                <w:sz w:val="20"/>
                <w:szCs w:val="20"/>
                <w:color w:val="auto"/>
              </w:rPr>
            </w:pPr>
            <w:r>
              <w:rPr>
                <w:rFonts w:ascii="Arial" w:cs="Arial" w:eastAsia="Arial" w:hAnsi="Arial"/>
                <w:sz w:val="14"/>
                <w:szCs w:val="14"/>
                <w:color w:val="auto"/>
              </w:rPr>
              <w:t>Emera Inc.</w:t>
            </w:r>
          </w:p>
        </w:tc>
        <w:tc>
          <w:tcPr>
            <w:tcW w:w="3080" w:type="dxa"/>
            <w:vAlign w:val="bottom"/>
            <w:tcBorders>
              <w:top w:val="single" w:sz="8" w:color="0D64EF"/>
            </w:tcBorders>
          </w:tcPr>
          <w:p>
            <w:pPr>
              <w:ind w:left="60"/>
              <w:spacing w:after="0"/>
              <w:rPr>
                <w:sz w:val="20"/>
                <w:szCs w:val="20"/>
                <w:color w:val="auto"/>
              </w:rPr>
            </w:pPr>
            <w:r>
              <w:rPr>
                <w:rFonts w:ascii="Arial" w:cs="Arial" w:eastAsia="Arial" w:hAnsi="Arial"/>
                <w:sz w:val="14"/>
                <w:szCs w:val="14"/>
                <w:color w:val="auto"/>
              </w:rPr>
              <w:t>Restaurant Brands International Inc.</w:t>
            </w:r>
          </w:p>
        </w:tc>
      </w:tr>
      <w:tr>
        <w:trPr>
          <w:trHeight w:val="214"/>
        </w:trPr>
        <w:tc>
          <w:tcPr>
            <w:tcW w:w="3420" w:type="dxa"/>
            <w:vAlign w:val="bottom"/>
          </w:tcPr>
          <w:p>
            <w:pPr>
              <w:ind w:left="20"/>
              <w:spacing w:after="0"/>
              <w:rPr>
                <w:sz w:val="20"/>
                <w:szCs w:val="20"/>
                <w:color w:val="auto"/>
              </w:rPr>
            </w:pPr>
            <w:r>
              <w:rPr>
                <w:rFonts w:ascii="Arial" w:cs="Arial" w:eastAsia="Arial" w:hAnsi="Arial"/>
                <w:sz w:val="14"/>
                <w:szCs w:val="14"/>
                <w:color w:val="auto"/>
              </w:rPr>
              <w:t>Algonquin Power &amp; Utilities Corp.</w:t>
            </w:r>
          </w:p>
        </w:tc>
        <w:tc>
          <w:tcPr>
            <w:tcW w:w="3460" w:type="dxa"/>
            <w:vAlign w:val="bottom"/>
          </w:tcPr>
          <w:p>
            <w:pPr>
              <w:ind w:left="80"/>
              <w:spacing w:after="0"/>
              <w:rPr>
                <w:sz w:val="20"/>
                <w:szCs w:val="20"/>
                <w:color w:val="auto"/>
              </w:rPr>
            </w:pPr>
            <w:r>
              <w:rPr>
                <w:rFonts w:ascii="Arial" w:cs="Arial" w:eastAsia="Arial" w:hAnsi="Arial"/>
                <w:sz w:val="14"/>
                <w:szCs w:val="14"/>
                <w:color w:val="auto"/>
              </w:rPr>
              <w:t>Enbridge Inc.</w:t>
            </w:r>
          </w:p>
        </w:tc>
        <w:tc>
          <w:tcPr>
            <w:tcW w:w="3080" w:type="dxa"/>
            <w:vAlign w:val="bottom"/>
          </w:tcPr>
          <w:p>
            <w:pPr>
              <w:ind w:left="60"/>
              <w:spacing w:after="0"/>
              <w:rPr>
                <w:sz w:val="20"/>
                <w:szCs w:val="20"/>
                <w:color w:val="auto"/>
              </w:rPr>
            </w:pPr>
            <w:r>
              <w:rPr>
                <w:rFonts w:ascii="Arial" w:cs="Arial" w:eastAsia="Arial" w:hAnsi="Arial"/>
                <w:sz w:val="14"/>
                <w:szCs w:val="14"/>
                <w:color w:val="auto"/>
              </w:rPr>
              <w:t>Rogers Communications Inc.</w:t>
            </w: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Bank of Montreal</w:t>
            </w:r>
          </w:p>
        </w:tc>
        <w:tc>
          <w:tcPr>
            <w:tcW w:w="3460" w:type="dxa"/>
            <w:vAlign w:val="bottom"/>
          </w:tcPr>
          <w:p>
            <w:pPr>
              <w:ind w:left="80"/>
              <w:spacing w:after="0"/>
              <w:rPr>
                <w:sz w:val="20"/>
                <w:szCs w:val="20"/>
                <w:color w:val="auto"/>
              </w:rPr>
            </w:pPr>
            <w:r>
              <w:rPr>
                <w:rFonts w:ascii="Arial" w:cs="Arial" w:eastAsia="Arial" w:hAnsi="Arial"/>
                <w:sz w:val="14"/>
                <w:szCs w:val="14"/>
                <w:color w:val="auto"/>
              </w:rPr>
              <w:t>Fortis Inc.</w:t>
            </w:r>
          </w:p>
        </w:tc>
        <w:tc>
          <w:tcPr>
            <w:tcW w:w="3080" w:type="dxa"/>
            <w:vAlign w:val="bottom"/>
          </w:tcPr>
          <w:p>
            <w:pPr>
              <w:ind w:left="60"/>
              <w:spacing w:after="0"/>
              <w:rPr>
                <w:sz w:val="20"/>
                <w:szCs w:val="20"/>
                <w:color w:val="auto"/>
              </w:rPr>
            </w:pPr>
            <w:r>
              <w:rPr>
                <w:rFonts w:ascii="Arial" w:cs="Arial" w:eastAsia="Arial" w:hAnsi="Arial"/>
                <w:sz w:val="14"/>
                <w:szCs w:val="14"/>
                <w:color w:val="auto"/>
              </w:rPr>
              <w:t>Royal Bank of Canada</w:t>
            </w: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Barrick Gold Corporation</w:t>
            </w:r>
          </w:p>
        </w:tc>
        <w:tc>
          <w:tcPr>
            <w:tcW w:w="3460" w:type="dxa"/>
            <w:vAlign w:val="bottom"/>
          </w:tcPr>
          <w:p>
            <w:pPr>
              <w:ind w:left="80"/>
              <w:spacing w:after="0"/>
              <w:rPr>
                <w:sz w:val="20"/>
                <w:szCs w:val="20"/>
                <w:color w:val="auto"/>
              </w:rPr>
            </w:pPr>
            <w:r>
              <w:rPr>
                <w:rFonts w:ascii="Arial" w:cs="Arial" w:eastAsia="Arial" w:hAnsi="Arial"/>
                <w:sz w:val="14"/>
                <w:szCs w:val="14"/>
                <w:color w:val="auto"/>
              </w:rPr>
              <w:t>Hydro One Limited</w:t>
            </w:r>
          </w:p>
        </w:tc>
        <w:tc>
          <w:tcPr>
            <w:tcW w:w="3080" w:type="dxa"/>
            <w:vAlign w:val="bottom"/>
          </w:tcPr>
          <w:p>
            <w:pPr>
              <w:ind w:left="60"/>
              <w:spacing w:after="0"/>
              <w:rPr>
                <w:sz w:val="20"/>
                <w:szCs w:val="20"/>
                <w:color w:val="auto"/>
              </w:rPr>
            </w:pPr>
            <w:r>
              <w:rPr>
                <w:rFonts w:ascii="Arial" w:cs="Arial" w:eastAsia="Arial" w:hAnsi="Arial"/>
                <w:sz w:val="14"/>
                <w:szCs w:val="14"/>
                <w:color w:val="auto"/>
              </w:rPr>
              <w:t>Sun Life Financial Inc.</w:t>
            </w: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BCE Inc.</w:t>
            </w:r>
          </w:p>
        </w:tc>
        <w:tc>
          <w:tcPr>
            <w:tcW w:w="3460" w:type="dxa"/>
            <w:vAlign w:val="bottom"/>
          </w:tcPr>
          <w:p>
            <w:pPr>
              <w:ind w:left="80"/>
              <w:spacing w:after="0"/>
              <w:rPr>
                <w:sz w:val="20"/>
                <w:szCs w:val="20"/>
                <w:color w:val="auto"/>
              </w:rPr>
            </w:pPr>
            <w:r>
              <w:rPr>
                <w:rFonts w:ascii="Arial" w:cs="Arial" w:eastAsia="Arial" w:hAnsi="Arial"/>
                <w:sz w:val="14"/>
                <w:szCs w:val="14"/>
                <w:color w:val="auto"/>
              </w:rPr>
              <w:t>Kinross Gold Corporation</w:t>
            </w:r>
          </w:p>
        </w:tc>
        <w:tc>
          <w:tcPr>
            <w:tcW w:w="3080" w:type="dxa"/>
            <w:vAlign w:val="bottom"/>
          </w:tcPr>
          <w:p>
            <w:pPr>
              <w:ind w:left="60"/>
              <w:spacing w:after="0"/>
              <w:rPr>
                <w:sz w:val="20"/>
                <w:szCs w:val="20"/>
                <w:color w:val="auto"/>
              </w:rPr>
            </w:pPr>
            <w:r>
              <w:rPr>
                <w:rFonts w:ascii="Arial" w:cs="Arial" w:eastAsia="Arial" w:hAnsi="Arial"/>
                <w:sz w:val="14"/>
                <w:szCs w:val="14"/>
                <w:color w:val="auto"/>
              </w:rPr>
              <w:t>Suncor Energy Inc.</w:t>
            </w: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Brookfield Infrastructure Partners L.P.</w:t>
            </w:r>
          </w:p>
        </w:tc>
        <w:tc>
          <w:tcPr>
            <w:tcW w:w="3460" w:type="dxa"/>
            <w:vAlign w:val="bottom"/>
          </w:tcPr>
          <w:p>
            <w:pPr>
              <w:ind w:left="80"/>
              <w:spacing w:after="0"/>
              <w:rPr>
                <w:sz w:val="20"/>
                <w:szCs w:val="20"/>
                <w:color w:val="auto"/>
              </w:rPr>
            </w:pPr>
            <w:r>
              <w:rPr>
                <w:rFonts w:ascii="Arial" w:cs="Arial" w:eastAsia="Arial" w:hAnsi="Arial"/>
                <w:sz w:val="14"/>
                <w:szCs w:val="14"/>
                <w:color w:val="auto"/>
              </w:rPr>
              <w:t>Magna International Inc.</w:t>
            </w:r>
          </w:p>
        </w:tc>
        <w:tc>
          <w:tcPr>
            <w:tcW w:w="3080" w:type="dxa"/>
            <w:vAlign w:val="bottom"/>
          </w:tcPr>
          <w:p>
            <w:pPr>
              <w:ind w:left="60"/>
              <w:spacing w:after="0"/>
              <w:rPr>
                <w:sz w:val="20"/>
                <w:szCs w:val="20"/>
                <w:color w:val="auto"/>
              </w:rPr>
            </w:pPr>
            <w:r>
              <w:rPr>
                <w:rFonts w:ascii="Arial" w:cs="Arial" w:eastAsia="Arial" w:hAnsi="Arial"/>
                <w:sz w:val="14"/>
                <w:szCs w:val="14"/>
                <w:color w:val="auto"/>
              </w:rPr>
              <w:t>TELUS Corporation</w:t>
            </w: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Canadian Apartment Properties REIT</w:t>
            </w:r>
          </w:p>
        </w:tc>
        <w:tc>
          <w:tcPr>
            <w:tcW w:w="3460" w:type="dxa"/>
            <w:vAlign w:val="bottom"/>
          </w:tcPr>
          <w:p>
            <w:pPr>
              <w:ind w:left="80"/>
              <w:spacing w:after="0"/>
              <w:rPr>
                <w:sz w:val="20"/>
                <w:szCs w:val="20"/>
                <w:color w:val="auto"/>
              </w:rPr>
            </w:pPr>
            <w:r>
              <w:rPr>
                <w:rFonts w:ascii="Arial" w:cs="Arial" w:eastAsia="Arial" w:hAnsi="Arial"/>
                <w:sz w:val="14"/>
                <w:szCs w:val="14"/>
                <w:color w:val="auto"/>
              </w:rPr>
              <w:t>Manulife Financial Corporation</w:t>
            </w:r>
          </w:p>
        </w:tc>
        <w:tc>
          <w:tcPr>
            <w:tcW w:w="3080" w:type="dxa"/>
            <w:vAlign w:val="bottom"/>
          </w:tcPr>
          <w:p>
            <w:pPr>
              <w:ind w:left="60"/>
              <w:spacing w:after="0"/>
              <w:rPr>
                <w:sz w:val="20"/>
                <w:szCs w:val="20"/>
                <w:color w:val="auto"/>
              </w:rPr>
            </w:pPr>
            <w:r>
              <w:rPr>
                <w:rFonts w:ascii="Arial" w:cs="Arial" w:eastAsia="Arial" w:hAnsi="Arial"/>
                <w:sz w:val="14"/>
                <w:szCs w:val="14"/>
                <w:color w:val="auto"/>
              </w:rPr>
              <w:t>The Bank of Nova Scotia</w:t>
            </w: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Canadian Imperial Bank of Commerce</w:t>
            </w:r>
          </w:p>
        </w:tc>
        <w:tc>
          <w:tcPr>
            <w:tcW w:w="3460" w:type="dxa"/>
            <w:vAlign w:val="bottom"/>
          </w:tcPr>
          <w:p>
            <w:pPr>
              <w:ind w:left="80"/>
              <w:spacing w:after="0"/>
              <w:rPr>
                <w:sz w:val="20"/>
                <w:szCs w:val="20"/>
                <w:color w:val="auto"/>
              </w:rPr>
            </w:pPr>
            <w:r>
              <w:rPr>
                <w:rFonts w:ascii="Arial" w:cs="Arial" w:eastAsia="Arial" w:hAnsi="Arial"/>
                <w:sz w:val="14"/>
                <w:szCs w:val="14"/>
                <w:color w:val="auto"/>
              </w:rPr>
              <w:t>National Bank of Canada</w:t>
            </w:r>
          </w:p>
        </w:tc>
        <w:tc>
          <w:tcPr>
            <w:tcW w:w="3080" w:type="dxa"/>
            <w:vAlign w:val="bottom"/>
          </w:tcPr>
          <w:p>
            <w:pPr>
              <w:ind w:left="60"/>
              <w:spacing w:after="0"/>
              <w:rPr>
                <w:sz w:val="20"/>
                <w:szCs w:val="20"/>
                <w:color w:val="auto"/>
              </w:rPr>
            </w:pPr>
            <w:r>
              <w:rPr>
                <w:rFonts w:ascii="Arial" w:cs="Arial" w:eastAsia="Arial" w:hAnsi="Arial"/>
                <w:sz w:val="14"/>
                <w:szCs w:val="14"/>
                <w:color w:val="auto"/>
              </w:rPr>
              <w:t>The Toronto-Dominion Bank</w:t>
            </w: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Canadian Natural Resources Limited</w:t>
            </w:r>
          </w:p>
        </w:tc>
        <w:tc>
          <w:tcPr>
            <w:tcW w:w="3460" w:type="dxa"/>
            <w:vAlign w:val="bottom"/>
          </w:tcPr>
          <w:p>
            <w:pPr>
              <w:ind w:left="80"/>
              <w:spacing w:after="0"/>
              <w:rPr>
                <w:sz w:val="20"/>
                <w:szCs w:val="20"/>
                <w:color w:val="auto"/>
              </w:rPr>
            </w:pPr>
            <w:r>
              <w:rPr>
                <w:rFonts w:ascii="Arial" w:cs="Arial" w:eastAsia="Arial" w:hAnsi="Arial"/>
                <w:sz w:val="14"/>
                <w:szCs w:val="14"/>
                <w:color w:val="auto"/>
              </w:rPr>
              <w:t>Pembina Pipeline Corporation</w:t>
            </w:r>
          </w:p>
        </w:tc>
        <w:tc>
          <w:tcPr>
            <w:tcW w:w="3080" w:type="dxa"/>
            <w:vAlign w:val="bottom"/>
          </w:tcPr>
          <w:p>
            <w:pPr>
              <w:ind w:left="60"/>
              <w:spacing w:after="0"/>
              <w:rPr>
                <w:sz w:val="20"/>
                <w:szCs w:val="20"/>
                <w:color w:val="auto"/>
              </w:rPr>
            </w:pPr>
            <w:r>
              <w:rPr>
                <w:rFonts w:ascii="Arial" w:cs="Arial" w:eastAsia="Arial" w:hAnsi="Arial"/>
                <w:sz w:val="14"/>
                <w:szCs w:val="14"/>
                <w:color w:val="auto"/>
              </w:rPr>
              <w:t>Tourmaline Oil Corp.</w:t>
            </w:r>
          </w:p>
        </w:tc>
      </w:tr>
      <w:tr>
        <w:trPr>
          <w:trHeight w:val="219"/>
        </w:trPr>
        <w:tc>
          <w:tcPr>
            <w:tcW w:w="342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Canadian Tire Corporation, Limited</w:t>
            </w:r>
          </w:p>
        </w:tc>
        <w:tc>
          <w:tcPr>
            <w:tcW w:w="3460" w:type="dxa"/>
            <w:vAlign w:val="bottom"/>
            <w:tcBorders>
              <w:bottom w:val="single" w:sz="8" w:color="0D64EF"/>
            </w:tcBorders>
          </w:tcPr>
          <w:p>
            <w:pPr>
              <w:ind w:left="80"/>
              <w:spacing w:after="0"/>
              <w:rPr>
                <w:sz w:val="20"/>
                <w:szCs w:val="20"/>
                <w:color w:val="auto"/>
              </w:rPr>
            </w:pPr>
            <w:r>
              <w:rPr>
                <w:rFonts w:ascii="Arial" w:cs="Arial" w:eastAsia="Arial" w:hAnsi="Arial"/>
                <w:sz w:val="14"/>
                <w:szCs w:val="14"/>
                <w:color w:val="auto"/>
              </w:rPr>
              <w:t>Power Corporation of Canada</w:t>
            </w:r>
          </w:p>
        </w:tc>
        <w:tc>
          <w:tcPr>
            <w:tcW w:w="3080" w:type="dxa"/>
            <w:vAlign w:val="bottom"/>
            <w:tcBorders>
              <w:bottom w:val="single" w:sz="8" w:color="0D64EF"/>
            </w:tcBorders>
          </w:tcPr>
          <w:p>
            <w:pPr>
              <w:spacing w:after="0"/>
              <w:rPr>
                <w:sz w:val="19"/>
                <w:szCs w:val="19"/>
                <w:color w:val="auto"/>
              </w:rPr>
            </w:pPr>
          </w:p>
        </w:tc>
      </w:tr>
      <w:tr>
        <w:trPr>
          <w:trHeight w:val="212"/>
        </w:trPr>
        <w:tc>
          <w:tcPr>
            <w:tcW w:w="3420" w:type="dxa"/>
            <w:vAlign w:val="bottom"/>
            <w:tcBorders>
              <w:bottom w:val="single" w:sz="8" w:color="0D64EF"/>
            </w:tcBorders>
          </w:tcPr>
          <w:p>
            <w:pPr>
              <w:spacing w:after="0"/>
              <w:rPr>
                <w:sz w:val="18"/>
                <w:szCs w:val="18"/>
                <w:color w:val="auto"/>
              </w:rPr>
            </w:pPr>
          </w:p>
        </w:tc>
        <w:tc>
          <w:tcPr>
            <w:tcW w:w="3460" w:type="dxa"/>
            <w:vAlign w:val="bottom"/>
            <w:tcBorders>
              <w:bottom w:val="single" w:sz="8" w:color="0D64EF"/>
            </w:tcBorders>
          </w:tcPr>
          <w:p>
            <w:pPr>
              <w:spacing w:after="0"/>
              <w:rPr>
                <w:sz w:val="18"/>
                <w:szCs w:val="18"/>
                <w:color w:val="auto"/>
              </w:rPr>
            </w:pPr>
          </w:p>
        </w:tc>
        <w:tc>
          <w:tcPr>
            <w:tcW w:w="3080" w:type="dxa"/>
            <w:vAlign w:val="bottom"/>
          </w:tcPr>
          <w:p>
            <w:pPr>
              <w:spacing w:after="0"/>
              <w:rPr>
                <w:sz w:val="18"/>
                <w:szCs w:val="18"/>
                <w:color w:val="auto"/>
              </w:rPr>
            </w:pPr>
          </w:p>
        </w:tc>
      </w:tr>
      <w:tr>
        <w:trPr>
          <w:trHeight w:val="194"/>
        </w:trPr>
        <w:tc>
          <w:tcPr>
            <w:tcW w:w="34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2023 PSUs - industry peer group for relative TSR</w:t>
            </w:r>
          </w:p>
        </w:tc>
        <w:tc>
          <w:tcPr>
            <w:tcW w:w="3460" w:type="dxa"/>
            <w:vAlign w:val="bottom"/>
            <w:tcBorders>
              <w:bottom w:val="single" w:sz="8" w:color="0D64EF"/>
            </w:tcBorders>
            <w:shd w:val="clear" w:color="auto" w:fill="D1D0CF"/>
          </w:tcPr>
          <w:p>
            <w:pPr>
              <w:spacing w:after="0"/>
              <w:rPr>
                <w:sz w:val="16"/>
                <w:szCs w:val="16"/>
                <w:color w:val="auto"/>
              </w:rPr>
            </w:pPr>
          </w:p>
        </w:tc>
        <w:tc>
          <w:tcPr>
            <w:tcW w:w="3080" w:type="dxa"/>
            <w:vAlign w:val="bottom"/>
          </w:tcPr>
          <w:p>
            <w:pPr>
              <w:spacing w:after="0"/>
              <w:rPr>
                <w:sz w:val="16"/>
                <w:szCs w:val="16"/>
                <w:color w:val="auto"/>
              </w:rPr>
            </w:pPr>
          </w:p>
        </w:tc>
      </w:tr>
      <w:tr>
        <w:trPr>
          <w:trHeight w:val="188"/>
        </w:trPr>
        <w:tc>
          <w:tcPr>
            <w:tcW w:w="3420" w:type="dxa"/>
            <w:vAlign w:val="bottom"/>
          </w:tcPr>
          <w:p>
            <w:pPr>
              <w:ind w:left="20"/>
              <w:spacing w:after="0"/>
              <w:rPr>
                <w:sz w:val="20"/>
                <w:szCs w:val="20"/>
                <w:color w:val="auto"/>
              </w:rPr>
            </w:pPr>
            <w:r>
              <w:rPr>
                <w:rFonts w:ascii="Arial" w:cs="Arial" w:eastAsia="Arial" w:hAnsi="Arial"/>
                <w:sz w:val="14"/>
                <w:szCs w:val="14"/>
                <w:color w:val="auto"/>
              </w:rPr>
              <w:t>AltaGas Ltd.</w:t>
            </w:r>
          </w:p>
        </w:tc>
        <w:tc>
          <w:tcPr>
            <w:tcW w:w="3460" w:type="dxa"/>
            <w:vAlign w:val="bottom"/>
          </w:tcPr>
          <w:p>
            <w:pPr>
              <w:ind w:left="200"/>
              <w:spacing w:after="0"/>
              <w:rPr>
                <w:sz w:val="20"/>
                <w:szCs w:val="20"/>
                <w:color w:val="auto"/>
              </w:rPr>
            </w:pPr>
            <w:r>
              <w:rPr>
                <w:rFonts w:ascii="Arial" w:cs="Arial" w:eastAsia="Arial" w:hAnsi="Arial"/>
                <w:sz w:val="14"/>
                <w:szCs w:val="14"/>
                <w:color w:val="auto"/>
              </w:rPr>
              <w:t>Enterprise Products Partners L.P.</w:t>
            </w:r>
          </w:p>
        </w:tc>
        <w:tc>
          <w:tcPr>
            <w:tcW w:w="3080" w:type="dxa"/>
            <w:vAlign w:val="bottom"/>
          </w:tcPr>
          <w:p>
            <w:pPr>
              <w:spacing w:after="0"/>
              <w:rPr>
                <w:sz w:val="16"/>
                <w:szCs w:val="16"/>
                <w:color w:val="auto"/>
              </w:rPr>
            </w:pP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Canadian Utilities Limited</w:t>
            </w:r>
          </w:p>
        </w:tc>
        <w:tc>
          <w:tcPr>
            <w:tcW w:w="3460" w:type="dxa"/>
            <w:vAlign w:val="bottom"/>
          </w:tcPr>
          <w:p>
            <w:pPr>
              <w:ind w:left="200"/>
              <w:spacing w:after="0"/>
              <w:rPr>
                <w:sz w:val="20"/>
                <w:szCs w:val="20"/>
                <w:color w:val="auto"/>
              </w:rPr>
            </w:pPr>
            <w:r>
              <w:rPr>
                <w:rFonts w:ascii="Arial" w:cs="Arial" w:eastAsia="Arial" w:hAnsi="Arial"/>
                <w:sz w:val="14"/>
                <w:szCs w:val="14"/>
                <w:color w:val="auto"/>
              </w:rPr>
              <w:t>Fortis Inc.</w:t>
            </w:r>
          </w:p>
        </w:tc>
        <w:tc>
          <w:tcPr>
            <w:tcW w:w="3080" w:type="dxa"/>
            <w:vAlign w:val="bottom"/>
          </w:tcPr>
          <w:p>
            <w:pPr>
              <w:spacing w:after="0"/>
              <w:rPr>
                <w:sz w:val="18"/>
                <w:szCs w:val="18"/>
                <w:color w:val="auto"/>
              </w:rPr>
            </w:pP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CenterPoint Energy Inc.</w:t>
            </w:r>
          </w:p>
        </w:tc>
        <w:tc>
          <w:tcPr>
            <w:tcW w:w="3460" w:type="dxa"/>
            <w:vAlign w:val="bottom"/>
          </w:tcPr>
          <w:p>
            <w:pPr>
              <w:ind w:left="200"/>
              <w:spacing w:after="0"/>
              <w:rPr>
                <w:sz w:val="20"/>
                <w:szCs w:val="20"/>
                <w:color w:val="auto"/>
              </w:rPr>
            </w:pPr>
            <w:r>
              <w:rPr>
                <w:rFonts w:ascii="Arial" w:cs="Arial" w:eastAsia="Arial" w:hAnsi="Arial"/>
                <w:sz w:val="14"/>
                <w:szCs w:val="14"/>
                <w:color w:val="auto"/>
              </w:rPr>
              <w:t>Kinder Morgan, Inc.</w:t>
            </w:r>
          </w:p>
        </w:tc>
        <w:tc>
          <w:tcPr>
            <w:tcW w:w="3080" w:type="dxa"/>
            <w:vAlign w:val="bottom"/>
          </w:tcPr>
          <w:p>
            <w:pPr>
              <w:spacing w:after="0"/>
              <w:rPr>
                <w:sz w:val="18"/>
                <w:szCs w:val="18"/>
                <w:color w:val="auto"/>
              </w:rPr>
            </w:pP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Dominion Energy, Inc.</w:t>
            </w:r>
          </w:p>
        </w:tc>
        <w:tc>
          <w:tcPr>
            <w:tcW w:w="3460" w:type="dxa"/>
            <w:vAlign w:val="bottom"/>
          </w:tcPr>
          <w:p>
            <w:pPr>
              <w:ind w:left="200"/>
              <w:spacing w:after="0"/>
              <w:rPr>
                <w:sz w:val="20"/>
                <w:szCs w:val="20"/>
                <w:color w:val="auto"/>
              </w:rPr>
            </w:pPr>
            <w:r>
              <w:rPr>
                <w:rFonts w:ascii="Arial" w:cs="Arial" w:eastAsia="Arial" w:hAnsi="Arial"/>
                <w:sz w:val="14"/>
                <w:szCs w:val="14"/>
                <w:color w:val="auto"/>
              </w:rPr>
              <w:t>ONEOK, Inc.</w:t>
            </w:r>
          </w:p>
        </w:tc>
        <w:tc>
          <w:tcPr>
            <w:tcW w:w="3080" w:type="dxa"/>
            <w:vAlign w:val="bottom"/>
          </w:tcPr>
          <w:p>
            <w:pPr>
              <w:spacing w:after="0"/>
              <w:rPr>
                <w:sz w:val="18"/>
                <w:szCs w:val="18"/>
                <w:color w:val="auto"/>
              </w:rPr>
            </w:pP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Emera Inc.</w:t>
            </w:r>
          </w:p>
        </w:tc>
        <w:tc>
          <w:tcPr>
            <w:tcW w:w="3460" w:type="dxa"/>
            <w:vAlign w:val="bottom"/>
          </w:tcPr>
          <w:p>
            <w:pPr>
              <w:ind w:left="200"/>
              <w:spacing w:after="0"/>
              <w:rPr>
                <w:sz w:val="20"/>
                <w:szCs w:val="20"/>
                <w:color w:val="auto"/>
              </w:rPr>
            </w:pPr>
            <w:r>
              <w:rPr>
                <w:rFonts w:ascii="Arial" w:cs="Arial" w:eastAsia="Arial" w:hAnsi="Arial"/>
                <w:sz w:val="14"/>
                <w:szCs w:val="14"/>
                <w:color w:val="auto"/>
              </w:rPr>
              <w:t>Pembina Pipeline Corp.</w:t>
            </w:r>
          </w:p>
        </w:tc>
        <w:tc>
          <w:tcPr>
            <w:tcW w:w="3080" w:type="dxa"/>
            <w:vAlign w:val="bottom"/>
          </w:tcPr>
          <w:p>
            <w:pPr>
              <w:spacing w:after="0"/>
              <w:rPr>
                <w:sz w:val="18"/>
                <w:szCs w:val="18"/>
                <w:color w:val="auto"/>
              </w:rPr>
            </w:pPr>
          </w:p>
        </w:tc>
      </w:tr>
      <w:tr>
        <w:trPr>
          <w:trHeight w:val="215"/>
        </w:trPr>
        <w:tc>
          <w:tcPr>
            <w:tcW w:w="3420" w:type="dxa"/>
            <w:vAlign w:val="bottom"/>
          </w:tcPr>
          <w:p>
            <w:pPr>
              <w:ind w:left="20"/>
              <w:spacing w:after="0"/>
              <w:rPr>
                <w:sz w:val="20"/>
                <w:szCs w:val="20"/>
                <w:color w:val="auto"/>
              </w:rPr>
            </w:pPr>
            <w:r>
              <w:rPr>
                <w:rFonts w:ascii="Arial" w:cs="Arial" w:eastAsia="Arial" w:hAnsi="Arial"/>
                <w:sz w:val="14"/>
                <w:szCs w:val="14"/>
                <w:color w:val="auto"/>
              </w:rPr>
              <w:t>Enbridge Inc.</w:t>
            </w:r>
          </w:p>
        </w:tc>
        <w:tc>
          <w:tcPr>
            <w:tcW w:w="3460" w:type="dxa"/>
            <w:vAlign w:val="bottom"/>
          </w:tcPr>
          <w:p>
            <w:pPr>
              <w:ind w:left="200"/>
              <w:spacing w:after="0"/>
              <w:rPr>
                <w:sz w:val="20"/>
                <w:szCs w:val="20"/>
                <w:color w:val="auto"/>
              </w:rPr>
            </w:pPr>
            <w:r>
              <w:rPr>
                <w:rFonts w:ascii="Arial" w:cs="Arial" w:eastAsia="Arial" w:hAnsi="Arial"/>
                <w:sz w:val="14"/>
                <w:szCs w:val="14"/>
                <w:color w:val="auto"/>
              </w:rPr>
              <w:t>Sempra Energy</w:t>
            </w:r>
          </w:p>
        </w:tc>
        <w:tc>
          <w:tcPr>
            <w:tcW w:w="3080" w:type="dxa"/>
            <w:vAlign w:val="bottom"/>
          </w:tcPr>
          <w:p>
            <w:pPr>
              <w:spacing w:after="0"/>
              <w:rPr>
                <w:sz w:val="18"/>
                <w:szCs w:val="18"/>
                <w:color w:val="auto"/>
              </w:rPr>
            </w:pPr>
          </w:p>
        </w:tc>
      </w:tr>
      <w:tr>
        <w:trPr>
          <w:trHeight w:val="219"/>
        </w:trPr>
        <w:tc>
          <w:tcPr>
            <w:tcW w:w="342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Energy Transfer LP</w:t>
            </w:r>
          </w:p>
        </w:tc>
        <w:tc>
          <w:tcPr>
            <w:tcW w:w="3460" w:type="dxa"/>
            <w:vAlign w:val="bottom"/>
            <w:tcBorders>
              <w:bottom w:val="single" w:sz="8" w:color="0D64EF"/>
            </w:tcBorders>
          </w:tcPr>
          <w:p>
            <w:pPr>
              <w:ind w:left="200"/>
              <w:spacing w:after="0"/>
              <w:rPr>
                <w:sz w:val="20"/>
                <w:szCs w:val="20"/>
                <w:color w:val="auto"/>
              </w:rPr>
            </w:pPr>
            <w:r>
              <w:rPr>
                <w:rFonts w:ascii="Arial" w:cs="Arial" w:eastAsia="Arial" w:hAnsi="Arial"/>
                <w:sz w:val="14"/>
                <w:szCs w:val="14"/>
                <w:color w:val="auto"/>
              </w:rPr>
              <w:t>The Williams Companies, Inc.</w:t>
            </w:r>
          </w:p>
        </w:tc>
        <w:tc>
          <w:tcPr>
            <w:tcW w:w="30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105</w:t>
      </w:r>
    </w:p>
    <w:p>
      <w:pPr>
        <w:sectPr>
          <w:pgSz w:w="11900" w:h="16838" w:orient="portrait"/>
          <w:cols w:equalWidth="0" w:num="1">
            <w:col w:w="11240"/>
          </w:cols>
          <w:pgMar w:left="320" w:top="103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0D64EF"/>
        </w:rPr>
        <w:t>Awards to named executives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is a summary of the details of the original 2023 PSUs and the amount payable to each named executive upon vesting on February 22, 2026.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40" w:type="dxa"/>
            <w:vAlign w:val="bottom"/>
            <w:tcBorders>
              <w:top w:val="single" w:sz="8" w:color="0D64EF"/>
              <w:bottom w:val="single" w:sz="8" w:color="D1D0CF"/>
            </w:tcBorders>
            <w:shd w:val="clear" w:color="auto" w:fill="D1D0CF"/>
          </w:tcPr>
          <w:p>
            <w:pPr>
              <w:spacing w:after="0"/>
              <w:rPr>
                <w:sz w:val="19"/>
                <w:szCs w:val="19"/>
                <w:color w:val="auto"/>
              </w:rPr>
            </w:pPr>
          </w:p>
        </w:tc>
        <w:tc>
          <w:tcPr>
            <w:tcW w:w="2180" w:type="dxa"/>
            <w:vAlign w:val="bottom"/>
            <w:tcBorders>
              <w:top w:val="single" w:sz="8" w:color="0D64EF"/>
              <w:bottom w:val="single" w:sz="8" w:color="0D64EF"/>
            </w:tcBorders>
            <w:shd w:val="clear" w:color="auto" w:fill="D1D0CF"/>
          </w:tcPr>
          <w:p>
            <w:pPr>
              <w:jc w:val="right"/>
              <w:ind w:right="148"/>
              <w:spacing w:after="0"/>
              <w:rPr>
                <w:sz w:val="20"/>
                <w:szCs w:val="20"/>
                <w:color w:val="auto"/>
              </w:rPr>
            </w:pPr>
            <w:r>
              <w:rPr>
                <w:rFonts w:ascii="Arial" w:cs="Arial" w:eastAsia="Arial" w:hAnsi="Arial"/>
                <w:sz w:val="14"/>
                <w:szCs w:val="14"/>
                <w:b w:val="1"/>
                <w:bCs w:val="1"/>
                <w:color w:val="auto"/>
              </w:rPr>
              <w:t>2023 PSUs</w:t>
            </w:r>
          </w:p>
        </w:tc>
        <w:tc>
          <w:tcPr>
            <w:tcW w:w="1000" w:type="dxa"/>
            <w:vAlign w:val="bottom"/>
            <w:tcBorders>
              <w:top w:val="single" w:sz="8" w:color="0D64EF"/>
              <w:bottom w:val="single" w:sz="8" w:color="0D64EF"/>
            </w:tcBorders>
            <w:shd w:val="clear" w:color="auto" w:fill="D1D0CF"/>
          </w:tcPr>
          <w:p>
            <w:pPr>
              <w:spacing w:after="0"/>
              <w:rPr>
                <w:sz w:val="19"/>
                <w:szCs w:val="19"/>
                <w:color w:val="auto"/>
              </w:rPr>
            </w:pPr>
          </w:p>
        </w:tc>
        <w:tc>
          <w:tcPr>
            <w:tcW w:w="100" w:type="dxa"/>
            <w:vAlign w:val="bottom"/>
            <w:tcBorders>
              <w:top w:val="single" w:sz="8" w:color="0D64EF"/>
              <w:bottom w:val="single" w:sz="8" w:color="D1D0CF"/>
            </w:tcBorders>
            <w:shd w:val="clear" w:color="auto" w:fill="D1D0CF"/>
          </w:tcPr>
          <w:p>
            <w:pPr>
              <w:spacing w:after="0"/>
              <w:rPr>
                <w:sz w:val="19"/>
                <w:szCs w:val="19"/>
                <w:color w:val="auto"/>
              </w:rPr>
            </w:pPr>
          </w:p>
        </w:tc>
        <w:tc>
          <w:tcPr>
            <w:tcW w:w="1780" w:type="dxa"/>
            <w:vAlign w:val="bottom"/>
            <w:tcBorders>
              <w:top w:val="single" w:sz="8" w:color="0D64EF"/>
              <w:bottom w:val="single" w:sz="8" w:color="0D64EF"/>
            </w:tcBorders>
            <w:shd w:val="clear" w:color="auto" w:fill="D1D0CF"/>
          </w:tcPr>
          <w:p>
            <w:pPr>
              <w:spacing w:after="0"/>
              <w:rPr>
                <w:sz w:val="19"/>
                <w:szCs w:val="19"/>
                <w:color w:val="auto"/>
              </w:rPr>
            </w:pPr>
          </w:p>
        </w:tc>
        <w:tc>
          <w:tcPr>
            <w:tcW w:w="1900" w:type="dxa"/>
            <w:vAlign w:val="bottom"/>
            <w:tcBorders>
              <w:top w:val="single" w:sz="8" w:color="0D64EF"/>
              <w:bottom w:val="single" w:sz="8" w:color="0D64EF"/>
            </w:tcBorders>
            <w:gridSpan w:val="2"/>
            <w:shd w:val="clear" w:color="auto" w:fill="D1D0CF"/>
          </w:tcPr>
          <w:p>
            <w:pPr>
              <w:ind w:left="600"/>
              <w:spacing w:after="0"/>
              <w:rPr>
                <w:sz w:val="20"/>
                <w:szCs w:val="20"/>
                <w:color w:val="auto"/>
              </w:rPr>
            </w:pPr>
            <w:r>
              <w:rPr>
                <w:rFonts w:ascii="Arial" w:cs="Arial" w:eastAsia="Arial" w:hAnsi="Arial"/>
                <w:sz w:val="14"/>
                <w:szCs w:val="14"/>
                <w:b w:val="1"/>
                <w:bCs w:val="1"/>
                <w:color w:val="auto"/>
              </w:rPr>
              <w:t>2023 PSUs payout</w:t>
            </w:r>
          </w:p>
        </w:tc>
        <w:tc>
          <w:tcPr>
            <w:tcW w:w="1300" w:type="dxa"/>
            <w:vAlign w:val="bottom"/>
            <w:tcBorders>
              <w:top w:val="single" w:sz="8" w:color="0D64EF"/>
              <w:bottom w:val="single" w:sz="8" w:color="0D64EF"/>
            </w:tcBorders>
            <w:shd w:val="clear" w:color="auto" w:fill="D1D0CF"/>
          </w:tcPr>
          <w:p>
            <w:pPr>
              <w:spacing w:after="0"/>
              <w:rPr>
                <w:sz w:val="19"/>
                <w:szCs w:val="19"/>
                <w:color w:val="auto"/>
              </w:rPr>
            </w:pPr>
          </w:p>
        </w:tc>
        <w:tc>
          <w:tcPr>
            <w:tcW w:w="1040" w:type="dxa"/>
            <w:vAlign w:val="bottom"/>
            <w:tcBorders>
              <w:top w:val="single" w:sz="8" w:color="0D64EF"/>
              <w:bottom w:val="single" w:sz="8" w:color="0D64EF"/>
            </w:tcBorders>
            <w:shd w:val="clear" w:color="auto" w:fill="D1D0C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940" w:type="dxa"/>
            <w:vAlign w:val="bottom"/>
            <w:shd w:val="clear" w:color="auto" w:fill="D1D0CF"/>
          </w:tcPr>
          <w:p>
            <w:pPr>
              <w:spacing w:after="0"/>
              <w:rPr>
                <w:sz w:val="12"/>
                <w:szCs w:val="12"/>
                <w:color w:val="auto"/>
              </w:rPr>
            </w:pPr>
          </w:p>
        </w:tc>
        <w:tc>
          <w:tcPr>
            <w:tcW w:w="2180" w:type="dxa"/>
            <w:vAlign w:val="bottom"/>
            <w:vMerge w:val="restart"/>
            <w:shd w:val="clear" w:color="auto" w:fill="D1D0CF"/>
          </w:tcPr>
          <w:p>
            <w:pPr>
              <w:ind w:left="980"/>
              <w:spacing w:after="0"/>
              <w:rPr>
                <w:sz w:val="20"/>
                <w:szCs w:val="20"/>
                <w:color w:val="auto"/>
              </w:rPr>
            </w:pPr>
            <w:r>
              <w:rPr>
                <w:rFonts w:ascii="Arial" w:cs="Arial" w:eastAsia="Arial" w:hAnsi="Arial"/>
                <w:sz w:val="14"/>
                <w:szCs w:val="14"/>
                <w:b w:val="1"/>
                <w:bCs w:val="1"/>
                <w:color w:val="auto"/>
              </w:rPr>
              <w:t>Number</w:t>
            </w:r>
          </w:p>
        </w:tc>
        <w:tc>
          <w:tcPr>
            <w:tcW w:w="1100" w:type="dxa"/>
            <w:vAlign w:val="bottom"/>
            <w:gridSpan w:val="2"/>
            <w:vMerge w:val="restart"/>
            <w:shd w:val="clear" w:color="auto" w:fill="D1D0CF"/>
          </w:tcPr>
          <w:p>
            <w:pPr>
              <w:jc w:val="right"/>
              <w:ind w:right="160"/>
              <w:spacing w:after="0"/>
              <w:rPr>
                <w:sz w:val="20"/>
                <w:szCs w:val="20"/>
                <w:color w:val="auto"/>
              </w:rPr>
            </w:pPr>
            <w:r>
              <w:rPr>
                <w:rFonts w:ascii="Arial" w:cs="Arial" w:eastAsia="Arial" w:hAnsi="Arial"/>
                <w:sz w:val="14"/>
                <w:szCs w:val="14"/>
                <w:b w:val="1"/>
                <w:bCs w:val="1"/>
                <w:color w:val="auto"/>
              </w:rPr>
              <w:t>Value of</w:t>
            </w:r>
          </w:p>
        </w:tc>
        <w:tc>
          <w:tcPr>
            <w:tcW w:w="1780" w:type="dxa"/>
            <w:vAlign w:val="bottom"/>
            <w:shd w:val="clear" w:color="auto" w:fill="D1D0CF"/>
          </w:tcPr>
          <w:p>
            <w:pPr>
              <w:spacing w:after="0"/>
              <w:rPr>
                <w:sz w:val="12"/>
                <w:szCs w:val="12"/>
                <w:color w:val="auto"/>
              </w:rPr>
            </w:pPr>
          </w:p>
        </w:tc>
        <w:tc>
          <w:tcPr>
            <w:tcW w:w="1380" w:type="dxa"/>
            <w:vAlign w:val="bottom"/>
            <w:shd w:val="clear" w:color="auto" w:fill="D1D0CF"/>
          </w:tcPr>
          <w:p>
            <w:pPr>
              <w:spacing w:after="0"/>
              <w:rPr>
                <w:sz w:val="12"/>
                <w:szCs w:val="12"/>
                <w:color w:val="auto"/>
              </w:rPr>
            </w:pPr>
          </w:p>
        </w:tc>
        <w:tc>
          <w:tcPr>
            <w:tcW w:w="520" w:type="dxa"/>
            <w:vAlign w:val="bottom"/>
            <w:shd w:val="clear" w:color="auto" w:fill="D1D0CF"/>
          </w:tcPr>
          <w:p>
            <w:pPr>
              <w:spacing w:after="0"/>
              <w:rPr>
                <w:sz w:val="12"/>
                <w:szCs w:val="12"/>
                <w:color w:val="auto"/>
              </w:rPr>
            </w:pPr>
          </w:p>
        </w:tc>
        <w:tc>
          <w:tcPr>
            <w:tcW w:w="1300" w:type="dxa"/>
            <w:vAlign w:val="bottom"/>
            <w:shd w:val="clear" w:color="auto" w:fill="D1D0CF"/>
          </w:tcPr>
          <w:p>
            <w:pPr>
              <w:jc w:val="right"/>
              <w:ind w:right="428"/>
              <w:spacing w:after="0" w:line="142" w:lineRule="exact"/>
              <w:rPr>
                <w:sz w:val="20"/>
                <w:szCs w:val="20"/>
                <w:color w:val="auto"/>
              </w:rPr>
            </w:pPr>
            <w:r>
              <w:rPr>
                <w:rFonts w:ascii="Arial" w:cs="Arial" w:eastAsia="Arial" w:hAnsi="Arial"/>
                <w:sz w:val="14"/>
                <w:szCs w:val="14"/>
                <w:b w:val="1"/>
                <w:bCs w:val="1"/>
                <w:color w:val="auto"/>
              </w:rPr>
              <w:t>Value</w:t>
            </w:r>
          </w:p>
        </w:tc>
        <w:tc>
          <w:tcPr>
            <w:tcW w:w="104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D1D0CF"/>
          </w:tcPr>
          <w:p>
            <w:pPr>
              <w:spacing w:after="0"/>
              <w:rPr>
                <w:sz w:val="12"/>
                <w:szCs w:val="12"/>
                <w:color w:val="auto"/>
              </w:rPr>
            </w:pPr>
          </w:p>
        </w:tc>
        <w:tc>
          <w:tcPr>
            <w:tcW w:w="2180" w:type="dxa"/>
            <w:vAlign w:val="bottom"/>
            <w:vMerge w:val="continue"/>
            <w:shd w:val="clear" w:color="auto" w:fill="D1D0CF"/>
          </w:tcPr>
          <w:p>
            <w:pPr>
              <w:spacing w:after="0"/>
              <w:rPr>
                <w:sz w:val="12"/>
                <w:szCs w:val="12"/>
                <w:color w:val="auto"/>
              </w:rPr>
            </w:pPr>
          </w:p>
        </w:tc>
        <w:tc>
          <w:tcPr>
            <w:tcW w:w="1100" w:type="dxa"/>
            <w:vAlign w:val="bottom"/>
            <w:gridSpan w:val="2"/>
            <w:vMerge w:val="continue"/>
            <w:shd w:val="clear" w:color="auto" w:fill="D1D0CF"/>
          </w:tcPr>
          <w:p>
            <w:pPr>
              <w:spacing w:after="0"/>
              <w:rPr>
                <w:sz w:val="12"/>
                <w:szCs w:val="12"/>
                <w:color w:val="auto"/>
              </w:rPr>
            </w:pPr>
          </w:p>
        </w:tc>
        <w:tc>
          <w:tcPr>
            <w:tcW w:w="1780" w:type="dxa"/>
            <w:vAlign w:val="bottom"/>
            <w:shd w:val="clear" w:color="auto" w:fill="D1D0CF"/>
          </w:tcPr>
          <w:p>
            <w:pPr>
              <w:spacing w:after="0"/>
              <w:rPr>
                <w:sz w:val="12"/>
                <w:szCs w:val="12"/>
                <w:color w:val="auto"/>
              </w:rPr>
            </w:pPr>
          </w:p>
        </w:tc>
        <w:tc>
          <w:tcPr>
            <w:tcW w:w="1900" w:type="dxa"/>
            <w:vAlign w:val="bottom"/>
            <w:gridSpan w:val="2"/>
            <w:vMerge w:val="restart"/>
            <w:shd w:val="clear" w:color="auto" w:fill="D1D0CF"/>
          </w:tcPr>
          <w:p>
            <w:pPr>
              <w:jc w:val="center"/>
              <w:ind w:right="580"/>
              <w:spacing w:after="0"/>
              <w:rPr>
                <w:sz w:val="20"/>
                <w:szCs w:val="20"/>
                <w:color w:val="auto"/>
              </w:rPr>
            </w:pPr>
            <w:r>
              <w:rPr>
                <w:rFonts w:ascii="Arial" w:cs="Arial" w:eastAsia="Arial" w:hAnsi="Arial"/>
                <w:sz w:val="14"/>
                <w:szCs w:val="14"/>
                <w:b w:val="1"/>
                <w:bCs w:val="1"/>
                <w:color w:val="auto"/>
              </w:rPr>
              <w:t>Performance</w:t>
            </w:r>
          </w:p>
        </w:tc>
        <w:tc>
          <w:tcPr>
            <w:tcW w:w="1300" w:type="dxa"/>
            <w:vAlign w:val="bottom"/>
            <w:shd w:val="clear" w:color="auto" w:fill="D1D0CF"/>
          </w:tcPr>
          <w:p>
            <w:pPr>
              <w:jc w:val="right"/>
              <w:ind w:right="428"/>
              <w:spacing w:after="0" w:line="148" w:lineRule="exact"/>
              <w:rPr>
                <w:sz w:val="20"/>
                <w:szCs w:val="20"/>
                <w:color w:val="auto"/>
              </w:rPr>
            </w:pPr>
            <w:r>
              <w:rPr>
                <w:rFonts w:ascii="Arial" w:cs="Arial" w:eastAsia="Arial" w:hAnsi="Arial"/>
                <w:sz w:val="14"/>
                <w:szCs w:val="14"/>
                <w:b w:val="1"/>
                <w:bCs w:val="1"/>
                <w:color w:val="auto"/>
              </w:rPr>
              <w:t>of PSU</w:t>
            </w:r>
          </w:p>
        </w:tc>
        <w:tc>
          <w:tcPr>
            <w:tcW w:w="1040" w:type="dxa"/>
            <w:vAlign w:val="bottom"/>
            <w:vMerge w:val="continue"/>
            <w:shd w:val="clear" w:color="auto" w:fill="D1D0C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D1D0CF"/>
          </w:tcPr>
          <w:p>
            <w:pPr>
              <w:spacing w:after="0"/>
              <w:rPr>
                <w:sz w:val="12"/>
                <w:szCs w:val="12"/>
                <w:color w:val="auto"/>
              </w:rPr>
            </w:pPr>
          </w:p>
        </w:tc>
        <w:tc>
          <w:tcPr>
            <w:tcW w:w="2180" w:type="dxa"/>
            <w:vAlign w:val="bottom"/>
            <w:shd w:val="clear" w:color="auto" w:fill="D1D0CF"/>
          </w:tcPr>
          <w:p>
            <w:pPr>
              <w:ind w:left="980"/>
              <w:spacing w:after="0" w:line="148" w:lineRule="exact"/>
              <w:rPr>
                <w:sz w:val="20"/>
                <w:szCs w:val="20"/>
                <w:color w:val="auto"/>
              </w:rPr>
            </w:pPr>
            <w:r>
              <w:rPr>
                <w:rFonts w:ascii="Arial" w:cs="Arial" w:eastAsia="Arial" w:hAnsi="Arial"/>
                <w:sz w:val="14"/>
                <w:szCs w:val="14"/>
                <w:b w:val="1"/>
                <w:bCs w:val="1"/>
                <w:color w:val="auto"/>
              </w:rPr>
              <w:t>of PSUs</w:t>
            </w:r>
          </w:p>
        </w:tc>
        <w:tc>
          <w:tcPr>
            <w:tcW w:w="1100" w:type="dxa"/>
            <w:vAlign w:val="bottom"/>
            <w:gridSpan w:val="2"/>
            <w:shd w:val="clear" w:color="auto" w:fill="D1D0CF"/>
          </w:tcPr>
          <w:p>
            <w:pPr>
              <w:jc w:val="right"/>
              <w:ind w:right="160"/>
              <w:spacing w:after="0" w:line="148" w:lineRule="exact"/>
              <w:rPr>
                <w:sz w:val="20"/>
                <w:szCs w:val="20"/>
                <w:color w:val="auto"/>
              </w:rPr>
            </w:pPr>
            <w:r>
              <w:rPr>
                <w:rFonts w:ascii="Arial" w:cs="Arial" w:eastAsia="Arial" w:hAnsi="Arial"/>
                <w:sz w:val="14"/>
                <w:szCs w:val="14"/>
                <w:b w:val="1"/>
                <w:bCs w:val="1"/>
                <w:color w:val="auto"/>
              </w:rPr>
              <w:t>PSU award</w:t>
            </w:r>
          </w:p>
        </w:tc>
        <w:tc>
          <w:tcPr>
            <w:tcW w:w="1780" w:type="dxa"/>
            <w:vAlign w:val="bottom"/>
            <w:shd w:val="clear" w:color="auto" w:fill="D1D0CF"/>
          </w:tcPr>
          <w:p>
            <w:pPr>
              <w:spacing w:after="0"/>
              <w:rPr>
                <w:sz w:val="12"/>
                <w:szCs w:val="12"/>
                <w:color w:val="auto"/>
              </w:rPr>
            </w:pPr>
          </w:p>
        </w:tc>
        <w:tc>
          <w:tcPr>
            <w:tcW w:w="1900" w:type="dxa"/>
            <w:vAlign w:val="bottom"/>
            <w:gridSpan w:val="2"/>
            <w:vMerge w:val="continue"/>
            <w:shd w:val="clear" w:color="auto" w:fill="D1D0CF"/>
          </w:tcPr>
          <w:p>
            <w:pPr>
              <w:spacing w:after="0"/>
              <w:rPr>
                <w:sz w:val="12"/>
                <w:szCs w:val="12"/>
                <w:color w:val="auto"/>
              </w:rPr>
            </w:pPr>
          </w:p>
        </w:tc>
        <w:tc>
          <w:tcPr>
            <w:tcW w:w="1300" w:type="dxa"/>
            <w:vAlign w:val="bottom"/>
            <w:shd w:val="clear" w:color="auto" w:fill="D1D0CF"/>
          </w:tcPr>
          <w:p>
            <w:pPr>
              <w:jc w:val="right"/>
              <w:ind w:right="428"/>
              <w:spacing w:after="0" w:line="148" w:lineRule="exact"/>
              <w:rPr>
                <w:sz w:val="20"/>
                <w:szCs w:val="20"/>
                <w:color w:val="auto"/>
              </w:rPr>
            </w:pPr>
            <w:r>
              <w:rPr>
                <w:rFonts w:ascii="Arial" w:cs="Arial" w:eastAsia="Arial" w:hAnsi="Arial"/>
                <w:sz w:val="14"/>
                <w:szCs w:val="14"/>
                <w:b w:val="1"/>
                <w:bCs w:val="1"/>
                <w:color w:val="auto"/>
              </w:rPr>
              <w:t>payout</w:t>
            </w:r>
          </w:p>
        </w:tc>
        <w:tc>
          <w:tcPr>
            <w:tcW w:w="104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original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40" w:type="dxa"/>
            <w:vAlign w:val="bottom"/>
            <w:shd w:val="clear" w:color="auto" w:fill="D1D0CF"/>
          </w:tcPr>
          <w:p>
            <w:pPr>
              <w:spacing w:after="0"/>
              <w:rPr>
                <w:sz w:val="16"/>
                <w:szCs w:val="16"/>
                <w:color w:val="auto"/>
              </w:rPr>
            </w:pPr>
          </w:p>
        </w:tc>
        <w:tc>
          <w:tcPr>
            <w:tcW w:w="2180" w:type="dxa"/>
            <w:vAlign w:val="bottom"/>
            <w:shd w:val="clear" w:color="auto" w:fill="D1D0CF"/>
          </w:tcPr>
          <w:p>
            <w:pPr>
              <w:ind w:left="980"/>
              <w:spacing w:after="0"/>
              <w:rPr>
                <w:sz w:val="20"/>
                <w:szCs w:val="20"/>
                <w:color w:val="auto"/>
              </w:rPr>
            </w:pPr>
            <w:r>
              <w:rPr>
                <w:rFonts w:ascii="Arial" w:cs="Arial" w:eastAsia="Arial" w:hAnsi="Arial"/>
                <w:sz w:val="14"/>
                <w:szCs w:val="14"/>
                <w:b w:val="1"/>
                <w:bCs w:val="1"/>
                <w:color w:val="auto"/>
              </w:rPr>
              <w:t>awarded</w:t>
            </w:r>
          </w:p>
        </w:tc>
        <w:tc>
          <w:tcPr>
            <w:tcW w:w="2880" w:type="dxa"/>
            <w:vAlign w:val="bottom"/>
            <w:gridSpan w:val="3"/>
            <w:shd w:val="clear" w:color="auto" w:fill="D1D0CF"/>
          </w:tcPr>
          <w:p>
            <w:pPr>
              <w:jc w:val="right"/>
              <w:spacing w:after="0"/>
              <w:rPr>
                <w:sz w:val="20"/>
                <w:szCs w:val="20"/>
                <w:color w:val="auto"/>
              </w:rPr>
            </w:pPr>
            <w:r>
              <w:rPr>
                <w:rFonts w:ascii="Arial" w:cs="Arial" w:eastAsia="Arial" w:hAnsi="Arial"/>
                <w:sz w:val="14"/>
                <w:szCs w:val="14"/>
                <w:b w:val="1"/>
                <w:bCs w:val="1"/>
                <w:color w:val="auto"/>
              </w:rPr>
              <w:t>($)   Number of PSUs vesting</w:t>
            </w:r>
          </w:p>
        </w:tc>
        <w:tc>
          <w:tcPr>
            <w:tcW w:w="1900" w:type="dxa"/>
            <w:vAlign w:val="bottom"/>
            <w:gridSpan w:val="2"/>
            <w:shd w:val="clear" w:color="auto" w:fill="D1D0CF"/>
          </w:tcPr>
          <w:p>
            <w:pPr>
              <w:jc w:val="center"/>
              <w:ind w:right="540"/>
              <w:spacing w:after="0"/>
              <w:rPr>
                <w:sz w:val="20"/>
                <w:szCs w:val="20"/>
                <w:color w:val="auto"/>
              </w:rPr>
            </w:pPr>
            <w:r>
              <w:rPr>
                <w:rFonts w:ascii="Arial" w:cs="Arial" w:eastAsia="Arial" w:hAnsi="Arial"/>
                <w:sz w:val="14"/>
                <w:szCs w:val="14"/>
                <w:b w:val="1"/>
                <w:bCs w:val="1"/>
                <w:color w:val="auto"/>
              </w:rPr>
              <w:t>multiplier</w:t>
            </w:r>
          </w:p>
        </w:tc>
        <w:tc>
          <w:tcPr>
            <w:tcW w:w="1300" w:type="dxa"/>
            <w:vAlign w:val="bottom"/>
            <w:shd w:val="clear" w:color="auto" w:fill="D1D0CF"/>
          </w:tcPr>
          <w:p>
            <w:pPr>
              <w:jc w:val="right"/>
              <w:ind w:right="38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1D0CF"/>
          </w:tcPr>
          <w:p>
            <w:pPr>
              <w:jc w:val="right"/>
              <w:spacing w:after="0"/>
              <w:rPr>
                <w:sz w:val="20"/>
                <w:szCs w:val="20"/>
                <w:color w:val="auto"/>
              </w:rPr>
            </w:pPr>
            <w:r>
              <w:rPr>
                <w:rFonts w:ascii="Arial" w:cs="Arial" w:eastAsia="Arial" w:hAnsi="Arial"/>
                <w:sz w:val="14"/>
                <w:szCs w:val="14"/>
                <w:b w:val="1"/>
                <w:bCs w:val="1"/>
                <w:color w:val="auto"/>
              </w:rPr>
              <w:t>award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940" w:type="dxa"/>
            <w:vAlign w:val="bottom"/>
            <w:tcBorders>
              <w:top w:val="single" w:sz="8" w:color="0D64EF"/>
              <w:bottom w:val="single" w:sz="8" w:color="B2B2B2"/>
            </w:tcBorders>
          </w:tcPr>
          <w:p>
            <w:pPr>
              <w:ind w:left="20"/>
              <w:spacing w:after="0"/>
              <w:rPr>
                <w:sz w:val="20"/>
                <w:szCs w:val="20"/>
                <w:color w:val="auto"/>
              </w:rPr>
            </w:pPr>
            <w:r>
              <w:rPr>
                <w:rFonts w:ascii="Arial" w:cs="Arial" w:eastAsia="Arial" w:hAnsi="Arial"/>
                <w:sz w:val="14"/>
                <w:szCs w:val="14"/>
                <w:color w:val="auto"/>
              </w:rPr>
              <w:t>François Poirier</w:t>
            </w:r>
          </w:p>
        </w:tc>
        <w:tc>
          <w:tcPr>
            <w:tcW w:w="2180" w:type="dxa"/>
            <w:vAlign w:val="bottom"/>
            <w:tcBorders>
              <w:top w:val="single" w:sz="8" w:color="0D64EF"/>
              <w:bottom w:val="single" w:sz="8" w:color="B2B2B2"/>
            </w:tcBorders>
          </w:tcPr>
          <w:p>
            <w:pPr>
              <w:jc w:val="right"/>
              <w:ind w:right="528"/>
              <w:spacing w:after="0"/>
              <w:rPr>
                <w:sz w:val="20"/>
                <w:szCs w:val="20"/>
                <w:color w:val="auto"/>
              </w:rPr>
            </w:pPr>
            <w:r>
              <w:rPr>
                <w:rFonts w:ascii="Arial" w:cs="Arial" w:eastAsia="Arial" w:hAnsi="Arial"/>
                <w:sz w:val="14"/>
                <w:szCs w:val="14"/>
                <w:color w:val="auto"/>
              </w:rPr>
              <w:t>99,177.984</w:t>
            </w:r>
          </w:p>
        </w:tc>
        <w:tc>
          <w:tcPr>
            <w:tcW w:w="1000" w:type="dxa"/>
            <w:vAlign w:val="bottom"/>
            <w:tcBorders>
              <w:top w:val="single" w:sz="8" w:color="0D64EF"/>
              <w:bottom w:val="single" w:sz="8" w:color="B2B2B2"/>
            </w:tcBorders>
          </w:tcPr>
          <w:p>
            <w:pPr>
              <w:jc w:val="right"/>
              <w:spacing w:after="0"/>
              <w:rPr>
                <w:sz w:val="20"/>
                <w:szCs w:val="20"/>
                <w:color w:val="auto"/>
              </w:rPr>
            </w:pPr>
            <w:r>
              <w:rPr>
                <w:rFonts w:ascii="Arial" w:cs="Arial" w:eastAsia="Arial" w:hAnsi="Arial"/>
                <w:sz w:val="14"/>
                <w:szCs w:val="14"/>
                <w:color w:val="auto"/>
              </w:rPr>
              <w:t>5,550,000</w:t>
            </w:r>
          </w:p>
        </w:tc>
        <w:tc>
          <w:tcPr>
            <w:tcW w:w="100" w:type="dxa"/>
            <w:vAlign w:val="bottom"/>
            <w:tcBorders>
              <w:bottom w:val="single" w:sz="8" w:color="B2B2B2"/>
            </w:tcBorders>
          </w:tcPr>
          <w:p>
            <w:pPr>
              <w:spacing w:after="0"/>
              <w:rPr>
                <w:sz w:val="20"/>
                <w:szCs w:val="20"/>
                <w:color w:val="auto"/>
              </w:rPr>
            </w:pPr>
          </w:p>
        </w:tc>
        <w:tc>
          <w:tcPr>
            <w:tcW w:w="1780" w:type="dxa"/>
            <w:vAlign w:val="bottom"/>
            <w:tcBorders>
              <w:top w:val="single" w:sz="8" w:color="0D64EF"/>
              <w:bottom w:val="single" w:sz="8" w:color="B2B2B2"/>
            </w:tcBorders>
          </w:tcPr>
          <w:p>
            <w:pPr>
              <w:jc w:val="right"/>
              <w:spacing w:after="0"/>
              <w:rPr>
                <w:sz w:val="20"/>
                <w:szCs w:val="20"/>
                <w:color w:val="auto"/>
              </w:rPr>
            </w:pPr>
            <w:r>
              <w:rPr>
                <w:rFonts w:ascii="Arial" w:cs="Arial" w:eastAsia="Arial" w:hAnsi="Arial"/>
                <w:sz w:val="14"/>
                <w:szCs w:val="14"/>
                <w:color w:val="auto"/>
              </w:rPr>
              <w:t>124,980.650</w:t>
            </w:r>
          </w:p>
        </w:tc>
        <w:tc>
          <w:tcPr>
            <w:tcW w:w="1380" w:type="dxa"/>
            <w:vAlign w:val="bottom"/>
            <w:tcBorders>
              <w:top w:val="single" w:sz="8" w:color="0D64EF"/>
            </w:tcBorders>
          </w:tcPr>
          <w:p>
            <w:pPr>
              <w:spacing w:after="0"/>
              <w:rPr>
                <w:sz w:val="20"/>
                <w:szCs w:val="20"/>
                <w:color w:val="auto"/>
              </w:rPr>
            </w:pPr>
          </w:p>
        </w:tc>
        <w:tc>
          <w:tcPr>
            <w:tcW w:w="520" w:type="dxa"/>
            <w:vAlign w:val="bottom"/>
            <w:tcBorders>
              <w:top w:val="single" w:sz="8" w:color="0D64EF"/>
              <w:bottom w:val="single" w:sz="8" w:color="B2B2B2"/>
            </w:tcBorders>
          </w:tcPr>
          <w:p>
            <w:pPr>
              <w:spacing w:after="0"/>
              <w:rPr>
                <w:sz w:val="20"/>
                <w:szCs w:val="20"/>
                <w:color w:val="auto"/>
              </w:rPr>
            </w:pPr>
          </w:p>
        </w:tc>
        <w:tc>
          <w:tcPr>
            <w:tcW w:w="1300" w:type="dxa"/>
            <w:vAlign w:val="bottom"/>
            <w:tcBorders>
              <w:top w:val="single" w:sz="8" w:color="0D64EF"/>
              <w:bottom w:val="single" w:sz="8" w:color="B2B2B2"/>
            </w:tcBorders>
          </w:tcPr>
          <w:p>
            <w:pPr>
              <w:jc w:val="right"/>
              <w:ind w:right="448"/>
              <w:spacing w:after="0"/>
              <w:rPr>
                <w:sz w:val="20"/>
                <w:szCs w:val="20"/>
                <w:color w:val="auto"/>
              </w:rPr>
            </w:pPr>
            <w:r>
              <w:rPr>
                <w:rFonts w:ascii="Arial" w:cs="Arial" w:eastAsia="Arial" w:hAnsi="Arial"/>
                <w:sz w:val="14"/>
                <w:szCs w:val="14"/>
                <w:color w:val="auto"/>
              </w:rPr>
              <w:t>19,087,395</w:t>
            </w:r>
          </w:p>
        </w:tc>
        <w:tc>
          <w:tcPr>
            <w:tcW w:w="1040" w:type="dxa"/>
            <w:vAlign w:val="bottom"/>
            <w:tcBorders>
              <w:top w:val="single" w:sz="8" w:color="0D64EF"/>
              <w:bottom w:val="single" w:sz="8" w:color="B2B2B2"/>
            </w:tcBorders>
          </w:tcPr>
          <w:p>
            <w:pPr>
              <w:jc w:val="right"/>
              <w:spacing w:after="0"/>
              <w:rPr>
                <w:sz w:val="20"/>
                <w:szCs w:val="20"/>
                <w:color w:val="auto"/>
              </w:rPr>
            </w:pPr>
            <w:r>
              <w:rPr>
                <w:rFonts w:ascii="Arial" w:cs="Arial" w:eastAsia="Arial" w:hAnsi="Arial"/>
                <w:sz w:val="14"/>
                <w:szCs w:val="14"/>
                <w:color w:val="auto"/>
              </w:rPr>
              <w:t>344%</w:t>
            </w:r>
          </w:p>
        </w:tc>
        <w:tc>
          <w:tcPr>
            <w:tcW w:w="20" w:type="dxa"/>
            <w:vAlign w:val="bottom"/>
            <w:tcBorders>
              <w:top w:val="single" w:sz="8" w:color="0D64EF"/>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9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Sean O'Donnell</w:t>
            </w:r>
          </w:p>
        </w:tc>
        <w:tc>
          <w:tcPr>
            <w:tcW w:w="2180" w:type="dxa"/>
            <w:vAlign w:val="bottom"/>
            <w:tcBorders>
              <w:bottom w:val="single" w:sz="8" w:color="B2B2B2"/>
            </w:tcBorders>
          </w:tcPr>
          <w:p>
            <w:pPr>
              <w:jc w:val="right"/>
              <w:ind w:right="528"/>
              <w:spacing w:after="0"/>
              <w:rPr>
                <w:sz w:val="20"/>
                <w:szCs w:val="20"/>
                <w:color w:val="auto"/>
              </w:rPr>
            </w:pPr>
            <w:r>
              <w:rPr>
                <w:rFonts w:ascii="Arial" w:cs="Arial" w:eastAsia="Arial" w:hAnsi="Arial"/>
                <w:sz w:val="14"/>
                <w:szCs w:val="14"/>
                <w:color w:val="auto"/>
              </w:rPr>
              <w:t>20,736.863</w:t>
            </w:r>
          </w:p>
        </w:tc>
        <w:tc>
          <w:tcPr>
            <w:tcW w:w="10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1,390,191</w:t>
            </w:r>
          </w:p>
        </w:tc>
        <w:tc>
          <w:tcPr>
            <w:tcW w:w="100" w:type="dxa"/>
            <w:vAlign w:val="bottom"/>
            <w:tcBorders>
              <w:bottom w:val="single" w:sz="8" w:color="B2B2B2"/>
            </w:tcBorders>
          </w:tcPr>
          <w:p>
            <w:pPr>
              <w:spacing w:after="0"/>
              <w:rPr>
                <w:sz w:val="20"/>
                <w:szCs w:val="20"/>
                <w:color w:val="auto"/>
              </w:rPr>
            </w:pPr>
          </w:p>
        </w:tc>
        <w:tc>
          <w:tcPr>
            <w:tcW w:w="17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24,701.392</w:t>
            </w:r>
          </w:p>
        </w:tc>
        <w:tc>
          <w:tcPr>
            <w:tcW w:w="1380" w:type="dxa"/>
            <w:vAlign w:val="bottom"/>
          </w:tcPr>
          <w:p>
            <w:pPr>
              <w:spacing w:after="0"/>
              <w:rPr>
                <w:sz w:val="20"/>
                <w:szCs w:val="20"/>
                <w:color w:val="auto"/>
              </w:rPr>
            </w:pPr>
          </w:p>
        </w:tc>
        <w:tc>
          <w:tcPr>
            <w:tcW w:w="520" w:type="dxa"/>
            <w:vAlign w:val="bottom"/>
            <w:tcBorders>
              <w:bottom w:val="single" w:sz="8" w:color="B2B2B2"/>
            </w:tcBorders>
          </w:tcPr>
          <w:p>
            <w:pPr>
              <w:spacing w:after="0"/>
              <w:rPr>
                <w:sz w:val="20"/>
                <w:szCs w:val="20"/>
                <w:color w:val="auto"/>
              </w:rPr>
            </w:pPr>
          </w:p>
        </w:tc>
        <w:tc>
          <w:tcPr>
            <w:tcW w:w="1300" w:type="dxa"/>
            <w:vAlign w:val="bottom"/>
            <w:tcBorders>
              <w:bottom w:val="single" w:sz="8" w:color="B2B2B2"/>
            </w:tcBorders>
          </w:tcPr>
          <w:p>
            <w:pPr>
              <w:jc w:val="right"/>
              <w:ind w:right="448"/>
              <w:spacing w:after="0"/>
              <w:rPr>
                <w:sz w:val="20"/>
                <w:szCs w:val="20"/>
                <w:color w:val="auto"/>
              </w:rPr>
            </w:pPr>
            <w:r>
              <w:rPr>
                <w:rFonts w:ascii="Arial" w:cs="Arial" w:eastAsia="Arial" w:hAnsi="Arial"/>
                <w:sz w:val="14"/>
                <w:szCs w:val="14"/>
                <w:color w:val="auto"/>
              </w:rPr>
              <w:t>5,273,153</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366%</w:t>
            </w:r>
          </w:p>
        </w:tc>
        <w:tc>
          <w:tcPr>
            <w:tcW w:w="2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9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Tina Faraca</w:t>
            </w:r>
          </w:p>
        </w:tc>
        <w:tc>
          <w:tcPr>
            <w:tcW w:w="2180" w:type="dxa"/>
            <w:vAlign w:val="bottom"/>
            <w:tcBorders>
              <w:bottom w:val="single" w:sz="8" w:color="B2B2B2"/>
            </w:tcBorders>
          </w:tcPr>
          <w:p>
            <w:pPr>
              <w:jc w:val="right"/>
              <w:ind w:right="528"/>
              <w:spacing w:after="0"/>
              <w:rPr>
                <w:sz w:val="20"/>
                <w:szCs w:val="20"/>
                <w:color w:val="auto"/>
              </w:rPr>
            </w:pPr>
            <w:r>
              <w:rPr>
                <w:rFonts w:ascii="Arial" w:cs="Arial" w:eastAsia="Arial" w:hAnsi="Arial"/>
                <w:sz w:val="14"/>
                <w:szCs w:val="14"/>
                <w:color w:val="auto"/>
              </w:rPr>
              <w:t>11,019.782</w:t>
            </w:r>
          </w:p>
        </w:tc>
        <w:tc>
          <w:tcPr>
            <w:tcW w:w="10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832,315</w:t>
            </w:r>
          </w:p>
        </w:tc>
        <w:tc>
          <w:tcPr>
            <w:tcW w:w="100" w:type="dxa"/>
            <w:vAlign w:val="bottom"/>
            <w:tcBorders>
              <w:bottom w:val="single" w:sz="8" w:color="B2B2B2"/>
            </w:tcBorders>
          </w:tcPr>
          <w:p>
            <w:pPr>
              <w:spacing w:after="0"/>
              <w:rPr>
                <w:sz w:val="20"/>
                <w:szCs w:val="20"/>
                <w:color w:val="auto"/>
              </w:rPr>
            </w:pPr>
          </w:p>
        </w:tc>
        <w:tc>
          <w:tcPr>
            <w:tcW w:w="17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13,886.746</w:t>
            </w:r>
          </w:p>
        </w:tc>
        <w:tc>
          <w:tcPr>
            <w:tcW w:w="1380" w:type="dxa"/>
            <w:vAlign w:val="bottom"/>
          </w:tcPr>
          <w:p>
            <w:pPr>
              <w:jc w:val="center"/>
              <w:spacing w:after="0"/>
              <w:rPr>
                <w:sz w:val="20"/>
                <w:szCs w:val="20"/>
                <w:color w:val="auto"/>
              </w:rPr>
            </w:pPr>
            <w:r>
              <w:rPr>
                <w:rFonts w:ascii="Arial" w:cs="Arial" w:eastAsia="Arial" w:hAnsi="Arial"/>
                <w:sz w:val="14"/>
                <w:szCs w:val="14"/>
                <w:color w:val="auto"/>
              </w:rPr>
              <w:t>1.79</w:t>
            </w:r>
          </w:p>
        </w:tc>
        <w:tc>
          <w:tcPr>
            <w:tcW w:w="520" w:type="dxa"/>
            <w:vAlign w:val="bottom"/>
            <w:tcBorders>
              <w:bottom w:val="single" w:sz="8" w:color="B2B2B2"/>
            </w:tcBorders>
          </w:tcPr>
          <w:p>
            <w:pPr>
              <w:spacing w:after="0"/>
              <w:rPr>
                <w:sz w:val="20"/>
                <w:szCs w:val="20"/>
                <w:color w:val="auto"/>
              </w:rPr>
            </w:pPr>
          </w:p>
        </w:tc>
        <w:tc>
          <w:tcPr>
            <w:tcW w:w="1300" w:type="dxa"/>
            <w:vAlign w:val="bottom"/>
            <w:tcBorders>
              <w:bottom w:val="single" w:sz="8" w:color="B2B2B2"/>
            </w:tcBorders>
          </w:tcPr>
          <w:p>
            <w:pPr>
              <w:jc w:val="right"/>
              <w:ind w:right="448"/>
              <w:spacing w:after="0"/>
              <w:rPr>
                <w:sz w:val="20"/>
                <w:szCs w:val="20"/>
                <w:color w:val="auto"/>
              </w:rPr>
            </w:pPr>
            <w:r>
              <w:rPr>
                <w:rFonts w:ascii="Arial" w:cs="Arial" w:eastAsia="Arial" w:hAnsi="Arial"/>
                <w:sz w:val="14"/>
                <w:szCs w:val="14"/>
                <w:color w:val="auto"/>
              </w:rPr>
              <w:t>2,964,486</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344%</w:t>
            </w:r>
          </w:p>
        </w:tc>
        <w:tc>
          <w:tcPr>
            <w:tcW w:w="2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9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Anita Dusevic Oliva</w:t>
            </w:r>
          </w:p>
        </w:tc>
        <w:tc>
          <w:tcPr>
            <w:tcW w:w="2180" w:type="dxa"/>
            <w:vAlign w:val="bottom"/>
            <w:tcBorders>
              <w:bottom w:val="single" w:sz="8" w:color="B2B2B2"/>
            </w:tcBorders>
          </w:tcPr>
          <w:p>
            <w:pPr>
              <w:jc w:val="right"/>
              <w:ind w:right="528"/>
              <w:spacing w:after="0"/>
              <w:rPr>
                <w:sz w:val="20"/>
                <w:szCs w:val="20"/>
                <w:color w:val="auto"/>
              </w:rPr>
            </w:pPr>
            <w:r>
              <w:rPr>
                <w:rFonts w:ascii="Arial" w:cs="Arial" w:eastAsia="Arial" w:hAnsi="Arial"/>
                <w:sz w:val="14"/>
                <w:szCs w:val="14"/>
                <w:color w:val="auto"/>
              </w:rPr>
              <w:t>N/A</w:t>
            </w:r>
          </w:p>
        </w:tc>
        <w:tc>
          <w:tcPr>
            <w:tcW w:w="1100" w:type="dxa"/>
            <w:vAlign w:val="bottom"/>
            <w:tcBorders>
              <w:bottom w:val="single" w:sz="8" w:color="B2B2B2"/>
            </w:tcBorders>
            <w:gridSpan w:val="2"/>
          </w:tcPr>
          <w:p>
            <w:pPr>
              <w:ind w:left="760"/>
              <w:spacing w:after="0"/>
              <w:rPr>
                <w:sz w:val="20"/>
                <w:szCs w:val="20"/>
                <w:color w:val="auto"/>
              </w:rPr>
            </w:pPr>
            <w:r>
              <w:rPr>
                <w:rFonts w:ascii="Arial" w:cs="Arial" w:eastAsia="Arial" w:hAnsi="Arial"/>
                <w:sz w:val="14"/>
                <w:szCs w:val="14"/>
                <w:color w:val="auto"/>
              </w:rPr>
              <w:t>N/A</w:t>
            </w:r>
          </w:p>
        </w:tc>
        <w:tc>
          <w:tcPr>
            <w:tcW w:w="17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N/A</w:t>
            </w:r>
          </w:p>
        </w:tc>
        <w:tc>
          <w:tcPr>
            <w:tcW w:w="1380" w:type="dxa"/>
            <w:vAlign w:val="bottom"/>
          </w:tcPr>
          <w:p>
            <w:pPr>
              <w:spacing w:after="0"/>
              <w:rPr>
                <w:sz w:val="20"/>
                <w:szCs w:val="20"/>
                <w:color w:val="auto"/>
              </w:rPr>
            </w:pPr>
          </w:p>
        </w:tc>
        <w:tc>
          <w:tcPr>
            <w:tcW w:w="520" w:type="dxa"/>
            <w:vAlign w:val="bottom"/>
            <w:tcBorders>
              <w:bottom w:val="single" w:sz="8" w:color="B2B2B2"/>
            </w:tcBorders>
          </w:tcPr>
          <w:p>
            <w:pPr>
              <w:spacing w:after="0"/>
              <w:rPr>
                <w:sz w:val="20"/>
                <w:szCs w:val="20"/>
                <w:color w:val="auto"/>
              </w:rPr>
            </w:pPr>
          </w:p>
        </w:tc>
        <w:tc>
          <w:tcPr>
            <w:tcW w:w="1300" w:type="dxa"/>
            <w:vAlign w:val="bottom"/>
            <w:tcBorders>
              <w:bottom w:val="single" w:sz="8" w:color="B2B2B2"/>
            </w:tcBorders>
          </w:tcPr>
          <w:p>
            <w:pPr>
              <w:jc w:val="right"/>
              <w:ind w:right="388"/>
              <w:spacing w:after="0"/>
              <w:rPr>
                <w:sz w:val="20"/>
                <w:szCs w:val="20"/>
                <w:color w:val="auto"/>
              </w:rPr>
            </w:pPr>
            <w:r>
              <w:rPr>
                <w:rFonts w:ascii="Arial" w:cs="Arial" w:eastAsia="Arial" w:hAnsi="Arial"/>
                <w:sz w:val="14"/>
                <w:szCs w:val="14"/>
                <w:color w:val="auto"/>
              </w:rPr>
              <w:t>N/A</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N/A</w:t>
            </w:r>
          </w:p>
        </w:tc>
        <w:tc>
          <w:tcPr>
            <w:tcW w:w="20" w:type="dxa"/>
            <w:vAlign w:val="bottom"/>
            <w:tcBorders>
              <w:bottom w:val="single" w:sz="8" w:color="B2B2B2"/>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94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Stanley Chapman III</w:t>
            </w:r>
          </w:p>
        </w:tc>
        <w:tc>
          <w:tcPr>
            <w:tcW w:w="2180" w:type="dxa"/>
            <w:vAlign w:val="bottom"/>
            <w:tcBorders>
              <w:bottom w:val="single" w:sz="8" w:color="0D64EF"/>
            </w:tcBorders>
          </w:tcPr>
          <w:p>
            <w:pPr>
              <w:jc w:val="right"/>
              <w:ind w:right="528"/>
              <w:spacing w:after="0"/>
              <w:rPr>
                <w:sz w:val="20"/>
                <w:szCs w:val="20"/>
                <w:color w:val="auto"/>
              </w:rPr>
            </w:pPr>
            <w:r>
              <w:rPr>
                <w:rFonts w:ascii="Arial" w:cs="Arial" w:eastAsia="Arial" w:hAnsi="Arial"/>
                <w:sz w:val="14"/>
                <w:szCs w:val="14"/>
                <w:color w:val="auto"/>
              </w:rPr>
              <w:t>37,272.159</w:t>
            </w:r>
          </w:p>
        </w:tc>
        <w:tc>
          <w:tcPr>
            <w:tcW w:w="100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2,815,137</w:t>
            </w:r>
          </w:p>
        </w:tc>
        <w:tc>
          <w:tcPr>
            <w:tcW w:w="100" w:type="dxa"/>
            <w:vAlign w:val="bottom"/>
            <w:tcBorders>
              <w:bottom w:val="single" w:sz="8" w:color="0D64EF"/>
            </w:tcBorders>
          </w:tcPr>
          <w:p>
            <w:pPr>
              <w:spacing w:after="0"/>
              <w:rPr>
                <w:sz w:val="20"/>
                <w:szCs w:val="20"/>
                <w:color w:val="auto"/>
              </w:rPr>
            </w:pPr>
          </w:p>
        </w:tc>
        <w:tc>
          <w:tcPr>
            <w:tcW w:w="178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46,969.080</w:t>
            </w:r>
          </w:p>
        </w:tc>
        <w:tc>
          <w:tcPr>
            <w:tcW w:w="1380" w:type="dxa"/>
            <w:vAlign w:val="bottom"/>
            <w:tcBorders>
              <w:bottom w:val="single" w:sz="8" w:color="0D64EF"/>
            </w:tcBorders>
          </w:tcPr>
          <w:p>
            <w:pPr>
              <w:spacing w:after="0"/>
              <w:rPr>
                <w:sz w:val="20"/>
                <w:szCs w:val="20"/>
                <w:color w:val="auto"/>
              </w:rPr>
            </w:pPr>
          </w:p>
        </w:tc>
        <w:tc>
          <w:tcPr>
            <w:tcW w:w="520" w:type="dxa"/>
            <w:vAlign w:val="bottom"/>
            <w:tcBorders>
              <w:bottom w:val="single" w:sz="8" w:color="0D64EF"/>
            </w:tcBorders>
          </w:tcPr>
          <w:p>
            <w:pPr>
              <w:spacing w:after="0"/>
              <w:rPr>
                <w:sz w:val="20"/>
                <w:szCs w:val="20"/>
                <w:color w:val="auto"/>
              </w:rPr>
            </w:pPr>
          </w:p>
        </w:tc>
        <w:tc>
          <w:tcPr>
            <w:tcW w:w="1300" w:type="dxa"/>
            <w:vAlign w:val="bottom"/>
            <w:tcBorders>
              <w:bottom w:val="single" w:sz="8" w:color="0D64EF"/>
            </w:tcBorders>
          </w:tcPr>
          <w:p>
            <w:pPr>
              <w:jc w:val="right"/>
              <w:ind w:right="448"/>
              <w:spacing w:after="0"/>
              <w:rPr>
                <w:sz w:val="20"/>
                <w:szCs w:val="20"/>
                <w:color w:val="auto"/>
              </w:rPr>
            </w:pPr>
            <w:r>
              <w:rPr>
                <w:rFonts w:ascii="Arial" w:cs="Arial" w:eastAsia="Arial" w:hAnsi="Arial"/>
                <w:sz w:val="14"/>
                <w:szCs w:val="14"/>
                <w:color w:val="auto"/>
              </w:rPr>
              <w:t>10,026,768</w:t>
            </w:r>
          </w:p>
        </w:tc>
        <w:tc>
          <w:tcPr>
            <w:tcW w:w="104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344%</w:t>
            </w:r>
          </w:p>
        </w:tc>
        <w:tc>
          <w:tcPr>
            <w:tcW w:w="20" w:type="dxa"/>
            <w:vAlign w:val="bottom"/>
            <w:tcBorders>
              <w:bottom w:val="single" w:sz="8" w:color="0D64EF"/>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-818515</wp:posOffset>
            </wp:positionV>
            <wp:extent cx="8255" cy="8191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19150"/>
                    </a:xfrm>
                    <a:prstGeom prst="rect">
                      <a:avLst/>
                    </a:prstGeom>
                    <a:noFill/>
                  </pic:spPr>
                </pic:pic>
              </a:graphicData>
            </a:graphic>
          </wp:anchor>
        </w:drawing>
        <w:drawing>
          <wp:anchor simplePos="0" relativeHeight="251657728" behindDoc="1" locked="0" layoutInCell="0" allowOverlap="1">
            <wp:simplePos x="0" y="0"/>
            <wp:positionH relativeFrom="column">
              <wp:posOffset>6190615</wp:posOffset>
            </wp:positionH>
            <wp:positionV relativeFrom="paragraph">
              <wp:posOffset>-818515</wp:posOffset>
            </wp:positionV>
            <wp:extent cx="8255" cy="8191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1915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60" w:right="2440" w:hanging="153"/>
        <w:spacing w:after="0" w:line="356" w:lineRule="auto"/>
        <w:tabs>
          <w:tab w:leader="none" w:pos="137" w:val="left"/>
        </w:tabs>
        <w:numPr>
          <w:ilvl w:val="0"/>
          <w:numId w:val="135"/>
        </w:numPr>
        <w:rPr>
          <w:rFonts w:ascii="Arial" w:cs="Arial" w:eastAsia="Arial" w:hAnsi="Arial"/>
          <w:sz w:val="11"/>
          <w:szCs w:val="11"/>
          <w:color w:val="auto"/>
        </w:rPr>
      </w:pPr>
      <w:r>
        <w:rPr>
          <w:rFonts w:ascii="Arial" w:cs="Arial" w:eastAsia="Arial" w:hAnsi="Arial"/>
          <w:sz w:val="11"/>
          <w:szCs w:val="11"/>
          <w:i w:val="1"/>
          <w:iCs w:val="1"/>
          <w:color w:val="auto"/>
        </w:rPr>
        <w:t xml:space="preserve">Number of PSUs awarded </w:t>
      </w:r>
      <w:r>
        <w:rPr>
          <w:rFonts w:ascii="Arial" w:cs="Arial" w:eastAsia="Arial" w:hAnsi="Arial"/>
          <w:sz w:val="11"/>
          <w:szCs w:val="11"/>
          <w:color w:val="auto"/>
        </w:rPr>
        <w:t>is the value of the PSUs divided by the valuation price of $55.96 (the volume-weighted average closing price of TC Energy shares</w:t>
      </w:r>
      <w:r>
        <w:rPr>
          <w:rFonts w:ascii="Arial" w:cs="Arial" w:eastAsia="Arial" w:hAnsi="Arial"/>
          <w:sz w:val="11"/>
          <w:szCs w:val="11"/>
          <w:i w:val="1"/>
          <w:iCs w:val="1"/>
          <w:color w:val="auto"/>
        </w:rPr>
        <w:t xml:space="preserve"> </w:t>
      </w:r>
      <w:r>
        <w:rPr>
          <w:rFonts w:ascii="Arial" w:cs="Arial" w:eastAsia="Arial" w:hAnsi="Arial"/>
          <w:sz w:val="11"/>
          <w:szCs w:val="11"/>
          <w:color w:val="auto"/>
        </w:rPr>
        <w:t>on the TSX for the five trading days immediately prior to the grant date (February 23, 2023)). The number of grants shown in the table above are prior</w:t>
      </w:r>
    </w:p>
    <w:p>
      <w:pPr>
        <w:ind w:left="160"/>
        <w:spacing w:after="0"/>
        <w:rPr>
          <w:rFonts w:ascii="Arial" w:cs="Arial" w:eastAsia="Arial" w:hAnsi="Arial"/>
          <w:sz w:val="11"/>
          <w:szCs w:val="11"/>
          <w:color w:val="auto"/>
        </w:rPr>
      </w:pPr>
      <w:r>
        <w:rPr>
          <w:rFonts w:ascii="Arial" w:cs="Arial" w:eastAsia="Arial" w:hAnsi="Arial"/>
          <w:sz w:val="13"/>
          <w:szCs w:val="13"/>
          <w:color w:val="auto"/>
        </w:rPr>
        <w:t>to the adjustment for the spinoff of the Liquids Pipelines business on October 1, 2024 as detailed on page 96.</w:t>
      </w:r>
    </w:p>
    <w:p>
      <w:pPr>
        <w:spacing w:after="0" w:line="25" w:lineRule="exact"/>
        <w:rPr>
          <w:rFonts w:ascii="Arial" w:cs="Arial" w:eastAsia="Arial" w:hAnsi="Arial"/>
          <w:sz w:val="11"/>
          <w:szCs w:val="11"/>
          <w:color w:val="auto"/>
        </w:rPr>
      </w:pPr>
    </w:p>
    <w:p>
      <w:pPr>
        <w:ind w:left="140" w:hanging="133"/>
        <w:spacing w:after="0"/>
        <w:tabs>
          <w:tab w:leader="none" w:pos="140" w:val="left"/>
        </w:tabs>
        <w:numPr>
          <w:ilvl w:val="0"/>
          <w:numId w:val="135"/>
        </w:numPr>
        <w:rPr>
          <w:rFonts w:ascii="Arial" w:cs="Arial" w:eastAsia="Arial" w:hAnsi="Arial"/>
          <w:sz w:val="13"/>
          <w:szCs w:val="13"/>
          <w:color w:val="auto"/>
        </w:rPr>
      </w:pPr>
      <w:r>
        <w:rPr>
          <w:rFonts w:ascii="Arial" w:cs="Arial" w:eastAsia="Arial" w:hAnsi="Arial"/>
          <w:sz w:val="13"/>
          <w:szCs w:val="13"/>
          <w:i w:val="1"/>
          <w:iCs w:val="1"/>
          <w:color w:val="auto"/>
        </w:rPr>
        <w:t xml:space="preserve">Number of PSUs vesting </w:t>
      </w:r>
      <w:r>
        <w:rPr>
          <w:rFonts w:ascii="Arial" w:cs="Arial" w:eastAsia="Arial" w:hAnsi="Arial"/>
          <w:sz w:val="13"/>
          <w:szCs w:val="13"/>
          <w:color w:val="auto"/>
        </w:rPr>
        <w:t>is the adjusted number of grants based on the treatment after the spinoff of the Liquids Pipelines business on October 1, 2024</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as detailed on page 96. Dividends are subject to any DRP in place during the grant term.</w:t>
      </w:r>
    </w:p>
    <w:p>
      <w:pPr>
        <w:spacing w:after="0" w:line="25" w:lineRule="exact"/>
        <w:rPr>
          <w:sz w:val="20"/>
          <w:szCs w:val="20"/>
          <w:color w:val="auto"/>
        </w:rPr>
      </w:pPr>
    </w:p>
    <w:p>
      <w:pPr>
        <w:ind w:left="160" w:right="2600" w:hanging="153"/>
        <w:spacing w:after="0" w:line="291" w:lineRule="auto"/>
        <w:tabs>
          <w:tab w:leader="none" w:pos="137" w:val="left"/>
        </w:tabs>
        <w:numPr>
          <w:ilvl w:val="0"/>
          <w:numId w:val="136"/>
        </w:numPr>
        <w:rPr>
          <w:rFonts w:ascii="Arial" w:cs="Arial" w:eastAsia="Arial" w:hAnsi="Arial"/>
          <w:sz w:val="13"/>
          <w:szCs w:val="13"/>
          <w:color w:val="auto"/>
        </w:rPr>
      </w:pPr>
      <w:r>
        <w:rPr>
          <w:rFonts w:ascii="Arial" w:cs="Arial" w:eastAsia="Arial" w:hAnsi="Arial"/>
          <w:sz w:val="13"/>
          <w:szCs w:val="13"/>
          <w:i w:val="1"/>
          <w:iCs w:val="1"/>
          <w:color w:val="auto"/>
        </w:rPr>
        <w:t xml:space="preserve">Value of PSU payout </w:t>
      </w:r>
      <w:r>
        <w:rPr>
          <w:rFonts w:ascii="Arial" w:cs="Arial" w:eastAsia="Arial" w:hAnsi="Arial"/>
          <w:sz w:val="13"/>
          <w:szCs w:val="13"/>
          <w:color w:val="auto"/>
        </w:rPr>
        <w:t>is calculated using the valuation price of $85.32 (the volume-weighted average closing price of TC Energy shares on the TSX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five trading days immediately prior to and including the vesting date (February 22, 2026)).</w:t>
      </w:r>
    </w:p>
    <w:p>
      <w:pPr>
        <w:ind w:left="140" w:hanging="133"/>
        <w:spacing w:after="0"/>
        <w:tabs>
          <w:tab w:leader="none" w:pos="140" w:val="left"/>
        </w:tabs>
        <w:numPr>
          <w:ilvl w:val="0"/>
          <w:numId w:val="136"/>
        </w:numPr>
        <w:rPr>
          <w:rFonts w:ascii="Arial" w:cs="Arial" w:eastAsia="Arial" w:hAnsi="Arial"/>
          <w:sz w:val="13"/>
          <w:szCs w:val="13"/>
          <w:color w:val="auto"/>
          <w:strike w:val="1"/>
        </w:rPr>
      </w:pPr>
      <w:r>
        <w:rPr>
          <w:rFonts w:ascii="Arial" w:cs="Arial" w:eastAsia="Arial" w:hAnsi="Arial"/>
          <w:sz w:val="13"/>
          <w:szCs w:val="13"/>
          <w:color w:val="auto"/>
        </w:rPr>
        <w:t>Ms. Dusevic Oliva joined TC Energy on April 1, 2025 and did not receive a 2023 PSU grant.</w:t>
      </w:r>
    </w:p>
    <w:p>
      <w:pPr>
        <w:spacing w:after="0" w:line="38" w:lineRule="exact"/>
        <w:rPr>
          <w:rFonts w:ascii="Arial" w:cs="Arial" w:eastAsia="Arial" w:hAnsi="Arial"/>
          <w:sz w:val="13"/>
          <w:szCs w:val="13"/>
          <w:color w:val="auto"/>
          <w:strike w:val="1"/>
        </w:rPr>
      </w:pPr>
    </w:p>
    <w:p>
      <w:pPr>
        <w:ind w:left="160" w:right="320" w:hanging="153"/>
        <w:spacing w:after="0" w:line="291" w:lineRule="auto"/>
        <w:tabs>
          <w:tab w:leader="none" w:pos="137" w:val="left"/>
        </w:tabs>
        <w:numPr>
          <w:ilvl w:val="0"/>
          <w:numId w:val="136"/>
        </w:numPr>
        <w:rPr>
          <w:rFonts w:ascii="Arial" w:cs="Arial" w:eastAsia="Arial" w:hAnsi="Arial"/>
          <w:sz w:val="13"/>
          <w:szCs w:val="13"/>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Value of PSU award</w:t>
      </w:r>
      <w:r>
        <w:rPr>
          <w:rFonts w:ascii="Arial" w:cs="Arial" w:eastAsia="Arial" w:hAnsi="Arial"/>
          <w:sz w:val="13"/>
          <w:szCs w:val="13"/>
          <w:color w:val="auto"/>
        </w:rPr>
        <w:t xml:space="preserve"> for Mr. O'Donnell, Ms. Faraca and Mr. Chapman is expressed in Canadian dollars based on a U.S./Canadian foreign exchange rate of 1.3497 for 2023. The </w:t>
      </w:r>
      <w:r>
        <w:rPr>
          <w:rFonts w:ascii="Arial" w:cs="Arial" w:eastAsia="Arial" w:hAnsi="Arial"/>
          <w:sz w:val="13"/>
          <w:szCs w:val="13"/>
          <w:i w:val="1"/>
          <w:iCs w:val="1"/>
          <w:color w:val="auto"/>
        </w:rPr>
        <w:t>Value of PSU</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payout </w:t>
      </w:r>
      <w:r>
        <w:rPr>
          <w:rFonts w:ascii="Arial" w:cs="Arial" w:eastAsia="Arial" w:hAnsi="Arial"/>
          <w:sz w:val="13"/>
          <w:szCs w:val="13"/>
          <w:color w:val="auto"/>
        </w:rPr>
        <w:t>for Mr. O'Donnell, Ms. Faraca and Mr. Chapman reflects a U.S./Canadian foreign exchange rate of 1.3978 for 2025.</w:t>
      </w:r>
    </w:p>
    <w:p>
      <w:pPr>
        <w:ind w:left="160" w:right="320" w:hanging="153"/>
        <w:spacing w:after="0" w:line="291" w:lineRule="auto"/>
        <w:tabs>
          <w:tab w:leader="none" w:pos="137" w:val="left"/>
        </w:tabs>
        <w:numPr>
          <w:ilvl w:val="0"/>
          <w:numId w:val="136"/>
        </w:numPr>
        <w:rPr>
          <w:rFonts w:ascii="Arial" w:cs="Arial" w:eastAsia="Arial" w:hAnsi="Arial"/>
          <w:sz w:val="13"/>
          <w:szCs w:val="13"/>
          <w:color w:val="auto"/>
        </w:rPr>
      </w:pPr>
      <w:r>
        <w:rPr>
          <w:rFonts w:ascii="Arial" w:cs="Arial" w:eastAsia="Arial" w:hAnsi="Arial"/>
          <w:sz w:val="13"/>
          <w:szCs w:val="13"/>
          <w:color w:val="auto"/>
        </w:rPr>
        <w:t xml:space="preserve">Mr. O'Donnell's </w:t>
      </w:r>
      <w:r>
        <w:rPr>
          <w:rFonts w:ascii="Arial" w:cs="Arial" w:eastAsia="Arial" w:hAnsi="Arial"/>
          <w:sz w:val="13"/>
          <w:szCs w:val="13"/>
          <w:i w:val="1"/>
          <w:iCs w:val="1"/>
          <w:color w:val="auto"/>
        </w:rPr>
        <w:t>% of original award</w:t>
      </w:r>
      <w:r>
        <w:rPr>
          <w:rFonts w:ascii="Arial" w:cs="Arial" w:eastAsia="Arial" w:hAnsi="Arial"/>
          <w:sz w:val="13"/>
          <w:szCs w:val="13"/>
          <w:color w:val="auto"/>
        </w:rPr>
        <w:t xml:space="preserve"> for his 2023 PSU payout is based on a lower original grant price compared to Mr. Poirier, Ms. Faraca and Mr. Chapman as a result of an out-of-cycle PSU grant awarded shortly after his hire date.</w:t>
      </w:r>
    </w:p>
    <w:p>
      <w:pPr>
        <w:ind w:left="140" w:hanging="133"/>
        <w:spacing w:after="0"/>
        <w:tabs>
          <w:tab w:leader="none" w:pos="14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Mr. Chapman's Value of PSU payout represents the full value of his vested 2023 PSU units without proration, consistent with retirement treatment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-662940</wp:posOffset>
            </wp:positionV>
            <wp:extent cx="2696210" cy="850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96210" cy="8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60"/>
          </w:cols>
          <w:pgMar w:left="320" w:top="1128" w:right="31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b w:val="1"/>
          <w:bCs w:val="1"/>
          <w:color w:val="0D64EF"/>
        </w:rPr>
        <w:t>GRANT OF 2026 PSU AWARD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and the Board approved a 2026 PSU award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Performance measure</w:t>
            </w:r>
          </w:p>
        </w:tc>
        <w:tc>
          <w:tcPr>
            <w:tcW w:w="1780" w:type="dxa"/>
            <w:vAlign w:val="bottom"/>
            <w:tcBorders>
              <w:top w:val="single" w:sz="8" w:color="0D64EF"/>
              <w:bottom w:val="single" w:sz="8" w:color="0D64EF"/>
            </w:tcBorders>
            <w:shd w:val="clear" w:color="auto" w:fill="D1D0CF"/>
          </w:tcPr>
          <w:p>
            <w:pPr>
              <w:jc w:val="center"/>
              <w:ind w:left="408"/>
              <w:spacing w:after="0"/>
              <w:rPr>
                <w:sz w:val="20"/>
                <w:szCs w:val="20"/>
                <w:color w:val="auto"/>
              </w:rPr>
            </w:pPr>
            <w:r>
              <w:rPr>
                <w:rFonts w:ascii="Arial" w:cs="Arial" w:eastAsia="Arial" w:hAnsi="Arial"/>
                <w:sz w:val="14"/>
                <w:szCs w:val="14"/>
                <w:b w:val="1"/>
                <w:bCs w:val="1"/>
                <w:color w:val="auto"/>
              </w:rPr>
              <w:t>Weighting</w:t>
            </w:r>
          </w:p>
        </w:tc>
        <w:tc>
          <w:tcPr>
            <w:tcW w:w="3440" w:type="dxa"/>
            <w:vAlign w:val="bottom"/>
            <w:tcBorders>
              <w:top w:val="single" w:sz="8" w:color="0D64EF"/>
              <w:bottom w:val="single" w:sz="8" w:color="0D64EF"/>
            </w:tcBorders>
            <w:shd w:val="clear" w:color="auto" w:fill="D1D0CF"/>
          </w:tcPr>
          <w:p>
            <w:pPr>
              <w:jc w:val="center"/>
              <w:spacing w:after="0"/>
              <w:rPr>
                <w:sz w:val="20"/>
                <w:szCs w:val="20"/>
                <w:color w:val="auto"/>
              </w:rPr>
            </w:pPr>
            <w:r>
              <w:rPr>
                <w:rFonts w:ascii="Arial" w:cs="Arial" w:eastAsia="Arial" w:hAnsi="Arial"/>
                <w:sz w:val="14"/>
                <w:szCs w:val="14"/>
                <w:b w:val="1"/>
                <w:bCs w:val="1"/>
                <w:color w:val="auto"/>
              </w:rPr>
              <w:t>Measurement period</w:t>
            </w:r>
          </w:p>
        </w:tc>
      </w:tr>
      <w:tr>
        <w:trPr>
          <w:trHeight w:val="202"/>
        </w:trPr>
        <w:tc>
          <w:tcPr>
            <w:tcW w:w="4740" w:type="dxa"/>
            <w:vAlign w:val="bottom"/>
          </w:tcPr>
          <w:p>
            <w:pPr>
              <w:ind w:left="20"/>
              <w:spacing w:after="0"/>
              <w:rPr>
                <w:sz w:val="20"/>
                <w:szCs w:val="20"/>
                <w:color w:val="auto"/>
              </w:rPr>
            </w:pPr>
            <w:r>
              <w:rPr>
                <w:rFonts w:ascii="Arial" w:cs="Arial" w:eastAsia="Arial" w:hAnsi="Arial"/>
                <w:sz w:val="14"/>
                <w:szCs w:val="14"/>
                <w:color w:val="auto"/>
              </w:rPr>
              <w:t>Relative TSR against the dividend subset of the TSX 60 Index</w:t>
            </w:r>
          </w:p>
        </w:tc>
        <w:tc>
          <w:tcPr>
            <w:tcW w:w="1780" w:type="dxa"/>
            <w:vAlign w:val="bottom"/>
          </w:tcPr>
          <w:p>
            <w:pPr>
              <w:jc w:val="center"/>
              <w:ind w:left="388"/>
              <w:spacing w:after="0"/>
              <w:rPr>
                <w:sz w:val="20"/>
                <w:szCs w:val="20"/>
                <w:color w:val="auto"/>
              </w:rPr>
            </w:pPr>
            <w:r>
              <w:rPr>
                <w:rFonts w:ascii="Arial" w:cs="Arial" w:eastAsia="Arial" w:hAnsi="Arial"/>
                <w:sz w:val="14"/>
                <w:szCs w:val="14"/>
                <w:color w:val="auto"/>
                <w:w w:val="99"/>
              </w:rPr>
              <w:t>25%</w:t>
            </w:r>
          </w:p>
        </w:tc>
        <w:tc>
          <w:tcPr>
            <w:tcW w:w="3440" w:type="dxa"/>
            <w:vAlign w:val="bottom"/>
          </w:tcPr>
          <w:p>
            <w:pPr>
              <w:spacing w:after="0"/>
              <w:rPr>
                <w:sz w:val="17"/>
                <w:szCs w:val="17"/>
                <w:color w:val="auto"/>
              </w:rPr>
            </w:pPr>
          </w:p>
        </w:tc>
      </w:tr>
      <w:tr>
        <w:trPr>
          <w:trHeight w:val="35"/>
        </w:trPr>
        <w:tc>
          <w:tcPr>
            <w:tcW w:w="4740" w:type="dxa"/>
            <w:vAlign w:val="bottom"/>
            <w:tcBorders>
              <w:bottom w:val="single" w:sz="8" w:color="B2B2B2"/>
            </w:tcBorders>
          </w:tcPr>
          <w:p>
            <w:pPr>
              <w:spacing w:after="0"/>
              <w:rPr>
                <w:sz w:val="3"/>
                <w:szCs w:val="3"/>
                <w:color w:val="auto"/>
              </w:rPr>
            </w:pPr>
          </w:p>
        </w:tc>
        <w:tc>
          <w:tcPr>
            <w:tcW w:w="1780" w:type="dxa"/>
            <w:vAlign w:val="bottom"/>
            <w:tcBorders>
              <w:bottom w:val="single" w:sz="8" w:color="B2B2B2"/>
            </w:tcBorders>
          </w:tcPr>
          <w:p>
            <w:pPr>
              <w:spacing w:after="0"/>
              <w:rPr>
                <w:sz w:val="3"/>
                <w:szCs w:val="3"/>
                <w:color w:val="auto"/>
              </w:rPr>
            </w:pPr>
          </w:p>
        </w:tc>
        <w:tc>
          <w:tcPr>
            <w:tcW w:w="3440" w:type="dxa"/>
            <w:vAlign w:val="bottom"/>
          </w:tcPr>
          <w:p>
            <w:pPr>
              <w:spacing w:after="0"/>
              <w:rPr>
                <w:sz w:val="3"/>
                <w:szCs w:val="3"/>
                <w:color w:val="auto"/>
              </w:rPr>
            </w:pPr>
          </w:p>
        </w:tc>
      </w:tr>
      <w:tr>
        <w:trPr>
          <w:trHeight w:val="201"/>
        </w:trPr>
        <w:tc>
          <w:tcPr>
            <w:tcW w:w="4740" w:type="dxa"/>
            <w:vAlign w:val="bottom"/>
          </w:tcPr>
          <w:p>
            <w:pPr>
              <w:ind w:left="20"/>
              <w:spacing w:after="0"/>
              <w:rPr>
                <w:sz w:val="20"/>
                <w:szCs w:val="20"/>
                <w:color w:val="auto"/>
              </w:rPr>
            </w:pPr>
            <w:r>
              <w:rPr>
                <w:rFonts w:ascii="Arial" w:cs="Arial" w:eastAsia="Arial" w:hAnsi="Arial"/>
                <w:sz w:val="14"/>
                <w:szCs w:val="14"/>
                <w:color w:val="auto"/>
              </w:rPr>
              <w:t>Relative TSR against the PSU industry peer group</w:t>
            </w:r>
          </w:p>
        </w:tc>
        <w:tc>
          <w:tcPr>
            <w:tcW w:w="1780" w:type="dxa"/>
            <w:vAlign w:val="bottom"/>
          </w:tcPr>
          <w:p>
            <w:pPr>
              <w:jc w:val="center"/>
              <w:ind w:left="388"/>
              <w:spacing w:after="0"/>
              <w:rPr>
                <w:sz w:val="20"/>
                <w:szCs w:val="20"/>
                <w:color w:val="auto"/>
              </w:rPr>
            </w:pPr>
            <w:r>
              <w:rPr>
                <w:rFonts w:ascii="Arial" w:cs="Arial" w:eastAsia="Arial" w:hAnsi="Arial"/>
                <w:sz w:val="14"/>
                <w:szCs w:val="14"/>
                <w:color w:val="auto"/>
                <w:w w:val="99"/>
              </w:rPr>
              <w:t>25%</w:t>
            </w:r>
          </w:p>
        </w:tc>
        <w:tc>
          <w:tcPr>
            <w:tcW w:w="3440" w:type="dxa"/>
            <w:vAlign w:val="bottom"/>
          </w:tcPr>
          <w:p>
            <w:pPr>
              <w:jc w:val="center"/>
              <w:spacing w:after="0"/>
              <w:rPr>
                <w:sz w:val="20"/>
                <w:szCs w:val="20"/>
                <w:color w:val="auto"/>
              </w:rPr>
            </w:pPr>
            <w:r>
              <w:rPr>
                <w:rFonts w:ascii="Arial" w:cs="Arial" w:eastAsia="Arial" w:hAnsi="Arial"/>
                <w:sz w:val="14"/>
                <w:szCs w:val="14"/>
                <w:color w:val="auto"/>
              </w:rPr>
              <w:t>January 1, 2026 to December 31, 2028</w:t>
            </w:r>
          </w:p>
        </w:tc>
      </w:tr>
      <w:tr>
        <w:trPr>
          <w:trHeight w:val="35"/>
        </w:trPr>
        <w:tc>
          <w:tcPr>
            <w:tcW w:w="4740" w:type="dxa"/>
            <w:vAlign w:val="bottom"/>
            <w:tcBorders>
              <w:bottom w:val="single" w:sz="8" w:color="B2B2B2"/>
            </w:tcBorders>
          </w:tcPr>
          <w:p>
            <w:pPr>
              <w:spacing w:after="0"/>
              <w:rPr>
                <w:sz w:val="3"/>
                <w:szCs w:val="3"/>
                <w:color w:val="auto"/>
              </w:rPr>
            </w:pPr>
          </w:p>
        </w:tc>
        <w:tc>
          <w:tcPr>
            <w:tcW w:w="1780" w:type="dxa"/>
            <w:vAlign w:val="bottom"/>
            <w:tcBorders>
              <w:bottom w:val="single" w:sz="8" w:color="B2B2B2"/>
            </w:tcBorders>
          </w:tcPr>
          <w:p>
            <w:pPr>
              <w:spacing w:after="0"/>
              <w:rPr>
                <w:sz w:val="3"/>
                <w:szCs w:val="3"/>
                <w:color w:val="auto"/>
              </w:rPr>
            </w:pPr>
          </w:p>
        </w:tc>
        <w:tc>
          <w:tcPr>
            <w:tcW w:w="3440" w:type="dxa"/>
            <w:vAlign w:val="bottom"/>
          </w:tcPr>
          <w:p>
            <w:pPr>
              <w:spacing w:after="0"/>
              <w:rPr>
                <w:sz w:val="3"/>
                <w:szCs w:val="3"/>
                <w:color w:val="auto"/>
              </w:rPr>
            </w:pPr>
          </w:p>
        </w:tc>
      </w:tr>
      <w:tr>
        <w:trPr>
          <w:trHeight w:val="201"/>
        </w:trPr>
        <w:tc>
          <w:tcPr>
            <w:tcW w:w="4740" w:type="dxa"/>
            <w:vAlign w:val="bottom"/>
          </w:tcPr>
          <w:p>
            <w:pPr>
              <w:ind w:left="20"/>
              <w:spacing w:after="0"/>
              <w:rPr>
                <w:sz w:val="20"/>
                <w:szCs w:val="20"/>
                <w:color w:val="auto"/>
              </w:rPr>
            </w:pPr>
            <w:r>
              <w:rPr>
                <w:rFonts w:ascii="Arial" w:cs="Arial" w:eastAsia="Arial" w:hAnsi="Arial"/>
                <w:sz w:val="14"/>
                <w:szCs w:val="14"/>
                <w:color w:val="auto"/>
              </w:rPr>
              <w:t>Distributable Cash Flow per share (DCF)</w:t>
            </w:r>
          </w:p>
        </w:tc>
        <w:tc>
          <w:tcPr>
            <w:tcW w:w="1780" w:type="dxa"/>
            <w:vAlign w:val="bottom"/>
          </w:tcPr>
          <w:p>
            <w:pPr>
              <w:jc w:val="center"/>
              <w:ind w:left="388"/>
              <w:spacing w:after="0"/>
              <w:rPr>
                <w:sz w:val="20"/>
                <w:szCs w:val="20"/>
                <w:color w:val="auto"/>
              </w:rPr>
            </w:pPr>
            <w:r>
              <w:rPr>
                <w:rFonts w:ascii="Arial" w:cs="Arial" w:eastAsia="Arial" w:hAnsi="Arial"/>
                <w:sz w:val="14"/>
                <w:szCs w:val="14"/>
                <w:color w:val="auto"/>
                <w:w w:val="99"/>
              </w:rPr>
              <w:t>25%</w:t>
            </w:r>
          </w:p>
        </w:tc>
        <w:tc>
          <w:tcPr>
            <w:tcW w:w="3440" w:type="dxa"/>
            <w:vAlign w:val="bottom"/>
          </w:tcPr>
          <w:p>
            <w:pPr>
              <w:spacing w:after="0"/>
              <w:rPr>
                <w:sz w:val="17"/>
                <w:szCs w:val="17"/>
                <w:color w:val="auto"/>
              </w:rPr>
            </w:pPr>
          </w:p>
        </w:tc>
      </w:tr>
      <w:tr>
        <w:trPr>
          <w:trHeight w:val="35"/>
        </w:trPr>
        <w:tc>
          <w:tcPr>
            <w:tcW w:w="4740" w:type="dxa"/>
            <w:vAlign w:val="bottom"/>
            <w:tcBorders>
              <w:bottom w:val="single" w:sz="8" w:color="B2B2B2"/>
            </w:tcBorders>
          </w:tcPr>
          <w:p>
            <w:pPr>
              <w:spacing w:after="0"/>
              <w:rPr>
                <w:sz w:val="3"/>
                <w:szCs w:val="3"/>
                <w:color w:val="auto"/>
              </w:rPr>
            </w:pPr>
          </w:p>
        </w:tc>
        <w:tc>
          <w:tcPr>
            <w:tcW w:w="1780" w:type="dxa"/>
            <w:vAlign w:val="bottom"/>
            <w:tcBorders>
              <w:bottom w:val="single" w:sz="8" w:color="B2B2B2"/>
            </w:tcBorders>
          </w:tcPr>
          <w:p>
            <w:pPr>
              <w:spacing w:after="0"/>
              <w:rPr>
                <w:sz w:val="3"/>
                <w:szCs w:val="3"/>
                <w:color w:val="auto"/>
              </w:rPr>
            </w:pPr>
          </w:p>
        </w:tc>
        <w:tc>
          <w:tcPr>
            <w:tcW w:w="3440" w:type="dxa"/>
            <w:vAlign w:val="bottom"/>
            <w:tcBorders>
              <w:bottom w:val="single" w:sz="8" w:color="B2B2B2"/>
            </w:tcBorders>
          </w:tcPr>
          <w:p>
            <w:pPr>
              <w:spacing w:after="0"/>
              <w:rPr>
                <w:sz w:val="3"/>
                <w:szCs w:val="3"/>
                <w:color w:val="auto"/>
              </w:rPr>
            </w:pPr>
          </w:p>
        </w:tc>
      </w:tr>
      <w:tr>
        <w:trPr>
          <w:trHeight w:val="191"/>
        </w:trPr>
        <w:tc>
          <w:tcPr>
            <w:tcW w:w="47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Debt/EBITDA</w:t>
            </w:r>
          </w:p>
        </w:tc>
        <w:tc>
          <w:tcPr>
            <w:tcW w:w="1780" w:type="dxa"/>
            <w:vAlign w:val="bottom"/>
            <w:tcBorders>
              <w:bottom w:val="single" w:sz="8" w:color="B2B2B2"/>
            </w:tcBorders>
          </w:tcPr>
          <w:p>
            <w:pPr>
              <w:jc w:val="center"/>
              <w:ind w:left="388"/>
              <w:spacing w:after="0"/>
              <w:rPr>
                <w:sz w:val="20"/>
                <w:szCs w:val="20"/>
                <w:color w:val="auto"/>
              </w:rPr>
            </w:pPr>
            <w:r>
              <w:rPr>
                <w:rFonts w:ascii="Arial" w:cs="Arial" w:eastAsia="Arial" w:hAnsi="Arial"/>
                <w:sz w:val="14"/>
                <w:szCs w:val="14"/>
                <w:color w:val="auto"/>
                <w:w w:val="99"/>
              </w:rPr>
              <w:t>15%</w:t>
            </w:r>
          </w:p>
        </w:tc>
        <w:tc>
          <w:tcPr>
            <w:tcW w:w="344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At December 31, 2028</w:t>
            </w:r>
          </w:p>
        </w:tc>
      </w:tr>
      <w:tr>
        <w:trPr>
          <w:trHeight w:val="195"/>
        </w:trPr>
        <w:tc>
          <w:tcPr>
            <w:tcW w:w="474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Methane Intensity Reduction</w:t>
            </w:r>
          </w:p>
        </w:tc>
        <w:tc>
          <w:tcPr>
            <w:tcW w:w="1780" w:type="dxa"/>
            <w:vAlign w:val="bottom"/>
            <w:tcBorders>
              <w:bottom w:val="single" w:sz="8" w:color="0D64EF"/>
            </w:tcBorders>
          </w:tcPr>
          <w:p>
            <w:pPr>
              <w:jc w:val="center"/>
              <w:ind w:left="388"/>
              <w:spacing w:after="0"/>
              <w:rPr>
                <w:sz w:val="20"/>
                <w:szCs w:val="20"/>
                <w:color w:val="auto"/>
              </w:rPr>
            </w:pPr>
            <w:r>
              <w:rPr>
                <w:rFonts w:ascii="Arial" w:cs="Arial" w:eastAsia="Arial" w:hAnsi="Arial"/>
                <w:sz w:val="14"/>
                <w:szCs w:val="14"/>
                <w:color w:val="auto"/>
                <w:w w:val="99"/>
              </w:rPr>
              <w:t>10%</w:t>
            </w:r>
          </w:p>
        </w:tc>
        <w:tc>
          <w:tcPr>
            <w:tcW w:w="3440" w:type="dxa"/>
            <w:vAlign w:val="bottom"/>
            <w:tcBorders>
              <w:bottom w:val="single" w:sz="8" w:color="0D64EF"/>
            </w:tcBorders>
          </w:tcPr>
          <w:p>
            <w:pPr>
              <w:jc w:val="center"/>
              <w:spacing w:after="0"/>
              <w:rPr>
                <w:sz w:val="20"/>
                <w:szCs w:val="20"/>
                <w:color w:val="auto"/>
              </w:rPr>
            </w:pPr>
            <w:r>
              <w:rPr>
                <w:rFonts w:ascii="Arial" w:cs="Arial" w:eastAsia="Arial" w:hAnsi="Arial"/>
                <w:sz w:val="14"/>
                <w:szCs w:val="14"/>
                <w:color w:val="auto"/>
              </w:rPr>
              <w:t>January 1, 2025 to December 31, 2027</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60" w:right="60" w:hanging="153"/>
        <w:spacing w:after="0" w:line="291" w:lineRule="auto"/>
        <w:tabs>
          <w:tab w:leader="none" w:pos="137" w:val="left"/>
        </w:tabs>
        <w:numPr>
          <w:ilvl w:val="0"/>
          <w:numId w:val="137"/>
        </w:numPr>
        <w:rPr>
          <w:rFonts w:ascii="Arial" w:cs="Arial" w:eastAsia="Arial" w:hAnsi="Arial"/>
          <w:sz w:val="13"/>
          <w:szCs w:val="13"/>
          <w:color w:val="auto"/>
        </w:rPr>
      </w:pPr>
      <w:r>
        <w:rPr>
          <w:rFonts w:ascii="Arial" w:cs="Arial" w:eastAsia="Arial" w:hAnsi="Arial"/>
          <w:sz w:val="13"/>
          <w:szCs w:val="13"/>
          <w:color w:val="auto"/>
        </w:rPr>
        <w:t>Starting with our 2023 PSUs, the grant price was adjusted from a 20-day volume-weighted-average closing price preceding the grant date, to a 5-day volume-weighted-average closing price preceding the grant date.</w:t>
      </w:r>
    </w:p>
    <w:p>
      <w:pPr>
        <w:ind w:left="140" w:hanging="133"/>
        <w:spacing w:after="0"/>
        <w:tabs>
          <w:tab w:leader="none" w:pos="140" w:val="left"/>
        </w:tabs>
        <w:numPr>
          <w:ilvl w:val="0"/>
          <w:numId w:val="137"/>
        </w:numPr>
        <w:rPr>
          <w:rFonts w:ascii="Arial" w:cs="Arial" w:eastAsia="Arial" w:hAnsi="Arial"/>
          <w:sz w:val="11"/>
          <w:szCs w:val="11"/>
          <w:color w:val="auto"/>
        </w:rPr>
      </w:pPr>
      <w:r>
        <w:rPr>
          <w:rFonts w:ascii="Arial" w:cs="Arial" w:eastAsia="Arial" w:hAnsi="Arial"/>
          <w:sz w:val="11"/>
          <w:szCs w:val="11"/>
          <w:color w:val="auto"/>
        </w:rPr>
        <w:t>For the 2026 PSU grant, the methane intensity reduction metric reflects our announced target of a 40% to 55% reduction in methane intensity below 2019 baseline by 2035. The metric was set using</w:t>
      </w:r>
    </w:p>
    <w:p>
      <w:pPr>
        <w:spacing w:after="0" w:line="61" w:lineRule="exact"/>
        <w:rPr>
          <w:rFonts w:ascii="Arial" w:cs="Arial" w:eastAsia="Arial" w:hAnsi="Arial"/>
          <w:sz w:val="11"/>
          <w:szCs w:val="11"/>
          <w:color w:val="auto"/>
        </w:rPr>
      </w:pPr>
    </w:p>
    <w:p>
      <w:pPr>
        <w:ind w:left="160" w:right="260"/>
        <w:spacing w:after="0" w:line="306" w:lineRule="auto"/>
        <w:rPr>
          <w:rFonts w:ascii="Arial" w:cs="Arial" w:eastAsia="Arial" w:hAnsi="Arial"/>
          <w:sz w:val="11"/>
          <w:szCs w:val="11"/>
          <w:color w:val="auto"/>
        </w:rPr>
      </w:pPr>
      <w:r>
        <w:rPr>
          <w:rFonts w:ascii="Arial" w:cs="Arial" w:eastAsia="Arial" w:hAnsi="Arial"/>
          <w:sz w:val="13"/>
          <w:szCs w:val="13"/>
          <w:color w:val="auto"/>
        </w:rPr>
        <w:t>2024 performance and forecast as reference, assuming a 3-year rolling intensity reduction (to normalize performance). The measurement period is January 1, 2025 to December 31, 2027 as 2028 data is not available until Q2 2028.</w:t>
      </w:r>
    </w:p>
    <w:p>
      <w:pPr>
        <w:spacing w:after="0" w:line="321" w:lineRule="exact"/>
        <w:rPr>
          <w:sz w:val="20"/>
          <w:szCs w:val="20"/>
          <w:color w:val="auto"/>
        </w:rPr>
      </w:pPr>
    </w:p>
    <w:p>
      <w:pPr>
        <w:ind w:right="200"/>
        <w:spacing w:after="0" w:line="316" w:lineRule="auto"/>
        <w:rPr>
          <w:sz w:val="20"/>
          <w:szCs w:val="20"/>
          <w:color w:val="auto"/>
        </w:rPr>
      </w:pPr>
      <w:r>
        <w:rPr>
          <w:rFonts w:ascii="Arial" w:cs="Arial" w:eastAsia="Arial" w:hAnsi="Arial"/>
          <w:sz w:val="16"/>
          <w:szCs w:val="16"/>
          <w:color w:val="auto"/>
        </w:rPr>
        <w:t>We have two peer groups for assessing relative TSR. The first group is a dividend subset of the TSX 60 Index. This group includes publicly-traded peer companies that represent competitors for shareholder investment in large, high-yield Canadian companies. For the 2026 performance year, the Human Resources Committee, informed by its independent consultant, Meridian, reviewed and approved changes to the dividend subset of the TSX 60 Index peer group to remove Hydro One Limited and to add Cenovus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7132955" cy="1365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2026 PSU award - dividend subset of the TSX 60 Index for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Algonquin Power &amp; Utilities Corp.</w:t>
            </w:r>
          </w:p>
        </w:tc>
        <w:tc>
          <w:tcPr>
            <w:tcW w:w="3660" w:type="dxa"/>
            <w:vAlign w:val="bottom"/>
          </w:tcPr>
          <w:p>
            <w:pPr>
              <w:ind w:left="740"/>
              <w:spacing w:after="0"/>
              <w:rPr>
                <w:sz w:val="20"/>
                <w:szCs w:val="20"/>
                <w:color w:val="auto"/>
              </w:rPr>
            </w:pPr>
            <w:r>
              <w:rPr>
                <w:rFonts w:ascii="Arial" w:cs="Arial" w:eastAsia="Arial" w:hAnsi="Arial"/>
                <w:sz w:val="14"/>
                <w:szCs w:val="14"/>
                <w:color w:val="auto"/>
              </w:rPr>
              <w:t>Emera Incorporated</w:t>
            </w:r>
          </w:p>
        </w:tc>
        <w:tc>
          <w:tcPr>
            <w:tcW w:w="4380" w:type="dxa"/>
            <w:vAlign w:val="bottom"/>
          </w:tcPr>
          <w:p>
            <w:pPr>
              <w:ind w:left="980"/>
              <w:spacing w:after="0"/>
              <w:rPr>
                <w:sz w:val="20"/>
                <w:szCs w:val="20"/>
                <w:color w:val="auto"/>
              </w:rPr>
            </w:pPr>
            <w:r>
              <w:rPr>
                <w:rFonts w:ascii="Arial" w:cs="Arial" w:eastAsia="Arial" w:hAnsi="Arial"/>
                <w:sz w:val="14"/>
                <w:szCs w:val="14"/>
                <w:color w:val="auto"/>
              </w:rPr>
              <w:t>Restaurant Brands International Inc.</w:t>
            </w:r>
          </w:p>
        </w:tc>
      </w:tr>
      <w:tr>
        <w:trPr>
          <w:trHeight w:val="242"/>
        </w:trPr>
        <w:tc>
          <w:tcPr>
            <w:tcW w:w="3200" w:type="dxa"/>
            <w:vAlign w:val="bottom"/>
          </w:tcPr>
          <w:p>
            <w:pPr>
              <w:ind w:left="20"/>
              <w:spacing w:after="0"/>
              <w:rPr>
                <w:sz w:val="20"/>
                <w:szCs w:val="20"/>
                <w:color w:val="auto"/>
              </w:rPr>
            </w:pPr>
            <w:r>
              <w:rPr>
                <w:rFonts w:ascii="Arial" w:cs="Arial" w:eastAsia="Arial" w:hAnsi="Arial"/>
                <w:sz w:val="14"/>
                <w:szCs w:val="14"/>
                <w:color w:val="auto"/>
              </w:rPr>
              <w:t>Bank of Montreal</w:t>
            </w:r>
          </w:p>
        </w:tc>
        <w:tc>
          <w:tcPr>
            <w:tcW w:w="3660" w:type="dxa"/>
            <w:vAlign w:val="bottom"/>
          </w:tcPr>
          <w:p>
            <w:pPr>
              <w:ind w:left="740"/>
              <w:spacing w:after="0"/>
              <w:rPr>
                <w:sz w:val="20"/>
                <w:szCs w:val="20"/>
                <w:color w:val="auto"/>
              </w:rPr>
            </w:pPr>
            <w:r>
              <w:rPr>
                <w:rFonts w:ascii="Arial" w:cs="Arial" w:eastAsia="Arial" w:hAnsi="Arial"/>
                <w:sz w:val="14"/>
                <w:szCs w:val="14"/>
                <w:color w:val="auto"/>
              </w:rPr>
              <w:t>Enbridge Inc.</w:t>
            </w:r>
          </w:p>
        </w:tc>
        <w:tc>
          <w:tcPr>
            <w:tcW w:w="4380" w:type="dxa"/>
            <w:vAlign w:val="bottom"/>
          </w:tcPr>
          <w:p>
            <w:pPr>
              <w:ind w:left="980"/>
              <w:spacing w:after="0"/>
              <w:rPr>
                <w:sz w:val="20"/>
                <w:szCs w:val="20"/>
                <w:color w:val="auto"/>
              </w:rPr>
            </w:pPr>
            <w:r>
              <w:rPr>
                <w:rFonts w:ascii="Arial" w:cs="Arial" w:eastAsia="Arial" w:hAnsi="Arial"/>
                <w:sz w:val="14"/>
                <w:szCs w:val="14"/>
                <w:color w:val="auto"/>
              </w:rPr>
              <w:t>Rogers Communications Inc.</w:t>
            </w:r>
          </w:p>
        </w:tc>
      </w:tr>
      <w:tr>
        <w:trPr>
          <w:trHeight w:val="215"/>
        </w:trPr>
        <w:tc>
          <w:tcPr>
            <w:tcW w:w="3200" w:type="dxa"/>
            <w:vAlign w:val="bottom"/>
          </w:tcPr>
          <w:p>
            <w:pPr>
              <w:ind w:left="20"/>
              <w:spacing w:after="0"/>
              <w:rPr>
                <w:sz w:val="20"/>
                <w:szCs w:val="20"/>
                <w:color w:val="auto"/>
              </w:rPr>
            </w:pPr>
            <w:r>
              <w:rPr>
                <w:rFonts w:ascii="Arial" w:cs="Arial" w:eastAsia="Arial" w:hAnsi="Arial"/>
                <w:sz w:val="14"/>
                <w:szCs w:val="14"/>
                <w:color w:val="auto"/>
              </w:rPr>
              <w:t>BCE Inc.</w:t>
            </w:r>
          </w:p>
        </w:tc>
        <w:tc>
          <w:tcPr>
            <w:tcW w:w="3660" w:type="dxa"/>
            <w:vAlign w:val="bottom"/>
          </w:tcPr>
          <w:p>
            <w:pPr>
              <w:ind w:left="740"/>
              <w:spacing w:after="0"/>
              <w:rPr>
                <w:sz w:val="20"/>
                <w:szCs w:val="20"/>
                <w:color w:val="auto"/>
              </w:rPr>
            </w:pPr>
            <w:r>
              <w:rPr>
                <w:rFonts w:ascii="Arial" w:cs="Arial" w:eastAsia="Arial" w:hAnsi="Arial"/>
                <w:sz w:val="14"/>
                <w:szCs w:val="14"/>
                <w:color w:val="auto"/>
              </w:rPr>
              <w:t>Fortis Inc.</w:t>
            </w:r>
          </w:p>
        </w:tc>
        <w:tc>
          <w:tcPr>
            <w:tcW w:w="4380" w:type="dxa"/>
            <w:vAlign w:val="bottom"/>
          </w:tcPr>
          <w:p>
            <w:pPr>
              <w:ind w:left="980"/>
              <w:spacing w:after="0"/>
              <w:rPr>
                <w:sz w:val="20"/>
                <w:szCs w:val="20"/>
                <w:color w:val="auto"/>
              </w:rPr>
            </w:pPr>
            <w:r>
              <w:rPr>
                <w:rFonts w:ascii="Arial" w:cs="Arial" w:eastAsia="Arial" w:hAnsi="Arial"/>
                <w:sz w:val="14"/>
                <w:szCs w:val="14"/>
                <w:color w:val="auto"/>
              </w:rPr>
              <w:t>Royal Bank of Canada</w:t>
            </w:r>
          </w:p>
        </w:tc>
      </w:tr>
      <w:tr>
        <w:trPr>
          <w:trHeight w:val="215"/>
        </w:trPr>
        <w:tc>
          <w:tcPr>
            <w:tcW w:w="3200" w:type="dxa"/>
            <w:vAlign w:val="bottom"/>
          </w:tcPr>
          <w:p>
            <w:pPr>
              <w:ind w:left="20"/>
              <w:spacing w:after="0"/>
              <w:rPr>
                <w:sz w:val="20"/>
                <w:szCs w:val="20"/>
                <w:color w:val="auto"/>
              </w:rPr>
            </w:pPr>
            <w:r>
              <w:rPr>
                <w:rFonts w:ascii="Arial" w:cs="Arial" w:eastAsia="Arial" w:hAnsi="Arial"/>
                <w:sz w:val="14"/>
                <w:szCs w:val="14"/>
                <w:color w:val="auto"/>
              </w:rPr>
              <w:t>Brookfield Asset Management Ltd.</w:t>
            </w:r>
          </w:p>
        </w:tc>
        <w:tc>
          <w:tcPr>
            <w:tcW w:w="3660" w:type="dxa"/>
            <w:vAlign w:val="bottom"/>
          </w:tcPr>
          <w:p>
            <w:pPr>
              <w:ind w:left="740"/>
              <w:spacing w:after="0"/>
              <w:rPr>
                <w:sz w:val="20"/>
                <w:szCs w:val="20"/>
                <w:color w:val="auto"/>
              </w:rPr>
            </w:pPr>
            <w:r>
              <w:rPr>
                <w:rFonts w:ascii="Arial" w:cs="Arial" w:eastAsia="Arial" w:hAnsi="Arial"/>
                <w:sz w:val="14"/>
                <w:szCs w:val="14"/>
                <w:color w:val="auto"/>
              </w:rPr>
              <w:t>Magna International Inc.</w:t>
            </w:r>
          </w:p>
        </w:tc>
        <w:tc>
          <w:tcPr>
            <w:tcW w:w="4380" w:type="dxa"/>
            <w:vAlign w:val="bottom"/>
          </w:tcPr>
          <w:p>
            <w:pPr>
              <w:ind w:left="980"/>
              <w:spacing w:after="0"/>
              <w:rPr>
                <w:sz w:val="20"/>
                <w:szCs w:val="20"/>
                <w:color w:val="auto"/>
              </w:rPr>
            </w:pPr>
            <w:r>
              <w:rPr>
                <w:rFonts w:ascii="Arial" w:cs="Arial" w:eastAsia="Arial" w:hAnsi="Arial"/>
                <w:sz w:val="14"/>
                <w:szCs w:val="14"/>
                <w:color w:val="auto"/>
              </w:rPr>
              <w:t>Sun Life Financial Inc.</w:t>
            </w:r>
          </w:p>
        </w:tc>
      </w:tr>
      <w:tr>
        <w:trPr>
          <w:trHeight w:val="215"/>
        </w:trPr>
        <w:tc>
          <w:tcPr>
            <w:tcW w:w="3200" w:type="dxa"/>
            <w:vAlign w:val="bottom"/>
          </w:tcPr>
          <w:p>
            <w:pPr>
              <w:ind w:left="20"/>
              <w:spacing w:after="0"/>
              <w:rPr>
                <w:sz w:val="20"/>
                <w:szCs w:val="20"/>
                <w:color w:val="auto"/>
              </w:rPr>
            </w:pPr>
            <w:r>
              <w:rPr>
                <w:rFonts w:ascii="Arial" w:cs="Arial" w:eastAsia="Arial" w:hAnsi="Arial"/>
                <w:sz w:val="14"/>
                <w:szCs w:val="14"/>
                <w:color w:val="auto"/>
              </w:rPr>
              <w:t>Brookfield Infrastructure Partners L.P.</w:t>
            </w:r>
          </w:p>
        </w:tc>
        <w:tc>
          <w:tcPr>
            <w:tcW w:w="3660" w:type="dxa"/>
            <w:vAlign w:val="bottom"/>
          </w:tcPr>
          <w:p>
            <w:pPr>
              <w:ind w:left="740"/>
              <w:spacing w:after="0"/>
              <w:rPr>
                <w:sz w:val="20"/>
                <w:szCs w:val="20"/>
                <w:color w:val="auto"/>
              </w:rPr>
            </w:pPr>
            <w:r>
              <w:rPr>
                <w:rFonts w:ascii="Arial" w:cs="Arial" w:eastAsia="Arial" w:hAnsi="Arial"/>
                <w:sz w:val="14"/>
                <w:szCs w:val="14"/>
                <w:color w:val="auto"/>
              </w:rPr>
              <w:t>Manulife Financial Corporation</w:t>
            </w:r>
          </w:p>
        </w:tc>
        <w:tc>
          <w:tcPr>
            <w:tcW w:w="4380" w:type="dxa"/>
            <w:vAlign w:val="bottom"/>
          </w:tcPr>
          <w:p>
            <w:pPr>
              <w:ind w:left="980"/>
              <w:spacing w:after="0"/>
              <w:rPr>
                <w:sz w:val="20"/>
                <w:szCs w:val="20"/>
                <w:color w:val="auto"/>
              </w:rPr>
            </w:pPr>
            <w:r>
              <w:rPr>
                <w:rFonts w:ascii="Arial" w:cs="Arial" w:eastAsia="Arial" w:hAnsi="Arial"/>
                <w:sz w:val="14"/>
                <w:szCs w:val="14"/>
                <w:color w:val="auto"/>
              </w:rPr>
              <w:t>Suncor Energy Inc.</w:t>
            </w:r>
          </w:p>
        </w:tc>
      </w:tr>
      <w:tr>
        <w:trPr>
          <w:trHeight w:val="215"/>
        </w:trPr>
        <w:tc>
          <w:tcPr>
            <w:tcW w:w="3200" w:type="dxa"/>
            <w:vAlign w:val="bottom"/>
          </w:tcPr>
          <w:p>
            <w:pPr>
              <w:ind w:left="20"/>
              <w:spacing w:after="0"/>
              <w:rPr>
                <w:sz w:val="20"/>
                <w:szCs w:val="20"/>
                <w:color w:val="auto"/>
              </w:rPr>
            </w:pPr>
            <w:r>
              <w:rPr>
                <w:rFonts w:ascii="Arial" w:cs="Arial" w:eastAsia="Arial" w:hAnsi="Arial"/>
                <w:sz w:val="14"/>
                <w:szCs w:val="14"/>
                <w:color w:val="auto"/>
              </w:rPr>
              <w:t>Canadian Apartment Properties REIT</w:t>
            </w:r>
          </w:p>
        </w:tc>
        <w:tc>
          <w:tcPr>
            <w:tcW w:w="3660" w:type="dxa"/>
            <w:vAlign w:val="bottom"/>
          </w:tcPr>
          <w:p>
            <w:pPr>
              <w:ind w:left="740"/>
              <w:spacing w:after="0"/>
              <w:rPr>
                <w:sz w:val="20"/>
                <w:szCs w:val="20"/>
                <w:color w:val="auto"/>
              </w:rPr>
            </w:pPr>
            <w:r>
              <w:rPr>
                <w:rFonts w:ascii="Arial" w:cs="Arial" w:eastAsia="Arial" w:hAnsi="Arial"/>
                <w:sz w:val="14"/>
                <w:szCs w:val="14"/>
                <w:color w:val="auto"/>
              </w:rPr>
              <w:t>National Bank of Canada</w:t>
            </w:r>
          </w:p>
        </w:tc>
        <w:tc>
          <w:tcPr>
            <w:tcW w:w="4380" w:type="dxa"/>
            <w:vAlign w:val="bottom"/>
          </w:tcPr>
          <w:p>
            <w:pPr>
              <w:ind w:left="980"/>
              <w:spacing w:after="0"/>
              <w:rPr>
                <w:sz w:val="20"/>
                <w:szCs w:val="20"/>
                <w:color w:val="auto"/>
              </w:rPr>
            </w:pPr>
            <w:r>
              <w:rPr>
                <w:rFonts w:ascii="Arial" w:cs="Arial" w:eastAsia="Arial" w:hAnsi="Arial"/>
                <w:sz w:val="14"/>
                <w:szCs w:val="14"/>
                <w:color w:val="auto"/>
              </w:rPr>
              <w:t>TELUS Corporation</w:t>
            </w:r>
          </w:p>
        </w:tc>
      </w:tr>
      <w:tr>
        <w:trPr>
          <w:trHeight w:val="215"/>
        </w:trPr>
        <w:tc>
          <w:tcPr>
            <w:tcW w:w="3200" w:type="dxa"/>
            <w:vAlign w:val="bottom"/>
          </w:tcPr>
          <w:p>
            <w:pPr>
              <w:ind w:left="20"/>
              <w:spacing w:after="0"/>
              <w:rPr>
                <w:sz w:val="20"/>
                <w:szCs w:val="20"/>
                <w:color w:val="auto"/>
              </w:rPr>
            </w:pPr>
            <w:r>
              <w:rPr>
                <w:rFonts w:ascii="Arial" w:cs="Arial" w:eastAsia="Arial" w:hAnsi="Arial"/>
                <w:sz w:val="14"/>
                <w:szCs w:val="14"/>
                <w:color w:val="auto"/>
              </w:rPr>
              <w:t>Canadian Imperial Bank of Commerce</w:t>
            </w:r>
          </w:p>
        </w:tc>
        <w:tc>
          <w:tcPr>
            <w:tcW w:w="3660" w:type="dxa"/>
            <w:vAlign w:val="bottom"/>
          </w:tcPr>
          <w:p>
            <w:pPr>
              <w:ind w:left="740"/>
              <w:spacing w:after="0"/>
              <w:rPr>
                <w:sz w:val="20"/>
                <w:szCs w:val="20"/>
                <w:color w:val="auto"/>
              </w:rPr>
            </w:pPr>
            <w:r>
              <w:rPr>
                <w:rFonts w:ascii="Arial" w:cs="Arial" w:eastAsia="Arial" w:hAnsi="Arial"/>
                <w:sz w:val="14"/>
                <w:szCs w:val="14"/>
                <w:color w:val="auto"/>
              </w:rPr>
              <w:t>Nutrien Ltd.</w:t>
            </w:r>
          </w:p>
        </w:tc>
        <w:tc>
          <w:tcPr>
            <w:tcW w:w="4380" w:type="dxa"/>
            <w:vAlign w:val="bottom"/>
          </w:tcPr>
          <w:p>
            <w:pPr>
              <w:ind w:left="980"/>
              <w:spacing w:after="0"/>
              <w:rPr>
                <w:sz w:val="20"/>
                <w:szCs w:val="20"/>
                <w:color w:val="auto"/>
              </w:rPr>
            </w:pPr>
            <w:r>
              <w:rPr>
                <w:rFonts w:ascii="Arial" w:cs="Arial" w:eastAsia="Arial" w:hAnsi="Arial"/>
                <w:sz w:val="14"/>
                <w:szCs w:val="14"/>
                <w:color w:val="auto"/>
              </w:rPr>
              <w:t>The Bank of Nova Scotia</w:t>
            </w:r>
          </w:p>
        </w:tc>
      </w:tr>
      <w:tr>
        <w:trPr>
          <w:trHeight w:val="215"/>
        </w:trPr>
        <w:tc>
          <w:tcPr>
            <w:tcW w:w="3200" w:type="dxa"/>
            <w:vAlign w:val="bottom"/>
          </w:tcPr>
          <w:p>
            <w:pPr>
              <w:ind w:left="20"/>
              <w:spacing w:after="0"/>
              <w:rPr>
                <w:sz w:val="20"/>
                <w:szCs w:val="20"/>
                <w:color w:val="auto"/>
              </w:rPr>
            </w:pPr>
            <w:r>
              <w:rPr>
                <w:rFonts w:ascii="Arial" w:cs="Arial" w:eastAsia="Arial" w:hAnsi="Arial"/>
                <w:sz w:val="14"/>
                <w:szCs w:val="14"/>
                <w:color w:val="auto"/>
              </w:rPr>
              <w:t>Canadian Natural Resources Limited</w:t>
            </w:r>
          </w:p>
        </w:tc>
        <w:tc>
          <w:tcPr>
            <w:tcW w:w="3660" w:type="dxa"/>
            <w:vAlign w:val="bottom"/>
          </w:tcPr>
          <w:p>
            <w:pPr>
              <w:ind w:left="740"/>
              <w:spacing w:after="0"/>
              <w:rPr>
                <w:sz w:val="20"/>
                <w:szCs w:val="20"/>
                <w:color w:val="auto"/>
              </w:rPr>
            </w:pPr>
            <w:r>
              <w:rPr>
                <w:rFonts w:ascii="Arial" w:cs="Arial" w:eastAsia="Arial" w:hAnsi="Arial"/>
                <w:sz w:val="14"/>
                <w:szCs w:val="14"/>
                <w:color w:val="auto"/>
              </w:rPr>
              <w:t>Open Text Corporation</w:t>
            </w:r>
          </w:p>
        </w:tc>
        <w:tc>
          <w:tcPr>
            <w:tcW w:w="4380" w:type="dxa"/>
            <w:vAlign w:val="bottom"/>
          </w:tcPr>
          <w:p>
            <w:pPr>
              <w:ind w:left="980"/>
              <w:spacing w:after="0"/>
              <w:rPr>
                <w:sz w:val="20"/>
                <w:szCs w:val="20"/>
                <w:color w:val="auto"/>
              </w:rPr>
            </w:pPr>
            <w:r>
              <w:rPr>
                <w:rFonts w:ascii="Arial" w:cs="Arial" w:eastAsia="Arial" w:hAnsi="Arial"/>
                <w:sz w:val="14"/>
                <w:szCs w:val="14"/>
                <w:color w:val="auto"/>
              </w:rPr>
              <w:t>The Toronto-Dominion Bank</w:t>
            </w:r>
          </w:p>
        </w:tc>
      </w:tr>
      <w:tr>
        <w:trPr>
          <w:trHeight w:val="215"/>
        </w:trPr>
        <w:tc>
          <w:tcPr>
            <w:tcW w:w="3200" w:type="dxa"/>
            <w:vAlign w:val="bottom"/>
          </w:tcPr>
          <w:p>
            <w:pPr>
              <w:ind w:left="20"/>
              <w:spacing w:after="0"/>
              <w:rPr>
                <w:sz w:val="20"/>
                <w:szCs w:val="20"/>
                <w:color w:val="auto"/>
              </w:rPr>
            </w:pPr>
            <w:r>
              <w:rPr>
                <w:rFonts w:ascii="Arial" w:cs="Arial" w:eastAsia="Arial" w:hAnsi="Arial"/>
                <w:sz w:val="14"/>
                <w:szCs w:val="14"/>
                <w:color w:val="auto"/>
              </w:rPr>
              <w:t>Canadian Tire Corporation, Limited</w:t>
            </w:r>
          </w:p>
        </w:tc>
        <w:tc>
          <w:tcPr>
            <w:tcW w:w="3660" w:type="dxa"/>
            <w:vAlign w:val="bottom"/>
          </w:tcPr>
          <w:p>
            <w:pPr>
              <w:ind w:left="740"/>
              <w:spacing w:after="0"/>
              <w:rPr>
                <w:sz w:val="20"/>
                <w:szCs w:val="20"/>
                <w:color w:val="auto"/>
              </w:rPr>
            </w:pPr>
            <w:r>
              <w:rPr>
                <w:rFonts w:ascii="Arial" w:cs="Arial" w:eastAsia="Arial" w:hAnsi="Arial"/>
                <w:sz w:val="14"/>
                <w:szCs w:val="14"/>
                <w:color w:val="auto"/>
              </w:rPr>
              <w:t>Pembina Pipeline Corporation</w:t>
            </w:r>
          </w:p>
        </w:tc>
        <w:tc>
          <w:tcPr>
            <w:tcW w:w="4380" w:type="dxa"/>
            <w:vAlign w:val="bottom"/>
          </w:tcPr>
          <w:p>
            <w:pPr>
              <w:ind w:left="980"/>
              <w:spacing w:after="0"/>
              <w:rPr>
                <w:sz w:val="20"/>
                <w:szCs w:val="20"/>
                <w:color w:val="auto"/>
              </w:rPr>
            </w:pPr>
            <w:r>
              <w:rPr>
                <w:rFonts w:ascii="Arial" w:cs="Arial" w:eastAsia="Arial" w:hAnsi="Arial"/>
                <w:sz w:val="14"/>
                <w:szCs w:val="14"/>
                <w:color w:val="auto"/>
              </w:rPr>
              <w:t>Tourmaline Oil Corp.</w:t>
            </w:r>
          </w:p>
        </w:tc>
      </w:tr>
      <w:tr>
        <w:trPr>
          <w:trHeight w:val="228"/>
        </w:trPr>
        <w:tc>
          <w:tcPr>
            <w:tcW w:w="3200" w:type="dxa"/>
            <w:vAlign w:val="bottom"/>
          </w:tcPr>
          <w:p>
            <w:pPr>
              <w:ind w:left="20"/>
              <w:spacing w:after="0"/>
              <w:rPr>
                <w:sz w:val="20"/>
                <w:szCs w:val="20"/>
                <w:color w:val="auto"/>
              </w:rPr>
            </w:pPr>
            <w:r>
              <w:rPr>
                <w:rFonts w:ascii="Arial" w:cs="Arial" w:eastAsia="Arial" w:hAnsi="Arial"/>
                <w:sz w:val="14"/>
                <w:szCs w:val="14"/>
                <w:color w:val="auto"/>
              </w:rPr>
              <w:t>Cenovus Energy Inc.</w:t>
            </w:r>
          </w:p>
        </w:tc>
        <w:tc>
          <w:tcPr>
            <w:tcW w:w="3660" w:type="dxa"/>
            <w:vAlign w:val="bottom"/>
          </w:tcPr>
          <w:p>
            <w:pPr>
              <w:ind w:left="740"/>
              <w:spacing w:after="0"/>
              <w:rPr>
                <w:sz w:val="20"/>
                <w:szCs w:val="20"/>
                <w:color w:val="auto"/>
              </w:rPr>
            </w:pPr>
            <w:r>
              <w:rPr>
                <w:rFonts w:ascii="Arial" w:cs="Arial" w:eastAsia="Arial" w:hAnsi="Arial"/>
                <w:sz w:val="14"/>
                <w:szCs w:val="14"/>
                <w:color w:val="auto"/>
              </w:rPr>
              <w:t>Power Corporation of Canada</w:t>
            </w:r>
          </w:p>
        </w:tc>
        <w:tc>
          <w:tcPr>
            <w:tcW w:w="4380" w:type="dxa"/>
            <w:vAlign w:val="bottom"/>
          </w:tcPr>
          <w:p>
            <w:pPr>
              <w:spacing w:after="0"/>
              <w:rPr>
                <w:sz w:val="19"/>
                <w:szCs w:val="19"/>
                <w:color w:val="auto"/>
              </w:rPr>
            </w:pPr>
          </w:p>
        </w:tc>
      </w:tr>
      <w:tr>
        <w:trPr>
          <w:trHeight w:val="35"/>
        </w:trPr>
        <w:tc>
          <w:tcPr>
            <w:tcW w:w="3200" w:type="dxa"/>
            <w:vAlign w:val="bottom"/>
            <w:tcBorders>
              <w:bottom w:val="single" w:sz="8" w:color="0D64EF"/>
            </w:tcBorders>
          </w:tcPr>
          <w:p>
            <w:pPr>
              <w:spacing w:after="0"/>
              <w:rPr>
                <w:sz w:val="3"/>
                <w:szCs w:val="3"/>
                <w:color w:val="auto"/>
              </w:rPr>
            </w:pPr>
          </w:p>
        </w:tc>
        <w:tc>
          <w:tcPr>
            <w:tcW w:w="3660" w:type="dxa"/>
            <w:vAlign w:val="bottom"/>
            <w:tcBorders>
              <w:bottom w:val="single" w:sz="8" w:color="0D64EF"/>
            </w:tcBorders>
          </w:tcPr>
          <w:p>
            <w:pPr>
              <w:spacing w:after="0"/>
              <w:rPr>
                <w:sz w:val="3"/>
                <w:szCs w:val="3"/>
                <w:color w:val="auto"/>
              </w:rPr>
            </w:pPr>
          </w:p>
        </w:tc>
        <w:tc>
          <w:tcPr>
            <w:tcW w:w="4380" w:type="dxa"/>
            <w:vAlign w:val="bottom"/>
            <w:tcBorders>
              <w:bottom w:val="single" w:sz="8" w:color="0D64EF"/>
            </w:tcBorders>
          </w:tcPr>
          <w:p>
            <w:pPr>
              <w:spacing w:after="0"/>
              <w:rPr>
                <w:sz w:val="3"/>
                <w:szCs w:val="3"/>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second group is the PSU industry peer group, consisting of specific business competitors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7132955" cy="136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2026 PSU award - industry peer group for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ind w:left="20"/>
              <w:spacing w:after="0"/>
              <w:rPr>
                <w:sz w:val="20"/>
                <w:szCs w:val="20"/>
                <w:color w:val="auto"/>
              </w:rPr>
            </w:pPr>
            <w:r>
              <w:rPr>
                <w:rFonts w:ascii="Arial" w:cs="Arial" w:eastAsia="Arial" w:hAnsi="Arial"/>
                <w:sz w:val="14"/>
                <w:szCs w:val="14"/>
                <w:color w:val="auto"/>
              </w:rPr>
              <w:t>AltaGas Ltd.</w:t>
            </w:r>
          </w:p>
        </w:tc>
        <w:tc>
          <w:tcPr>
            <w:tcW w:w="4100" w:type="dxa"/>
            <w:vAlign w:val="bottom"/>
          </w:tcPr>
          <w:p>
            <w:pPr>
              <w:ind w:left="1100"/>
              <w:spacing w:after="0"/>
              <w:rPr>
                <w:sz w:val="20"/>
                <w:szCs w:val="20"/>
                <w:color w:val="auto"/>
              </w:rPr>
            </w:pPr>
            <w:r>
              <w:rPr>
                <w:rFonts w:ascii="Arial" w:cs="Arial" w:eastAsia="Arial" w:hAnsi="Arial"/>
                <w:sz w:val="14"/>
                <w:szCs w:val="14"/>
                <w:color w:val="auto"/>
              </w:rPr>
              <w:t>Enbridge Inc.</w:t>
            </w:r>
          </w:p>
        </w:tc>
        <w:tc>
          <w:tcPr>
            <w:tcW w:w="4300" w:type="dxa"/>
            <w:vAlign w:val="bottom"/>
          </w:tcPr>
          <w:p>
            <w:pPr>
              <w:ind w:left="900"/>
              <w:spacing w:after="0"/>
              <w:rPr>
                <w:sz w:val="20"/>
                <w:szCs w:val="20"/>
                <w:color w:val="auto"/>
              </w:rPr>
            </w:pPr>
            <w:r>
              <w:rPr>
                <w:rFonts w:ascii="Arial" w:cs="Arial" w:eastAsia="Arial" w:hAnsi="Arial"/>
                <w:sz w:val="14"/>
                <w:szCs w:val="14"/>
                <w:color w:val="auto"/>
              </w:rPr>
              <w:t>NiSource Inc.</w:t>
            </w:r>
          </w:p>
        </w:tc>
      </w:tr>
      <w:tr>
        <w:trPr>
          <w:trHeight w:val="255"/>
        </w:trPr>
        <w:tc>
          <w:tcPr>
            <w:tcW w:w="2840" w:type="dxa"/>
            <w:vAlign w:val="bottom"/>
          </w:tcPr>
          <w:p>
            <w:pPr>
              <w:ind w:left="20"/>
              <w:spacing w:after="0"/>
              <w:rPr>
                <w:sz w:val="20"/>
                <w:szCs w:val="20"/>
                <w:color w:val="auto"/>
              </w:rPr>
            </w:pPr>
            <w:r>
              <w:rPr>
                <w:rFonts w:ascii="Arial" w:cs="Arial" w:eastAsia="Arial" w:hAnsi="Arial"/>
                <w:sz w:val="14"/>
                <w:szCs w:val="14"/>
                <w:color w:val="auto"/>
              </w:rPr>
              <w:t>Atmos Energy Corporation</w:t>
            </w:r>
          </w:p>
        </w:tc>
        <w:tc>
          <w:tcPr>
            <w:tcW w:w="4100" w:type="dxa"/>
            <w:vAlign w:val="bottom"/>
          </w:tcPr>
          <w:p>
            <w:pPr>
              <w:ind w:left="1100"/>
              <w:spacing w:after="0"/>
              <w:rPr>
                <w:sz w:val="20"/>
                <w:szCs w:val="20"/>
                <w:color w:val="auto"/>
              </w:rPr>
            </w:pPr>
            <w:r>
              <w:rPr>
                <w:rFonts w:ascii="Arial" w:cs="Arial" w:eastAsia="Arial" w:hAnsi="Arial"/>
                <w:sz w:val="14"/>
                <w:szCs w:val="14"/>
                <w:color w:val="auto"/>
              </w:rPr>
              <w:t>Energy Transfer LP</w:t>
            </w:r>
          </w:p>
        </w:tc>
        <w:tc>
          <w:tcPr>
            <w:tcW w:w="4300" w:type="dxa"/>
            <w:vAlign w:val="bottom"/>
          </w:tcPr>
          <w:p>
            <w:pPr>
              <w:ind w:left="900"/>
              <w:spacing w:after="0"/>
              <w:rPr>
                <w:sz w:val="20"/>
                <w:szCs w:val="20"/>
                <w:color w:val="auto"/>
              </w:rPr>
            </w:pPr>
            <w:r>
              <w:rPr>
                <w:rFonts w:ascii="Arial" w:cs="Arial" w:eastAsia="Arial" w:hAnsi="Arial"/>
                <w:sz w:val="14"/>
                <w:szCs w:val="14"/>
                <w:color w:val="auto"/>
              </w:rPr>
              <w:t>ONEOK, Inc.</w:t>
            </w:r>
          </w:p>
        </w:tc>
      </w:tr>
      <w:tr>
        <w:trPr>
          <w:trHeight w:val="242"/>
        </w:trPr>
        <w:tc>
          <w:tcPr>
            <w:tcW w:w="2840" w:type="dxa"/>
            <w:vAlign w:val="bottom"/>
          </w:tcPr>
          <w:p>
            <w:pPr>
              <w:ind w:left="20"/>
              <w:spacing w:after="0"/>
              <w:rPr>
                <w:sz w:val="20"/>
                <w:szCs w:val="20"/>
                <w:color w:val="auto"/>
              </w:rPr>
            </w:pPr>
            <w:r>
              <w:rPr>
                <w:rFonts w:ascii="Arial" w:cs="Arial" w:eastAsia="Arial" w:hAnsi="Arial"/>
                <w:sz w:val="14"/>
                <w:szCs w:val="14"/>
                <w:color w:val="auto"/>
              </w:rPr>
              <w:t>Canadian Utilities Limited</w:t>
            </w:r>
          </w:p>
        </w:tc>
        <w:tc>
          <w:tcPr>
            <w:tcW w:w="4100" w:type="dxa"/>
            <w:vAlign w:val="bottom"/>
          </w:tcPr>
          <w:p>
            <w:pPr>
              <w:ind w:left="1100"/>
              <w:spacing w:after="0"/>
              <w:rPr>
                <w:sz w:val="20"/>
                <w:szCs w:val="20"/>
                <w:color w:val="auto"/>
              </w:rPr>
            </w:pPr>
            <w:r>
              <w:rPr>
                <w:rFonts w:ascii="Arial" w:cs="Arial" w:eastAsia="Arial" w:hAnsi="Arial"/>
                <w:sz w:val="14"/>
                <w:szCs w:val="14"/>
                <w:color w:val="auto"/>
              </w:rPr>
              <w:t>Entergy Corporation</w:t>
            </w:r>
          </w:p>
        </w:tc>
        <w:tc>
          <w:tcPr>
            <w:tcW w:w="4300" w:type="dxa"/>
            <w:vAlign w:val="bottom"/>
          </w:tcPr>
          <w:p>
            <w:pPr>
              <w:ind w:left="900"/>
              <w:spacing w:after="0"/>
              <w:rPr>
                <w:sz w:val="20"/>
                <w:szCs w:val="20"/>
                <w:color w:val="auto"/>
              </w:rPr>
            </w:pPr>
            <w:r>
              <w:rPr>
                <w:rFonts w:ascii="Arial" w:cs="Arial" w:eastAsia="Arial" w:hAnsi="Arial"/>
                <w:sz w:val="14"/>
                <w:szCs w:val="14"/>
                <w:color w:val="auto"/>
              </w:rPr>
              <w:t>Pembina Pipeline Corporation</w:t>
            </w:r>
          </w:p>
        </w:tc>
      </w:tr>
      <w:tr>
        <w:trPr>
          <w:trHeight w:val="269"/>
        </w:trPr>
        <w:tc>
          <w:tcPr>
            <w:tcW w:w="2840" w:type="dxa"/>
            <w:vAlign w:val="bottom"/>
          </w:tcPr>
          <w:p>
            <w:pPr>
              <w:ind w:left="20"/>
              <w:spacing w:after="0"/>
              <w:rPr>
                <w:sz w:val="20"/>
                <w:szCs w:val="20"/>
                <w:color w:val="auto"/>
              </w:rPr>
            </w:pPr>
            <w:r>
              <w:rPr>
                <w:rFonts w:ascii="Arial" w:cs="Arial" w:eastAsia="Arial" w:hAnsi="Arial"/>
                <w:sz w:val="14"/>
                <w:szCs w:val="14"/>
                <w:color w:val="auto"/>
              </w:rPr>
              <w:t>CenterPoint Energy, Inc.</w:t>
            </w:r>
          </w:p>
        </w:tc>
        <w:tc>
          <w:tcPr>
            <w:tcW w:w="4100" w:type="dxa"/>
            <w:vAlign w:val="bottom"/>
          </w:tcPr>
          <w:p>
            <w:pPr>
              <w:ind w:left="1100"/>
              <w:spacing w:after="0"/>
              <w:rPr>
                <w:sz w:val="20"/>
                <w:szCs w:val="20"/>
                <w:color w:val="auto"/>
              </w:rPr>
            </w:pPr>
            <w:r>
              <w:rPr>
                <w:rFonts w:ascii="Arial" w:cs="Arial" w:eastAsia="Arial" w:hAnsi="Arial"/>
                <w:sz w:val="14"/>
                <w:szCs w:val="14"/>
                <w:color w:val="auto"/>
              </w:rPr>
              <w:t>Enterprise Products Partners L.P.</w:t>
            </w:r>
          </w:p>
        </w:tc>
        <w:tc>
          <w:tcPr>
            <w:tcW w:w="4300" w:type="dxa"/>
            <w:vAlign w:val="bottom"/>
          </w:tcPr>
          <w:p>
            <w:pPr>
              <w:ind w:left="900"/>
              <w:spacing w:after="0"/>
              <w:rPr>
                <w:sz w:val="20"/>
                <w:szCs w:val="20"/>
                <w:color w:val="auto"/>
              </w:rPr>
            </w:pPr>
            <w:r>
              <w:rPr>
                <w:rFonts w:ascii="Arial" w:cs="Arial" w:eastAsia="Arial" w:hAnsi="Arial"/>
                <w:sz w:val="14"/>
                <w:szCs w:val="14"/>
                <w:color w:val="auto"/>
              </w:rPr>
              <w:t>PPL Corporation</w:t>
            </w:r>
          </w:p>
        </w:tc>
      </w:tr>
      <w:tr>
        <w:trPr>
          <w:trHeight w:val="269"/>
        </w:trPr>
        <w:tc>
          <w:tcPr>
            <w:tcW w:w="2840" w:type="dxa"/>
            <w:vAlign w:val="bottom"/>
          </w:tcPr>
          <w:p>
            <w:pPr>
              <w:ind w:left="20"/>
              <w:spacing w:after="0"/>
              <w:rPr>
                <w:sz w:val="20"/>
                <w:szCs w:val="20"/>
                <w:color w:val="auto"/>
              </w:rPr>
            </w:pPr>
            <w:r>
              <w:rPr>
                <w:rFonts w:ascii="Arial" w:cs="Arial" w:eastAsia="Arial" w:hAnsi="Arial"/>
                <w:sz w:val="14"/>
                <w:szCs w:val="14"/>
                <w:color w:val="auto"/>
              </w:rPr>
              <w:t>Dominion Energy, Inc.</w:t>
            </w:r>
          </w:p>
        </w:tc>
        <w:tc>
          <w:tcPr>
            <w:tcW w:w="4100" w:type="dxa"/>
            <w:vAlign w:val="bottom"/>
          </w:tcPr>
          <w:p>
            <w:pPr>
              <w:ind w:left="1100"/>
              <w:spacing w:after="0"/>
              <w:rPr>
                <w:sz w:val="20"/>
                <w:szCs w:val="20"/>
                <w:color w:val="auto"/>
              </w:rPr>
            </w:pPr>
            <w:r>
              <w:rPr>
                <w:rFonts w:ascii="Arial" w:cs="Arial" w:eastAsia="Arial" w:hAnsi="Arial"/>
                <w:sz w:val="14"/>
                <w:szCs w:val="14"/>
                <w:color w:val="auto"/>
              </w:rPr>
              <w:t>Fortis Inc.</w:t>
            </w:r>
          </w:p>
        </w:tc>
        <w:tc>
          <w:tcPr>
            <w:tcW w:w="4300" w:type="dxa"/>
            <w:vAlign w:val="bottom"/>
          </w:tcPr>
          <w:p>
            <w:pPr>
              <w:ind w:left="900"/>
              <w:spacing w:after="0"/>
              <w:rPr>
                <w:sz w:val="20"/>
                <w:szCs w:val="20"/>
                <w:color w:val="auto"/>
              </w:rPr>
            </w:pPr>
            <w:r>
              <w:rPr>
                <w:rFonts w:ascii="Arial" w:cs="Arial" w:eastAsia="Arial" w:hAnsi="Arial"/>
                <w:sz w:val="14"/>
                <w:szCs w:val="14"/>
                <w:color w:val="auto"/>
              </w:rPr>
              <w:t>Sempra</w:t>
            </w:r>
          </w:p>
        </w:tc>
      </w:tr>
      <w:tr>
        <w:trPr>
          <w:trHeight w:val="282"/>
        </w:trPr>
        <w:tc>
          <w:tcPr>
            <w:tcW w:w="2840" w:type="dxa"/>
            <w:vAlign w:val="bottom"/>
          </w:tcPr>
          <w:p>
            <w:pPr>
              <w:ind w:left="20"/>
              <w:spacing w:after="0"/>
              <w:rPr>
                <w:sz w:val="20"/>
                <w:szCs w:val="20"/>
                <w:color w:val="auto"/>
              </w:rPr>
            </w:pPr>
            <w:r>
              <w:rPr>
                <w:rFonts w:ascii="Arial" w:cs="Arial" w:eastAsia="Arial" w:hAnsi="Arial"/>
                <w:sz w:val="14"/>
                <w:szCs w:val="14"/>
                <w:color w:val="auto"/>
              </w:rPr>
              <w:t>DTE Energy Company</w:t>
            </w:r>
          </w:p>
        </w:tc>
        <w:tc>
          <w:tcPr>
            <w:tcW w:w="4100" w:type="dxa"/>
            <w:vAlign w:val="bottom"/>
          </w:tcPr>
          <w:p>
            <w:pPr>
              <w:ind w:left="1100"/>
              <w:spacing w:after="0"/>
              <w:rPr>
                <w:sz w:val="20"/>
                <w:szCs w:val="20"/>
                <w:color w:val="auto"/>
              </w:rPr>
            </w:pPr>
            <w:r>
              <w:rPr>
                <w:rFonts w:ascii="Arial" w:cs="Arial" w:eastAsia="Arial" w:hAnsi="Arial"/>
                <w:sz w:val="14"/>
                <w:szCs w:val="14"/>
                <w:color w:val="auto"/>
              </w:rPr>
              <w:t>Kinder Morgan, Inc.</w:t>
            </w:r>
          </w:p>
        </w:tc>
        <w:tc>
          <w:tcPr>
            <w:tcW w:w="4300" w:type="dxa"/>
            <w:vAlign w:val="bottom"/>
          </w:tcPr>
          <w:p>
            <w:pPr>
              <w:ind w:left="900"/>
              <w:spacing w:after="0"/>
              <w:rPr>
                <w:sz w:val="20"/>
                <w:szCs w:val="20"/>
                <w:color w:val="auto"/>
              </w:rPr>
            </w:pPr>
            <w:r>
              <w:rPr>
                <w:rFonts w:ascii="Arial" w:cs="Arial" w:eastAsia="Arial" w:hAnsi="Arial"/>
                <w:sz w:val="14"/>
                <w:szCs w:val="14"/>
                <w:color w:val="auto"/>
              </w:rPr>
              <w:t>Targa Resource Corp</w:t>
            </w:r>
          </w:p>
        </w:tc>
      </w:tr>
      <w:tr>
        <w:trPr>
          <w:trHeight w:val="255"/>
        </w:trPr>
        <w:tc>
          <w:tcPr>
            <w:tcW w:w="2840" w:type="dxa"/>
            <w:vAlign w:val="bottom"/>
          </w:tcPr>
          <w:p>
            <w:pPr>
              <w:ind w:left="20"/>
              <w:spacing w:after="0"/>
              <w:rPr>
                <w:sz w:val="20"/>
                <w:szCs w:val="20"/>
                <w:color w:val="auto"/>
              </w:rPr>
            </w:pPr>
            <w:r>
              <w:rPr>
                <w:rFonts w:ascii="Arial" w:cs="Arial" w:eastAsia="Arial" w:hAnsi="Arial"/>
                <w:sz w:val="14"/>
                <w:szCs w:val="14"/>
                <w:color w:val="auto"/>
              </w:rPr>
              <w:t>Emera Incorporated</w:t>
            </w:r>
          </w:p>
        </w:tc>
        <w:tc>
          <w:tcPr>
            <w:tcW w:w="4100" w:type="dxa"/>
            <w:vAlign w:val="bottom"/>
          </w:tcPr>
          <w:p>
            <w:pPr>
              <w:ind w:left="1100"/>
              <w:spacing w:after="0"/>
              <w:rPr>
                <w:sz w:val="20"/>
                <w:szCs w:val="20"/>
                <w:color w:val="auto"/>
              </w:rPr>
            </w:pPr>
            <w:r>
              <w:rPr>
                <w:rFonts w:ascii="Arial" w:cs="Arial" w:eastAsia="Arial" w:hAnsi="Arial"/>
                <w:sz w:val="14"/>
                <w:szCs w:val="14"/>
                <w:color w:val="auto"/>
              </w:rPr>
              <w:t>MPLX LP</w:t>
            </w:r>
          </w:p>
        </w:tc>
        <w:tc>
          <w:tcPr>
            <w:tcW w:w="4300" w:type="dxa"/>
            <w:vAlign w:val="bottom"/>
          </w:tcPr>
          <w:p>
            <w:pPr>
              <w:ind w:left="900"/>
              <w:spacing w:after="0"/>
              <w:rPr>
                <w:sz w:val="20"/>
                <w:szCs w:val="20"/>
                <w:color w:val="auto"/>
              </w:rPr>
            </w:pPr>
            <w:r>
              <w:rPr>
                <w:rFonts w:ascii="Arial" w:cs="Arial" w:eastAsia="Arial" w:hAnsi="Arial"/>
                <w:sz w:val="14"/>
                <w:szCs w:val="14"/>
                <w:color w:val="auto"/>
              </w:rPr>
              <w:t>The Williams Companies, Inc.</w:t>
            </w:r>
          </w:p>
        </w:tc>
      </w:tr>
      <w:tr>
        <w:trPr>
          <w:trHeight w:val="48"/>
        </w:trPr>
        <w:tc>
          <w:tcPr>
            <w:tcW w:w="2840" w:type="dxa"/>
            <w:vAlign w:val="bottom"/>
            <w:tcBorders>
              <w:bottom w:val="single" w:sz="8" w:color="0D64EF"/>
            </w:tcBorders>
          </w:tcPr>
          <w:p>
            <w:pPr>
              <w:spacing w:after="0"/>
              <w:rPr>
                <w:sz w:val="4"/>
                <w:szCs w:val="4"/>
                <w:color w:val="auto"/>
              </w:rPr>
            </w:pPr>
          </w:p>
        </w:tc>
        <w:tc>
          <w:tcPr>
            <w:tcW w:w="4100" w:type="dxa"/>
            <w:vAlign w:val="bottom"/>
            <w:tcBorders>
              <w:bottom w:val="single" w:sz="8" w:color="0D64EF"/>
            </w:tcBorders>
          </w:tcPr>
          <w:p>
            <w:pPr>
              <w:spacing w:after="0"/>
              <w:rPr>
                <w:sz w:val="4"/>
                <w:szCs w:val="4"/>
                <w:color w:val="auto"/>
              </w:rPr>
            </w:pPr>
          </w:p>
        </w:tc>
        <w:tc>
          <w:tcPr>
            <w:tcW w:w="4300" w:type="dxa"/>
            <w:vAlign w:val="bottom"/>
            <w:tcBorders>
              <w:bottom w:val="single" w:sz="8" w:color="0D64EF"/>
            </w:tcBorders>
          </w:tcPr>
          <w:p>
            <w:pPr>
              <w:spacing w:after="0"/>
              <w:rPr>
                <w:sz w:val="4"/>
                <w:szCs w:val="4"/>
                <w:color w:val="auto"/>
              </w:rPr>
            </w:pPr>
          </w:p>
        </w:tc>
      </w:tr>
    </w:tbl>
    <w:p>
      <w:pPr>
        <w:spacing w:after="0" w:line="228" w:lineRule="exact"/>
        <w:rPr>
          <w:sz w:val="20"/>
          <w:szCs w:val="20"/>
          <w:color w:val="auto"/>
        </w:rPr>
      </w:pPr>
    </w:p>
    <w:p>
      <w:pPr>
        <w:ind w:right="420"/>
        <w:spacing w:after="0" w:line="337" w:lineRule="auto"/>
        <w:rPr>
          <w:sz w:val="20"/>
          <w:szCs w:val="20"/>
          <w:color w:val="auto"/>
        </w:rPr>
      </w:pPr>
      <w:r>
        <w:rPr>
          <w:rFonts w:ascii="Arial" w:cs="Arial" w:eastAsia="Arial" w:hAnsi="Arial"/>
          <w:sz w:val="16"/>
          <w:szCs w:val="16"/>
          <w:color w:val="auto"/>
        </w:rPr>
        <w:t>DCF is a cash-based metric that reflects our focus on growing earnings and cash flows to create sustainable value. DCF will be adjusted on a pro-forma basis for divestitures that occur during the three-year period.</w:t>
      </w:r>
    </w:p>
    <w:p>
      <w:pPr>
        <w:spacing w:after="0" w:line="48" w:lineRule="exact"/>
        <w:rPr>
          <w:sz w:val="20"/>
          <w:szCs w:val="20"/>
          <w:color w:val="auto"/>
        </w:rPr>
      </w:pPr>
    </w:p>
    <w:p>
      <w:pPr>
        <w:ind w:right="500"/>
        <w:spacing w:after="0" w:line="337" w:lineRule="auto"/>
        <w:rPr>
          <w:sz w:val="20"/>
          <w:szCs w:val="20"/>
          <w:color w:val="auto"/>
        </w:rPr>
      </w:pPr>
      <w:r>
        <w:rPr>
          <w:rFonts w:ascii="Arial" w:cs="Arial" w:eastAsia="Arial" w:hAnsi="Arial"/>
          <w:sz w:val="16"/>
          <w:szCs w:val="16"/>
          <w:color w:val="auto"/>
        </w:rPr>
        <w:t>The Debt/EBITDA metric is aligned with our ongoing commitment to maintain a strong balance sheet and ensure we remain competitively positioned to capitalize on future opportunities.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Methane Intensity Reduction metric continues to evolve and support our current decarbonization targets.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107</w:t>
      </w:r>
    </w:p>
    <w:p>
      <w:pPr>
        <w:sectPr>
          <w:pgSz w:w="11900" w:h="16838" w:orient="portrait"/>
          <w:cols w:equalWidth="0" w:num="1">
            <w:col w:w="11240"/>
          </w:cols>
          <w:pgMar w:left="320" w:top="1097"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color w:val="0D64EF"/>
        </w:rPr>
        <w:t>EXECUTIVE PROFILES</w:t>
      </w:r>
    </w:p>
    <w:p>
      <w:pPr>
        <w:spacing w:after="0" w:line="48" w:lineRule="exact"/>
        <w:rPr>
          <w:sz w:val="20"/>
          <w:szCs w:val="20"/>
          <w:color w:val="auto"/>
        </w:rPr>
      </w:pPr>
    </w:p>
    <w:p>
      <w:pPr>
        <w:ind w:right="2660"/>
        <w:spacing w:after="0" w:line="337" w:lineRule="auto"/>
        <w:rPr>
          <w:sz w:val="20"/>
          <w:szCs w:val="20"/>
          <w:color w:val="auto"/>
        </w:rPr>
      </w:pPr>
      <w:r>
        <w:rPr>
          <w:rFonts w:ascii="Arial" w:cs="Arial" w:eastAsia="Arial" w:hAnsi="Arial"/>
          <w:sz w:val="16"/>
          <w:szCs w:val="16"/>
          <w:color w:val="auto"/>
        </w:rPr>
        <w:t>This next section profiles each of the named executives, including their key results in 2025, details of their compensation for 2025 and the two previous fiscal years, and their share ownership as at December 31, 2025.</w:t>
      </w:r>
    </w:p>
    <w:p>
      <w:pPr>
        <w:sectPr>
          <w:pgSz w:w="11900" w:h="16838" w:orient="portrait"/>
          <w:cols w:equalWidth="0" w:num="1">
            <w:col w:w="11240"/>
          </w:cols>
          <w:pgMar w:left="320" w:top="11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2025 key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-1583055</wp:posOffset>
            </wp:positionV>
            <wp:extent cx="1279525" cy="12795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18" w:lineRule="exact"/>
        <w:rPr>
          <w:sz w:val="20"/>
          <w:szCs w:val="20"/>
          <w:color w:val="auto"/>
        </w:rPr>
      </w:pPr>
    </w:p>
    <w:p>
      <w:pPr>
        <w:ind w:left="180" w:hanging="155"/>
        <w:spacing w:after="0" w:line="300" w:lineRule="auto"/>
        <w:tabs>
          <w:tab w:leader="none" w:pos="163"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Trended at 5-year lows in key safety metrics demonstrating uncompromising commitment to safety</w:t>
      </w:r>
    </w:p>
    <w:p>
      <w:pPr>
        <w:spacing w:after="0" w:line="52" w:lineRule="exact"/>
        <w:rPr>
          <w:rFonts w:ascii="Arial" w:cs="Arial" w:eastAsia="Arial" w:hAnsi="Arial"/>
          <w:sz w:val="14"/>
          <w:szCs w:val="14"/>
          <w:color w:val="auto"/>
        </w:rPr>
      </w:pPr>
    </w:p>
    <w:p>
      <w:pPr>
        <w:ind w:left="180" w:right="80" w:hanging="155"/>
        <w:spacing w:after="0" w:line="294" w:lineRule="auto"/>
        <w:tabs>
          <w:tab w:leader="none" w:pos="163" w:val="left"/>
        </w:tabs>
        <w:numPr>
          <w:ilvl w:val="0"/>
          <w:numId w:val="138"/>
        </w:numPr>
        <w:rPr>
          <w:rFonts w:ascii="Arial" w:cs="Arial" w:eastAsia="Arial" w:hAnsi="Arial"/>
          <w:sz w:val="14"/>
          <w:szCs w:val="14"/>
          <w:color w:val="auto"/>
        </w:rPr>
      </w:pPr>
      <w:r>
        <w:rPr>
          <w:rFonts w:ascii="Arial" w:cs="Arial" w:eastAsia="Arial" w:hAnsi="Arial"/>
          <w:sz w:val="14"/>
          <w:szCs w:val="14"/>
          <w:color w:val="auto"/>
        </w:rPr>
        <w:t>Placed $8.3 billion of assets into service on time and 15 per cent under budget, including Southeast Gateway in Mexico</w:t>
      </w:r>
    </w:p>
    <w:p>
      <w:pPr>
        <w:spacing w:after="0" w:line="57" w:lineRule="exact"/>
        <w:rPr>
          <w:rFonts w:ascii="Arial" w:cs="Arial" w:eastAsia="Arial" w:hAnsi="Arial"/>
          <w:sz w:val="14"/>
          <w:szCs w:val="14"/>
          <w:color w:val="auto"/>
        </w:rPr>
      </w:pPr>
    </w:p>
    <w:p>
      <w:pPr>
        <w:ind w:left="180" w:right="100" w:hanging="155"/>
        <w:spacing w:after="0" w:line="286" w:lineRule="auto"/>
        <w:tabs>
          <w:tab w:leader="none" w:pos="163" w:val="left"/>
        </w:tabs>
        <w:numPr>
          <w:ilvl w:val="0"/>
          <w:numId w:val="138"/>
        </w:numPr>
        <w:rPr>
          <w:rFonts w:ascii="Arial" w:cs="Arial" w:eastAsia="Arial" w:hAnsi="Arial"/>
          <w:sz w:val="14"/>
          <w:szCs w:val="14"/>
          <w:color w:val="auto"/>
        </w:rPr>
      </w:pPr>
      <w:r>
        <w:rPr>
          <w:rFonts w:ascii="Arial" w:cs="Arial" w:eastAsia="Arial" w:hAnsi="Arial"/>
          <w:sz w:val="14"/>
          <w:szCs w:val="14"/>
          <w:color w:val="auto"/>
        </w:rPr>
        <w:t>Sanctioned $5 billion of highly contracted, in-corridor growth projects with strong risk-adjusted returns showing our disciplined approach to capital allocation</w:t>
      </w:r>
    </w:p>
    <w:p>
      <w:pPr>
        <w:spacing w:after="0" w:line="61" w:lineRule="exact"/>
        <w:rPr>
          <w:rFonts w:ascii="Arial" w:cs="Arial" w:eastAsia="Arial" w:hAnsi="Arial"/>
          <w:sz w:val="14"/>
          <w:szCs w:val="14"/>
          <w:color w:val="auto"/>
        </w:rPr>
      </w:pPr>
    </w:p>
    <w:p>
      <w:pPr>
        <w:ind w:left="180" w:right="100" w:hanging="155"/>
        <w:spacing w:after="0" w:line="301" w:lineRule="auto"/>
        <w:tabs>
          <w:tab w:leader="none" w:pos="163" w:val="left"/>
        </w:tabs>
        <w:numPr>
          <w:ilvl w:val="0"/>
          <w:numId w:val="138"/>
        </w:numPr>
        <w:rPr>
          <w:rFonts w:ascii="Arial" w:cs="Arial" w:eastAsia="Arial" w:hAnsi="Arial"/>
          <w:sz w:val="14"/>
          <w:szCs w:val="14"/>
          <w:color w:val="auto"/>
        </w:rPr>
      </w:pPr>
      <w:r>
        <w:rPr>
          <w:rFonts w:ascii="Arial" w:cs="Arial" w:eastAsia="Arial" w:hAnsi="Arial"/>
          <w:sz w:val="14"/>
          <w:szCs w:val="14"/>
          <w:color w:val="auto"/>
        </w:rPr>
        <w:t>Set 15 flow records across our natural gas portfolio leading to record Comparable EBITDA</w:t>
      </w:r>
    </w:p>
    <w:p>
      <w:pPr>
        <w:spacing w:after="0" w:line="52" w:lineRule="exact"/>
        <w:rPr>
          <w:rFonts w:ascii="Arial" w:cs="Arial" w:eastAsia="Arial" w:hAnsi="Arial"/>
          <w:sz w:val="14"/>
          <w:szCs w:val="14"/>
          <w:color w:val="auto"/>
        </w:rPr>
      </w:pPr>
    </w:p>
    <w:p>
      <w:pPr>
        <w:ind w:left="180" w:right="60" w:hanging="155"/>
        <w:spacing w:after="0" w:line="294" w:lineRule="auto"/>
        <w:tabs>
          <w:tab w:leader="none" w:pos="163" w:val="left"/>
        </w:tabs>
        <w:numPr>
          <w:ilvl w:val="0"/>
          <w:numId w:val="138"/>
        </w:numPr>
        <w:rPr>
          <w:rFonts w:ascii="Arial" w:cs="Arial" w:eastAsia="Arial" w:hAnsi="Arial"/>
          <w:sz w:val="14"/>
          <w:szCs w:val="14"/>
          <w:color w:val="auto"/>
        </w:rPr>
      </w:pPr>
      <w:r>
        <w:rPr>
          <w:rFonts w:ascii="Arial" w:cs="Arial" w:eastAsia="Arial" w:hAnsi="Arial"/>
          <w:sz w:val="14"/>
          <w:szCs w:val="14"/>
          <w:color w:val="auto"/>
        </w:rPr>
        <w:t>Maximized the value of our assets with the approval of the Columbia Gas rate settlement and filing of Section 4 rate cases on ANR and GLGT</w:t>
      </w:r>
    </w:p>
    <w:p>
      <w:pPr>
        <w:spacing w:after="0" w:line="57" w:lineRule="exact"/>
        <w:rPr>
          <w:rFonts w:ascii="Arial" w:cs="Arial" w:eastAsia="Arial" w:hAnsi="Arial"/>
          <w:sz w:val="14"/>
          <w:szCs w:val="14"/>
          <w:color w:val="auto"/>
        </w:rPr>
      </w:pPr>
    </w:p>
    <w:p>
      <w:pPr>
        <w:ind w:left="180" w:right="120" w:hanging="155"/>
        <w:spacing w:after="0" w:line="286" w:lineRule="auto"/>
        <w:tabs>
          <w:tab w:leader="none" w:pos="163" w:val="left"/>
        </w:tabs>
        <w:numPr>
          <w:ilvl w:val="0"/>
          <w:numId w:val="138"/>
        </w:numPr>
        <w:rPr>
          <w:rFonts w:ascii="Arial" w:cs="Arial" w:eastAsia="Arial" w:hAnsi="Arial"/>
          <w:sz w:val="14"/>
          <w:szCs w:val="14"/>
          <w:color w:val="auto"/>
        </w:rPr>
      </w:pPr>
      <w:r>
        <w:rPr>
          <w:rFonts w:ascii="Arial" w:cs="Arial" w:eastAsia="Arial" w:hAnsi="Arial"/>
          <w:sz w:val="14"/>
          <w:szCs w:val="14"/>
          <w:color w:val="auto"/>
        </w:rPr>
        <w:t>Supported the first Canadian LNG shipment to global markets - made possible by Coastal GasLink pipeline, which entered service in November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right="200"/>
        <w:spacing w:after="0" w:line="301" w:lineRule="auto"/>
        <w:rPr>
          <w:sz w:val="20"/>
          <w:szCs w:val="20"/>
          <w:color w:val="auto"/>
        </w:rPr>
      </w:pPr>
      <w:r>
        <w:rPr>
          <w:rFonts w:ascii="Arial" w:cs="Arial" w:eastAsia="Arial" w:hAnsi="Arial"/>
          <w:sz w:val="14"/>
          <w:szCs w:val="14"/>
          <w:i w:val="1"/>
          <w:iCs w:val="1"/>
          <w:color w:val="auto"/>
        </w:rPr>
        <w:t xml:space="preserve">Short-term incentive </w:t>
      </w:r>
      <w:r>
        <w:rPr>
          <w:rFonts w:ascii="Arial" w:cs="Arial" w:eastAsia="Arial" w:hAnsi="Arial"/>
          <w:sz w:val="14"/>
          <w:szCs w:val="14"/>
          <w:color w:val="auto"/>
        </w:rPr>
        <w:t>is attributed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noted financial year, and is paid by March 15 of the following year.</w:t>
      </w:r>
    </w:p>
    <w:p>
      <w:pPr>
        <w:spacing w:after="0" w:line="12" w:lineRule="exact"/>
        <w:rPr>
          <w:sz w:val="20"/>
          <w:szCs w:val="20"/>
          <w:color w:val="auto"/>
        </w:rPr>
      </w:pPr>
    </w:p>
    <w:p>
      <w:pPr>
        <w:ind w:left="20" w:right="180"/>
        <w:spacing w:after="0" w:line="294" w:lineRule="auto"/>
        <w:rPr>
          <w:sz w:val="20"/>
          <w:szCs w:val="20"/>
          <w:color w:val="auto"/>
        </w:rPr>
      </w:pPr>
      <w:r>
        <w:rPr>
          <w:rFonts w:ascii="Arial" w:cs="Arial" w:eastAsia="Arial" w:hAnsi="Arial"/>
          <w:sz w:val="14"/>
          <w:szCs w:val="14"/>
          <w:i w:val="1"/>
          <w:iCs w:val="1"/>
          <w:color w:val="auto"/>
        </w:rPr>
        <w:t xml:space="preserve">Share ownership </w:t>
      </w:r>
      <w:r>
        <w:rPr>
          <w:rFonts w:ascii="Arial" w:cs="Arial" w:eastAsia="Arial" w:hAnsi="Arial"/>
          <w:sz w:val="14"/>
          <w:szCs w:val="14"/>
          <w:color w:val="auto"/>
        </w:rPr>
        <w:t>is based on the 5-day</w:t>
      </w:r>
      <w:r>
        <w:rPr>
          <w:rFonts w:ascii="Arial" w:cs="Arial" w:eastAsia="Arial" w:hAnsi="Arial"/>
          <w:sz w:val="14"/>
          <w:szCs w:val="14"/>
          <w:i w:val="1"/>
          <w:iCs w:val="1"/>
          <w:color w:val="auto"/>
        </w:rPr>
        <w:t xml:space="preserve"> </w:t>
      </w:r>
      <w:r>
        <w:rPr>
          <w:rFonts w:ascii="Arial" w:cs="Arial" w:eastAsia="Arial" w:hAnsi="Arial"/>
          <w:sz w:val="14"/>
          <w:szCs w:val="14"/>
          <w:color w:val="auto"/>
        </w:rPr>
        <w:t>volume-weighted average closing price on the TSX of $76.52 for TC Energy shares at December 31, 2025.</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29"/>
          <w:szCs w:val="29"/>
          <w:color w:val="0D64EF"/>
        </w:rPr>
        <w:t>François Poirier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-190500</wp:posOffset>
            </wp:positionV>
            <wp:extent cx="8255" cy="6996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699643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PRESIDENT AND CHIEF EXECUTIVE OFFICER</w:t>
      </w:r>
    </w:p>
    <w:p>
      <w:pPr>
        <w:spacing w:after="0" w:line="367" w:lineRule="exact"/>
        <w:rPr>
          <w:sz w:val="20"/>
          <w:szCs w:val="20"/>
          <w:color w:val="auto"/>
        </w:rPr>
      </w:pPr>
    </w:p>
    <w:p>
      <w:pPr>
        <w:jc w:val="both"/>
        <w:ind w:right="140"/>
        <w:spacing w:after="0" w:line="326" w:lineRule="auto"/>
        <w:rPr>
          <w:sz w:val="20"/>
          <w:szCs w:val="20"/>
          <w:color w:val="auto"/>
        </w:rPr>
      </w:pPr>
      <w:r>
        <w:rPr>
          <w:rFonts w:ascii="Arial" w:cs="Arial" w:eastAsia="Arial" w:hAnsi="Arial"/>
          <w:sz w:val="16"/>
          <w:szCs w:val="16"/>
          <w:color w:val="auto"/>
        </w:rPr>
        <w:t>Mr. Poirier is responsible for our overall leadership and vision in developing with the Board our strategic direction, values and business plans. He is accountable for driving growth and profitability to ensure long-term success. Mr. Poirier was appointed President and Chief Executive Officer on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2133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35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40" w:hanging="131"/>
        <w:spacing w:after="0"/>
        <w:tabs>
          <w:tab w:leader="none" w:pos="1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Mr. Poirier’s short-term incentive award was entirely based on corporate performance (100 per cent).</w:t>
      </w:r>
    </w:p>
    <w:p>
      <w:pPr>
        <w:spacing w:after="0" w:line="71" w:lineRule="exact"/>
        <w:rPr>
          <w:rFonts w:ascii="Arial" w:cs="Arial" w:eastAsia="Arial" w:hAnsi="Arial"/>
          <w:sz w:val="16"/>
          <w:szCs w:val="16"/>
          <w:color w:val="auto"/>
        </w:rPr>
      </w:pPr>
    </w:p>
    <w:p>
      <w:pPr>
        <w:ind w:left="160" w:right="560" w:hanging="151"/>
        <w:spacing w:after="0" w:line="289" w:lineRule="auto"/>
        <w:tabs>
          <w:tab w:leader="none" w:pos="13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short-term incentive award for 2025 performance was based on Mr. Poirier’s target of 140 per cent of base salary.</w:t>
      </w:r>
    </w:p>
    <w:p>
      <w:pPr>
        <w:ind w:left="160" w:right="100" w:hanging="151"/>
        <w:spacing w:after="0" w:line="319" w:lineRule="auto"/>
        <w:tabs>
          <w:tab w:leader="none" w:pos="13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Mr. Poirier’s 2025 short-term and long-term incentive awards as a percentage of 2025 base salary were 209 per cent and 938 per cent, respectively.</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3320" w:type="dxa"/>
            <w:vAlign w:val="bottom"/>
            <w:tcBorders>
              <w:top w:val="single" w:sz="8" w:color="0D64EF"/>
              <w:bottom w:val="single" w:sz="8" w:color="D1D0CF"/>
            </w:tcBorders>
            <w:shd w:val="clear" w:color="auto" w:fill="D1D0CF"/>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color w:val="auto"/>
              </w:rPr>
              <w:t>(as at December 31)</w:t>
            </w:r>
            <w:r>
              <w:rPr>
                <w:rFonts w:ascii="Arial" w:cs="Arial" w:eastAsia="Arial" w:hAnsi="Arial"/>
                <w:sz w:val="9"/>
                <w:szCs w:val="9"/>
                <w:color w:val="auto"/>
              </w:rPr>
              <w:t>1</w:t>
            </w:r>
          </w:p>
        </w:tc>
        <w:tc>
          <w:tcPr>
            <w:tcW w:w="2120" w:type="dxa"/>
            <w:vAlign w:val="bottom"/>
            <w:tcBorders>
              <w:top w:val="single" w:sz="8" w:color="0D64EF"/>
              <w:bottom w:val="single" w:sz="8" w:color="D1D0CF"/>
            </w:tcBorders>
            <w:shd w:val="clear" w:color="auto" w:fill="D1D0CF"/>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580" w:type="dxa"/>
            <w:vAlign w:val="bottom"/>
            <w:tcBorders>
              <w:top w:val="single" w:sz="8" w:color="0D64EF"/>
              <w:bottom w:val="single" w:sz="8" w:color="D1D0CF"/>
            </w:tcBorders>
            <w:shd w:val="clear" w:color="auto" w:fill="D1D0CF"/>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180" w:type="dxa"/>
            <w:vAlign w:val="bottom"/>
            <w:tcBorders>
              <w:top w:val="single" w:sz="8" w:color="0D64EF"/>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3320" w:type="dxa"/>
            <w:vAlign w:val="bottom"/>
            <w:tcBorders>
              <w:top w:val="single" w:sz="8" w:color="0D64EF"/>
            </w:tcBorders>
          </w:tcPr>
          <w:p>
            <w:pPr>
              <w:spacing w:after="0"/>
              <w:rPr>
                <w:sz w:val="20"/>
                <w:szCs w:val="20"/>
                <w:color w:val="auto"/>
              </w:rPr>
            </w:pPr>
            <w:r>
              <w:rPr>
                <w:rFonts w:ascii="Arial" w:cs="Arial" w:eastAsia="Arial" w:hAnsi="Arial"/>
                <w:sz w:val="14"/>
                <w:szCs w:val="14"/>
                <w:b w:val="1"/>
                <w:bCs w:val="1"/>
                <w:color w:val="auto"/>
              </w:rPr>
              <w:t>Fixed</w:t>
            </w:r>
          </w:p>
        </w:tc>
        <w:tc>
          <w:tcPr>
            <w:tcW w:w="2120" w:type="dxa"/>
            <w:vAlign w:val="bottom"/>
            <w:tcBorders>
              <w:top w:val="single" w:sz="8" w:color="0D64EF"/>
            </w:tcBorders>
          </w:tcPr>
          <w:p>
            <w:pPr>
              <w:spacing w:after="0"/>
              <w:rPr>
                <w:sz w:val="16"/>
                <w:szCs w:val="16"/>
                <w:color w:val="auto"/>
              </w:rPr>
            </w:pPr>
          </w:p>
        </w:tc>
        <w:tc>
          <w:tcPr>
            <w:tcW w:w="1580" w:type="dxa"/>
            <w:vAlign w:val="bottom"/>
            <w:tcBorders>
              <w:top w:val="single" w:sz="8" w:color="0D64EF"/>
            </w:tcBorders>
          </w:tcPr>
          <w:p>
            <w:pPr>
              <w:spacing w:after="0"/>
              <w:rPr>
                <w:sz w:val="16"/>
                <w:szCs w:val="16"/>
                <w:color w:val="auto"/>
              </w:rPr>
            </w:pPr>
          </w:p>
        </w:tc>
        <w:tc>
          <w:tcPr>
            <w:tcW w:w="1180" w:type="dxa"/>
            <w:vAlign w:val="bottom"/>
            <w:tcBorders>
              <w:top w:val="single" w:sz="8" w:color="0D64EF"/>
            </w:tcBorders>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320" w:type="dxa"/>
            <w:vAlign w:val="bottom"/>
            <w:tcBorders>
              <w:bottom w:val="single" w:sz="8" w:color="B2B2B2"/>
            </w:tcBorders>
          </w:tcPr>
          <w:p>
            <w:pPr>
              <w:spacing w:after="0"/>
              <w:rPr>
                <w:sz w:val="4"/>
                <w:szCs w:val="4"/>
                <w:color w:val="auto"/>
              </w:rPr>
            </w:pPr>
          </w:p>
        </w:tc>
        <w:tc>
          <w:tcPr>
            <w:tcW w:w="2120" w:type="dxa"/>
            <w:vAlign w:val="bottom"/>
            <w:tcBorders>
              <w:bottom w:val="single" w:sz="8" w:color="B2B2B2"/>
            </w:tcBorders>
          </w:tcPr>
          <w:p>
            <w:pPr>
              <w:spacing w:after="0"/>
              <w:rPr>
                <w:sz w:val="4"/>
                <w:szCs w:val="4"/>
                <w:color w:val="auto"/>
              </w:rPr>
            </w:pPr>
          </w:p>
        </w:tc>
        <w:tc>
          <w:tcPr>
            <w:tcW w:w="1580" w:type="dxa"/>
            <w:vAlign w:val="bottom"/>
            <w:tcBorders>
              <w:bottom w:val="single" w:sz="8" w:color="B2B2B2"/>
            </w:tcBorders>
          </w:tcPr>
          <w:p>
            <w:pPr>
              <w:spacing w:after="0"/>
              <w:rPr>
                <w:sz w:val="4"/>
                <w:szCs w:val="4"/>
                <w:color w:val="auto"/>
              </w:rPr>
            </w:pPr>
          </w:p>
        </w:tc>
        <w:tc>
          <w:tcPr>
            <w:tcW w:w="118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20"/>
                <w:szCs w:val="20"/>
                <w:color w:val="auto"/>
              </w:rPr>
            </w:pPr>
            <w:r>
              <w:rPr>
                <w:rFonts w:ascii="Arial" w:cs="Arial" w:eastAsia="Arial" w:hAnsi="Arial"/>
                <w:sz w:val="14"/>
                <w:szCs w:val="14"/>
                <w:color w:val="auto"/>
              </w:rPr>
              <w:t>Base salary</w:t>
            </w:r>
          </w:p>
        </w:tc>
        <w:tc>
          <w:tcPr>
            <w:tcW w:w="2120" w:type="dxa"/>
            <w:vAlign w:val="bottom"/>
            <w:vMerge w:val="restart"/>
          </w:tcPr>
          <w:p>
            <w:pPr>
              <w:jc w:val="right"/>
              <w:ind w:right="328"/>
              <w:spacing w:after="0"/>
              <w:rPr>
                <w:sz w:val="20"/>
                <w:szCs w:val="20"/>
                <w:color w:val="auto"/>
              </w:rPr>
            </w:pPr>
            <w:r>
              <w:rPr>
                <w:rFonts w:ascii="Arial" w:cs="Arial" w:eastAsia="Arial" w:hAnsi="Arial"/>
                <w:sz w:val="14"/>
                <w:szCs w:val="14"/>
                <w:color w:val="auto"/>
              </w:rPr>
              <w:t>$1,242,000</w:t>
            </w:r>
          </w:p>
        </w:tc>
        <w:tc>
          <w:tcPr>
            <w:tcW w:w="1580" w:type="dxa"/>
            <w:vAlign w:val="bottom"/>
            <w:vMerge w:val="restart"/>
          </w:tcPr>
          <w:p>
            <w:pPr>
              <w:jc w:val="right"/>
              <w:ind w:right="288"/>
              <w:spacing w:after="0"/>
              <w:rPr>
                <w:sz w:val="20"/>
                <w:szCs w:val="20"/>
                <w:color w:val="auto"/>
              </w:rPr>
            </w:pPr>
            <w:r>
              <w:rPr>
                <w:rFonts w:ascii="Arial" w:cs="Arial" w:eastAsia="Arial" w:hAnsi="Arial"/>
                <w:sz w:val="14"/>
                <w:szCs w:val="14"/>
                <w:color w:val="auto"/>
              </w:rPr>
              <w:t>$1,200,000</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58"/>
        </w:trPr>
        <w:tc>
          <w:tcPr>
            <w:tcW w:w="3320" w:type="dxa"/>
            <w:vAlign w:val="bottom"/>
            <w:tcBorders>
              <w:bottom w:val="single" w:sz="8" w:color="B2B2B2"/>
            </w:tcBorders>
          </w:tcPr>
          <w:p>
            <w:pPr>
              <w:spacing w:after="0"/>
              <w:rPr>
                <w:sz w:val="5"/>
                <w:szCs w:val="5"/>
                <w:color w:val="auto"/>
              </w:rPr>
            </w:pPr>
          </w:p>
        </w:tc>
        <w:tc>
          <w:tcPr>
            <w:tcW w:w="2120" w:type="dxa"/>
            <w:vAlign w:val="bottom"/>
            <w:tcBorders>
              <w:bottom w:val="single" w:sz="8" w:color="B2B2B2"/>
            </w:tcBorders>
            <w:vMerge w:val="continue"/>
          </w:tcPr>
          <w:p>
            <w:pPr>
              <w:spacing w:after="0"/>
              <w:rPr>
                <w:sz w:val="5"/>
                <w:szCs w:val="5"/>
                <w:color w:val="auto"/>
              </w:rPr>
            </w:pPr>
          </w:p>
        </w:tc>
        <w:tc>
          <w:tcPr>
            <w:tcW w:w="1580" w:type="dxa"/>
            <w:vAlign w:val="bottom"/>
            <w:tcBorders>
              <w:bottom w:val="single" w:sz="8" w:color="B2B2B2"/>
            </w:tcBorders>
            <w:vMerge w:val="continue"/>
          </w:tcPr>
          <w:p>
            <w:pPr>
              <w:spacing w:after="0"/>
              <w:rPr>
                <w:sz w:val="5"/>
                <w:szCs w:val="5"/>
                <w:color w:val="auto"/>
              </w:rPr>
            </w:pPr>
          </w:p>
        </w:tc>
        <w:tc>
          <w:tcPr>
            <w:tcW w:w="1180" w:type="dxa"/>
            <w:vAlign w:val="bottom"/>
            <w:tcBorders>
              <w:bottom w:val="single" w:sz="8" w:color="B2B2B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3320" w:type="dxa"/>
            <w:vAlign w:val="bottom"/>
          </w:tcPr>
          <w:p>
            <w:pPr>
              <w:spacing w:after="0"/>
              <w:rPr>
                <w:sz w:val="20"/>
                <w:szCs w:val="20"/>
                <w:color w:val="auto"/>
              </w:rPr>
            </w:pPr>
            <w:r>
              <w:rPr>
                <w:rFonts w:ascii="Arial" w:cs="Arial" w:eastAsia="Arial" w:hAnsi="Arial"/>
                <w:sz w:val="14"/>
                <w:szCs w:val="14"/>
                <w:b w:val="1"/>
                <w:bCs w:val="1"/>
                <w:color w:val="auto"/>
              </w:rPr>
              <w:t>Variable</w:t>
            </w: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3320" w:type="dxa"/>
            <w:vAlign w:val="bottom"/>
            <w:tcBorders>
              <w:bottom w:val="single" w:sz="8" w:color="B2B2B2"/>
            </w:tcBorders>
          </w:tcPr>
          <w:p>
            <w:pPr>
              <w:spacing w:after="0"/>
              <w:rPr>
                <w:sz w:val="4"/>
                <w:szCs w:val="4"/>
                <w:color w:val="auto"/>
              </w:rPr>
            </w:pPr>
          </w:p>
        </w:tc>
        <w:tc>
          <w:tcPr>
            <w:tcW w:w="2120" w:type="dxa"/>
            <w:vAlign w:val="bottom"/>
            <w:tcBorders>
              <w:bottom w:val="single" w:sz="8" w:color="B2B2B2"/>
            </w:tcBorders>
          </w:tcPr>
          <w:p>
            <w:pPr>
              <w:spacing w:after="0"/>
              <w:rPr>
                <w:sz w:val="4"/>
                <w:szCs w:val="4"/>
                <w:color w:val="auto"/>
              </w:rPr>
            </w:pPr>
          </w:p>
        </w:tc>
        <w:tc>
          <w:tcPr>
            <w:tcW w:w="1580" w:type="dxa"/>
            <w:vAlign w:val="bottom"/>
            <w:tcBorders>
              <w:bottom w:val="single" w:sz="8" w:color="B2B2B2"/>
            </w:tcBorders>
          </w:tcPr>
          <w:p>
            <w:pPr>
              <w:spacing w:after="0"/>
              <w:rPr>
                <w:sz w:val="4"/>
                <w:szCs w:val="4"/>
                <w:color w:val="auto"/>
              </w:rPr>
            </w:pPr>
          </w:p>
        </w:tc>
        <w:tc>
          <w:tcPr>
            <w:tcW w:w="118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20"/>
                <w:szCs w:val="20"/>
                <w:color w:val="auto"/>
              </w:rPr>
            </w:pPr>
            <w:r>
              <w:rPr>
                <w:rFonts w:ascii="Arial" w:cs="Arial" w:eastAsia="Arial" w:hAnsi="Arial"/>
                <w:sz w:val="14"/>
                <w:szCs w:val="14"/>
                <w:color w:val="auto"/>
              </w:rPr>
              <w:t>Short-term incentive</w:t>
            </w:r>
          </w:p>
        </w:tc>
        <w:tc>
          <w:tcPr>
            <w:tcW w:w="2120" w:type="dxa"/>
            <w:vAlign w:val="bottom"/>
            <w:vMerge w:val="restart"/>
          </w:tcPr>
          <w:p>
            <w:pPr>
              <w:jc w:val="right"/>
              <w:ind w:right="328"/>
              <w:spacing w:after="0"/>
              <w:rPr>
                <w:sz w:val="20"/>
                <w:szCs w:val="20"/>
                <w:color w:val="auto"/>
              </w:rPr>
            </w:pPr>
            <w:r>
              <w:rPr>
                <w:rFonts w:ascii="Arial" w:cs="Arial" w:eastAsia="Arial" w:hAnsi="Arial"/>
                <w:sz w:val="14"/>
                <w:szCs w:val="14"/>
                <w:color w:val="auto"/>
              </w:rPr>
              <w:t>2,593,944</w:t>
            </w:r>
          </w:p>
        </w:tc>
        <w:tc>
          <w:tcPr>
            <w:tcW w:w="1580" w:type="dxa"/>
            <w:vAlign w:val="bottom"/>
            <w:vMerge w:val="restart"/>
          </w:tcPr>
          <w:p>
            <w:pPr>
              <w:jc w:val="right"/>
              <w:ind w:right="288"/>
              <w:spacing w:after="0"/>
              <w:rPr>
                <w:sz w:val="20"/>
                <w:szCs w:val="20"/>
                <w:color w:val="auto"/>
              </w:rPr>
            </w:pPr>
            <w:r>
              <w:rPr>
                <w:rFonts w:ascii="Arial" w:cs="Arial" w:eastAsia="Arial" w:hAnsi="Arial"/>
                <w:sz w:val="14"/>
                <w:szCs w:val="14"/>
                <w:color w:val="auto"/>
              </w:rPr>
              <w:t>3,024,000</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2,154,581</w:t>
            </w:r>
          </w:p>
        </w:tc>
        <w:tc>
          <w:tcPr>
            <w:tcW w:w="0" w:type="dxa"/>
            <w:vAlign w:val="bottom"/>
          </w:tcPr>
          <w:p>
            <w:pPr>
              <w:spacing w:after="0"/>
              <w:rPr>
                <w:sz w:val="1"/>
                <w:szCs w:val="1"/>
                <w:color w:val="auto"/>
              </w:rPr>
            </w:pPr>
          </w:p>
        </w:tc>
      </w:tr>
      <w:tr>
        <w:trPr>
          <w:trHeight w:val="58"/>
        </w:trPr>
        <w:tc>
          <w:tcPr>
            <w:tcW w:w="3320" w:type="dxa"/>
            <w:vAlign w:val="bottom"/>
            <w:tcBorders>
              <w:bottom w:val="single" w:sz="8" w:color="B2B2B2"/>
            </w:tcBorders>
          </w:tcPr>
          <w:p>
            <w:pPr>
              <w:spacing w:after="0"/>
              <w:rPr>
                <w:sz w:val="5"/>
                <w:szCs w:val="5"/>
                <w:color w:val="auto"/>
              </w:rPr>
            </w:pPr>
          </w:p>
        </w:tc>
        <w:tc>
          <w:tcPr>
            <w:tcW w:w="2120" w:type="dxa"/>
            <w:vAlign w:val="bottom"/>
            <w:tcBorders>
              <w:bottom w:val="single" w:sz="8" w:color="B2B2B2"/>
            </w:tcBorders>
            <w:vMerge w:val="continue"/>
          </w:tcPr>
          <w:p>
            <w:pPr>
              <w:spacing w:after="0"/>
              <w:rPr>
                <w:sz w:val="5"/>
                <w:szCs w:val="5"/>
                <w:color w:val="auto"/>
              </w:rPr>
            </w:pPr>
          </w:p>
        </w:tc>
        <w:tc>
          <w:tcPr>
            <w:tcW w:w="1580" w:type="dxa"/>
            <w:vAlign w:val="bottom"/>
            <w:tcBorders>
              <w:bottom w:val="single" w:sz="8" w:color="B2B2B2"/>
            </w:tcBorders>
            <w:vMerge w:val="continue"/>
          </w:tcPr>
          <w:p>
            <w:pPr>
              <w:spacing w:after="0"/>
              <w:rPr>
                <w:sz w:val="5"/>
                <w:szCs w:val="5"/>
                <w:color w:val="auto"/>
              </w:rPr>
            </w:pPr>
          </w:p>
        </w:tc>
        <w:tc>
          <w:tcPr>
            <w:tcW w:w="1180" w:type="dxa"/>
            <w:vAlign w:val="bottom"/>
            <w:tcBorders>
              <w:bottom w:val="single" w:sz="8" w:color="B2B2B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20" w:type="dxa"/>
            <w:vAlign w:val="bottom"/>
          </w:tcPr>
          <w:p>
            <w:pPr>
              <w:spacing w:after="0"/>
              <w:rPr>
                <w:sz w:val="20"/>
                <w:szCs w:val="20"/>
                <w:color w:val="auto"/>
              </w:rPr>
            </w:pPr>
            <w:r>
              <w:rPr>
                <w:rFonts w:ascii="Arial" w:cs="Arial" w:eastAsia="Arial" w:hAnsi="Arial"/>
                <w:sz w:val="14"/>
                <w:szCs w:val="14"/>
                <w:color w:val="auto"/>
              </w:rPr>
              <w:t>Long-term incentive</w:t>
            </w:r>
          </w:p>
        </w:tc>
        <w:tc>
          <w:tcPr>
            <w:tcW w:w="2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320" w:type="dxa"/>
            <w:vAlign w:val="bottom"/>
            <w:tcBorders>
              <w:bottom w:val="single" w:sz="8" w:color="B2B2B2"/>
            </w:tcBorders>
          </w:tcPr>
          <w:p>
            <w:pPr>
              <w:spacing w:after="0"/>
              <w:rPr>
                <w:sz w:val="5"/>
                <w:szCs w:val="5"/>
                <w:color w:val="auto"/>
              </w:rPr>
            </w:pPr>
          </w:p>
        </w:tc>
        <w:tc>
          <w:tcPr>
            <w:tcW w:w="2120" w:type="dxa"/>
            <w:vAlign w:val="bottom"/>
            <w:tcBorders>
              <w:bottom w:val="single" w:sz="8" w:color="B2B2B2"/>
            </w:tcBorders>
          </w:tcPr>
          <w:p>
            <w:pPr>
              <w:spacing w:after="0"/>
              <w:rPr>
                <w:sz w:val="5"/>
                <w:szCs w:val="5"/>
                <w:color w:val="auto"/>
              </w:rPr>
            </w:pPr>
          </w:p>
        </w:tc>
        <w:tc>
          <w:tcPr>
            <w:tcW w:w="1580" w:type="dxa"/>
            <w:vAlign w:val="bottom"/>
            <w:tcBorders>
              <w:bottom w:val="single" w:sz="8" w:color="B2B2B2"/>
            </w:tcBorders>
          </w:tcPr>
          <w:p>
            <w:pPr>
              <w:spacing w:after="0"/>
              <w:rPr>
                <w:sz w:val="5"/>
                <w:szCs w:val="5"/>
                <w:color w:val="auto"/>
              </w:rPr>
            </w:pPr>
          </w:p>
        </w:tc>
        <w:tc>
          <w:tcPr>
            <w:tcW w:w="118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160"/>
              <w:spacing w:after="0"/>
              <w:rPr>
                <w:sz w:val="20"/>
                <w:szCs w:val="20"/>
                <w:color w:val="auto"/>
              </w:rPr>
            </w:pPr>
            <w:r>
              <w:rPr>
                <w:rFonts w:ascii="Arial" w:cs="Arial" w:eastAsia="Arial" w:hAnsi="Arial"/>
                <w:sz w:val="14"/>
                <w:szCs w:val="14"/>
                <w:color w:val="auto"/>
              </w:rPr>
              <w:t>PSUs</w:t>
            </w:r>
          </w:p>
        </w:tc>
        <w:tc>
          <w:tcPr>
            <w:tcW w:w="2120" w:type="dxa"/>
            <w:vAlign w:val="bottom"/>
            <w:vMerge w:val="restart"/>
          </w:tcPr>
          <w:p>
            <w:pPr>
              <w:jc w:val="right"/>
              <w:ind w:right="328"/>
              <w:spacing w:after="0"/>
              <w:rPr>
                <w:sz w:val="20"/>
                <w:szCs w:val="20"/>
                <w:color w:val="auto"/>
              </w:rPr>
            </w:pPr>
            <w:r>
              <w:rPr>
                <w:rFonts w:ascii="Arial" w:cs="Arial" w:eastAsia="Arial" w:hAnsi="Arial"/>
                <w:sz w:val="14"/>
                <w:szCs w:val="14"/>
                <w:color w:val="auto"/>
              </w:rPr>
              <w:t>8,150,940</w:t>
            </w:r>
          </w:p>
        </w:tc>
        <w:tc>
          <w:tcPr>
            <w:tcW w:w="1580" w:type="dxa"/>
            <w:vAlign w:val="bottom"/>
            <w:vMerge w:val="restart"/>
          </w:tcPr>
          <w:p>
            <w:pPr>
              <w:jc w:val="right"/>
              <w:ind w:right="288"/>
              <w:spacing w:after="0"/>
              <w:rPr>
                <w:sz w:val="20"/>
                <w:szCs w:val="20"/>
                <w:color w:val="auto"/>
              </w:rPr>
            </w:pPr>
            <w:r>
              <w:rPr>
                <w:rFonts w:ascii="Arial" w:cs="Arial" w:eastAsia="Arial" w:hAnsi="Arial"/>
                <w:sz w:val="14"/>
                <w:szCs w:val="14"/>
                <w:color w:val="auto"/>
              </w:rPr>
              <w:t>7,350,000</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5,550,000</w:t>
            </w:r>
          </w:p>
        </w:tc>
        <w:tc>
          <w:tcPr>
            <w:tcW w:w="0" w:type="dxa"/>
            <w:vAlign w:val="bottom"/>
          </w:tcPr>
          <w:p>
            <w:pPr>
              <w:spacing w:after="0"/>
              <w:rPr>
                <w:sz w:val="1"/>
                <w:szCs w:val="1"/>
                <w:color w:val="auto"/>
              </w:rPr>
            </w:pPr>
          </w:p>
        </w:tc>
      </w:tr>
      <w:tr>
        <w:trPr>
          <w:trHeight w:val="58"/>
        </w:trPr>
        <w:tc>
          <w:tcPr>
            <w:tcW w:w="3320" w:type="dxa"/>
            <w:vAlign w:val="bottom"/>
            <w:tcBorders>
              <w:bottom w:val="single" w:sz="8" w:color="B2B2B2"/>
            </w:tcBorders>
          </w:tcPr>
          <w:p>
            <w:pPr>
              <w:spacing w:after="0"/>
              <w:rPr>
                <w:sz w:val="5"/>
                <w:szCs w:val="5"/>
                <w:color w:val="auto"/>
              </w:rPr>
            </w:pPr>
          </w:p>
        </w:tc>
        <w:tc>
          <w:tcPr>
            <w:tcW w:w="2120" w:type="dxa"/>
            <w:vAlign w:val="bottom"/>
            <w:tcBorders>
              <w:bottom w:val="single" w:sz="8" w:color="B2B2B2"/>
            </w:tcBorders>
            <w:vMerge w:val="continue"/>
          </w:tcPr>
          <w:p>
            <w:pPr>
              <w:spacing w:after="0"/>
              <w:rPr>
                <w:sz w:val="5"/>
                <w:szCs w:val="5"/>
                <w:color w:val="auto"/>
              </w:rPr>
            </w:pPr>
          </w:p>
        </w:tc>
        <w:tc>
          <w:tcPr>
            <w:tcW w:w="1580" w:type="dxa"/>
            <w:vAlign w:val="bottom"/>
            <w:tcBorders>
              <w:bottom w:val="single" w:sz="8" w:color="B2B2B2"/>
            </w:tcBorders>
            <w:vMerge w:val="continue"/>
          </w:tcPr>
          <w:p>
            <w:pPr>
              <w:spacing w:after="0"/>
              <w:rPr>
                <w:sz w:val="5"/>
                <w:szCs w:val="5"/>
                <w:color w:val="auto"/>
              </w:rPr>
            </w:pPr>
          </w:p>
        </w:tc>
        <w:tc>
          <w:tcPr>
            <w:tcW w:w="1180" w:type="dxa"/>
            <w:vAlign w:val="bottom"/>
            <w:tcBorders>
              <w:bottom w:val="single" w:sz="8" w:color="B2B2B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320" w:type="dxa"/>
            <w:vAlign w:val="bottom"/>
            <w:tcBorders>
              <w:bottom w:val="single" w:sz="8" w:color="B2B2B2"/>
            </w:tcBorders>
          </w:tcPr>
          <w:p>
            <w:pPr>
              <w:ind w:left="160"/>
              <w:spacing w:after="0"/>
              <w:rPr>
                <w:sz w:val="20"/>
                <w:szCs w:val="20"/>
                <w:color w:val="auto"/>
              </w:rPr>
            </w:pPr>
            <w:r>
              <w:rPr>
                <w:rFonts w:ascii="Arial" w:cs="Arial" w:eastAsia="Arial" w:hAnsi="Arial"/>
                <w:sz w:val="14"/>
                <w:szCs w:val="14"/>
                <w:color w:val="auto"/>
              </w:rPr>
              <w:t>RSUs</w:t>
            </w:r>
          </w:p>
        </w:tc>
        <w:tc>
          <w:tcPr>
            <w:tcW w:w="212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3,493,260</w:t>
            </w:r>
          </w:p>
        </w:tc>
        <w:tc>
          <w:tcPr>
            <w:tcW w:w="1580" w:type="dxa"/>
            <w:vAlign w:val="bottom"/>
            <w:tcBorders>
              <w:bottom w:val="single" w:sz="8" w:color="B2B2B2"/>
            </w:tcBorders>
          </w:tcPr>
          <w:p>
            <w:pPr>
              <w:jc w:val="right"/>
              <w:ind w:right="288"/>
              <w:spacing w:after="0"/>
              <w:rPr>
                <w:sz w:val="20"/>
                <w:szCs w:val="20"/>
                <w:color w:val="auto"/>
              </w:rPr>
            </w:pPr>
            <w:r>
              <w:rPr>
                <w:rFonts w:ascii="Arial" w:cs="Arial" w:eastAsia="Arial" w:hAnsi="Arial"/>
                <w:sz w:val="14"/>
                <w:szCs w:val="14"/>
                <w:color w:val="auto"/>
              </w:rPr>
              <w:t>3,150,000</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320" w:type="dxa"/>
            <w:vAlign w:val="bottom"/>
          </w:tcPr>
          <w:p>
            <w:pPr>
              <w:ind w:left="160"/>
              <w:spacing w:after="0"/>
              <w:rPr>
                <w:sz w:val="20"/>
                <w:szCs w:val="20"/>
                <w:color w:val="auto"/>
              </w:rPr>
            </w:pPr>
            <w:r>
              <w:rPr>
                <w:rFonts w:ascii="Arial" w:cs="Arial" w:eastAsia="Arial" w:hAnsi="Arial"/>
                <w:sz w:val="14"/>
                <w:szCs w:val="14"/>
                <w:color w:val="auto"/>
              </w:rPr>
              <w:t>Stock options</w:t>
            </w:r>
          </w:p>
        </w:tc>
        <w:tc>
          <w:tcPr>
            <w:tcW w:w="212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15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3,700,000</w:t>
            </w:r>
          </w:p>
        </w:tc>
        <w:tc>
          <w:tcPr>
            <w:tcW w:w="0" w:type="dxa"/>
            <w:vAlign w:val="bottom"/>
          </w:tcPr>
          <w:p>
            <w:pPr>
              <w:spacing w:after="0"/>
              <w:rPr>
                <w:sz w:val="1"/>
                <w:szCs w:val="1"/>
                <w:color w:val="auto"/>
              </w:rPr>
            </w:pPr>
          </w:p>
        </w:tc>
      </w:tr>
      <w:tr>
        <w:trPr>
          <w:trHeight w:val="58"/>
        </w:trPr>
        <w:tc>
          <w:tcPr>
            <w:tcW w:w="3320" w:type="dxa"/>
            <w:vAlign w:val="bottom"/>
            <w:tcBorders>
              <w:bottom w:val="single" w:sz="8" w:color="B2B2B2"/>
            </w:tcBorders>
          </w:tcPr>
          <w:p>
            <w:pPr>
              <w:spacing w:after="0"/>
              <w:rPr>
                <w:sz w:val="5"/>
                <w:szCs w:val="5"/>
                <w:color w:val="auto"/>
              </w:rPr>
            </w:pPr>
          </w:p>
        </w:tc>
        <w:tc>
          <w:tcPr>
            <w:tcW w:w="2120" w:type="dxa"/>
            <w:vAlign w:val="bottom"/>
            <w:tcBorders>
              <w:bottom w:val="single" w:sz="8" w:color="B2B2B2"/>
            </w:tcBorders>
            <w:vMerge w:val="continue"/>
          </w:tcPr>
          <w:p>
            <w:pPr>
              <w:spacing w:after="0"/>
              <w:rPr>
                <w:sz w:val="5"/>
                <w:szCs w:val="5"/>
                <w:color w:val="auto"/>
              </w:rPr>
            </w:pPr>
          </w:p>
        </w:tc>
        <w:tc>
          <w:tcPr>
            <w:tcW w:w="1580" w:type="dxa"/>
            <w:vAlign w:val="bottom"/>
            <w:tcBorders>
              <w:bottom w:val="single" w:sz="8" w:color="B2B2B2"/>
            </w:tcBorders>
            <w:vMerge w:val="continue"/>
          </w:tcPr>
          <w:p>
            <w:pPr>
              <w:spacing w:after="0"/>
              <w:rPr>
                <w:sz w:val="5"/>
                <w:szCs w:val="5"/>
                <w:color w:val="auto"/>
              </w:rPr>
            </w:pPr>
          </w:p>
        </w:tc>
        <w:tc>
          <w:tcPr>
            <w:tcW w:w="1180" w:type="dxa"/>
            <w:vAlign w:val="bottom"/>
            <w:tcBorders>
              <w:bottom w:val="single" w:sz="8" w:color="B2B2B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3320" w:type="dxa"/>
            <w:vAlign w:val="bottom"/>
          </w:tcPr>
          <w:p>
            <w:pPr>
              <w:spacing w:after="0"/>
              <w:rPr>
                <w:sz w:val="20"/>
                <w:szCs w:val="20"/>
                <w:color w:val="auto"/>
              </w:rPr>
            </w:pPr>
            <w:r>
              <w:rPr>
                <w:rFonts w:ascii="Arial" w:cs="Arial" w:eastAsia="Arial" w:hAnsi="Arial"/>
                <w:sz w:val="14"/>
                <w:szCs w:val="14"/>
                <w:b w:val="1"/>
                <w:bCs w:val="1"/>
                <w:color w:val="auto"/>
              </w:rPr>
              <w:t>Total direct compensation</w:t>
            </w:r>
          </w:p>
        </w:tc>
        <w:tc>
          <w:tcPr>
            <w:tcW w:w="21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$15,480,144</w:t>
            </w:r>
          </w:p>
        </w:tc>
        <w:tc>
          <w:tcPr>
            <w:tcW w:w="15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$14,724,000</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$12,604,581</w:t>
            </w:r>
          </w:p>
        </w:tc>
        <w:tc>
          <w:tcPr>
            <w:tcW w:w="0" w:type="dxa"/>
            <w:vAlign w:val="bottom"/>
          </w:tcPr>
          <w:p>
            <w:pPr>
              <w:spacing w:after="0"/>
              <w:rPr>
                <w:sz w:val="1"/>
                <w:szCs w:val="1"/>
                <w:color w:val="auto"/>
              </w:rPr>
            </w:pPr>
          </w:p>
        </w:tc>
      </w:tr>
      <w:tr>
        <w:trPr>
          <w:trHeight w:val="55"/>
        </w:trPr>
        <w:tc>
          <w:tcPr>
            <w:tcW w:w="3320" w:type="dxa"/>
            <w:vAlign w:val="bottom"/>
            <w:tcBorders>
              <w:bottom w:val="single" w:sz="8" w:color="B2B2B2"/>
            </w:tcBorders>
          </w:tcPr>
          <w:p>
            <w:pPr>
              <w:spacing w:after="0"/>
              <w:rPr>
                <w:sz w:val="4"/>
                <w:szCs w:val="4"/>
                <w:color w:val="auto"/>
              </w:rPr>
            </w:pPr>
          </w:p>
        </w:tc>
        <w:tc>
          <w:tcPr>
            <w:tcW w:w="2120" w:type="dxa"/>
            <w:vAlign w:val="bottom"/>
            <w:tcBorders>
              <w:bottom w:val="single" w:sz="8" w:color="B2B2B2"/>
            </w:tcBorders>
            <w:vMerge w:val="continue"/>
          </w:tcPr>
          <w:p>
            <w:pPr>
              <w:spacing w:after="0"/>
              <w:rPr>
                <w:sz w:val="4"/>
                <w:szCs w:val="4"/>
                <w:color w:val="auto"/>
              </w:rPr>
            </w:pPr>
          </w:p>
        </w:tc>
        <w:tc>
          <w:tcPr>
            <w:tcW w:w="1580" w:type="dxa"/>
            <w:vAlign w:val="bottom"/>
            <w:tcBorders>
              <w:bottom w:val="single" w:sz="8" w:color="B2B2B2"/>
            </w:tcBorders>
            <w:vMerge w:val="continue"/>
          </w:tcPr>
          <w:p>
            <w:pPr>
              <w:spacing w:after="0"/>
              <w:rPr>
                <w:sz w:val="4"/>
                <w:szCs w:val="4"/>
                <w:color w:val="auto"/>
              </w:rPr>
            </w:pPr>
          </w:p>
        </w:tc>
        <w:tc>
          <w:tcPr>
            <w:tcW w:w="1180" w:type="dxa"/>
            <w:vAlign w:val="bottom"/>
            <w:tcBorders>
              <w:bottom w:val="single" w:sz="8" w:color="B2B2B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3320" w:type="dxa"/>
            <w:vAlign w:val="bottom"/>
          </w:tcPr>
          <w:p>
            <w:pPr>
              <w:spacing w:after="0"/>
              <w:rPr>
                <w:sz w:val="20"/>
                <w:szCs w:val="20"/>
                <w:color w:val="auto"/>
              </w:rPr>
            </w:pPr>
            <w:r>
              <w:rPr>
                <w:rFonts w:ascii="Arial" w:cs="Arial" w:eastAsia="Arial" w:hAnsi="Arial"/>
                <w:sz w:val="14"/>
                <w:szCs w:val="14"/>
                <w:b w:val="1"/>
                <w:bCs w:val="1"/>
                <w:color w:val="auto"/>
              </w:rPr>
              <w:t>Change from last year</w:t>
            </w:r>
          </w:p>
        </w:tc>
        <w:tc>
          <w:tcPr>
            <w:tcW w:w="2120" w:type="dxa"/>
            <w:vAlign w:val="bottom"/>
          </w:tcPr>
          <w:p>
            <w:pPr>
              <w:jc w:val="right"/>
              <w:ind w:right="328"/>
              <w:spacing w:after="0"/>
              <w:rPr>
                <w:sz w:val="20"/>
                <w:szCs w:val="20"/>
                <w:color w:val="auto"/>
              </w:rPr>
            </w:pPr>
            <w:r>
              <w:rPr>
                <w:rFonts w:ascii="Arial" w:cs="Arial" w:eastAsia="Arial" w:hAnsi="Arial"/>
                <w:sz w:val="14"/>
                <w:szCs w:val="14"/>
                <w:b w:val="1"/>
                <w:bCs w:val="1"/>
                <w:color w:val="auto"/>
              </w:rPr>
              <w:t>5 %</w:t>
            </w:r>
          </w:p>
        </w:tc>
        <w:tc>
          <w:tcPr>
            <w:tcW w:w="1580" w:type="dxa"/>
            <w:vAlign w:val="bottom"/>
          </w:tcPr>
          <w:p>
            <w:pPr>
              <w:jc w:val="right"/>
              <w:ind w:right="288"/>
              <w:spacing w:after="0"/>
              <w:rPr>
                <w:sz w:val="20"/>
                <w:szCs w:val="20"/>
                <w:color w:val="auto"/>
              </w:rPr>
            </w:pPr>
            <w:r>
              <w:rPr>
                <w:rFonts w:ascii="Arial" w:cs="Arial" w:eastAsia="Arial" w:hAnsi="Arial"/>
                <w:sz w:val="14"/>
                <w:szCs w:val="14"/>
                <w:b w:val="1"/>
                <w:bCs w:val="1"/>
                <w:color w:val="auto"/>
              </w:rPr>
              <w:t>17 %</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
        </w:trPr>
        <w:tc>
          <w:tcPr>
            <w:tcW w:w="3320" w:type="dxa"/>
            <w:vAlign w:val="bottom"/>
            <w:tcBorders>
              <w:bottom w:val="single" w:sz="8" w:color="0D64EF"/>
            </w:tcBorders>
          </w:tcPr>
          <w:p>
            <w:pPr>
              <w:spacing w:after="0"/>
              <w:rPr>
                <w:sz w:val="2"/>
                <w:szCs w:val="2"/>
                <w:color w:val="auto"/>
              </w:rPr>
            </w:pPr>
          </w:p>
        </w:tc>
        <w:tc>
          <w:tcPr>
            <w:tcW w:w="2120" w:type="dxa"/>
            <w:vAlign w:val="bottom"/>
            <w:tcBorders>
              <w:bottom w:val="single" w:sz="8" w:color="0D64EF"/>
            </w:tcBorders>
          </w:tcPr>
          <w:p>
            <w:pPr>
              <w:spacing w:after="0"/>
              <w:rPr>
                <w:sz w:val="2"/>
                <w:szCs w:val="2"/>
                <w:color w:val="auto"/>
              </w:rPr>
            </w:pPr>
          </w:p>
        </w:tc>
        <w:tc>
          <w:tcPr>
            <w:tcW w:w="1580" w:type="dxa"/>
            <w:vAlign w:val="bottom"/>
            <w:tcBorders>
              <w:bottom w:val="single" w:sz="8" w:color="0D64EF"/>
            </w:tcBorders>
          </w:tcPr>
          <w:p>
            <w:pPr>
              <w:spacing w:after="0"/>
              <w:rPr>
                <w:sz w:val="2"/>
                <w:szCs w:val="2"/>
                <w:color w:val="auto"/>
              </w:rPr>
            </w:pPr>
          </w:p>
        </w:tc>
        <w:tc>
          <w:tcPr>
            <w:tcW w:w="1180" w:type="dxa"/>
            <w:vAlign w:val="bottom"/>
            <w:tcBorders>
              <w:bottom w:val="single" w:sz="8" w:color="0D64E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51435</wp:posOffset>
            </wp:positionV>
            <wp:extent cx="1715135" cy="17151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513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Share ownership</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440" w:type="dxa"/>
            <w:vAlign w:val="bottom"/>
            <w:tcBorders>
              <w:top w:val="single" w:sz="8" w:color="0D64EF"/>
              <w:bottom w:val="single" w:sz="8" w:color="0D64EF"/>
            </w:tcBorders>
            <w:vMerge w:val="restart"/>
            <w:shd w:val="clear" w:color="auto" w:fill="D1D0CF"/>
          </w:tcPr>
          <w:p>
            <w:pPr>
              <w:jc w:val="right"/>
              <w:ind w:right="168"/>
              <w:spacing w:after="0"/>
              <w:rPr>
                <w:sz w:val="20"/>
                <w:szCs w:val="20"/>
                <w:color w:val="auto"/>
              </w:rPr>
            </w:pPr>
            <w:r>
              <w:rPr>
                <w:rFonts w:ascii="Arial" w:cs="Arial" w:eastAsia="Arial" w:hAnsi="Arial"/>
                <w:sz w:val="14"/>
                <w:szCs w:val="14"/>
                <w:b w:val="1"/>
                <w:bCs w:val="1"/>
                <w:color w:val="auto"/>
              </w:rPr>
              <w:t>Minimum level</w:t>
            </w:r>
          </w:p>
        </w:tc>
        <w:tc>
          <w:tcPr>
            <w:tcW w:w="1000" w:type="dxa"/>
            <w:vAlign w:val="bottom"/>
            <w:tcBorders>
              <w:top w:val="single" w:sz="8" w:color="0D64EF"/>
              <w:bottom w:val="single" w:sz="8" w:color="D1D0CF"/>
            </w:tcBorders>
            <w:shd w:val="clear" w:color="auto" w:fill="D1D0CF"/>
          </w:tcPr>
          <w:p>
            <w:pPr>
              <w:spacing w:after="0"/>
              <w:rPr>
                <w:sz w:val="22"/>
                <w:szCs w:val="22"/>
                <w:color w:val="auto"/>
              </w:rPr>
            </w:pPr>
          </w:p>
        </w:tc>
        <w:tc>
          <w:tcPr>
            <w:tcW w:w="4760" w:type="dxa"/>
            <w:vAlign w:val="bottom"/>
            <w:tcBorders>
              <w:top w:val="single" w:sz="8" w:color="0D64EF"/>
              <w:bottom w:val="single" w:sz="8" w:color="0D64EF"/>
            </w:tcBorders>
            <w:gridSpan w:val="2"/>
            <w:shd w:val="clear" w:color="auto" w:fill="D1D0CF"/>
          </w:tcPr>
          <w:p>
            <w:pPr>
              <w:jc w:val="right"/>
              <w:ind w:right="1188"/>
              <w:spacing w:after="0"/>
              <w:rPr>
                <w:sz w:val="20"/>
                <w:szCs w:val="20"/>
                <w:color w:val="auto"/>
              </w:rPr>
            </w:pPr>
            <w:r>
              <w:rPr>
                <w:rFonts w:ascii="Arial" w:cs="Arial" w:eastAsia="Arial" w:hAnsi="Arial"/>
                <w:sz w:val="14"/>
                <w:szCs w:val="14"/>
                <w:b w:val="1"/>
                <w:bCs w:val="1"/>
                <w:color w:val="auto"/>
              </w:rPr>
              <w:t>Ownership under the guidelines</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47"/>
        </w:trPr>
        <w:tc>
          <w:tcPr>
            <w:tcW w:w="2440" w:type="dxa"/>
            <w:vAlign w:val="bottom"/>
            <w:vMerge w:val="continue"/>
            <w:shd w:val="clear" w:color="auto" w:fill="D1D0CF"/>
          </w:tcPr>
          <w:p>
            <w:pPr>
              <w:spacing w:after="0"/>
              <w:rPr>
                <w:sz w:val="12"/>
                <w:szCs w:val="12"/>
                <w:color w:val="auto"/>
              </w:rPr>
            </w:pPr>
          </w:p>
        </w:tc>
        <w:tc>
          <w:tcPr>
            <w:tcW w:w="1000" w:type="dxa"/>
            <w:vAlign w:val="bottom"/>
            <w:shd w:val="clear" w:color="auto" w:fill="D1D0CF"/>
          </w:tcPr>
          <w:p>
            <w:pPr>
              <w:jc w:val="right"/>
              <w:spacing w:after="0" w:line="147" w:lineRule="exact"/>
              <w:rPr>
                <w:sz w:val="20"/>
                <w:szCs w:val="20"/>
                <w:color w:val="auto"/>
              </w:rPr>
            </w:pPr>
            <w:r>
              <w:rPr>
                <w:rFonts w:ascii="Arial" w:cs="Arial" w:eastAsia="Arial" w:hAnsi="Arial"/>
                <w:sz w:val="14"/>
                <w:szCs w:val="14"/>
                <w:b w:val="1"/>
                <w:bCs w:val="1"/>
                <w:color w:val="auto"/>
              </w:rPr>
              <w:t>Minimum</w:t>
            </w:r>
          </w:p>
        </w:tc>
        <w:tc>
          <w:tcPr>
            <w:tcW w:w="2160" w:type="dxa"/>
            <w:vAlign w:val="bottom"/>
            <w:shd w:val="clear" w:color="auto" w:fill="D1D0CF"/>
          </w:tcPr>
          <w:p>
            <w:pPr>
              <w:jc w:val="right"/>
              <w:ind w:right="528"/>
              <w:spacing w:after="0" w:line="147" w:lineRule="exact"/>
              <w:rPr>
                <w:sz w:val="20"/>
                <w:szCs w:val="20"/>
                <w:color w:val="auto"/>
              </w:rPr>
            </w:pPr>
            <w:r>
              <w:rPr>
                <w:rFonts w:ascii="Arial" w:cs="Arial" w:eastAsia="Arial" w:hAnsi="Arial"/>
                <w:sz w:val="14"/>
                <w:szCs w:val="14"/>
                <w:b w:val="1"/>
                <w:bCs w:val="1"/>
                <w:color w:val="auto"/>
              </w:rPr>
              <w:t>TC Energy</w:t>
            </w:r>
          </w:p>
        </w:tc>
        <w:tc>
          <w:tcPr>
            <w:tcW w:w="2600" w:type="dxa"/>
            <w:vAlign w:val="bottom"/>
            <w:shd w:val="clear" w:color="auto" w:fill="D1D0CF"/>
          </w:tcPr>
          <w:p>
            <w:pPr>
              <w:jc w:val="right"/>
              <w:spacing w:after="0" w:line="147" w:lineRule="exact"/>
              <w:rPr>
                <w:sz w:val="20"/>
                <w:szCs w:val="20"/>
                <w:color w:val="auto"/>
              </w:rPr>
            </w:pPr>
            <w:r>
              <w:rPr>
                <w:rFonts w:ascii="Arial" w:cs="Arial" w:eastAsia="Arial" w:hAnsi="Arial"/>
                <w:sz w:val="14"/>
                <w:szCs w:val="14"/>
                <w:b w:val="1"/>
                <w:bCs w:val="1"/>
                <w:color w:val="auto"/>
              </w:rPr>
              <w:t>Total ownership as a multiple</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D1D0CF"/>
            </w:tcBorders>
            <w:shd w:val="clear" w:color="auto" w:fill="D1D0CF"/>
          </w:tcPr>
          <w:p>
            <w:pPr>
              <w:jc w:val="right"/>
              <w:ind w:right="168"/>
              <w:spacing w:after="0"/>
              <w:rPr>
                <w:sz w:val="20"/>
                <w:szCs w:val="20"/>
                <w:color w:val="auto"/>
              </w:rPr>
            </w:pPr>
            <w:r>
              <w:rPr>
                <w:rFonts w:ascii="Arial" w:cs="Arial" w:eastAsia="Arial" w:hAnsi="Arial"/>
                <w:sz w:val="14"/>
                <w:szCs w:val="14"/>
                <w:b w:val="1"/>
                <w:bCs w:val="1"/>
                <w:color w:val="auto"/>
              </w:rPr>
              <w:t>of ownership</w:t>
            </w:r>
          </w:p>
        </w:tc>
        <w:tc>
          <w:tcPr>
            <w:tcW w:w="1000" w:type="dxa"/>
            <w:vAlign w:val="bottom"/>
            <w:tcBorders>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value</w:t>
            </w:r>
          </w:p>
        </w:tc>
        <w:tc>
          <w:tcPr>
            <w:tcW w:w="2160" w:type="dxa"/>
            <w:vAlign w:val="bottom"/>
            <w:tcBorders>
              <w:bottom w:val="single" w:sz="8" w:color="D1D0CF"/>
            </w:tcBorders>
            <w:shd w:val="clear" w:color="auto" w:fill="D1D0CF"/>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2600" w:type="dxa"/>
            <w:vAlign w:val="bottom"/>
            <w:tcBorders>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of base salary</w:t>
            </w:r>
          </w:p>
        </w:tc>
        <w:tc>
          <w:tcPr>
            <w:tcW w:w="0" w:type="dxa"/>
            <w:vAlign w:val="bottom"/>
          </w:tcPr>
          <w:p>
            <w:pPr>
              <w:spacing w:after="0"/>
              <w:rPr>
                <w:sz w:val="1"/>
                <w:szCs w:val="1"/>
                <w:color w:val="auto"/>
              </w:rPr>
            </w:pPr>
          </w:p>
        </w:tc>
      </w:tr>
      <w:tr>
        <w:trPr>
          <w:trHeight w:val="201"/>
        </w:trPr>
        <w:tc>
          <w:tcPr>
            <w:tcW w:w="2440" w:type="dxa"/>
            <w:vAlign w:val="bottom"/>
            <w:tcBorders>
              <w:top w:val="single" w:sz="8" w:color="0D64EF"/>
            </w:tcBorders>
          </w:tcPr>
          <w:p>
            <w:pPr>
              <w:jc w:val="right"/>
              <w:ind w:right="168"/>
              <w:spacing w:after="0"/>
              <w:rPr>
                <w:sz w:val="20"/>
                <w:szCs w:val="20"/>
                <w:color w:val="auto"/>
              </w:rPr>
            </w:pPr>
            <w:r>
              <w:rPr>
                <w:rFonts w:ascii="Arial" w:cs="Arial" w:eastAsia="Arial" w:hAnsi="Arial"/>
                <w:sz w:val="14"/>
                <w:szCs w:val="14"/>
                <w:color w:val="auto"/>
              </w:rPr>
              <w:t>6x</w:t>
            </w:r>
          </w:p>
        </w:tc>
        <w:tc>
          <w:tcPr>
            <w:tcW w:w="1000" w:type="dxa"/>
            <w:vAlign w:val="bottom"/>
            <w:tcBorders>
              <w:top w:val="single" w:sz="8" w:color="0D64EF"/>
            </w:tcBorders>
          </w:tcPr>
          <w:p>
            <w:pPr>
              <w:jc w:val="right"/>
              <w:spacing w:after="0"/>
              <w:rPr>
                <w:sz w:val="20"/>
                <w:szCs w:val="20"/>
                <w:color w:val="auto"/>
              </w:rPr>
            </w:pPr>
            <w:r>
              <w:rPr>
                <w:rFonts w:ascii="Arial" w:cs="Arial" w:eastAsia="Arial" w:hAnsi="Arial"/>
                <w:sz w:val="14"/>
                <w:szCs w:val="14"/>
                <w:color w:val="auto"/>
              </w:rPr>
              <w:t>$7,452,000</w:t>
            </w:r>
          </w:p>
        </w:tc>
        <w:tc>
          <w:tcPr>
            <w:tcW w:w="2160" w:type="dxa"/>
            <w:vAlign w:val="bottom"/>
            <w:tcBorders>
              <w:top w:val="single" w:sz="8" w:color="0D64EF"/>
            </w:tcBorders>
          </w:tcPr>
          <w:p>
            <w:pPr>
              <w:jc w:val="right"/>
              <w:ind w:right="488"/>
              <w:spacing w:after="0"/>
              <w:rPr>
                <w:sz w:val="20"/>
                <w:szCs w:val="20"/>
                <w:color w:val="auto"/>
              </w:rPr>
            </w:pPr>
            <w:r>
              <w:rPr>
                <w:rFonts w:ascii="Arial" w:cs="Arial" w:eastAsia="Arial" w:hAnsi="Arial"/>
                <w:sz w:val="14"/>
                <w:szCs w:val="14"/>
                <w:color w:val="auto"/>
              </w:rPr>
              <w:t>$18,608,107</w:t>
            </w:r>
          </w:p>
        </w:tc>
        <w:tc>
          <w:tcPr>
            <w:tcW w:w="2600" w:type="dxa"/>
            <w:vAlign w:val="bottom"/>
            <w:tcBorders>
              <w:top w:val="single" w:sz="8" w:color="0D64EF"/>
            </w:tcBorders>
          </w:tcPr>
          <w:p>
            <w:pPr>
              <w:jc w:val="right"/>
              <w:spacing w:after="0"/>
              <w:rPr>
                <w:sz w:val="20"/>
                <w:szCs w:val="20"/>
                <w:color w:val="auto"/>
              </w:rPr>
            </w:pPr>
            <w:r>
              <w:rPr>
                <w:rFonts w:ascii="Arial" w:cs="Arial" w:eastAsia="Arial" w:hAnsi="Arial"/>
                <w:sz w:val="14"/>
                <w:szCs w:val="14"/>
                <w:color w:val="auto"/>
              </w:rPr>
              <w:t>15.0x</w:t>
            </w:r>
          </w:p>
        </w:tc>
        <w:tc>
          <w:tcPr>
            <w:tcW w:w="0" w:type="dxa"/>
            <w:vAlign w:val="bottom"/>
          </w:tcPr>
          <w:p>
            <w:pPr>
              <w:spacing w:after="0"/>
              <w:rPr>
                <w:sz w:val="1"/>
                <w:szCs w:val="1"/>
                <w:color w:val="auto"/>
              </w:rPr>
            </w:pPr>
          </w:p>
        </w:tc>
      </w:tr>
      <w:tr>
        <w:trPr>
          <w:trHeight w:val="35"/>
        </w:trPr>
        <w:tc>
          <w:tcPr>
            <w:tcW w:w="2440" w:type="dxa"/>
            <w:vAlign w:val="bottom"/>
            <w:tcBorders>
              <w:bottom w:val="single" w:sz="8" w:color="0D64EF"/>
            </w:tcBorders>
          </w:tcPr>
          <w:p>
            <w:pPr>
              <w:spacing w:after="0"/>
              <w:rPr>
                <w:sz w:val="3"/>
                <w:szCs w:val="3"/>
                <w:color w:val="auto"/>
              </w:rPr>
            </w:pPr>
          </w:p>
        </w:tc>
        <w:tc>
          <w:tcPr>
            <w:tcW w:w="1000" w:type="dxa"/>
            <w:vAlign w:val="bottom"/>
            <w:tcBorders>
              <w:bottom w:val="single" w:sz="8" w:color="0D64EF"/>
            </w:tcBorders>
          </w:tcPr>
          <w:p>
            <w:pPr>
              <w:spacing w:after="0"/>
              <w:rPr>
                <w:sz w:val="3"/>
                <w:szCs w:val="3"/>
                <w:color w:val="auto"/>
              </w:rPr>
            </w:pPr>
          </w:p>
        </w:tc>
        <w:tc>
          <w:tcPr>
            <w:tcW w:w="2160" w:type="dxa"/>
            <w:vAlign w:val="bottom"/>
            <w:tcBorders>
              <w:bottom w:val="single" w:sz="8" w:color="0D64EF"/>
            </w:tcBorders>
          </w:tcPr>
          <w:p>
            <w:pPr>
              <w:spacing w:after="0"/>
              <w:rPr>
                <w:sz w:val="3"/>
                <w:szCs w:val="3"/>
                <w:color w:val="auto"/>
              </w:rPr>
            </w:pPr>
          </w:p>
        </w:tc>
        <w:tc>
          <w:tcPr>
            <w:tcW w:w="2600" w:type="dxa"/>
            <w:vAlign w:val="bottom"/>
            <w:tcBorders>
              <w:bottom w:val="single" w:sz="8" w:color="0D64E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2">
            <w:col w:w="2680" w:space="360"/>
            <w:col w:w="8200"/>
          </w:cols>
          <w:pgMar w:left="320" w:top="1150" w:right="339" w:bottom="1440" w:gutter="0" w:footer="0" w:header="0"/>
          <w:type w:val="continuous"/>
        </w:sectPr>
      </w:pPr>
    </w:p>
    <w:p>
      <w:pPr>
        <w:ind w:left="120" w:hanging="95"/>
        <w:spacing w:after="0"/>
        <w:tabs>
          <w:tab w:leader="none" w:pos="120" w:val="left"/>
        </w:tabs>
        <w:numPr>
          <w:ilvl w:val="0"/>
          <w:numId w:val="140"/>
        </w:numPr>
        <w:rPr>
          <w:rFonts w:ascii="Arial" w:cs="Arial" w:eastAsia="Arial" w:hAnsi="Arial"/>
          <w:sz w:val="18"/>
          <w:szCs w:val="18"/>
          <w:color w:val="auto"/>
          <w:vertAlign w:val="superscript"/>
        </w:rPr>
      </w:pPr>
      <w:r>
        <w:rPr>
          <w:rFonts w:ascii="Arial" w:cs="Arial" w:eastAsia="Arial" w:hAnsi="Arial"/>
          <w:sz w:val="12"/>
          <w:szCs w:val="12"/>
          <w:color w:val="auto"/>
        </w:rPr>
        <w:t>Long-term incentive displayed at 75% in 2025 Pay Mix chart due to rounding.</w:t>
      </w:r>
    </w:p>
    <w:p>
      <w:pPr>
        <w:spacing w:after="0" w:line="34" w:lineRule="exact"/>
        <w:rPr>
          <w:rFonts w:ascii="Arial" w:cs="Arial" w:eastAsia="Arial" w:hAnsi="Arial"/>
          <w:sz w:val="18"/>
          <w:szCs w:val="18"/>
          <w:color w:val="auto"/>
          <w:vertAlign w:val="superscript"/>
        </w:rPr>
      </w:pPr>
    </w:p>
    <w:p>
      <w:pPr>
        <w:ind w:left="20"/>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2</w:t>
      </w:r>
      <w:r>
        <w:rPr>
          <w:rFonts w:ascii="Arial" w:cs="Arial" w:eastAsia="Arial" w:hAnsi="Arial"/>
          <w:sz w:val="13"/>
          <w:szCs w:val="13"/>
          <w:color w:val="auto"/>
        </w:rPr>
        <w:t xml:space="preserve"> Mr. Poirier has met his share ownership requirements in 2025.</w:t>
      </w:r>
    </w:p>
    <w:p>
      <w:pPr>
        <w:sectPr>
          <w:pgSz w:w="11900" w:h="16838" w:orient="portrait"/>
          <w:cols w:equalWidth="0" w:num="1">
            <w:col w:w="11240"/>
          </w:cols>
          <w:pgMar w:left="320" w:top="11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150" w:right="339" w:bottom="1440" w:gutter="0" w:footer="0" w:header="0"/>
          <w:type w:val="continuous"/>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429895</wp:posOffset>
            </wp:positionH>
            <wp:positionV relativeFrom="page">
              <wp:posOffset>745490</wp:posOffset>
            </wp:positionV>
            <wp:extent cx="1279525" cy="1279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2025 key results</w:t>
      </w:r>
    </w:p>
    <w:p>
      <w:pPr>
        <w:spacing w:after="0" w:line="76" w:lineRule="exact"/>
        <w:rPr>
          <w:sz w:val="20"/>
          <w:szCs w:val="20"/>
          <w:color w:val="auto"/>
        </w:rPr>
      </w:pPr>
    </w:p>
    <w:p>
      <w:pPr>
        <w:ind w:left="160" w:right="160" w:hanging="155"/>
        <w:spacing w:after="0" w:line="291" w:lineRule="auto"/>
        <w:tabs>
          <w:tab w:leader="none" w:pos="143" w:val="left"/>
        </w:tabs>
        <w:numPr>
          <w:ilvl w:val="0"/>
          <w:numId w:val="141"/>
        </w:numPr>
        <w:rPr>
          <w:rFonts w:ascii="Arial" w:cs="Arial" w:eastAsia="Arial" w:hAnsi="Arial"/>
          <w:sz w:val="14"/>
          <w:szCs w:val="14"/>
          <w:color w:val="auto"/>
        </w:rPr>
      </w:pPr>
      <w:r>
        <w:rPr>
          <w:rFonts w:ascii="Arial" w:cs="Arial" w:eastAsia="Arial" w:hAnsi="Arial"/>
          <w:sz w:val="14"/>
          <w:szCs w:val="14"/>
          <w:color w:val="auto"/>
        </w:rPr>
        <w:t>Received a revised outlook from S&amp;P to stable while affirming our BBB+ rating</w:t>
      </w:r>
    </w:p>
    <w:p>
      <w:pPr>
        <w:spacing w:after="0" w:line="59" w:lineRule="exact"/>
        <w:rPr>
          <w:rFonts w:ascii="Arial" w:cs="Arial" w:eastAsia="Arial" w:hAnsi="Arial"/>
          <w:sz w:val="14"/>
          <w:szCs w:val="14"/>
          <w:color w:val="auto"/>
        </w:rPr>
      </w:pPr>
    </w:p>
    <w:p>
      <w:pPr>
        <w:ind w:left="160" w:right="420" w:hanging="155"/>
        <w:spacing w:after="0" w:line="291" w:lineRule="auto"/>
        <w:tabs>
          <w:tab w:leader="none" w:pos="143"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Issued $8 billion of long-term investment-grade debt and junior subordinated notes, achieving historically tight spreads while extending the maturity profile</w:t>
      </w:r>
    </w:p>
    <w:p>
      <w:pPr>
        <w:spacing w:after="0" w:line="58" w:lineRule="exact"/>
        <w:rPr>
          <w:rFonts w:ascii="Arial" w:cs="Arial" w:eastAsia="Arial" w:hAnsi="Arial"/>
          <w:sz w:val="14"/>
          <w:szCs w:val="14"/>
          <w:color w:val="auto"/>
        </w:rPr>
      </w:pPr>
    </w:p>
    <w:p>
      <w:pPr>
        <w:ind w:left="160" w:right="80" w:hanging="155"/>
        <w:spacing w:after="0" w:line="284" w:lineRule="auto"/>
        <w:tabs>
          <w:tab w:leader="none" w:pos="143" w:val="left"/>
        </w:tabs>
        <w:numPr>
          <w:ilvl w:val="0"/>
          <w:numId w:val="141"/>
        </w:numPr>
        <w:rPr>
          <w:rFonts w:ascii="Arial" w:cs="Arial" w:eastAsia="Arial" w:hAnsi="Arial"/>
          <w:sz w:val="14"/>
          <w:szCs w:val="14"/>
          <w:color w:val="auto"/>
        </w:rPr>
      </w:pPr>
      <w:r>
        <w:rPr>
          <w:rFonts w:ascii="Arial" w:cs="Arial" w:eastAsia="Arial" w:hAnsi="Arial"/>
          <w:sz w:val="14"/>
          <w:szCs w:val="14"/>
          <w:color w:val="auto"/>
        </w:rPr>
        <w:t>Oversaw, supported and contributed to TC Energy's investor engagement strategy, which included over 500 meetings with shareholders and bondholders and over 40 meetings focused on ESG-specific topics</w:t>
      </w:r>
    </w:p>
    <w:p>
      <w:pPr>
        <w:spacing w:after="0" w:line="66" w:lineRule="exact"/>
        <w:rPr>
          <w:rFonts w:ascii="Arial" w:cs="Arial" w:eastAsia="Arial" w:hAnsi="Arial"/>
          <w:sz w:val="14"/>
          <w:szCs w:val="14"/>
          <w:color w:val="auto"/>
        </w:rPr>
      </w:pPr>
    </w:p>
    <w:p>
      <w:pPr>
        <w:ind w:left="160" w:hanging="155"/>
        <w:spacing w:after="0" w:line="294" w:lineRule="auto"/>
        <w:tabs>
          <w:tab w:leader="none" w:pos="143" w:val="left"/>
        </w:tabs>
        <w:numPr>
          <w:ilvl w:val="0"/>
          <w:numId w:val="141"/>
        </w:numPr>
        <w:rPr>
          <w:rFonts w:ascii="Arial" w:cs="Arial" w:eastAsia="Arial" w:hAnsi="Arial"/>
          <w:sz w:val="14"/>
          <w:szCs w:val="14"/>
          <w:color w:val="auto"/>
        </w:rPr>
      </w:pPr>
      <w:r>
        <w:rPr>
          <w:rFonts w:ascii="Arial" w:cs="Arial" w:eastAsia="Arial" w:hAnsi="Arial"/>
          <w:sz w:val="14"/>
          <w:szCs w:val="14"/>
          <w:color w:val="auto"/>
        </w:rPr>
        <w:t>Established an enterprise-wide methane intensity reduction target which strengthens and aligns the metric tied to long-term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20"/>
        <w:spacing w:after="0" w:line="291" w:lineRule="auto"/>
        <w:rPr>
          <w:sz w:val="20"/>
          <w:szCs w:val="20"/>
          <w:color w:val="auto"/>
        </w:rPr>
      </w:pPr>
      <w:r>
        <w:rPr>
          <w:rFonts w:ascii="Arial" w:cs="Arial" w:eastAsia="Arial" w:hAnsi="Arial"/>
          <w:sz w:val="14"/>
          <w:szCs w:val="14"/>
          <w:i w:val="1"/>
          <w:iCs w:val="1"/>
          <w:color w:val="auto"/>
        </w:rPr>
        <w:t xml:space="preserve">Short-term incentive </w:t>
      </w:r>
      <w:r>
        <w:rPr>
          <w:rFonts w:ascii="Arial" w:cs="Arial" w:eastAsia="Arial" w:hAnsi="Arial"/>
          <w:sz w:val="14"/>
          <w:szCs w:val="14"/>
          <w:color w:val="auto"/>
        </w:rPr>
        <w:t>is attributed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noted financial year, and is paid by March 15 of the following year.</w:t>
      </w:r>
    </w:p>
    <w:p>
      <w:pPr>
        <w:spacing w:after="0" w:line="19" w:lineRule="exact"/>
        <w:rPr>
          <w:sz w:val="20"/>
          <w:szCs w:val="20"/>
          <w:color w:val="auto"/>
        </w:rPr>
      </w:pPr>
    </w:p>
    <w:p>
      <w:pPr>
        <w:spacing w:after="0" w:line="294" w:lineRule="auto"/>
        <w:rPr>
          <w:sz w:val="20"/>
          <w:szCs w:val="20"/>
          <w:color w:val="auto"/>
        </w:rPr>
      </w:pPr>
      <w:r>
        <w:rPr>
          <w:rFonts w:ascii="Arial" w:cs="Arial" w:eastAsia="Arial" w:hAnsi="Arial"/>
          <w:sz w:val="14"/>
          <w:szCs w:val="14"/>
          <w:i w:val="1"/>
          <w:iCs w:val="1"/>
          <w:color w:val="auto"/>
        </w:rPr>
        <w:t xml:space="preserve">Share ownership </w:t>
      </w:r>
      <w:r>
        <w:rPr>
          <w:rFonts w:ascii="Arial" w:cs="Arial" w:eastAsia="Arial" w:hAnsi="Arial"/>
          <w:sz w:val="14"/>
          <w:szCs w:val="14"/>
          <w:color w:val="auto"/>
        </w:rPr>
        <w:t>is based on the 5-day</w:t>
      </w:r>
      <w:r>
        <w:rPr>
          <w:rFonts w:ascii="Arial" w:cs="Arial" w:eastAsia="Arial" w:hAnsi="Arial"/>
          <w:sz w:val="14"/>
          <w:szCs w:val="14"/>
          <w:i w:val="1"/>
          <w:iCs w:val="1"/>
          <w:color w:val="auto"/>
        </w:rPr>
        <w:t xml:space="preserve"> </w:t>
      </w:r>
      <w:r>
        <w:rPr>
          <w:rFonts w:ascii="Arial" w:cs="Arial" w:eastAsia="Arial" w:hAnsi="Arial"/>
          <w:sz w:val="14"/>
          <w:szCs w:val="14"/>
          <w:color w:val="auto"/>
        </w:rPr>
        <w:t>volume-weighted average closing price on the TSX of $76.52 for TC Energy shares at December 31, 2025.</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Sean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-190500</wp:posOffset>
            </wp:positionV>
            <wp:extent cx="8255" cy="72015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7201535"/>
                    </a:xfrm>
                    <a:prstGeom prst="rect">
                      <a:avLst/>
                    </a:prstGeom>
                    <a:noFill/>
                  </pic:spPr>
                </pic:pic>
              </a:graphicData>
            </a:graphic>
          </wp:anchor>
        </w:drawing>
      </w:r>
    </w:p>
    <w:p>
      <w:pPr>
        <w:spacing w:after="0" w:line="27" w:lineRule="exact"/>
        <w:rPr>
          <w:sz w:val="20"/>
          <w:szCs w:val="20"/>
          <w:color w:val="auto"/>
        </w:rPr>
      </w:pPr>
    </w:p>
    <w:p>
      <w:pPr>
        <w:ind w:left="20" w:right="360"/>
        <w:spacing w:after="0" w:line="329" w:lineRule="auto"/>
        <w:rPr>
          <w:sz w:val="20"/>
          <w:szCs w:val="20"/>
          <w:color w:val="auto"/>
        </w:rPr>
      </w:pPr>
      <w:r>
        <w:rPr>
          <w:rFonts w:ascii="Arial" w:cs="Arial" w:eastAsia="Arial" w:hAnsi="Arial"/>
          <w:sz w:val="16"/>
          <w:szCs w:val="16"/>
          <w:b w:val="1"/>
          <w:bCs w:val="1"/>
          <w:color w:val="0D64EF"/>
        </w:rPr>
        <w:t>EXECUTIVE VICE-PRESIDENT, STRATEGY AND CORPORATE DEVELOPMENT AND CHIEF FINANCIAL OFFICER</w:t>
      </w:r>
    </w:p>
    <w:p>
      <w:pPr>
        <w:spacing w:after="0" w:line="87" w:lineRule="exact"/>
        <w:rPr>
          <w:sz w:val="20"/>
          <w:szCs w:val="20"/>
          <w:color w:val="auto"/>
        </w:rPr>
      </w:pPr>
    </w:p>
    <w:p>
      <w:pPr>
        <w:ind w:left="20" w:right="80"/>
        <w:spacing w:after="0" w:line="312" w:lineRule="auto"/>
        <w:rPr>
          <w:sz w:val="20"/>
          <w:szCs w:val="20"/>
          <w:color w:val="auto"/>
        </w:rPr>
      </w:pPr>
      <w:r>
        <w:rPr>
          <w:rFonts w:ascii="Arial" w:cs="Arial" w:eastAsia="Arial" w:hAnsi="Arial"/>
          <w:sz w:val="16"/>
          <w:szCs w:val="16"/>
          <w:color w:val="auto"/>
        </w:rPr>
        <w:t>Mr. O'Donnell is responsible for leading and executing the development of corporate strategy, corporate development activities and the capital allocation process, as well as financial reporting, taxation, finance, treasury, risk management and investor relations for TC Energy Corporation. Mr. O'Donnell was appointed Executive Vice-President and Chief Financial Officer on May 15, 2024, with Strategy and Corporate Development added to his portfolio on February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179705</wp:posOffset>
            </wp:positionV>
            <wp:extent cx="52044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04460" cy="8255"/>
                    </a:xfrm>
                    <a:prstGeom prst="rect">
                      <a:avLst/>
                    </a:prstGeom>
                    <a:noFill/>
                  </pic:spPr>
                </pic:pic>
              </a:graphicData>
            </a:graphic>
          </wp:anchor>
        </w:drawing>
      </w:r>
    </w:p>
    <w:p>
      <w:pPr>
        <w:spacing w:after="0" w:line="383" w:lineRule="exact"/>
        <w:rPr>
          <w:sz w:val="20"/>
          <w:szCs w:val="20"/>
          <w:color w:val="auto"/>
        </w:rPr>
      </w:pPr>
    </w:p>
    <w:p>
      <w:pPr>
        <w:ind w:left="160" w:hanging="138"/>
        <w:spacing w:after="0"/>
        <w:tabs>
          <w:tab w:leader="none" w:pos="1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Mr. O'Donnell's short-term incentive award was entirely based on corporate performance (100 per cent).</w:t>
      </w:r>
    </w:p>
    <w:p>
      <w:pPr>
        <w:spacing w:after="0" w:line="44" w:lineRule="exact"/>
        <w:rPr>
          <w:rFonts w:ascii="Arial" w:cs="Arial" w:eastAsia="Arial" w:hAnsi="Arial"/>
          <w:sz w:val="16"/>
          <w:szCs w:val="16"/>
          <w:color w:val="auto"/>
        </w:rPr>
      </w:pPr>
    </w:p>
    <w:p>
      <w:pPr>
        <w:ind w:left="180" w:right="400" w:hanging="158"/>
        <w:spacing w:after="0" w:line="289" w:lineRule="auto"/>
        <w:tabs>
          <w:tab w:leader="none" w:pos="15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short-term incentive award for 2025 performance was based on Mr. O'Donnell's target of 80 per cent of base salary.</w:t>
      </w:r>
    </w:p>
    <w:p>
      <w:pPr>
        <w:ind w:left="180" w:right="140" w:hanging="158"/>
        <w:spacing w:after="0" w:line="301" w:lineRule="auto"/>
        <w:tabs>
          <w:tab w:leader="none" w:pos="15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Mr. O'Donnell's 2025 short-term and long-term incentive awards as a percentage of 2025 base salary were 119 per cent and 362 per cent,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342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color w:val="auto"/>
              </w:rPr>
              <w:t>(as at December 31)</w:t>
            </w:r>
            <w:r>
              <w:rPr>
                <w:rFonts w:ascii="Arial" w:cs="Arial" w:eastAsia="Arial" w:hAnsi="Arial"/>
                <w:sz w:val="18"/>
                <w:szCs w:val="18"/>
                <w:color w:val="auto"/>
                <w:vertAlign w:val="superscript"/>
              </w:rPr>
              <w:t>1, 2</w:t>
            </w:r>
          </w:p>
        </w:tc>
        <w:tc>
          <w:tcPr>
            <w:tcW w:w="2080" w:type="dxa"/>
            <w:vAlign w:val="bottom"/>
            <w:tcBorders>
              <w:top w:val="single" w:sz="8" w:color="0D64EF"/>
              <w:bottom w:val="single" w:sz="8" w:color="0D64EF"/>
            </w:tcBorders>
            <w:shd w:val="clear" w:color="auto" w:fill="D1D0CF"/>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560" w:type="dxa"/>
            <w:vAlign w:val="bottom"/>
            <w:tcBorders>
              <w:top w:val="single" w:sz="8" w:color="0D64EF"/>
              <w:bottom w:val="single" w:sz="8" w:color="0D64EF"/>
            </w:tcBorders>
            <w:shd w:val="clear" w:color="auto" w:fill="D1D0CF"/>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14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Fixed</w:t>
            </w:r>
          </w:p>
        </w:tc>
        <w:tc>
          <w:tcPr>
            <w:tcW w:w="2080" w:type="dxa"/>
            <w:vAlign w:val="bottom"/>
            <w:tcBorders>
              <w:bottom w:val="single" w:sz="8" w:color="B2B2B2"/>
            </w:tcBorders>
          </w:tcPr>
          <w:p>
            <w:pPr>
              <w:spacing w:after="0"/>
              <w:rPr>
                <w:sz w:val="17"/>
                <w:szCs w:val="17"/>
                <w:color w:val="auto"/>
              </w:rPr>
            </w:pPr>
          </w:p>
        </w:tc>
        <w:tc>
          <w:tcPr>
            <w:tcW w:w="1560" w:type="dxa"/>
            <w:vAlign w:val="bottom"/>
            <w:tcBorders>
              <w:bottom w:val="single" w:sz="8" w:color="B2B2B2"/>
            </w:tcBorders>
          </w:tcPr>
          <w:p>
            <w:pPr>
              <w:spacing w:after="0"/>
              <w:rPr>
                <w:sz w:val="17"/>
                <w:szCs w:val="17"/>
                <w:color w:val="auto"/>
              </w:rPr>
            </w:pPr>
          </w:p>
        </w:tc>
        <w:tc>
          <w:tcPr>
            <w:tcW w:w="114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Base salary</w:t>
            </w:r>
          </w:p>
        </w:tc>
        <w:tc>
          <w:tcPr>
            <w:tcW w:w="2080" w:type="dxa"/>
            <w:vAlign w:val="bottom"/>
            <w:tcBorders>
              <w:bottom w:val="single" w:sz="8" w:color="B2B2B2"/>
            </w:tcBorders>
          </w:tcPr>
          <w:p>
            <w:pPr>
              <w:jc w:val="right"/>
              <w:ind w:right="368"/>
              <w:spacing w:after="0"/>
              <w:rPr>
                <w:sz w:val="20"/>
                <w:szCs w:val="20"/>
                <w:color w:val="auto"/>
              </w:rPr>
            </w:pPr>
            <w:r>
              <w:rPr>
                <w:rFonts w:ascii="Arial" w:cs="Arial" w:eastAsia="Arial" w:hAnsi="Arial"/>
                <w:sz w:val="14"/>
                <w:szCs w:val="14"/>
                <w:color w:val="auto"/>
              </w:rPr>
              <w:t>$1,027,383</w:t>
            </w:r>
          </w:p>
        </w:tc>
        <w:tc>
          <w:tcPr>
            <w:tcW w:w="156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$972,558</w:t>
            </w:r>
          </w:p>
        </w:tc>
        <w:tc>
          <w:tcPr>
            <w:tcW w:w="11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$695,096</w:t>
            </w:r>
          </w:p>
        </w:tc>
        <w:tc>
          <w:tcPr>
            <w:tcW w:w="0" w:type="dxa"/>
            <w:vAlign w:val="bottom"/>
          </w:tcPr>
          <w:p>
            <w:pPr>
              <w:spacing w:after="0"/>
              <w:rPr>
                <w:sz w:val="1"/>
                <w:szCs w:val="1"/>
                <w:color w:val="auto"/>
              </w:rPr>
            </w:pPr>
          </w:p>
        </w:tc>
      </w:tr>
      <w:tr>
        <w:trPr>
          <w:trHeight w:val="198"/>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Variable</w:t>
            </w:r>
          </w:p>
        </w:tc>
        <w:tc>
          <w:tcPr>
            <w:tcW w:w="2080" w:type="dxa"/>
            <w:vAlign w:val="bottom"/>
            <w:tcBorders>
              <w:bottom w:val="single" w:sz="8" w:color="B2B2B2"/>
            </w:tcBorders>
          </w:tcPr>
          <w:p>
            <w:pPr>
              <w:spacing w:after="0"/>
              <w:rPr>
                <w:sz w:val="17"/>
                <w:szCs w:val="17"/>
                <w:color w:val="auto"/>
              </w:rPr>
            </w:pPr>
          </w:p>
        </w:tc>
        <w:tc>
          <w:tcPr>
            <w:tcW w:w="1560" w:type="dxa"/>
            <w:vAlign w:val="bottom"/>
            <w:tcBorders>
              <w:bottom w:val="single" w:sz="8" w:color="B2B2B2"/>
            </w:tcBorders>
          </w:tcPr>
          <w:p>
            <w:pPr>
              <w:spacing w:after="0"/>
              <w:rPr>
                <w:sz w:val="17"/>
                <w:szCs w:val="17"/>
                <w:color w:val="auto"/>
              </w:rPr>
            </w:pPr>
          </w:p>
        </w:tc>
        <w:tc>
          <w:tcPr>
            <w:tcW w:w="114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Short-term incentive</w:t>
            </w:r>
          </w:p>
        </w:tc>
        <w:tc>
          <w:tcPr>
            <w:tcW w:w="2080" w:type="dxa"/>
            <w:vAlign w:val="bottom"/>
            <w:tcBorders>
              <w:bottom w:val="single" w:sz="8" w:color="B2B2B2"/>
            </w:tcBorders>
          </w:tcPr>
          <w:p>
            <w:pPr>
              <w:jc w:val="right"/>
              <w:ind w:right="368"/>
              <w:spacing w:after="0"/>
              <w:rPr>
                <w:sz w:val="20"/>
                <w:szCs w:val="20"/>
                <w:color w:val="auto"/>
              </w:rPr>
            </w:pPr>
            <w:r>
              <w:rPr>
                <w:rFonts w:ascii="Arial" w:cs="Arial" w:eastAsia="Arial" w:hAnsi="Arial"/>
                <w:sz w:val="14"/>
                <w:szCs w:val="14"/>
                <w:color w:val="auto"/>
              </w:rPr>
              <w:t>1,226,082</w:t>
            </w:r>
          </w:p>
        </w:tc>
        <w:tc>
          <w:tcPr>
            <w:tcW w:w="156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1,234,027</w:t>
            </w:r>
          </w:p>
        </w:tc>
        <w:tc>
          <w:tcPr>
            <w:tcW w:w="11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417,057</w:t>
            </w:r>
          </w:p>
        </w:tc>
        <w:tc>
          <w:tcPr>
            <w:tcW w:w="0" w:type="dxa"/>
            <w:vAlign w:val="bottom"/>
          </w:tcPr>
          <w:p>
            <w:pPr>
              <w:spacing w:after="0"/>
              <w:rPr>
                <w:sz w:val="1"/>
                <w:szCs w:val="1"/>
                <w:color w:val="auto"/>
              </w:rPr>
            </w:pPr>
          </w:p>
        </w:tc>
      </w:tr>
      <w:tr>
        <w:trPr>
          <w:trHeight w:val="195"/>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Long-term incentive</w:t>
            </w:r>
          </w:p>
        </w:tc>
        <w:tc>
          <w:tcPr>
            <w:tcW w:w="2080" w:type="dxa"/>
            <w:vAlign w:val="bottom"/>
            <w:tcBorders>
              <w:bottom w:val="single" w:sz="8" w:color="B2B2B2"/>
            </w:tcBorders>
          </w:tcPr>
          <w:p>
            <w:pPr>
              <w:spacing w:after="0"/>
              <w:rPr>
                <w:sz w:val="16"/>
                <w:szCs w:val="16"/>
                <w:color w:val="auto"/>
              </w:rPr>
            </w:pPr>
          </w:p>
        </w:tc>
        <w:tc>
          <w:tcPr>
            <w:tcW w:w="1560" w:type="dxa"/>
            <w:vAlign w:val="bottom"/>
            <w:tcBorders>
              <w:bottom w:val="single" w:sz="8" w:color="B2B2B2"/>
            </w:tcBorders>
          </w:tcPr>
          <w:p>
            <w:pPr>
              <w:spacing w:after="0"/>
              <w:rPr>
                <w:sz w:val="16"/>
                <w:szCs w:val="16"/>
                <w:color w:val="auto"/>
              </w:rPr>
            </w:pPr>
          </w:p>
        </w:tc>
        <w:tc>
          <w:tcPr>
            <w:tcW w:w="114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tcPr>
          <w:p>
            <w:pPr>
              <w:ind w:left="180"/>
              <w:spacing w:after="0"/>
              <w:rPr>
                <w:sz w:val="20"/>
                <w:szCs w:val="20"/>
                <w:color w:val="auto"/>
              </w:rPr>
            </w:pPr>
            <w:r>
              <w:rPr>
                <w:rFonts w:ascii="Arial" w:cs="Arial" w:eastAsia="Arial" w:hAnsi="Arial"/>
                <w:sz w:val="14"/>
                <w:szCs w:val="14"/>
                <w:color w:val="auto"/>
              </w:rPr>
              <w:t>PSUs</w:t>
            </w:r>
          </w:p>
        </w:tc>
        <w:tc>
          <w:tcPr>
            <w:tcW w:w="2080" w:type="dxa"/>
            <w:vAlign w:val="bottom"/>
            <w:vMerge w:val="restart"/>
          </w:tcPr>
          <w:p>
            <w:pPr>
              <w:jc w:val="right"/>
              <w:ind w:right="368"/>
              <w:spacing w:after="0"/>
              <w:rPr>
                <w:sz w:val="20"/>
                <w:szCs w:val="20"/>
                <w:color w:val="auto"/>
              </w:rPr>
            </w:pPr>
            <w:r>
              <w:rPr>
                <w:rFonts w:ascii="Arial" w:cs="Arial" w:eastAsia="Arial" w:hAnsi="Arial"/>
                <w:sz w:val="14"/>
                <w:szCs w:val="14"/>
                <w:color w:val="auto"/>
              </w:rPr>
              <w:t>2,605,150</w:t>
            </w:r>
          </w:p>
        </w:tc>
        <w:tc>
          <w:tcPr>
            <w:tcW w:w="1560" w:type="dxa"/>
            <w:vAlign w:val="bottom"/>
            <w:vMerge w:val="restart"/>
          </w:tcPr>
          <w:p>
            <w:pPr>
              <w:jc w:val="right"/>
              <w:ind w:right="328"/>
              <w:spacing w:after="0"/>
              <w:rPr>
                <w:sz w:val="20"/>
                <w:szCs w:val="20"/>
                <w:color w:val="auto"/>
              </w:rPr>
            </w:pPr>
            <w:r>
              <w:rPr>
                <w:rFonts w:ascii="Arial" w:cs="Arial" w:eastAsia="Arial" w:hAnsi="Arial"/>
                <w:sz w:val="14"/>
                <w:szCs w:val="14"/>
                <w:color w:val="auto"/>
              </w:rPr>
              <w:t>1,680,642</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1,390,191</w:t>
            </w:r>
          </w:p>
        </w:tc>
        <w:tc>
          <w:tcPr>
            <w:tcW w:w="0" w:type="dxa"/>
            <w:vAlign w:val="bottom"/>
          </w:tcPr>
          <w:p>
            <w:pPr>
              <w:spacing w:after="0"/>
              <w:rPr>
                <w:sz w:val="1"/>
                <w:szCs w:val="1"/>
                <w:color w:val="auto"/>
              </w:rPr>
            </w:pPr>
          </w:p>
        </w:tc>
      </w:tr>
      <w:tr>
        <w:trPr>
          <w:trHeight w:val="58"/>
        </w:trPr>
        <w:tc>
          <w:tcPr>
            <w:tcW w:w="342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vMerge w:val="continue"/>
          </w:tcPr>
          <w:p>
            <w:pPr>
              <w:spacing w:after="0"/>
              <w:rPr>
                <w:sz w:val="5"/>
                <w:szCs w:val="5"/>
                <w:color w:val="auto"/>
              </w:rPr>
            </w:pPr>
          </w:p>
        </w:tc>
        <w:tc>
          <w:tcPr>
            <w:tcW w:w="1560" w:type="dxa"/>
            <w:vAlign w:val="bottom"/>
            <w:tcBorders>
              <w:bottom w:val="single" w:sz="8" w:color="B2B2B2"/>
            </w:tcBorders>
            <w:vMerge w:val="continue"/>
          </w:tcPr>
          <w:p>
            <w:pPr>
              <w:spacing w:after="0"/>
              <w:rPr>
                <w:sz w:val="5"/>
                <w:szCs w:val="5"/>
                <w:color w:val="auto"/>
              </w:rPr>
            </w:pPr>
          </w:p>
        </w:tc>
        <w:tc>
          <w:tcPr>
            <w:tcW w:w="1140" w:type="dxa"/>
            <w:vAlign w:val="bottom"/>
            <w:tcBorders>
              <w:bottom w:val="single" w:sz="8" w:color="B2B2B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420" w:type="dxa"/>
            <w:vAlign w:val="bottom"/>
            <w:tcBorders>
              <w:bottom w:val="single" w:sz="8" w:color="B2B2B2"/>
            </w:tcBorders>
          </w:tcPr>
          <w:p>
            <w:pPr>
              <w:ind w:left="180"/>
              <w:spacing w:after="0"/>
              <w:rPr>
                <w:sz w:val="20"/>
                <w:szCs w:val="20"/>
                <w:color w:val="auto"/>
              </w:rPr>
            </w:pPr>
            <w:r>
              <w:rPr>
                <w:rFonts w:ascii="Arial" w:cs="Arial" w:eastAsia="Arial" w:hAnsi="Arial"/>
                <w:sz w:val="14"/>
                <w:szCs w:val="14"/>
                <w:color w:val="auto"/>
              </w:rPr>
              <w:t>RSUs</w:t>
            </w:r>
          </w:p>
        </w:tc>
        <w:tc>
          <w:tcPr>
            <w:tcW w:w="2080" w:type="dxa"/>
            <w:vAlign w:val="bottom"/>
            <w:tcBorders>
              <w:bottom w:val="single" w:sz="8" w:color="B2B2B2"/>
            </w:tcBorders>
          </w:tcPr>
          <w:p>
            <w:pPr>
              <w:jc w:val="right"/>
              <w:ind w:right="368"/>
              <w:spacing w:after="0"/>
              <w:rPr>
                <w:sz w:val="20"/>
                <w:szCs w:val="20"/>
                <w:color w:val="auto"/>
              </w:rPr>
            </w:pPr>
            <w:r>
              <w:rPr>
                <w:rFonts w:ascii="Arial" w:cs="Arial" w:eastAsia="Arial" w:hAnsi="Arial"/>
                <w:sz w:val="14"/>
                <w:szCs w:val="14"/>
                <w:color w:val="auto"/>
              </w:rPr>
              <w:t>1,116,493</w:t>
            </w:r>
          </w:p>
        </w:tc>
        <w:tc>
          <w:tcPr>
            <w:tcW w:w="156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896,637</w:t>
            </w:r>
          </w:p>
        </w:tc>
        <w:tc>
          <w:tcPr>
            <w:tcW w:w="11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2,699,400</w:t>
            </w:r>
          </w:p>
        </w:tc>
        <w:tc>
          <w:tcPr>
            <w:tcW w:w="0" w:type="dxa"/>
            <w:vAlign w:val="bottom"/>
          </w:tcPr>
          <w:p>
            <w:pPr>
              <w:spacing w:after="0"/>
              <w:rPr>
                <w:sz w:val="1"/>
                <w:szCs w:val="1"/>
                <w:color w:val="auto"/>
              </w:rPr>
            </w:pPr>
          </w:p>
        </w:tc>
      </w:tr>
      <w:tr>
        <w:trPr>
          <w:trHeight w:val="198"/>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Total direct compensation</w:t>
            </w:r>
          </w:p>
        </w:tc>
        <w:tc>
          <w:tcPr>
            <w:tcW w:w="2080" w:type="dxa"/>
            <w:vAlign w:val="bottom"/>
            <w:tcBorders>
              <w:bottom w:val="single" w:sz="8" w:color="B2B2B2"/>
            </w:tcBorders>
          </w:tcPr>
          <w:p>
            <w:pPr>
              <w:jc w:val="right"/>
              <w:ind w:right="368"/>
              <w:spacing w:after="0"/>
              <w:rPr>
                <w:sz w:val="20"/>
                <w:szCs w:val="20"/>
                <w:color w:val="auto"/>
              </w:rPr>
            </w:pPr>
            <w:r>
              <w:rPr>
                <w:rFonts w:ascii="Arial" w:cs="Arial" w:eastAsia="Arial" w:hAnsi="Arial"/>
                <w:sz w:val="14"/>
                <w:szCs w:val="14"/>
                <w:b w:val="1"/>
                <w:bCs w:val="1"/>
                <w:color w:val="auto"/>
              </w:rPr>
              <w:t>$5,975,108</w:t>
            </w:r>
          </w:p>
        </w:tc>
        <w:tc>
          <w:tcPr>
            <w:tcW w:w="156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b w:val="1"/>
                <w:bCs w:val="1"/>
                <w:color w:val="auto"/>
              </w:rPr>
              <w:t>$4,783,864</w:t>
            </w:r>
          </w:p>
        </w:tc>
        <w:tc>
          <w:tcPr>
            <w:tcW w:w="114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$5,201,744</w:t>
            </w:r>
          </w:p>
        </w:tc>
        <w:tc>
          <w:tcPr>
            <w:tcW w:w="0" w:type="dxa"/>
            <w:vAlign w:val="bottom"/>
          </w:tcPr>
          <w:p>
            <w:pPr>
              <w:spacing w:after="0"/>
              <w:rPr>
                <w:sz w:val="1"/>
                <w:szCs w:val="1"/>
                <w:color w:val="auto"/>
              </w:rPr>
            </w:pPr>
          </w:p>
        </w:tc>
      </w:tr>
      <w:tr>
        <w:trPr>
          <w:trHeight w:val="195"/>
        </w:trPr>
        <w:tc>
          <w:tcPr>
            <w:tcW w:w="3420" w:type="dxa"/>
            <w:vAlign w:val="bottom"/>
            <w:tcBorders>
              <w:bottom w:val="single" w:sz="8" w:color="0D64EF"/>
            </w:tcBorders>
          </w:tcPr>
          <w:p>
            <w:pPr>
              <w:ind w:left="20"/>
              <w:spacing w:after="0"/>
              <w:rPr>
                <w:sz w:val="20"/>
                <w:szCs w:val="20"/>
                <w:color w:val="auto"/>
              </w:rPr>
            </w:pPr>
            <w:r>
              <w:rPr>
                <w:rFonts w:ascii="Arial" w:cs="Arial" w:eastAsia="Arial" w:hAnsi="Arial"/>
                <w:sz w:val="14"/>
                <w:szCs w:val="14"/>
                <w:b w:val="1"/>
                <w:bCs w:val="1"/>
                <w:color w:val="auto"/>
              </w:rPr>
              <w:t>Change from last year</w:t>
            </w:r>
          </w:p>
        </w:tc>
        <w:tc>
          <w:tcPr>
            <w:tcW w:w="2080" w:type="dxa"/>
            <w:vAlign w:val="bottom"/>
            <w:tcBorders>
              <w:bottom w:val="single" w:sz="8" w:color="0D64EF"/>
            </w:tcBorders>
          </w:tcPr>
          <w:p>
            <w:pPr>
              <w:jc w:val="right"/>
              <w:ind w:right="368"/>
              <w:spacing w:after="0"/>
              <w:rPr>
                <w:sz w:val="20"/>
                <w:szCs w:val="20"/>
                <w:color w:val="auto"/>
              </w:rPr>
            </w:pPr>
            <w:r>
              <w:rPr>
                <w:rFonts w:ascii="Arial" w:cs="Arial" w:eastAsia="Arial" w:hAnsi="Arial"/>
                <w:sz w:val="14"/>
                <w:szCs w:val="14"/>
                <w:b w:val="1"/>
                <w:bCs w:val="1"/>
                <w:color w:val="auto"/>
              </w:rPr>
              <w:t>25 %</w:t>
            </w:r>
          </w:p>
        </w:tc>
        <w:tc>
          <w:tcPr>
            <w:tcW w:w="1560" w:type="dxa"/>
            <w:vAlign w:val="bottom"/>
            <w:tcBorders>
              <w:bottom w:val="single" w:sz="8" w:color="0D64EF"/>
            </w:tcBorders>
          </w:tcPr>
          <w:p>
            <w:pPr>
              <w:jc w:val="right"/>
              <w:ind w:right="328"/>
              <w:spacing w:after="0"/>
              <w:rPr>
                <w:sz w:val="20"/>
                <w:szCs w:val="20"/>
                <w:color w:val="auto"/>
              </w:rPr>
            </w:pPr>
            <w:r>
              <w:rPr>
                <w:rFonts w:ascii="Arial" w:cs="Arial" w:eastAsia="Arial" w:hAnsi="Arial"/>
                <w:sz w:val="14"/>
                <w:szCs w:val="14"/>
                <w:b w:val="1"/>
                <w:bCs w:val="1"/>
                <w:color w:val="auto"/>
              </w:rPr>
              <w:t>-8 %</w:t>
            </w:r>
          </w:p>
        </w:tc>
        <w:tc>
          <w:tcPr>
            <w:tcW w:w="1140" w:type="dxa"/>
            <w:vAlign w:val="bottom"/>
            <w:tcBorders>
              <w:bottom w:val="single" w:sz="8" w:color="0D64E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-1270635</wp:posOffset>
            </wp:positionV>
            <wp:extent cx="8255" cy="12712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1271270"/>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-1270635</wp:posOffset>
            </wp:positionV>
            <wp:extent cx="1715135" cy="30968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513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D64EF"/>
        </w:rPr>
        <w:t>Share ownership</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60" w:type="dxa"/>
            <w:vAlign w:val="bottom"/>
            <w:tcBorders>
              <w:top w:val="single" w:sz="8" w:color="0D64EF"/>
              <w:bottom w:val="single" w:sz="8" w:color="D1D0CF"/>
            </w:tcBorders>
            <w:shd w:val="clear" w:color="auto" w:fill="D1D0CF"/>
          </w:tcPr>
          <w:p>
            <w:pPr>
              <w:jc w:val="right"/>
              <w:ind w:right="188"/>
              <w:spacing w:after="0"/>
              <w:rPr>
                <w:sz w:val="20"/>
                <w:szCs w:val="20"/>
                <w:color w:val="auto"/>
              </w:rPr>
            </w:pPr>
            <w:r>
              <w:rPr>
                <w:rFonts w:ascii="Arial" w:cs="Arial" w:eastAsia="Arial" w:hAnsi="Arial"/>
                <w:sz w:val="14"/>
                <w:szCs w:val="14"/>
                <w:b w:val="1"/>
                <w:bCs w:val="1"/>
                <w:color w:val="auto"/>
              </w:rPr>
              <w:t>Minimum</w:t>
            </w:r>
          </w:p>
        </w:tc>
        <w:tc>
          <w:tcPr>
            <w:tcW w:w="1000" w:type="dxa"/>
            <w:vAlign w:val="bottom"/>
            <w:tcBorders>
              <w:top w:val="single" w:sz="8" w:color="0D64EF"/>
              <w:bottom w:val="single" w:sz="8" w:color="D1D0CF"/>
            </w:tcBorders>
            <w:shd w:val="clear" w:color="auto" w:fill="D1D0CF"/>
          </w:tcPr>
          <w:p>
            <w:pPr>
              <w:spacing w:after="0"/>
              <w:rPr>
                <w:sz w:val="21"/>
                <w:szCs w:val="21"/>
                <w:color w:val="auto"/>
              </w:rPr>
            </w:pPr>
          </w:p>
        </w:tc>
        <w:tc>
          <w:tcPr>
            <w:tcW w:w="4740" w:type="dxa"/>
            <w:vAlign w:val="bottom"/>
            <w:tcBorders>
              <w:top w:val="single" w:sz="8" w:color="0D64EF"/>
              <w:bottom w:val="single" w:sz="8" w:color="D1D0CF"/>
            </w:tcBorders>
            <w:gridSpan w:val="2"/>
            <w:shd w:val="clear" w:color="auto" w:fill="D1D0CF"/>
          </w:tcPr>
          <w:p>
            <w:pPr>
              <w:jc w:val="right"/>
              <w:ind w:right="1188"/>
              <w:spacing w:after="0"/>
              <w:rPr>
                <w:sz w:val="20"/>
                <w:szCs w:val="20"/>
                <w:color w:val="auto"/>
              </w:rPr>
            </w:pPr>
            <w:r>
              <w:rPr>
                <w:rFonts w:ascii="Arial" w:cs="Arial" w:eastAsia="Arial" w:hAnsi="Arial"/>
                <w:sz w:val="14"/>
                <w:szCs w:val="14"/>
                <w:b w:val="1"/>
                <w:bCs w:val="1"/>
                <w:color w:val="auto"/>
              </w:rPr>
              <w:t>Ownership under the guidelines</w:t>
            </w:r>
            <w:r>
              <w:rPr>
                <w:rFonts w:ascii="Arial" w:cs="Arial" w:eastAsia="Arial" w:hAnsi="Arial"/>
                <w:sz w:val="18"/>
                <w:szCs w:val="18"/>
                <w:b w:val="1"/>
                <w:bCs w:val="1"/>
                <w:color w:val="auto"/>
                <w:vertAlign w:val="superscript"/>
              </w:rPr>
              <w:t>3</w:t>
            </w:r>
          </w:p>
        </w:tc>
      </w:tr>
      <w:tr>
        <w:trPr>
          <w:trHeight w:val="141"/>
        </w:trPr>
        <w:tc>
          <w:tcPr>
            <w:tcW w:w="2460" w:type="dxa"/>
            <w:vAlign w:val="bottom"/>
            <w:tcBorders>
              <w:top w:val="single" w:sz="8" w:color="D1D0CF"/>
            </w:tcBorders>
            <w:shd w:val="clear" w:color="auto" w:fill="D1D0CF"/>
          </w:tcPr>
          <w:p>
            <w:pPr>
              <w:jc w:val="right"/>
              <w:ind w:right="188"/>
              <w:spacing w:after="0" w:line="141" w:lineRule="exact"/>
              <w:rPr>
                <w:sz w:val="20"/>
                <w:szCs w:val="20"/>
                <w:color w:val="auto"/>
              </w:rPr>
            </w:pPr>
            <w:r>
              <w:rPr>
                <w:rFonts w:ascii="Arial" w:cs="Arial" w:eastAsia="Arial" w:hAnsi="Arial"/>
                <w:sz w:val="14"/>
                <w:szCs w:val="14"/>
                <w:b w:val="1"/>
                <w:bCs w:val="1"/>
                <w:color w:val="auto"/>
              </w:rPr>
              <w:t>level of</w:t>
            </w:r>
          </w:p>
        </w:tc>
        <w:tc>
          <w:tcPr>
            <w:tcW w:w="1000" w:type="dxa"/>
            <w:vAlign w:val="bottom"/>
            <w:tcBorders>
              <w:top w:val="single" w:sz="8" w:color="D1D0CF"/>
            </w:tcBorders>
            <w:shd w:val="clear" w:color="auto" w:fill="D1D0CF"/>
          </w:tcPr>
          <w:p>
            <w:pPr>
              <w:jc w:val="right"/>
              <w:spacing w:after="0" w:line="141" w:lineRule="exact"/>
              <w:rPr>
                <w:sz w:val="20"/>
                <w:szCs w:val="20"/>
                <w:color w:val="auto"/>
              </w:rPr>
            </w:pPr>
            <w:r>
              <w:rPr>
                <w:rFonts w:ascii="Arial" w:cs="Arial" w:eastAsia="Arial" w:hAnsi="Arial"/>
                <w:sz w:val="14"/>
                <w:szCs w:val="14"/>
                <w:b w:val="1"/>
                <w:bCs w:val="1"/>
                <w:color w:val="auto"/>
              </w:rPr>
              <w:t>Minimum</w:t>
            </w:r>
          </w:p>
        </w:tc>
        <w:tc>
          <w:tcPr>
            <w:tcW w:w="2140" w:type="dxa"/>
            <w:vAlign w:val="bottom"/>
            <w:tcBorders>
              <w:top w:val="single" w:sz="8" w:color="0D64EF"/>
            </w:tcBorders>
            <w:shd w:val="clear" w:color="auto" w:fill="D1D0CF"/>
          </w:tcPr>
          <w:p>
            <w:pPr>
              <w:jc w:val="right"/>
              <w:ind w:right="508"/>
              <w:spacing w:after="0" w:line="141" w:lineRule="exact"/>
              <w:rPr>
                <w:sz w:val="20"/>
                <w:szCs w:val="20"/>
                <w:color w:val="auto"/>
              </w:rPr>
            </w:pPr>
            <w:r>
              <w:rPr>
                <w:rFonts w:ascii="Arial" w:cs="Arial" w:eastAsia="Arial" w:hAnsi="Arial"/>
                <w:sz w:val="14"/>
                <w:szCs w:val="14"/>
                <w:b w:val="1"/>
                <w:bCs w:val="1"/>
                <w:color w:val="auto"/>
              </w:rPr>
              <w:t>TC Energy</w:t>
            </w:r>
          </w:p>
        </w:tc>
        <w:tc>
          <w:tcPr>
            <w:tcW w:w="2600" w:type="dxa"/>
            <w:vAlign w:val="bottom"/>
            <w:tcBorders>
              <w:top w:val="single" w:sz="8" w:color="0D64EF"/>
            </w:tcBorders>
            <w:shd w:val="clear" w:color="auto" w:fill="D1D0CF"/>
          </w:tcPr>
          <w:p>
            <w:pPr>
              <w:jc w:val="right"/>
              <w:spacing w:after="0" w:line="141" w:lineRule="exact"/>
              <w:rPr>
                <w:sz w:val="20"/>
                <w:szCs w:val="20"/>
                <w:color w:val="auto"/>
              </w:rPr>
            </w:pPr>
            <w:r>
              <w:rPr>
                <w:rFonts w:ascii="Arial" w:cs="Arial" w:eastAsia="Arial" w:hAnsi="Arial"/>
                <w:sz w:val="14"/>
                <w:szCs w:val="14"/>
                <w:b w:val="1"/>
                <w:bCs w:val="1"/>
                <w:color w:val="auto"/>
              </w:rPr>
              <w:t>Total ownership as a multiple</w:t>
            </w:r>
          </w:p>
        </w:tc>
      </w:tr>
      <w:tr>
        <w:trPr>
          <w:trHeight w:val="233"/>
        </w:trPr>
        <w:tc>
          <w:tcPr>
            <w:tcW w:w="2460" w:type="dxa"/>
            <w:vAlign w:val="bottom"/>
            <w:tcBorders>
              <w:bottom w:val="single" w:sz="8" w:color="D1D0CF"/>
            </w:tcBorders>
            <w:shd w:val="clear" w:color="auto" w:fill="D1D0CF"/>
          </w:tcPr>
          <w:p>
            <w:pPr>
              <w:jc w:val="right"/>
              <w:ind w:right="188"/>
              <w:spacing w:after="0"/>
              <w:rPr>
                <w:sz w:val="20"/>
                <w:szCs w:val="20"/>
                <w:color w:val="auto"/>
              </w:rPr>
            </w:pPr>
            <w:r>
              <w:rPr>
                <w:rFonts w:ascii="Arial" w:cs="Arial" w:eastAsia="Arial" w:hAnsi="Arial"/>
                <w:sz w:val="14"/>
                <w:szCs w:val="14"/>
                <w:b w:val="1"/>
                <w:bCs w:val="1"/>
                <w:color w:val="auto"/>
              </w:rPr>
              <w:t>ownership</w:t>
            </w:r>
          </w:p>
        </w:tc>
        <w:tc>
          <w:tcPr>
            <w:tcW w:w="1000" w:type="dxa"/>
            <w:vAlign w:val="bottom"/>
            <w:tcBorders>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value</w:t>
            </w:r>
          </w:p>
        </w:tc>
        <w:tc>
          <w:tcPr>
            <w:tcW w:w="2140" w:type="dxa"/>
            <w:vAlign w:val="bottom"/>
            <w:tcBorders>
              <w:bottom w:val="single" w:sz="8" w:color="D1D0CF"/>
            </w:tcBorders>
            <w:shd w:val="clear" w:color="auto" w:fill="D1D0CF"/>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2600" w:type="dxa"/>
            <w:vAlign w:val="bottom"/>
            <w:tcBorders>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of base salary</w:t>
            </w:r>
          </w:p>
        </w:tc>
      </w:tr>
      <w:tr>
        <w:trPr>
          <w:trHeight w:val="231"/>
        </w:trPr>
        <w:tc>
          <w:tcPr>
            <w:tcW w:w="2460" w:type="dxa"/>
            <w:vAlign w:val="bottom"/>
            <w:tcBorders>
              <w:top w:val="single" w:sz="8" w:color="0D64EF"/>
              <w:bottom w:val="single" w:sz="8" w:color="0D64EF"/>
            </w:tcBorders>
          </w:tcPr>
          <w:p>
            <w:pPr>
              <w:jc w:val="right"/>
              <w:ind w:right="188"/>
              <w:spacing w:after="0"/>
              <w:rPr>
                <w:sz w:val="20"/>
                <w:szCs w:val="20"/>
                <w:color w:val="auto"/>
              </w:rPr>
            </w:pPr>
            <w:r>
              <w:rPr>
                <w:rFonts w:ascii="Arial" w:cs="Arial" w:eastAsia="Arial" w:hAnsi="Arial"/>
                <w:sz w:val="14"/>
                <w:szCs w:val="14"/>
                <w:color w:val="auto"/>
              </w:rPr>
              <w:t>3x</w:t>
            </w:r>
          </w:p>
        </w:tc>
        <w:tc>
          <w:tcPr>
            <w:tcW w:w="1000" w:type="dxa"/>
            <w:vAlign w:val="bottom"/>
            <w:tcBorders>
              <w:top w:val="single" w:sz="8" w:color="0D64EF"/>
              <w:bottom w:val="single" w:sz="8" w:color="0D64EF"/>
            </w:tcBorders>
          </w:tcPr>
          <w:p>
            <w:pPr>
              <w:jc w:val="right"/>
              <w:spacing w:after="0"/>
              <w:rPr>
                <w:sz w:val="20"/>
                <w:szCs w:val="20"/>
                <w:color w:val="auto"/>
              </w:rPr>
            </w:pPr>
            <w:r>
              <w:rPr>
                <w:rFonts w:ascii="Arial" w:cs="Arial" w:eastAsia="Arial" w:hAnsi="Arial"/>
                <w:sz w:val="14"/>
                <w:szCs w:val="14"/>
                <w:color w:val="auto"/>
              </w:rPr>
              <w:t>$3,082,149</w:t>
            </w:r>
          </w:p>
        </w:tc>
        <w:tc>
          <w:tcPr>
            <w:tcW w:w="2140" w:type="dxa"/>
            <w:vAlign w:val="bottom"/>
            <w:tcBorders>
              <w:top w:val="single" w:sz="8" w:color="0D64EF"/>
              <w:bottom w:val="single" w:sz="8" w:color="0D64EF"/>
            </w:tcBorders>
          </w:tcPr>
          <w:p>
            <w:pPr>
              <w:jc w:val="right"/>
              <w:ind w:right="468"/>
              <w:spacing w:after="0"/>
              <w:rPr>
                <w:sz w:val="20"/>
                <w:szCs w:val="20"/>
                <w:color w:val="auto"/>
              </w:rPr>
            </w:pPr>
            <w:r>
              <w:rPr>
                <w:rFonts w:ascii="Arial" w:cs="Arial" w:eastAsia="Arial" w:hAnsi="Arial"/>
                <w:sz w:val="14"/>
                <w:szCs w:val="14"/>
                <w:color w:val="auto"/>
              </w:rPr>
              <w:t>$3,987,565</w:t>
            </w:r>
          </w:p>
        </w:tc>
        <w:tc>
          <w:tcPr>
            <w:tcW w:w="2600" w:type="dxa"/>
            <w:vAlign w:val="bottom"/>
            <w:tcBorders>
              <w:top w:val="single" w:sz="8" w:color="0D64EF"/>
              <w:bottom w:val="single" w:sz="8" w:color="0D64EF"/>
            </w:tcBorders>
          </w:tcPr>
          <w:p>
            <w:pPr>
              <w:jc w:val="right"/>
              <w:spacing w:after="0"/>
              <w:rPr>
                <w:sz w:val="20"/>
                <w:szCs w:val="20"/>
                <w:color w:val="auto"/>
              </w:rPr>
            </w:pPr>
            <w:r>
              <w:rPr>
                <w:rFonts w:ascii="Arial" w:cs="Arial" w:eastAsia="Arial" w:hAnsi="Arial"/>
                <w:sz w:val="14"/>
                <w:szCs w:val="14"/>
                <w:color w:val="auto"/>
              </w:rPr>
              <w:t>3.9x</w:t>
            </w:r>
          </w:p>
        </w:tc>
      </w:tr>
    </w:tbl>
    <w:p>
      <w:pPr>
        <w:spacing w:after="0" w:line="75" w:lineRule="exact"/>
        <w:rPr>
          <w:sz w:val="20"/>
          <w:szCs w:val="20"/>
          <w:color w:val="auto"/>
        </w:rPr>
      </w:pPr>
    </w:p>
    <w:p>
      <w:pPr>
        <w:sectPr>
          <w:pgSz w:w="11900" w:h="16838" w:orient="portrait"/>
          <w:cols w:equalWidth="0" w:num="2">
            <w:col w:w="2680" w:space="340"/>
            <w:col w:w="8200"/>
          </w:cols>
          <w:pgMar w:left="340" w:top="1142" w:right="339" w:bottom="1440" w:gutter="0" w:footer="0" w:header="0"/>
        </w:sectPr>
      </w:pPr>
    </w:p>
    <w:p>
      <w:pPr>
        <w:ind w:left="80" w:hanging="75"/>
        <w:spacing w:after="0"/>
        <w:tabs>
          <w:tab w:leader="none" w:pos="80" w:val="left"/>
        </w:tabs>
        <w:numPr>
          <w:ilvl w:val="0"/>
          <w:numId w:val="143"/>
        </w:numPr>
        <w:rPr>
          <w:rFonts w:ascii="Arial" w:cs="Arial" w:eastAsia="Arial" w:hAnsi="Arial"/>
          <w:sz w:val="18"/>
          <w:szCs w:val="18"/>
          <w:color w:val="auto"/>
          <w:vertAlign w:val="superscript"/>
        </w:rPr>
      </w:pPr>
      <w:r>
        <w:rPr>
          <w:rFonts w:ascii="Arial" w:cs="Arial" w:eastAsia="Arial" w:hAnsi="Arial"/>
          <w:sz w:val="12"/>
          <w:szCs w:val="12"/>
          <w:color w:val="auto"/>
        </w:rPr>
        <w:t>Values reflect a U.S./Canada foreign exchange rate of 1.3978 in 2025, 1.3698 for 2024 and 1.3497 for 2023.</w:t>
      </w:r>
    </w:p>
    <w:p>
      <w:pPr>
        <w:spacing w:after="0" w:line="48" w:lineRule="exact"/>
        <w:rPr>
          <w:rFonts w:ascii="Arial" w:cs="Arial" w:eastAsia="Arial" w:hAnsi="Arial"/>
          <w:sz w:val="18"/>
          <w:szCs w:val="18"/>
          <w:color w:val="auto"/>
          <w:vertAlign w:val="superscript"/>
        </w:rPr>
      </w:pPr>
    </w:p>
    <w:p>
      <w:pPr>
        <w:ind w:right="6860"/>
        <w:spacing w:after="0" w:line="363"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2"/>
          <w:szCs w:val="12"/>
          <w:color w:val="auto"/>
        </w:rPr>
        <w:t xml:space="preserve"> Long-term incentive displayed at 62% in 2025 Pay Mix chart due to rounding. </w:t>
      </w:r>
      <w:r>
        <w:rPr>
          <w:rFonts w:ascii="Arial" w:cs="Arial" w:eastAsia="Arial" w:hAnsi="Arial"/>
          <w:sz w:val="17"/>
          <w:szCs w:val="17"/>
          <w:color w:val="auto"/>
          <w:vertAlign w:val="superscript"/>
        </w:rPr>
        <w:t>3</w:t>
      </w:r>
      <w:r>
        <w:rPr>
          <w:rFonts w:ascii="Arial" w:cs="Arial" w:eastAsia="Arial" w:hAnsi="Arial"/>
          <w:sz w:val="12"/>
          <w:szCs w:val="12"/>
          <w:color w:val="auto"/>
        </w:rPr>
        <w:t xml:space="preserve"> Mr. O'Donnell has met his share ownership requirements in 2025.</w:t>
      </w:r>
    </w:p>
    <w:p>
      <w:pPr>
        <w:sectPr>
          <w:pgSz w:w="11900" w:h="16838" w:orient="portrait"/>
          <w:cols w:equalWidth="0" w:num="1">
            <w:col w:w="11220"/>
          </w:cols>
          <w:pgMar w:left="340" w:top="114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109</w:t>
      </w:r>
    </w:p>
    <w:p>
      <w:pPr>
        <w:sectPr>
          <w:pgSz w:w="11900" w:h="16838" w:orient="portrait"/>
          <w:cols w:equalWidth="0" w:num="1">
            <w:col w:w="11220"/>
          </w:cols>
          <w:pgMar w:left="340" w:top="1142" w:right="339" w:bottom="1440" w:gutter="0" w:footer="0" w:header="0"/>
          <w:type w:val="continuous"/>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429895</wp:posOffset>
            </wp:positionH>
            <wp:positionV relativeFrom="page">
              <wp:posOffset>745490</wp:posOffset>
            </wp:positionV>
            <wp:extent cx="1279525" cy="12795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2025 key results</w:t>
      </w:r>
    </w:p>
    <w:p>
      <w:pPr>
        <w:spacing w:after="0" w:line="47" w:lineRule="exact"/>
        <w:rPr>
          <w:sz w:val="20"/>
          <w:szCs w:val="20"/>
          <w:color w:val="auto"/>
        </w:rPr>
      </w:pPr>
    </w:p>
    <w:p>
      <w:pPr>
        <w:ind w:left="180" w:right="20" w:hanging="155"/>
        <w:spacing w:after="0" w:line="264" w:lineRule="auto"/>
        <w:tabs>
          <w:tab w:leader="none" w:pos="16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Achieved record EBITDA</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of $9.958 billion for the North American Natural Gas Pipelines business through operational and commercial excellence</w:t>
      </w:r>
    </w:p>
    <w:p>
      <w:pPr>
        <w:spacing w:after="0" w:line="76" w:lineRule="exact"/>
        <w:rPr>
          <w:rFonts w:ascii="Arial" w:cs="Arial" w:eastAsia="Arial" w:hAnsi="Arial"/>
          <w:sz w:val="14"/>
          <w:szCs w:val="14"/>
          <w:color w:val="auto"/>
        </w:rPr>
      </w:pPr>
    </w:p>
    <w:p>
      <w:pPr>
        <w:ind w:left="180" w:right="180" w:hanging="155"/>
        <w:spacing w:after="0" w:line="301" w:lineRule="auto"/>
        <w:tabs>
          <w:tab w:leader="none" w:pos="16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Delivered record throughput of 75.16 bcf/d on gas assets with a focus on safety and reliability</w:t>
      </w:r>
    </w:p>
    <w:p>
      <w:pPr>
        <w:spacing w:after="0" w:line="52" w:lineRule="exact"/>
        <w:rPr>
          <w:rFonts w:ascii="Arial" w:cs="Arial" w:eastAsia="Arial" w:hAnsi="Arial"/>
          <w:sz w:val="14"/>
          <w:szCs w:val="14"/>
          <w:color w:val="auto"/>
        </w:rPr>
      </w:pPr>
    </w:p>
    <w:p>
      <w:pPr>
        <w:ind w:left="180" w:hanging="155"/>
        <w:spacing w:after="0" w:line="294" w:lineRule="auto"/>
        <w:tabs>
          <w:tab w:leader="none" w:pos="16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Placed approximately $8 billion of growth projects in-service including Southeast Gateway, 15% under budget and on or ahead of schedule</w:t>
      </w:r>
    </w:p>
    <w:p>
      <w:pPr>
        <w:spacing w:after="0" w:line="57" w:lineRule="exact"/>
        <w:rPr>
          <w:rFonts w:ascii="Arial" w:cs="Arial" w:eastAsia="Arial" w:hAnsi="Arial"/>
          <w:sz w:val="14"/>
          <w:szCs w:val="14"/>
          <w:color w:val="auto"/>
        </w:rPr>
      </w:pPr>
    </w:p>
    <w:p>
      <w:pPr>
        <w:ind w:left="180" w:right="60" w:hanging="155"/>
        <w:spacing w:after="0" w:line="287" w:lineRule="auto"/>
        <w:tabs>
          <w:tab w:leader="none" w:pos="16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Secured approximately $3 billion in new growth projects including ANR Northwoods, TCO Connector, Midwest Connector and Multiyear Growth Plan</w:t>
      </w:r>
    </w:p>
    <w:p>
      <w:pPr>
        <w:spacing w:after="0" w:line="62" w:lineRule="exact"/>
        <w:rPr>
          <w:rFonts w:ascii="Arial" w:cs="Arial" w:eastAsia="Arial" w:hAnsi="Arial"/>
          <w:sz w:val="14"/>
          <w:szCs w:val="14"/>
          <w:color w:val="auto"/>
        </w:rPr>
      </w:pPr>
    </w:p>
    <w:p>
      <w:pPr>
        <w:ind w:left="180" w:right="20" w:hanging="155"/>
        <w:spacing w:after="0" w:line="323" w:lineRule="auto"/>
        <w:tabs>
          <w:tab w:leader="none" w:pos="16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Reached a successful resolution on the Columbia Gas rate case</w:t>
      </w:r>
    </w:p>
    <w:p>
      <w:pPr>
        <w:spacing w:after="0" w:line="36" w:lineRule="exact"/>
        <w:rPr>
          <w:rFonts w:ascii="Arial" w:cs="Arial" w:eastAsia="Arial" w:hAnsi="Arial"/>
          <w:sz w:val="14"/>
          <w:szCs w:val="14"/>
          <w:color w:val="auto"/>
        </w:rPr>
      </w:pPr>
    </w:p>
    <w:p>
      <w:pPr>
        <w:ind w:left="180" w:right="280" w:hanging="155"/>
        <w:spacing w:after="0" w:line="291" w:lineRule="auto"/>
        <w:tabs>
          <w:tab w:leader="none" w:pos="16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Supported the first Canadian LNG shipment to global markets—made possible by our Coastal GasLink pipeline, which entered service in November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right="200"/>
        <w:spacing w:after="0" w:line="291" w:lineRule="auto"/>
        <w:rPr>
          <w:sz w:val="20"/>
          <w:szCs w:val="20"/>
          <w:color w:val="auto"/>
        </w:rPr>
      </w:pPr>
      <w:r>
        <w:rPr>
          <w:rFonts w:ascii="Arial" w:cs="Arial" w:eastAsia="Arial" w:hAnsi="Arial"/>
          <w:sz w:val="14"/>
          <w:szCs w:val="14"/>
          <w:i w:val="1"/>
          <w:iCs w:val="1"/>
          <w:color w:val="auto"/>
        </w:rPr>
        <w:t xml:space="preserve">Short-term incentive </w:t>
      </w:r>
      <w:r>
        <w:rPr>
          <w:rFonts w:ascii="Arial" w:cs="Arial" w:eastAsia="Arial" w:hAnsi="Arial"/>
          <w:sz w:val="14"/>
          <w:szCs w:val="14"/>
          <w:color w:val="auto"/>
        </w:rPr>
        <w:t>is attributed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noted financial year, and is paid by March 15 of the following year.</w:t>
      </w:r>
    </w:p>
    <w:p>
      <w:pPr>
        <w:spacing w:after="0" w:line="19" w:lineRule="exact"/>
        <w:rPr>
          <w:sz w:val="20"/>
          <w:szCs w:val="20"/>
          <w:color w:val="auto"/>
        </w:rPr>
      </w:pPr>
    </w:p>
    <w:p>
      <w:pPr>
        <w:ind w:left="20" w:right="180"/>
        <w:spacing w:after="0" w:line="294" w:lineRule="auto"/>
        <w:rPr>
          <w:sz w:val="20"/>
          <w:szCs w:val="20"/>
          <w:color w:val="auto"/>
        </w:rPr>
      </w:pPr>
      <w:r>
        <w:rPr>
          <w:rFonts w:ascii="Arial" w:cs="Arial" w:eastAsia="Arial" w:hAnsi="Arial"/>
          <w:sz w:val="14"/>
          <w:szCs w:val="14"/>
          <w:i w:val="1"/>
          <w:iCs w:val="1"/>
          <w:color w:val="auto"/>
        </w:rPr>
        <w:t xml:space="preserve">Share ownership </w:t>
      </w:r>
      <w:r>
        <w:rPr>
          <w:rFonts w:ascii="Arial" w:cs="Arial" w:eastAsia="Arial" w:hAnsi="Arial"/>
          <w:sz w:val="14"/>
          <w:szCs w:val="14"/>
          <w:color w:val="auto"/>
        </w:rPr>
        <w:t>is based on the 5-day</w:t>
      </w:r>
      <w:r>
        <w:rPr>
          <w:rFonts w:ascii="Arial" w:cs="Arial" w:eastAsia="Arial" w:hAnsi="Arial"/>
          <w:sz w:val="14"/>
          <w:szCs w:val="14"/>
          <w:i w:val="1"/>
          <w:iCs w:val="1"/>
          <w:color w:val="auto"/>
        </w:rPr>
        <w:t xml:space="preserve"> </w:t>
      </w:r>
      <w:r>
        <w:rPr>
          <w:rFonts w:ascii="Arial" w:cs="Arial" w:eastAsia="Arial" w:hAnsi="Arial"/>
          <w:sz w:val="14"/>
          <w:szCs w:val="14"/>
          <w:color w:val="auto"/>
        </w:rPr>
        <w:t>volume-weighted average closing price on the TSX of $76.52 for TC Energy shares at December 31,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color w:val="0D64EF"/>
        </w:rPr>
        <w:t>Tina Faraca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-190500</wp:posOffset>
            </wp:positionV>
            <wp:extent cx="8255" cy="7124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712470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EXECUTIVE VICE-PRESIDENT AND CHIEF OPERATING OFFICER, NATURAL GAS PIPELINES</w:t>
      </w:r>
    </w:p>
    <w:p>
      <w:pPr>
        <w:spacing w:after="0" w:line="286"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Ms. Faraca is responsible for all commercial and operational matters across the company’s North American natural gas transmission and regulated storage business. Ms. Faraca provides strategic direction and oversight to the unified natural gas team, while driving synergies and creating alignment across the organization. Ms. Faraca was appointed Executive Vice-President and Chief Operating Officer, Natural Gas Pipelines on February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51873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8731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60" w:right="280" w:hanging="151"/>
        <w:spacing w:after="0" w:line="297" w:lineRule="auto"/>
        <w:tabs>
          <w:tab w:leader="none" w:pos="13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Ms. Faraca's base salary was increased by 10.5 per cent based on U.S. dollars effective February 1, 2025 to reflect her transition to Executive Vice-President and Chief Operating Officer, Natural Gas Pipelines.</w:t>
      </w:r>
    </w:p>
    <w:p>
      <w:pPr>
        <w:spacing w:after="0" w:line="1" w:lineRule="exact"/>
        <w:rPr>
          <w:rFonts w:ascii="Arial" w:cs="Arial" w:eastAsia="Arial" w:hAnsi="Arial"/>
          <w:sz w:val="16"/>
          <w:szCs w:val="16"/>
          <w:color w:val="auto"/>
        </w:rPr>
      </w:pPr>
    </w:p>
    <w:p>
      <w:pPr>
        <w:ind w:left="140" w:hanging="131"/>
        <w:spacing w:after="0"/>
        <w:tabs>
          <w:tab w:leader="none" w:pos="1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Ms. Faraca's short-term incentive award was entirely based on corporate performance (100 per cent).</w:t>
      </w:r>
    </w:p>
    <w:p>
      <w:pPr>
        <w:spacing w:after="0" w:line="57" w:lineRule="exact"/>
        <w:rPr>
          <w:rFonts w:ascii="Arial" w:cs="Arial" w:eastAsia="Arial" w:hAnsi="Arial"/>
          <w:sz w:val="16"/>
          <w:szCs w:val="16"/>
          <w:color w:val="auto"/>
        </w:rPr>
      </w:pPr>
    </w:p>
    <w:p>
      <w:pPr>
        <w:ind w:left="160" w:right="540" w:hanging="151"/>
        <w:spacing w:after="0" w:line="297" w:lineRule="auto"/>
        <w:tabs>
          <w:tab w:leader="none" w:pos="13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short-term incentive award for 2025 performance was based on Ms. Faraca's target of 80 per cent of base salary.</w:t>
      </w:r>
    </w:p>
    <w:p>
      <w:pPr>
        <w:spacing w:after="0" w:line="1" w:lineRule="exact"/>
        <w:rPr>
          <w:rFonts w:ascii="Arial" w:cs="Arial" w:eastAsia="Arial" w:hAnsi="Arial"/>
          <w:sz w:val="16"/>
          <w:szCs w:val="16"/>
          <w:color w:val="auto"/>
        </w:rPr>
      </w:pPr>
    </w:p>
    <w:p>
      <w:pPr>
        <w:ind w:left="160" w:right="280" w:hanging="151"/>
        <w:spacing w:after="0" w:line="301" w:lineRule="auto"/>
        <w:tabs>
          <w:tab w:leader="none" w:pos="13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Ms. Faraca’s 2025 short-term and long-term incentive awards as a percentage of 2025 base salary were 119 per cent and 375 per cent, respectively.</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326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color w:val="auto"/>
              </w:rPr>
              <w:t>(as at December 31)</w:t>
            </w:r>
            <w:r>
              <w:rPr>
                <w:rFonts w:ascii="Arial" w:cs="Arial" w:eastAsia="Arial" w:hAnsi="Arial"/>
                <w:sz w:val="18"/>
                <w:szCs w:val="18"/>
                <w:color w:val="auto"/>
                <w:vertAlign w:val="superscript"/>
              </w:rPr>
              <w:t>2</w:t>
            </w:r>
          </w:p>
        </w:tc>
        <w:tc>
          <w:tcPr>
            <w:tcW w:w="2080" w:type="dxa"/>
            <w:vAlign w:val="bottom"/>
            <w:tcBorders>
              <w:top w:val="single" w:sz="8" w:color="0D64EF"/>
              <w:bottom w:val="single" w:sz="8" w:color="0D64EF"/>
            </w:tcBorders>
            <w:shd w:val="clear" w:color="auto" w:fill="D1D0CF"/>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640" w:type="dxa"/>
            <w:vAlign w:val="bottom"/>
            <w:tcBorders>
              <w:top w:val="single" w:sz="8" w:color="0D64EF"/>
              <w:bottom w:val="single" w:sz="8" w:color="0D64EF"/>
            </w:tcBorders>
            <w:shd w:val="clear" w:color="auto" w:fill="D1D0CF"/>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18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B2B2B2"/>
            </w:tcBorders>
          </w:tcPr>
          <w:p>
            <w:pPr>
              <w:spacing w:after="0"/>
              <w:rPr>
                <w:sz w:val="20"/>
                <w:szCs w:val="20"/>
                <w:color w:val="auto"/>
              </w:rPr>
            </w:pPr>
            <w:r>
              <w:rPr>
                <w:rFonts w:ascii="Arial" w:cs="Arial" w:eastAsia="Arial" w:hAnsi="Arial"/>
                <w:sz w:val="14"/>
                <w:szCs w:val="14"/>
                <w:b w:val="1"/>
                <w:bCs w:val="1"/>
                <w:color w:val="auto"/>
              </w:rPr>
              <w:t>Fixed</w:t>
            </w:r>
          </w:p>
        </w:tc>
        <w:tc>
          <w:tcPr>
            <w:tcW w:w="2080" w:type="dxa"/>
            <w:vAlign w:val="bottom"/>
            <w:tcBorders>
              <w:bottom w:val="single" w:sz="8" w:color="B2B2B2"/>
            </w:tcBorders>
          </w:tcPr>
          <w:p>
            <w:pPr>
              <w:spacing w:after="0"/>
              <w:rPr>
                <w:sz w:val="17"/>
                <w:szCs w:val="17"/>
                <w:color w:val="auto"/>
              </w:rPr>
            </w:pPr>
          </w:p>
        </w:tc>
        <w:tc>
          <w:tcPr>
            <w:tcW w:w="1640" w:type="dxa"/>
            <w:vAlign w:val="bottom"/>
            <w:tcBorders>
              <w:bottom w:val="single" w:sz="8" w:color="B2B2B2"/>
            </w:tcBorders>
          </w:tcPr>
          <w:p>
            <w:pPr>
              <w:spacing w:after="0"/>
              <w:rPr>
                <w:sz w:val="17"/>
                <w:szCs w:val="17"/>
                <w:color w:val="auto"/>
              </w:rPr>
            </w:pPr>
          </w:p>
        </w:tc>
        <w:tc>
          <w:tcPr>
            <w:tcW w:w="118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Base salary</w:t>
            </w:r>
          </w:p>
        </w:tc>
        <w:tc>
          <w:tcPr>
            <w:tcW w:w="2080" w:type="dxa"/>
            <w:vAlign w:val="bottom"/>
            <w:tcBorders>
              <w:bottom w:val="single" w:sz="8" w:color="B2B2B2"/>
            </w:tcBorders>
          </w:tcPr>
          <w:p>
            <w:pPr>
              <w:jc w:val="right"/>
              <w:ind w:right="428"/>
              <w:spacing w:after="0"/>
              <w:rPr>
                <w:sz w:val="20"/>
                <w:szCs w:val="20"/>
                <w:color w:val="auto"/>
              </w:rPr>
            </w:pPr>
            <w:r>
              <w:rPr>
                <w:rFonts w:ascii="Arial" w:cs="Arial" w:eastAsia="Arial" w:hAnsi="Arial"/>
                <w:sz w:val="14"/>
                <w:szCs w:val="14"/>
                <w:color w:val="auto"/>
              </w:rPr>
              <w:t>$1,027,383</w:t>
            </w:r>
          </w:p>
        </w:tc>
        <w:tc>
          <w:tcPr>
            <w:tcW w:w="1640" w:type="dxa"/>
            <w:vAlign w:val="bottom"/>
            <w:tcBorders>
              <w:bottom w:val="single" w:sz="8" w:color="B2B2B2"/>
            </w:tcBorders>
          </w:tcPr>
          <w:p>
            <w:pPr>
              <w:jc w:val="right"/>
              <w:ind w:right="368"/>
              <w:spacing w:after="0"/>
              <w:rPr>
                <w:sz w:val="20"/>
                <w:szCs w:val="20"/>
                <w:color w:val="auto"/>
              </w:rPr>
            </w:pPr>
            <w:r>
              <w:rPr>
                <w:rFonts w:ascii="Arial" w:cs="Arial" w:eastAsia="Arial" w:hAnsi="Arial"/>
                <w:sz w:val="14"/>
                <w:szCs w:val="14"/>
                <w:color w:val="auto"/>
              </w:rPr>
              <w:t>$910,917</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$776,078</w:t>
            </w:r>
          </w:p>
        </w:tc>
        <w:tc>
          <w:tcPr>
            <w:tcW w:w="0" w:type="dxa"/>
            <w:vAlign w:val="bottom"/>
          </w:tcPr>
          <w:p>
            <w:pPr>
              <w:spacing w:after="0"/>
              <w:rPr>
                <w:sz w:val="1"/>
                <w:szCs w:val="1"/>
                <w:color w:val="auto"/>
              </w:rPr>
            </w:pPr>
          </w:p>
        </w:tc>
      </w:tr>
      <w:tr>
        <w:trPr>
          <w:trHeight w:val="198"/>
        </w:trPr>
        <w:tc>
          <w:tcPr>
            <w:tcW w:w="3260" w:type="dxa"/>
            <w:vAlign w:val="bottom"/>
            <w:tcBorders>
              <w:bottom w:val="single" w:sz="8" w:color="B2B2B2"/>
            </w:tcBorders>
          </w:tcPr>
          <w:p>
            <w:pPr>
              <w:spacing w:after="0"/>
              <w:rPr>
                <w:sz w:val="20"/>
                <w:szCs w:val="20"/>
                <w:color w:val="auto"/>
              </w:rPr>
            </w:pPr>
            <w:r>
              <w:rPr>
                <w:rFonts w:ascii="Arial" w:cs="Arial" w:eastAsia="Arial" w:hAnsi="Arial"/>
                <w:sz w:val="14"/>
                <w:szCs w:val="14"/>
                <w:b w:val="1"/>
                <w:bCs w:val="1"/>
                <w:color w:val="auto"/>
              </w:rPr>
              <w:t>Variable</w:t>
            </w:r>
          </w:p>
        </w:tc>
        <w:tc>
          <w:tcPr>
            <w:tcW w:w="2080" w:type="dxa"/>
            <w:vAlign w:val="bottom"/>
            <w:tcBorders>
              <w:bottom w:val="single" w:sz="8" w:color="B2B2B2"/>
            </w:tcBorders>
          </w:tcPr>
          <w:p>
            <w:pPr>
              <w:spacing w:after="0"/>
              <w:rPr>
                <w:sz w:val="17"/>
                <w:szCs w:val="17"/>
                <w:color w:val="auto"/>
              </w:rPr>
            </w:pPr>
          </w:p>
        </w:tc>
        <w:tc>
          <w:tcPr>
            <w:tcW w:w="1640" w:type="dxa"/>
            <w:vAlign w:val="bottom"/>
            <w:tcBorders>
              <w:bottom w:val="single" w:sz="8" w:color="B2B2B2"/>
            </w:tcBorders>
          </w:tcPr>
          <w:p>
            <w:pPr>
              <w:spacing w:after="0"/>
              <w:rPr>
                <w:sz w:val="17"/>
                <w:szCs w:val="17"/>
                <w:color w:val="auto"/>
              </w:rPr>
            </w:pPr>
          </w:p>
        </w:tc>
        <w:tc>
          <w:tcPr>
            <w:tcW w:w="118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Short-term incentive</w:t>
            </w:r>
          </w:p>
        </w:tc>
        <w:tc>
          <w:tcPr>
            <w:tcW w:w="2080" w:type="dxa"/>
            <w:vAlign w:val="bottom"/>
            <w:tcBorders>
              <w:bottom w:val="single" w:sz="8" w:color="B2B2B2"/>
            </w:tcBorders>
          </w:tcPr>
          <w:p>
            <w:pPr>
              <w:jc w:val="right"/>
              <w:ind w:right="428"/>
              <w:spacing w:after="0"/>
              <w:rPr>
                <w:sz w:val="20"/>
                <w:szCs w:val="20"/>
                <w:color w:val="auto"/>
              </w:rPr>
            </w:pPr>
            <w:r>
              <w:rPr>
                <w:rFonts w:ascii="Arial" w:cs="Arial" w:eastAsia="Arial" w:hAnsi="Arial"/>
                <w:sz w:val="14"/>
                <w:szCs w:val="14"/>
                <w:color w:val="auto"/>
              </w:rPr>
              <w:t>1,222,888</w:t>
            </w:r>
          </w:p>
        </w:tc>
        <w:tc>
          <w:tcPr>
            <w:tcW w:w="1640" w:type="dxa"/>
            <w:vAlign w:val="bottom"/>
            <w:tcBorders>
              <w:bottom w:val="single" w:sz="8" w:color="B2B2B2"/>
            </w:tcBorders>
          </w:tcPr>
          <w:p>
            <w:pPr>
              <w:jc w:val="right"/>
              <w:ind w:right="368"/>
              <w:spacing w:after="0"/>
              <w:rPr>
                <w:sz w:val="20"/>
                <w:szCs w:val="20"/>
                <w:color w:val="auto"/>
              </w:rPr>
            </w:pPr>
            <w:r>
              <w:rPr>
                <w:rFonts w:ascii="Arial" w:cs="Arial" w:eastAsia="Arial" w:hAnsi="Arial"/>
                <w:sz w:val="14"/>
                <w:szCs w:val="14"/>
                <w:color w:val="auto"/>
              </w:rPr>
              <w:t>1,266,450</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715,426</w:t>
            </w:r>
          </w:p>
        </w:tc>
        <w:tc>
          <w:tcPr>
            <w:tcW w:w="0" w:type="dxa"/>
            <w:vAlign w:val="bottom"/>
          </w:tcPr>
          <w:p>
            <w:pPr>
              <w:spacing w:after="0"/>
              <w:rPr>
                <w:sz w:val="1"/>
                <w:szCs w:val="1"/>
                <w:color w:val="auto"/>
              </w:rPr>
            </w:pPr>
          </w:p>
        </w:tc>
      </w:tr>
      <w:tr>
        <w:trPr>
          <w:trHeight w:val="195"/>
        </w:trPr>
        <w:tc>
          <w:tcPr>
            <w:tcW w:w="326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Long-term incentive</w:t>
            </w:r>
          </w:p>
        </w:tc>
        <w:tc>
          <w:tcPr>
            <w:tcW w:w="2080" w:type="dxa"/>
            <w:vAlign w:val="bottom"/>
            <w:tcBorders>
              <w:bottom w:val="single" w:sz="8" w:color="B2B2B2"/>
            </w:tcBorders>
          </w:tcPr>
          <w:p>
            <w:pPr>
              <w:spacing w:after="0"/>
              <w:rPr>
                <w:sz w:val="16"/>
                <w:szCs w:val="16"/>
                <w:color w:val="auto"/>
              </w:rPr>
            </w:pPr>
          </w:p>
        </w:tc>
        <w:tc>
          <w:tcPr>
            <w:tcW w:w="1640" w:type="dxa"/>
            <w:vAlign w:val="bottom"/>
            <w:tcBorders>
              <w:bottom w:val="single" w:sz="8" w:color="B2B2B2"/>
            </w:tcBorders>
          </w:tcPr>
          <w:p>
            <w:pPr>
              <w:spacing w:after="0"/>
              <w:rPr>
                <w:sz w:val="16"/>
                <w:szCs w:val="16"/>
                <w:color w:val="auto"/>
              </w:rPr>
            </w:pPr>
          </w:p>
        </w:tc>
        <w:tc>
          <w:tcPr>
            <w:tcW w:w="11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60" w:type="dxa"/>
            <w:vAlign w:val="bottom"/>
          </w:tcPr>
          <w:p>
            <w:pPr>
              <w:ind w:left="160"/>
              <w:spacing w:after="0"/>
              <w:rPr>
                <w:sz w:val="20"/>
                <w:szCs w:val="20"/>
                <w:color w:val="auto"/>
              </w:rPr>
            </w:pPr>
            <w:r>
              <w:rPr>
                <w:rFonts w:ascii="Arial" w:cs="Arial" w:eastAsia="Arial" w:hAnsi="Arial"/>
                <w:sz w:val="14"/>
                <w:szCs w:val="14"/>
                <w:color w:val="auto"/>
              </w:rPr>
              <w:t>PSUs</w:t>
            </w:r>
          </w:p>
        </w:tc>
        <w:tc>
          <w:tcPr>
            <w:tcW w:w="2080" w:type="dxa"/>
            <w:vAlign w:val="bottom"/>
            <w:vMerge w:val="restart"/>
          </w:tcPr>
          <w:p>
            <w:pPr>
              <w:jc w:val="right"/>
              <w:ind w:right="428"/>
              <w:spacing w:after="0"/>
              <w:rPr>
                <w:sz w:val="20"/>
                <w:szCs w:val="20"/>
                <w:color w:val="auto"/>
              </w:rPr>
            </w:pPr>
            <w:r>
              <w:rPr>
                <w:rFonts w:ascii="Arial" w:cs="Arial" w:eastAsia="Arial" w:hAnsi="Arial"/>
                <w:sz w:val="14"/>
                <w:szCs w:val="14"/>
                <w:color w:val="auto"/>
              </w:rPr>
              <w:t>2,696,880</w:t>
            </w:r>
          </w:p>
        </w:tc>
        <w:tc>
          <w:tcPr>
            <w:tcW w:w="1640" w:type="dxa"/>
            <w:vAlign w:val="bottom"/>
            <w:vMerge w:val="restart"/>
          </w:tcPr>
          <w:p>
            <w:pPr>
              <w:jc w:val="right"/>
              <w:ind w:right="368"/>
              <w:spacing w:after="0"/>
              <w:rPr>
                <w:sz w:val="20"/>
                <w:szCs w:val="20"/>
                <w:color w:val="auto"/>
              </w:rPr>
            </w:pPr>
            <w:r>
              <w:rPr>
                <w:rFonts w:ascii="Arial" w:cs="Arial" w:eastAsia="Arial" w:hAnsi="Arial"/>
                <w:sz w:val="14"/>
                <w:szCs w:val="14"/>
                <w:color w:val="auto"/>
              </w:rPr>
              <w:t>1,516,197</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832,315</w:t>
            </w:r>
          </w:p>
        </w:tc>
        <w:tc>
          <w:tcPr>
            <w:tcW w:w="0" w:type="dxa"/>
            <w:vAlign w:val="bottom"/>
          </w:tcPr>
          <w:p>
            <w:pPr>
              <w:spacing w:after="0"/>
              <w:rPr>
                <w:sz w:val="1"/>
                <w:szCs w:val="1"/>
                <w:color w:val="auto"/>
              </w:rPr>
            </w:pPr>
          </w:p>
        </w:tc>
      </w:tr>
      <w:tr>
        <w:trPr>
          <w:trHeight w:val="58"/>
        </w:trPr>
        <w:tc>
          <w:tcPr>
            <w:tcW w:w="326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vMerge w:val="continue"/>
          </w:tcPr>
          <w:p>
            <w:pPr>
              <w:spacing w:after="0"/>
              <w:rPr>
                <w:sz w:val="5"/>
                <w:szCs w:val="5"/>
                <w:color w:val="auto"/>
              </w:rPr>
            </w:pPr>
          </w:p>
        </w:tc>
        <w:tc>
          <w:tcPr>
            <w:tcW w:w="1640" w:type="dxa"/>
            <w:vAlign w:val="bottom"/>
            <w:tcBorders>
              <w:bottom w:val="single" w:sz="8" w:color="B2B2B2"/>
            </w:tcBorders>
            <w:vMerge w:val="continue"/>
          </w:tcPr>
          <w:p>
            <w:pPr>
              <w:spacing w:after="0"/>
              <w:rPr>
                <w:sz w:val="5"/>
                <w:szCs w:val="5"/>
                <w:color w:val="auto"/>
              </w:rPr>
            </w:pPr>
          </w:p>
        </w:tc>
        <w:tc>
          <w:tcPr>
            <w:tcW w:w="1180" w:type="dxa"/>
            <w:vAlign w:val="bottom"/>
            <w:tcBorders>
              <w:bottom w:val="single" w:sz="8" w:color="B2B2B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260" w:type="dxa"/>
            <w:vAlign w:val="bottom"/>
            <w:tcBorders>
              <w:bottom w:val="single" w:sz="8" w:color="B2B2B2"/>
            </w:tcBorders>
          </w:tcPr>
          <w:p>
            <w:pPr>
              <w:ind w:left="160"/>
              <w:spacing w:after="0"/>
              <w:rPr>
                <w:sz w:val="20"/>
                <w:szCs w:val="20"/>
                <w:color w:val="auto"/>
              </w:rPr>
            </w:pPr>
            <w:r>
              <w:rPr>
                <w:rFonts w:ascii="Arial" w:cs="Arial" w:eastAsia="Arial" w:hAnsi="Arial"/>
                <w:sz w:val="14"/>
                <w:szCs w:val="14"/>
                <w:color w:val="auto"/>
              </w:rPr>
              <w:t>RSUs</w:t>
            </w:r>
          </w:p>
        </w:tc>
        <w:tc>
          <w:tcPr>
            <w:tcW w:w="2080" w:type="dxa"/>
            <w:vAlign w:val="bottom"/>
            <w:tcBorders>
              <w:bottom w:val="single" w:sz="8" w:color="B2B2B2"/>
            </w:tcBorders>
          </w:tcPr>
          <w:p>
            <w:pPr>
              <w:jc w:val="right"/>
              <w:ind w:right="428"/>
              <w:spacing w:after="0"/>
              <w:rPr>
                <w:sz w:val="20"/>
                <w:szCs w:val="20"/>
                <w:color w:val="auto"/>
              </w:rPr>
            </w:pPr>
            <w:r>
              <w:rPr>
                <w:rFonts w:ascii="Arial" w:cs="Arial" w:eastAsia="Arial" w:hAnsi="Arial"/>
                <w:sz w:val="14"/>
                <w:szCs w:val="14"/>
                <w:color w:val="auto"/>
              </w:rPr>
              <w:t>1,155,806</w:t>
            </w:r>
          </w:p>
        </w:tc>
        <w:tc>
          <w:tcPr>
            <w:tcW w:w="1640" w:type="dxa"/>
            <w:vAlign w:val="bottom"/>
            <w:tcBorders>
              <w:bottom w:val="single" w:sz="8" w:color="B2B2B2"/>
            </w:tcBorders>
          </w:tcPr>
          <w:p>
            <w:pPr>
              <w:jc w:val="right"/>
              <w:ind w:right="368"/>
              <w:spacing w:after="0"/>
              <w:rPr>
                <w:sz w:val="20"/>
                <w:szCs w:val="20"/>
                <w:color w:val="auto"/>
              </w:rPr>
            </w:pPr>
            <w:r>
              <w:rPr>
                <w:rFonts w:ascii="Arial" w:cs="Arial" w:eastAsia="Arial" w:hAnsi="Arial"/>
                <w:sz w:val="14"/>
                <w:szCs w:val="14"/>
                <w:color w:val="auto"/>
              </w:rPr>
              <w:t>649,799</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404,910</w:t>
            </w:r>
          </w:p>
        </w:tc>
        <w:tc>
          <w:tcPr>
            <w:tcW w:w="0" w:type="dxa"/>
            <w:vAlign w:val="bottom"/>
          </w:tcPr>
          <w:p>
            <w:pPr>
              <w:spacing w:after="0"/>
              <w:rPr>
                <w:sz w:val="1"/>
                <w:szCs w:val="1"/>
                <w:color w:val="auto"/>
              </w:rPr>
            </w:pPr>
          </w:p>
        </w:tc>
      </w:tr>
      <w:tr>
        <w:trPr>
          <w:trHeight w:val="191"/>
        </w:trPr>
        <w:tc>
          <w:tcPr>
            <w:tcW w:w="3260" w:type="dxa"/>
            <w:vAlign w:val="bottom"/>
          </w:tcPr>
          <w:p>
            <w:pPr>
              <w:ind w:left="160"/>
              <w:spacing w:after="0"/>
              <w:rPr>
                <w:sz w:val="20"/>
                <w:szCs w:val="20"/>
                <w:color w:val="auto"/>
              </w:rPr>
            </w:pPr>
            <w:r>
              <w:rPr>
                <w:rFonts w:ascii="Arial" w:cs="Arial" w:eastAsia="Arial" w:hAnsi="Arial"/>
                <w:sz w:val="14"/>
                <w:szCs w:val="14"/>
                <w:color w:val="auto"/>
              </w:rPr>
              <w:t>Stock options</w:t>
            </w:r>
          </w:p>
        </w:tc>
        <w:tc>
          <w:tcPr>
            <w:tcW w:w="208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416,157</w:t>
            </w:r>
          </w:p>
        </w:tc>
        <w:tc>
          <w:tcPr>
            <w:tcW w:w="0" w:type="dxa"/>
            <w:vAlign w:val="bottom"/>
          </w:tcPr>
          <w:p>
            <w:pPr>
              <w:spacing w:after="0"/>
              <w:rPr>
                <w:sz w:val="1"/>
                <w:szCs w:val="1"/>
                <w:color w:val="auto"/>
              </w:rPr>
            </w:pPr>
          </w:p>
        </w:tc>
      </w:tr>
      <w:tr>
        <w:trPr>
          <w:trHeight w:val="58"/>
        </w:trPr>
        <w:tc>
          <w:tcPr>
            <w:tcW w:w="326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vMerge w:val="continue"/>
          </w:tcPr>
          <w:p>
            <w:pPr>
              <w:spacing w:after="0"/>
              <w:rPr>
                <w:sz w:val="5"/>
                <w:szCs w:val="5"/>
                <w:color w:val="auto"/>
              </w:rPr>
            </w:pPr>
          </w:p>
        </w:tc>
        <w:tc>
          <w:tcPr>
            <w:tcW w:w="1640" w:type="dxa"/>
            <w:vAlign w:val="bottom"/>
            <w:tcBorders>
              <w:bottom w:val="single" w:sz="8" w:color="B2B2B2"/>
            </w:tcBorders>
            <w:vMerge w:val="continue"/>
          </w:tcPr>
          <w:p>
            <w:pPr>
              <w:spacing w:after="0"/>
              <w:rPr>
                <w:sz w:val="5"/>
                <w:szCs w:val="5"/>
                <w:color w:val="auto"/>
              </w:rPr>
            </w:pPr>
          </w:p>
        </w:tc>
        <w:tc>
          <w:tcPr>
            <w:tcW w:w="1180" w:type="dxa"/>
            <w:vAlign w:val="bottom"/>
            <w:tcBorders>
              <w:bottom w:val="single" w:sz="8" w:color="B2B2B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260" w:type="dxa"/>
            <w:vAlign w:val="bottom"/>
            <w:tcBorders>
              <w:bottom w:val="single" w:sz="8" w:color="B2B2B2"/>
            </w:tcBorders>
          </w:tcPr>
          <w:p>
            <w:pPr>
              <w:spacing w:after="0"/>
              <w:rPr>
                <w:sz w:val="20"/>
                <w:szCs w:val="20"/>
                <w:color w:val="auto"/>
              </w:rPr>
            </w:pPr>
            <w:r>
              <w:rPr>
                <w:rFonts w:ascii="Arial" w:cs="Arial" w:eastAsia="Arial" w:hAnsi="Arial"/>
                <w:sz w:val="14"/>
                <w:szCs w:val="14"/>
                <w:b w:val="1"/>
                <w:bCs w:val="1"/>
                <w:color w:val="auto"/>
              </w:rPr>
              <w:t>Total direct compensation</w:t>
            </w:r>
          </w:p>
        </w:tc>
        <w:tc>
          <w:tcPr>
            <w:tcW w:w="2080" w:type="dxa"/>
            <w:vAlign w:val="bottom"/>
            <w:tcBorders>
              <w:bottom w:val="single" w:sz="8" w:color="B2B2B2"/>
            </w:tcBorders>
          </w:tcPr>
          <w:p>
            <w:pPr>
              <w:jc w:val="right"/>
              <w:ind w:right="428"/>
              <w:spacing w:after="0"/>
              <w:rPr>
                <w:sz w:val="20"/>
                <w:szCs w:val="20"/>
                <w:color w:val="auto"/>
              </w:rPr>
            </w:pPr>
            <w:r>
              <w:rPr>
                <w:rFonts w:ascii="Arial" w:cs="Arial" w:eastAsia="Arial" w:hAnsi="Arial"/>
                <w:sz w:val="14"/>
                <w:szCs w:val="14"/>
                <w:b w:val="1"/>
                <w:bCs w:val="1"/>
                <w:color w:val="auto"/>
              </w:rPr>
              <w:t>$6,102,957</w:t>
            </w:r>
          </w:p>
        </w:tc>
        <w:tc>
          <w:tcPr>
            <w:tcW w:w="1640" w:type="dxa"/>
            <w:vAlign w:val="bottom"/>
            <w:tcBorders>
              <w:bottom w:val="single" w:sz="8" w:color="B2B2B2"/>
            </w:tcBorders>
          </w:tcPr>
          <w:p>
            <w:pPr>
              <w:jc w:val="right"/>
              <w:ind w:right="368"/>
              <w:spacing w:after="0"/>
              <w:rPr>
                <w:sz w:val="20"/>
                <w:szCs w:val="20"/>
                <w:color w:val="auto"/>
              </w:rPr>
            </w:pPr>
            <w:r>
              <w:rPr>
                <w:rFonts w:ascii="Arial" w:cs="Arial" w:eastAsia="Arial" w:hAnsi="Arial"/>
                <w:sz w:val="14"/>
                <w:szCs w:val="14"/>
                <w:b w:val="1"/>
                <w:bCs w:val="1"/>
                <w:color w:val="auto"/>
              </w:rPr>
              <w:t>$4,343,363</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$3,144,886</w:t>
            </w:r>
          </w:p>
        </w:tc>
        <w:tc>
          <w:tcPr>
            <w:tcW w:w="0" w:type="dxa"/>
            <w:vAlign w:val="bottom"/>
          </w:tcPr>
          <w:p>
            <w:pPr>
              <w:spacing w:after="0"/>
              <w:rPr>
                <w:sz w:val="1"/>
                <w:szCs w:val="1"/>
                <w:color w:val="auto"/>
              </w:rPr>
            </w:pPr>
          </w:p>
        </w:tc>
      </w:tr>
      <w:tr>
        <w:trPr>
          <w:trHeight w:val="195"/>
        </w:trPr>
        <w:tc>
          <w:tcPr>
            <w:tcW w:w="3260" w:type="dxa"/>
            <w:vAlign w:val="bottom"/>
            <w:tcBorders>
              <w:bottom w:val="single" w:sz="8" w:color="0D64EF"/>
            </w:tcBorders>
          </w:tcPr>
          <w:p>
            <w:pPr>
              <w:spacing w:after="0"/>
              <w:rPr>
                <w:sz w:val="20"/>
                <w:szCs w:val="20"/>
                <w:color w:val="auto"/>
              </w:rPr>
            </w:pPr>
            <w:r>
              <w:rPr>
                <w:rFonts w:ascii="Arial" w:cs="Arial" w:eastAsia="Arial" w:hAnsi="Arial"/>
                <w:sz w:val="14"/>
                <w:szCs w:val="14"/>
                <w:b w:val="1"/>
                <w:bCs w:val="1"/>
                <w:color w:val="auto"/>
              </w:rPr>
              <w:t>Change from last year</w:t>
            </w:r>
          </w:p>
        </w:tc>
        <w:tc>
          <w:tcPr>
            <w:tcW w:w="2080" w:type="dxa"/>
            <w:vAlign w:val="bottom"/>
            <w:tcBorders>
              <w:bottom w:val="single" w:sz="8" w:color="0D64EF"/>
            </w:tcBorders>
          </w:tcPr>
          <w:p>
            <w:pPr>
              <w:jc w:val="right"/>
              <w:ind w:right="428"/>
              <w:spacing w:after="0"/>
              <w:rPr>
                <w:sz w:val="20"/>
                <w:szCs w:val="20"/>
                <w:color w:val="auto"/>
              </w:rPr>
            </w:pPr>
            <w:r>
              <w:rPr>
                <w:rFonts w:ascii="Arial" w:cs="Arial" w:eastAsia="Arial" w:hAnsi="Arial"/>
                <w:sz w:val="14"/>
                <w:szCs w:val="14"/>
                <w:b w:val="1"/>
                <w:bCs w:val="1"/>
                <w:color w:val="auto"/>
              </w:rPr>
              <w:t>41 %</w:t>
            </w:r>
          </w:p>
        </w:tc>
        <w:tc>
          <w:tcPr>
            <w:tcW w:w="1640" w:type="dxa"/>
            <w:vAlign w:val="bottom"/>
            <w:tcBorders>
              <w:bottom w:val="single" w:sz="8" w:color="0D64EF"/>
            </w:tcBorders>
          </w:tcPr>
          <w:p>
            <w:pPr>
              <w:jc w:val="right"/>
              <w:ind w:right="368"/>
              <w:spacing w:after="0"/>
              <w:rPr>
                <w:sz w:val="20"/>
                <w:szCs w:val="20"/>
                <w:color w:val="auto"/>
              </w:rPr>
            </w:pPr>
            <w:r>
              <w:rPr>
                <w:rFonts w:ascii="Arial" w:cs="Arial" w:eastAsia="Arial" w:hAnsi="Arial"/>
                <w:sz w:val="14"/>
                <w:szCs w:val="14"/>
                <w:b w:val="1"/>
                <w:bCs w:val="1"/>
                <w:color w:val="auto"/>
              </w:rPr>
              <w:t>38 %</w:t>
            </w:r>
          </w:p>
        </w:tc>
        <w:tc>
          <w:tcPr>
            <w:tcW w:w="1180" w:type="dxa"/>
            <w:vAlign w:val="bottom"/>
            <w:tcBorders>
              <w:bottom w:val="single" w:sz="8" w:color="0D64E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-1441450</wp:posOffset>
            </wp:positionV>
            <wp:extent cx="2440305" cy="3190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40305" cy="319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Share ownership</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1980" w:type="dxa"/>
            <w:vAlign w:val="bottom"/>
            <w:tcBorders>
              <w:top w:val="single" w:sz="8" w:color="0D64EF"/>
              <w:bottom w:val="single" w:sz="8" w:color="D1D0CF"/>
            </w:tcBorders>
            <w:shd w:val="clear" w:color="auto" w:fill="D1D0CF"/>
          </w:tcPr>
          <w:p>
            <w:pPr>
              <w:jc w:val="right"/>
              <w:ind w:right="368"/>
              <w:spacing w:after="0"/>
              <w:rPr>
                <w:sz w:val="20"/>
                <w:szCs w:val="20"/>
                <w:color w:val="auto"/>
              </w:rPr>
            </w:pPr>
            <w:r>
              <w:rPr>
                <w:rFonts w:ascii="Arial" w:cs="Arial" w:eastAsia="Arial" w:hAnsi="Arial"/>
                <w:sz w:val="14"/>
                <w:szCs w:val="14"/>
                <w:b w:val="1"/>
                <w:bCs w:val="1"/>
                <w:color w:val="auto"/>
              </w:rPr>
              <w:t>Minimum</w:t>
            </w:r>
          </w:p>
        </w:tc>
        <w:tc>
          <w:tcPr>
            <w:tcW w:w="1160" w:type="dxa"/>
            <w:vAlign w:val="bottom"/>
            <w:tcBorders>
              <w:top w:val="single" w:sz="8" w:color="0D64EF"/>
              <w:bottom w:val="single" w:sz="8" w:color="D1D0CF"/>
            </w:tcBorders>
            <w:shd w:val="clear" w:color="auto" w:fill="D1D0CF"/>
          </w:tcPr>
          <w:p>
            <w:pPr>
              <w:spacing w:after="0"/>
              <w:rPr>
                <w:sz w:val="24"/>
                <w:szCs w:val="24"/>
                <w:color w:val="auto"/>
              </w:rPr>
            </w:pPr>
          </w:p>
        </w:tc>
        <w:tc>
          <w:tcPr>
            <w:tcW w:w="5020" w:type="dxa"/>
            <w:vAlign w:val="bottom"/>
            <w:tcBorders>
              <w:top w:val="single" w:sz="8" w:color="0D64EF"/>
              <w:bottom w:val="single" w:sz="8" w:color="D1D0CF"/>
            </w:tcBorders>
            <w:gridSpan w:val="2"/>
            <w:shd w:val="clear" w:color="auto" w:fill="D1D0CF"/>
          </w:tcPr>
          <w:p>
            <w:pPr>
              <w:jc w:val="right"/>
              <w:ind w:right="1308"/>
              <w:spacing w:after="0"/>
              <w:rPr>
                <w:sz w:val="20"/>
                <w:szCs w:val="20"/>
                <w:color w:val="auto"/>
              </w:rPr>
            </w:pPr>
            <w:r>
              <w:rPr>
                <w:rFonts w:ascii="Arial" w:cs="Arial" w:eastAsia="Arial" w:hAnsi="Arial"/>
                <w:sz w:val="14"/>
                <w:szCs w:val="14"/>
                <w:b w:val="1"/>
                <w:bCs w:val="1"/>
                <w:color w:val="auto"/>
              </w:rPr>
              <w:t>Ownership under the guidelines</w:t>
            </w:r>
            <w:r>
              <w:rPr>
                <w:rFonts w:ascii="Arial" w:cs="Arial" w:eastAsia="Arial" w:hAnsi="Arial"/>
                <w:sz w:val="18"/>
                <w:szCs w:val="18"/>
                <w:b w:val="1"/>
                <w:bCs w:val="1"/>
                <w:color w:val="auto"/>
                <w:vertAlign w:val="superscript"/>
              </w:rPr>
              <w:t>3</w:t>
            </w:r>
          </w:p>
        </w:tc>
      </w:tr>
      <w:tr>
        <w:trPr>
          <w:trHeight w:val="141"/>
        </w:trPr>
        <w:tc>
          <w:tcPr>
            <w:tcW w:w="1980" w:type="dxa"/>
            <w:vAlign w:val="bottom"/>
            <w:tcBorders>
              <w:top w:val="single" w:sz="8" w:color="D1D0CF"/>
            </w:tcBorders>
            <w:shd w:val="clear" w:color="auto" w:fill="D1D0CF"/>
          </w:tcPr>
          <w:p>
            <w:pPr>
              <w:jc w:val="right"/>
              <w:ind w:right="368"/>
              <w:spacing w:after="0" w:line="141" w:lineRule="exact"/>
              <w:rPr>
                <w:sz w:val="20"/>
                <w:szCs w:val="20"/>
                <w:color w:val="auto"/>
              </w:rPr>
            </w:pPr>
            <w:r>
              <w:rPr>
                <w:rFonts w:ascii="Arial" w:cs="Arial" w:eastAsia="Arial" w:hAnsi="Arial"/>
                <w:sz w:val="14"/>
                <w:szCs w:val="14"/>
                <w:b w:val="1"/>
                <w:bCs w:val="1"/>
                <w:color w:val="auto"/>
              </w:rPr>
              <w:t>level of</w:t>
            </w:r>
          </w:p>
        </w:tc>
        <w:tc>
          <w:tcPr>
            <w:tcW w:w="1160" w:type="dxa"/>
            <w:vAlign w:val="bottom"/>
            <w:tcBorders>
              <w:top w:val="single" w:sz="8" w:color="D1D0CF"/>
            </w:tcBorders>
            <w:shd w:val="clear" w:color="auto" w:fill="D1D0CF"/>
          </w:tcPr>
          <w:p>
            <w:pPr>
              <w:jc w:val="right"/>
              <w:spacing w:after="0" w:line="141" w:lineRule="exact"/>
              <w:rPr>
                <w:sz w:val="20"/>
                <w:szCs w:val="20"/>
                <w:color w:val="auto"/>
              </w:rPr>
            </w:pPr>
            <w:r>
              <w:rPr>
                <w:rFonts w:ascii="Arial" w:cs="Arial" w:eastAsia="Arial" w:hAnsi="Arial"/>
                <w:sz w:val="14"/>
                <w:szCs w:val="14"/>
                <w:b w:val="1"/>
                <w:bCs w:val="1"/>
                <w:color w:val="auto"/>
              </w:rPr>
              <w:t>Minimum</w:t>
            </w:r>
          </w:p>
        </w:tc>
        <w:tc>
          <w:tcPr>
            <w:tcW w:w="2340" w:type="dxa"/>
            <w:vAlign w:val="bottom"/>
            <w:tcBorders>
              <w:top w:val="single" w:sz="8" w:color="0D64EF"/>
            </w:tcBorders>
            <w:shd w:val="clear" w:color="auto" w:fill="D1D0CF"/>
          </w:tcPr>
          <w:p>
            <w:pPr>
              <w:jc w:val="right"/>
              <w:ind w:right="608"/>
              <w:spacing w:after="0" w:line="141" w:lineRule="exact"/>
              <w:rPr>
                <w:sz w:val="20"/>
                <w:szCs w:val="20"/>
                <w:color w:val="auto"/>
              </w:rPr>
            </w:pPr>
            <w:r>
              <w:rPr>
                <w:rFonts w:ascii="Arial" w:cs="Arial" w:eastAsia="Arial" w:hAnsi="Arial"/>
                <w:sz w:val="14"/>
                <w:szCs w:val="14"/>
                <w:b w:val="1"/>
                <w:bCs w:val="1"/>
                <w:color w:val="auto"/>
              </w:rPr>
              <w:t>TC Energy</w:t>
            </w:r>
          </w:p>
        </w:tc>
        <w:tc>
          <w:tcPr>
            <w:tcW w:w="2680" w:type="dxa"/>
            <w:vAlign w:val="bottom"/>
            <w:tcBorders>
              <w:top w:val="single" w:sz="8" w:color="0D64EF"/>
            </w:tcBorders>
            <w:shd w:val="clear" w:color="auto" w:fill="D1D0CF"/>
          </w:tcPr>
          <w:p>
            <w:pPr>
              <w:jc w:val="right"/>
              <w:spacing w:after="0" w:line="141" w:lineRule="exact"/>
              <w:rPr>
                <w:sz w:val="20"/>
                <w:szCs w:val="20"/>
                <w:color w:val="auto"/>
              </w:rPr>
            </w:pPr>
            <w:r>
              <w:rPr>
                <w:rFonts w:ascii="Arial" w:cs="Arial" w:eastAsia="Arial" w:hAnsi="Arial"/>
                <w:sz w:val="14"/>
                <w:szCs w:val="14"/>
                <w:b w:val="1"/>
                <w:bCs w:val="1"/>
                <w:color w:val="auto"/>
              </w:rPr>
              <w:t>Total ownership as a multiple</w:t>
            </w:r>
          </w:p>
        </w:tc>
      </w:tr>
      <w:tr>
        <w:trPr>
          <w:trHeight w:val="233"/>
        </w:trPr>
        <w:tc>
          <w:tcPr>
            <w:tcW w:w="1980" w:type="dxa"/>
            <w:vAlign w:val="bottom"/>
            <w:tcBorders>
              <w:bottom w:val="single" w:sz="8" w:color="D1D0CF"/>
            </w:tcBorders>
            <w:shd w:val="clear" w:color="auto" w:fill="D1D0CF"/>
          </w:tcPr>
          <w:p>
            <w:pPr>
              <w:jc w:val="right"/>
              <w:ind w:right="368"/>
              <w:spacing w:after="0"/>
              <w:rPr>
                <w:sz w:val="20"/>
                <w:szCs w:val="20"/>
                <w:color w:val="auto"/>
              </w:rPr>
            </w:pPr>
            <w:r>
              <w:rPr>
                <w:rFonts w:ascii="Arial" w:cs="Arial" w:eastAsia="Arial" w:hAnsi="Arial"/>
                <w:sz w:val="14"/>
                <w:szCs w:val="14"/>
                <w:b w:val="1"/>
                <w:bCs w:val="1"/>
                <w:color w:val="auto"/>
              </w:rPr>
              <w:t>ownership</w:t>
            </w:r>
          </w:p>
        </w:tc>
        <w:tc>
          <w:tcPr>
            <w:tcW w:w="1160" w:type="dxa"/>
            <w:vAlign w:val="bottom"/>
            <w:tcBorders>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value</w:t>
            </w:r>
          </w:p>
        </w:tc>
        <w:tc>
          <w:tcPr>
            <w:tcW w:w="2340" w:type="dxa"/>
            <w:vAlign w:val="bottom"/>
            <w:tcBorders>
              <w:bottom w:val="single" w:sz="8" w:color="D1D0CF"/>
            </w:tcBorders>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shares</w:t>
            </w:r>
          </w:p>
        </w:tc>
        <w:tc>
          <w:tcPr>
            <w:tcW w:w="2680" w:type="dxa"/>
            <w:vAlign w:val="bottom"/>
            <w:tcBorders>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of base salary</w:t>
            </w:r>
          </w:p>
        </w:tc>
      </w:tr>
      <w:tr>
        <w:trPr>
          <w:trHeight w:val="191"/>
        </w:trPr>
        <w:tc>
          <w:tcPr>
            <w:tcW w:w="1980" w:type="dxa"/>
            <w:vAlign w:val="bottom"/>
            <w:tcBorders>
              <w:top w:val="single" w:sz="8" w:color="0D64EF"/>
              <w:bottom w:val="single" w:sz="8" w:color="0D64EF"/>
            </w:tcBorders>
          </w:tcPr>
          <w:p>
            <w:pPr>
              <w:jc w:val="right"/>
              <w:ind w:right="368"/>
              <w:spacing w:after="0"/>
              <w:rPr>
                <w:sz w:val="20"/>
                <w:szCs w:val="20"/>
                <w:color w:val="auto"/>
              </w:rPr>
            </w:pPr>
            <w:r>
              <w:rPr>
                <w:rFonts w:ascii="Arial" w:cs="Arial" w:eastAsia="Arial" w:hAnsi="Arial"/>
                <w:sz w:val="14"/>
                <w:szCs w:val="14"/>
                <w:color w:val="auto"/>
              </w:rPr>
              <w:t>3x</w:t>
            </w:r>
          </w:p>
        </w:tc>
        <w:tc>
          <w:tcPr>
            <w:tcW w:w="1160" w:type="dxa"/>
            <w:vAlign w:val="bottom"/>
            <w:tcBorders>
              <w:top w:val="single" w:sz="8" w:color="0D64EF"/>
              <w:bottom w:val="single" w:sz="8" w:color="0D64EF"/>
            </w:tcBorders>
          </w:tcPr>
          <w:p>
            <w:pPr>
              <w:jc w:val="right"/>
              <w:spacing w:after="0"/>
              <w:rPr>
                <w:sz w:val="20"/>
                <w:szCs w:val="20"/>
                <w:color w:val="auto"/>
              </w:rPr>
            </w:pPr>
            <w:r>
              <w:rPr>
                <w:rFonts w:ascii="Arial" w:cs="Arial" w:eastAsia="Arial" w:hAnsi="Arial"/>
                <w:sz w:val="14"/>
                <w:szCs w:val="14"/>
                <w:color w:val="auto"/>
              </w:rPr>
              <w:t>$3,082,149</w:t>
            </w:r>
          </w:p>
        </w:tc>
        <w:tc>
          <w:tcPr>
            <w:tcW w:w="2340" w:type="dxa"/>
            <w:vAlign w:val="bottom"/>
            <w:tcBorders>
              <w:top w:val="single" w:sz="8" w:color="0D64EF"/>
              <w:bottom w:val="single" w:sz="8" w:color="0D64EF"/>
            </w:tcBorders>
          </w:tcPr>
          <w:p>
            <w:pPr>
              <w:jc w:val="right"/>
              <w:ind w:right="568"/>
              <w:spacing w:after="0"/>
              <w:rPr>
                <w:sz w:val="20"/>
                <w:szCs w:val="20"/>
                <w:color w:val="auto"/>
              </w:rPr>
            </w:pPr>
            <w:r>
              <w:rPr>
                <w:rFonts w:ascii="Arial" w:cs="Arial" w:eastAsia="Arial" w:hAnsi="Arial"/>
                <w:sz w:val="14"/>
                <w:szCs w:val="14"/>
                <w:color w:val="auto"/>
              </w:rPr>
              <w:t>$3,854,863</w:t>
            </w:r>
          </w:p>
        </w:tc>
        <w:tc>
          <w:tcPr>
            <w:tcW w:w="2680" w:type="dxa"/>
            <w:vAlign w:val="bottom"/>
            <w:tcBorders>
              <w:top w:val="single" w:sz="8" w:color="0D64EF"/>
              <w:bottom w:val="single" w:sz="8" w:color="0D64EF"/>
            </w:tcBorders>
          </w:tcPr>
          <w:p>
            <w:pPr>
              <w:jc w:val="right"/>
              <w:spacing w:after="0"/>
              <w:rPr>
                <w:sz w:val="20"/>
                <w:szCs w:val="20"/>
                <w:color w:val="auto"/>
              </w:rPr>
            </w:pPr>
            <w:r>
              <w:rPr>
                <w:rFonts w:ascii="Arial" w:cs="Arial" w:eastAsia="Arial" w:hAnsi="Arial"/>
                <w:sz w:val="14"/>
                <w:szCs w:val="14"/>
                <w:color w:val="auto"/>
              </w:rPr>
              <w:t>3.8x</w:t>
            </w:r>
          </w:p>
        </w:tc>
      </w:tr>
    </w:tbl>
    <w:p>
      <w:pPr>
        <w:spacing w:after="0" w:line="116" w:lineRule="exact"/>
        <w:rPr>
          <w:sz w:val="20"/>
          <w:szCs w:val="20"/>
          <w:color w:val="auto"/>
        </w:rPr>
      </w:pPr>
    </w:p>
    <w:p>
      <w:pPr>
        <w:sectPr>
          <w:pgSz w:w="11900" w:h="16838" w:orient="portrait"/>
          <w:cols w:equalWidth="0" w:num="2">
            <w:col w:w="2680" w:space="360"/>
            <w:col w:w="8160"/>
          </w:cols>
          <w:pgMar w:left="320" w:top="1142" w:right="379" w:bottom="1440" w:gutter="0" w:footer="0" w:header="0"/>
        </w:sectPr>
      </w:pPr>
    </w:p>
    <w:p>
      <w:pPr>
        <w:ind w:left="180" w:right="60" w:hanging="155"/>
        <w:spacing w:after="0" w:line="236" w:lineRule="auto"/>
        <w:tabs>
          <w:tab w:leader="none" w:pos="93" w:val="left"/>
        </w:tabs>
        <w:numPr>
          <w:ilvl w:val="0"/>
          <w:numId w:val="146"/>
        </w:numPr>
        <w:rPr>
          <w:rFonts w:ascii="Arial" w:cs="Arial" w:eastAsia="Arial" w:hAnsi="Arial"/>
          <w:sz w:val="18"/>
          <w:szCs w:val="18"/>
          <w:color w:val="auto"/>
          <w:vertAlign w:val="superscript"/>
        </w:rPr>
      </w:pPr>
      <w:r>
        <w:rPr>
          <w:rFonts w:ascii="Arial" w:cs="Arial" w:eastAsia="Arial" w:hAnsi="Arial"/>
          <w:sz w:val="12"/>
          <w:szCs w:val="12"/>
          <w:i w:val="1"/>
          <w:iCs w:val="1"/>
          <w:color w:val="auto"/>
        </w:rPr>
        <w:t xml:space="preserve">Comparable EBITDA </w:t>
      </w:r>
      <w:r>
        <w:rPr>
          <w:rFonts w:ascii="Arial" w:cs="Arial" w:eastAsia="Arial" w:hAnsi="Arial"/>
          <w:sz w:val="12"/>
          <w:szCs w:val="12"/>
          <w:color w:val="auto"/>
        </w:rPr>
        <w:t>is a non-GAAP measure and does not have any standardized meaning under U.S. GAAP and therefore it may not be comparable to similar measures presented by other entities.</w:t>
      </w:r>
      <w:r>
        <w:rPr>
          <w:rFonts w:ascii="Arial" w:cs="Arial" w:eastAsia="Arial" w:hAnsi="Arial"/>
          <w:sz w:val="12"/>
          <w:szCs w:val="12"/>
          <w:i w:val="1"/>
          <w:iCs w:val="1"/>
          <w:color w:val="auto"/>
        </w:rPr>
        <w:t xml:space="preserve"> </w:t>
      </w:r>
      <w:r>
        <w:rPr>
          <w:rFonts w:ascii="Arial" w:cs="Arial" w:eastAsia="Arial" w:hAnsi="Arial"/>
          <w:sz w:val="12"/>
          <w:szCs w:val="12"/>
          <w:color w:val="auto"/>
        </w:rPr>
        <w:t>The most directly comparable U.S. GAAP measure to Comparable EBITDA is segmented earnings. Refer to the Non-GAAP measures section of the Annual MD&amp;A on pages 22 to 29 for more</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information about the non-GAAP measures we use and a reconciliation to their U.S. GAAP equivalents, which section of the Annual MD&amp;A is incorporated by reference herein.</w:t>
      </w:r>
    </w:p>
    <w:p>
      <w:pPr>
        <w:ind w:left="100" w:hanging="75"/>
        <w:spacing w:after="0" w:line="209" w:lineRule="auto"/>
        <w:tabs>
          <w:tab w:leader="none" w:pos="100" w:val="left"/>
        </w:tabs>
        <w:numPr>
          <w:ilvl w:val="0"/>
          <w:numId w:val="147"/>
        </w:numPr>
        <w:rPr>
          <w:rFonts w:ascii="Arial" w:cs="Arial" w:eastAsia="Arial" w:hAnsi="Arial"/>
          <w:sz w:val="19"/>
          <w:szCs w:val="19"/>
          <w:color w:val="auto"/>
          <w:vertAlign w:val="superscript"/>
        </w:rPr>
      </w:pPr>
      <w:r>
        <w:rPr>
          <w:rFonts w:ascii="Arial" w:cs="Arial" w:eastAsia="Arial" w:hAnsi="Arial"/>
          <w:sz w:val="13"/>
          <w:szCs w:val="13"/>
          <w:color w:val="auto"/>
        </w:rPr>
        <w:t>Values reflect a U.S./Canada foreign exchange rate of 1.3978 in 2025, 1.3698 for 2024 and 1.3497 for 2023.</w:t>
      </w:r>
    </w:p>
    <w:p>
      <w:pPr>
        <w:spacing w:after="0" w:line="35" w:lineRule="exact"/>
        <w:rPr>
          <w:rFonts w:ascii="Arial" w:cs="Arial" w:eastAsia="Arial" w:hAnsi="Arial"/>
          <w:sz w:val="19"/>
          <w:szCs w:val="19"/>
          <w:color w:val="auto"/>
          <w:vertAlign w:val="superscript"/>
        </w:rPr>
      </w:pPr>
    </w:p>
    <w:p>
      <w:pPr>
        <w:ind w:left="2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3"/>
          <w:szCs w:val="13"/>
          <w:color w:val="auto"/>
        </w:rPr>
        <w:t xml:space="preserve"> Ms. Faraca has met her share ownership requirements in 2025.</w:t>
      </w:r>
    </w:p>
    <w:p>
      <w:pPr>
        <w:sectPr>
          <w:pgSz w:w="11900" w:h="16838" w:orient="portrait"/>
          <w:cols w:equalWidth="0" w:num="1">
            <w:col w:w="11200"/>
          </w:cols>
          <w:pgMar w:left="320" w:top="114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00"/>
          </w:cols>
          <w:pgMar w:left="320" w:top="1142" w:right="379" w:bottom="1440" w:gutter="0" w:footer="0" w:header="0"/>
          <w:type w:val="continuous"/>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745490</wp:posOffset>
            </wp:positionV>
            <wp:extent cx="1279525" cy="1279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2025 key results</w:t>
      </w:r>
    </w:p>
    <w:p>
      <w:pPr>
        <w:spacing w:after="0" w:line="49" w:lineRule="exact"/>
        <w:rPr>
          <w:sz w:val="20"/>
          <w:szCs w:val="20"/>
          <w:color w:val="auto"/>
        </w:rPr>
      </w:pPr>
    </w:p>
    <w:p>
      <w:pPr>
        <w:ind w:left="160" w:right="60" w:hanging="155"/>
        <w:spacing w:after="0" w:line="323" w:lineRule="auto"/>
        <w:tabs>
          <w:tab w:leader="none" w:pos="143" w:val="left"/>
        </w:tabs>
        <w:numPr>
          <w:ilvl w:val="0"/>
          <w:numId w:val="148"/>
        </w:numPr>
        <w:rPr>
          <w:rFonts w:ascii="Arial" w:cs="Arial" w:eastAsia="Arial" w:hAnsi="Arial"/>
          <w:sz w:val="14"/>
          <w:szCs w:val="14"/>
          <w:color w:val="auto"/>
        </w:rPr>
      </w:pPr>
      <w:r>
        <w:rPr>
          <w:rFonts w:ascii="Arial" w:cs="Arial" w:eastAsia="Arial" w:hAnsi="Arial"/>
          <w:sz w:val="14"/>
          <w:szCs w:val="14"/>
          <w:color w:val="auto"/>
        </w:rPr>
        <w:t>Successfully onboarded into the role of General Counsel</w:t>
      </w:r>
    </w:p>
    <w:p>
      <w:pPr>
        <w:spacing w:after="0" w:line="36" w:lineRule="exact"/>
        <w:rPr>
          <w:rFonts w:ascii="Arial" w:cs="Arial" w:eastAsia="Arial" w:hAnsi="Arial"/>
          <w:sz w:val="14"/>
          <w:szCs w:val="14"/>
          <w:color w:val="auto"/>
        </w:rPr>
      </w:pPr>
    </w:p>
    <w:p>
      <w:pPr>
        <w:ind w:left="160" w:hanging="155"/>
        <w:spacing w:after="0" w:line="283" w:lineRule="auto"/>
        <w:tabs>
          <w:tab w:leader="none" w:pos="143" w:val="left"/>
        </w:tabs>
        <w:numPr>
          <w:ilvl w:val="0"/>
          <w:numId w:val="148"/>
        </w:numPr>
        <w:rPr>
          <w:rFonts w:ascii="Arial" w:cs="Arial" w:eastAsia="Arial" w:hAnsi="Arial"/>
          <w:sz w:val="14"/>
          <w:szCs w:val="14"/>
          <w:color w:val="auto"/>
        </w:rPr>
      </w:pPr>
      <w:r>
        <w:rPr>
          <w:rFonts w:ascii="Arial" w:cs="Arial" w:eastAsia="Arial" w:hAnsi="Arial"/>
          <w:sz w:val="14"/>
          <w:szCs w:val="14"/>
          <w:color w:val="auto"/>
        </w:rPr>
        <w:t>Provided strategic legal support on: growth project portfolio (including Southeast Gateway and $3 billion of new growth projects), Columbia, ANR and Great Lakes Gas Transmission gas rate cases, Coastal GasLink pipeline matters, litigation resolutions and financing</w:t>
      </w:r>
    </w:p>
    <w:p>
      <w:pPr>
        <w:spacing w:after="0" w:line="66" w:lineRule="exact"/>
        <w:rPr>
          <w:rFonts w:ascii="Arial" w:cs="Arial" w:eastAsia="Arial" w:hAnsi="Arial"/>
          <w:sz w:val="14"/>
          <w:szCs w:val="14"/>
          <w:color w:val="auto"/>
        </w:rPr>
      </w:pPr>
    </w:p>
    <w:p>
      <w:pPr>
        <w:ind w:left="160" w:right="40" w:hanging="155"/>
        <w:spacing w:after="0" w:line="287" w:lineRule="auto"/>
        <w:tabs>
          <w:tab w:leader="none" w:pos="143"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Concluded the Focus Project delivering over $1.5 billion in enterprise value creation in 2025, above target figures and delivered ahead of schedule</w:t>
      </w:r>
    </w:p>
    <w:p>
      <w:pPr>
        <w:spacing w:after="0" w:line="62" w:lineRule="exact"/>
        <w:rPr>
          <w:rFonts w:ascii="Arial" w:cs="Arial" w:eastAsia="Arial" w:hAnsi="Arial"/>
          <w:sz w:val="14"/>
          <w:szCs w:val="14"/>
          <w:color w:val="auto"/>
        </w:rPr>
      </w:pPr>
    </w:p>
    <w:p>
      <w:pPr>
        <w:jc w:val="both"/>
        <w:ind w:left="160" w:hanging="155"/>
        <w:spacing w:after="0" w:line="281" w:lineRule="auto"/>
        <w:tabs>
          <w:tab w:leader="none" w:pos="143" w:val="left"/>
        </w:tabs>
        <w:numPr>
          <w:ilvl w:val="0"/>
          <w:numId w:val="148"/>
        </w:numPr>
        <w:rPr>
          <w:rFonts w:ascii="Arial" w:cs="Arial" w:eastAsia="Arial" w:hAnsi="Arial"/>
          <w:sz w:val="14"/>
          <w:szCs w:val="14"/>
          <w:color w:val="auto"/>
        </w:rPr>
      </w:pPr>
      <w:r>
        <w:rPr>
          <w:rFonts w:ascii="Arial" w:cs="Arial" w:eastAsia="Arial" w:hAnsi="Arial"/>
          <w:sz w:val="14"/>
          <w:szCs w:val="14"/>
          <w:color w:val="auto"/>
        </w:rPr>
        <w:t>Stood up the AI Accelerator focusing on AI driven initiatives to drive incremental</w:t>
      </w:r>
    </w:p>
    <w:p>
      <w:pPr>
        <w:ind w:left="160"/>
        <w:spacing w:after="0"/>
        <w:rPr>
          <w:rFonts w:ascii="Arial" w:cs="Arial" w:eastAsia="Arial" w:hAnsi="Arial"/>
          <w:sz w:val="14"/>
          <w:szCs w:val="14"/>
          <w:color w:val="auto"/>
        </w:rPr>
      </w:pPr>
      <w:r>
        <w:rPr>
          <w:rFonts w:ascii="Arial" w:cs="Arial" w:eastAsia="Arial" w:hAnsi="Arial"/>
          <w:sz w:val="14"/>
          <w:szCs w:val="14"/>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20"/>
        <w:spacing w:after="0" w:line="291" w:lineRule="auto"/>
        <w:rPr>
          <w:sz w:val="20"/>
          <w:szCs w:val="20"/>
          <w:color w:val="auto"/>
        </w:rPr>
      </w:pPr>
      <w:r>
        <w:rPr>
          <w:rFonts w:ascii="Arial" w:cs="Arial" w:eastAsia="Arial" w:hAnsi="Arial"/>
          <w:sz w:val="14"/>
          <w:szCs w:val="14"/>
          <w:i w:val="1"/>
          <w:iCs w:val="1"/>
          <w:color w:val="auto"/>
        </w:rPr>
        <w:t xml:space="preserve">Short-term incentive </w:t>
      </w:r>
      <w:r>
        <w:rPr>
          <w:rFonts w:ascii="Arial" w:cs="Arial" w:eastAsia="Arial" w:hAnsi="Arial"/>
          <w:sz w:val="14"/>
          <w:szCs w:val="14"/>
          <w:color w:val="auto"/>
        </w:rPr>
        <w:t>is attributed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noted financial year, and is paid by March 15 of the following year.</w:t>
      </w:r>
    </w:p>
    <w:p>
      <w:pPr>
        <w:spacing w:after="0" w:line="19" w:lineRule="exact"/>
        <w:rPr>
          <w:sz w:val="20"/>
          <w:szCs w:val="20"/>
          <w:color w:val="auto"/>
        </w:rPr>
      </w:pPr>
    </w:p>
    <w:p>
      <w:pPr>
        <w:spacing w:after="0" w:line="294" w:lineRule="auto"/>
        <w:rPr>
          <w:sz w:val="20"/>
          <w:szCs w:val="20"/>
          <w:color w:val="auto"/>
        </w:rPr>
      </w:pPr>
      <w:r>
        <w:rPr>
          <w:rFonts w:ascii="Arial" w:cs="Arial" w:eastAsia="Arial" w:hAnsi="Arial"/>
          <w:sz w:val="14"/>
          <w:szCs w:val="14"/>
          <w:i w:val="1"/>
          <w:iCs w:val="1"/>
          <w:color w:val="auto"/>
        </w:rPr>
        <w:t xml:space="preserve">Share ownership </w:t>
      </w:r>
      <w:r>
        <w:rPr>
          <w:rFonts w:ascii="Arial" w:cs="Arial" w:eastAsia="Arial" w:hAnsi="Arial"/>
          <w:sz w:val="14"/>
          <w:szCs w:val="14"/>
          <w:color w:val="auto"/>
        </w:rPr>
        <w:t>is based on the 5-day</w:t>
      </w:r>
      <w:r>
        <w:rPr>
          <w:rFonts w:ascii="Arial" w:cs="Arial" w:eastAsia="Arial" w:hAnsi="Arial"/>
          <w:sz w:val="14"/>
          <w:szCs w:val="14"/>
          <w:i w:val="1"/>
          <w:iCs w:val="1"/>
          <w:color w:val="auto"/>
        </w:rPr>
        <w:t xml:space="preserve"> </w:t>
      </w:r>
      <w:r>
        <w:rPr>
          <w:rFonts w:ascii="Arial" w:cs="Arial" w:eastAsia="Arial" w:hAnsi="Arial"/>
          <w:sz w:val="14"/>
          <w:szCs w:val="14"/>
          <w:color w:val="auto"/>
        </w:rPr>
        <w:t>volume-weighted average closing price on the TSX of $76.52 for TC Energy shares at December 31,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color w:val="0D64EF"/>
        </w:rPr>
        <w:t>Anita Dusevic Oliva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-190500</wp:posOffset>
            </wp:positionV>
            <wp:extent cx="8255" cy="7004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700468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EXECUTIVE VICE-PRESIDENT AND GENERAL COUNSEL</w:t>
      </w:r>
    </w:p>
    <w:p>
      <w:pPr>
        <w:spacing w:after="0" w:line="353"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auto"/>
        </w:rPr>
        <w:t>Ms. Dusevic Oliva is responsible for overseeing the company's legal, compliance, ethics and corporate secretarial functions, as well as providing strategic counsel on enterprise-wide initiatives, major transactions and risk management. Ms. Dusevic Oliva joined TC Energy as Executive Vice-President and General Counsel on 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51619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61915" cy="8255"/>
                    </a:xfrm>
                    <a:prstGeom prst="rect">
                      <a:avLst/>
                    </a:prstGeom>
                    <a:noFill/>
                  </pic:spPr>
                </pic:pic>
              </a:graphicData>
            </a:graphic>
          </wp:anchor>
        </w:drawing>
      </w:r>
    </w:p>
    <w:p>
      <w:pPr>
        <w:spacing w:after="0" w:line="395" w:lineRule="exact"/>
        <w:rPr>
          <w:sz w:val="20"/>
          <w:szCs w:val="20"/>
          <w:color w:val="auto"/>
        </w:rPr>
      </w:pPr>
    </w:p>
    <w:p>
      <w:pPr>
        <w:ind w:left="140" w:hanging="131"/>
        <w:spacing w:after="0"/>
        <w:tabs>
          <w:tab w:leader="none" w:pos="1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Ms. Dusevic Oliva's short-term incentive award was entirely based on corporate performance (100 per cent).</w:t>
      </w:r>
    </w:p>
    <w:p>
      <w:pPr>
        <w:spacing w:after="0" w:line="57" w:lineRule="exact"/>
        <w:rPr>
          <w:rFonts w:ascii="Arial" w:cs="Arial" w:eastAsia="Arial" w:hAnsi="Arial"/>
          <w:sz w:val="16"/>
          <w:szCs w:val="16"/>
          <w:color w:val="auto"/>
        </w:rPr>
      </w:pPr>
    </w:p>
    <w:p>
      <w:pPr>
        <w:ind w:left="180" w:right="240" w:hanging="171"/>
        <w:spacing w:after="0" w:line="297" w:lineRule="auto"/>
        <w:tabs>
          <w:tab w:leader="none" w:pos="15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short-term incentive award for 2025 performance was based on Ms. Dusevic Oliva's target of 80 per cent of base salary and was prorated based on hire date.</w:t>
      </w:r>
    </w:p>
    <w:p>
      <w:pPr>
        <w:spacing w:after="0" w:line="1" w:lineRule="exact"/>
        <w:rPr>
          <w:rFonts w:ascii="Arial" w:cs="Arial" w:eastAsia="Arial" w:hAnsi="Arial"/>
          <w:sz w:val="16"/>
          <w:szCs w:val="16"/>
          <w:color w:val="auto"/>
        </w:rPr>
      </w:pPr>
    </w:p>
    <w:p>
      <w:pPr>
        <w:ind w:left="180" w:right="440" w:hanging="171"/>
        <w:spacing w:after="0" w:line="301" w:lineRule="auto"/>
        <w:tabs>
          <w:tab w:leader="none" w:pos="15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Ms. Dusevic Oliva received a $1,312,500 out-of-cycle PSU grant and a $2,762,500 out-of-cycle RSU grant upon hire.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3240" w:type="dxa"/>
            <w:vAlign w:val="bottom"/>
            <w:tcBorders>
              <w:top w:val="single" w:sz="8" w:color="237CC1"/>
              <w:bottom w:val="single" w:sz="8" w:color="D1D0CF"/>
            </w:tcBorders>
            <w:shd w:val="clear" w:color="auto" w:fill="D1D0CF"/>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color w:val="auto"/>
              </w:rPr>
              <w:t>(as at December 31)</w:t>
            </w:r>
          </w:p>
        </w:tc>
        <w:tc>
          <w:tcPr>
            <w:tcW w:w="2260" w:type="dxa"/>
            <w:vAlign w:val="bottom"/>
            <w:tcBorders>
              <w:top w:val="single" w:sz="8" w:color="237CC1"/>
              <w:bottom w:val="single" w:sz="8" w:color="D1D0CF"/>
            </w:tcBorders>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1640" w:type="dxa"/>
            <w:vAlign w:val="bottom"/>
            <w:tcBorders>
              <w:top w:val="single" w:sz="8" w:color="237CC1"/>
              <w:bottom w:val="single" w:sz="8" w:color="D1D0CF"/>
            </w:tcBorders>
            <w:shd w:val="clear" w:color="auto" w:fill="D1D0CF"/>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top w:val="single" w:sz="8" w:color="237CC1"/>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4"/>
        </w:trPr>
        <w:tc>
          <w:tcPr>
            <w:tcW w:w="3240" w:type="dxa"/>
            <w:vAlign w:val="bottom"/>
            <w:tcBorders>
              <w:top w:val="single" w:sz="8" w:color="237CC1"/>
              <w:bottom w:val="single" w:sz="8" w:color="B2B2B2"/>
            </w:tcBorders>
          </w:tcPr>
          <w:p>
            <w:pPr>
              <w:spacing w:after="0"/>
              <w:rPr>
                <w:sz w:val="20"/>
                <w:szCs w:val="20"/>
                <w:color w:val="auto"/>
              </w:rPr>
            </w:pPr>
            <w:r>
              <w:rPr>
                <w:rFonts w:ascii="Arial" w:cs="Arial" w:eastAsia="Arial" w:hAnsi="Arial"/>
                <w:sz w:val="14"/>
                <w:szCs w:val="14"/>
                <w:b w:val="1"/>
                <w:bCs w:val="1"/>
                <w:color w:val="auto"/>
              </w:rPr>
              <w:t>Fixed</w:t>
            </w:r>
          </w:p>
        </w:tc>
        <w:tc>
          <w:tcPr>
            <w:tcW w:w="2260" w:type="dxa"/>
            <w:vAlign w:val="bottom"/>
            <w:tcBorders>
              <w:top w:val="single" w:sz="8" w:color="237CC1"/>
              <w:bottom w:val="single" w:sz="8" w:color="B2B2B2"/>
            </w:tcBorders>
          </w:tcPr>
          <w:p>
            <w:pPr>
              <w:spacing w:after="0"/>
              <w:rPr>
                <w:sz w:val="16"/>
                <w:szCs w:val="16"/>
                <w:color w:val="auto"/>
              </w:rPr>
            </w:pPr>
          </w:p>
        </w:tc>
        <w:tc>
          <w:tcPr>
            <w:tcW w:w="1640" w:type="dxa"/>
            <w:vAlign w:val="bottom"/>
            <w:tcBorders>
              <w:top w:val="single" w:sz="8" w:color="237CC1"/>
              <w:bottom w:val="single" w:sz="8" w:color="B2B2B2"/>
            </w:tcBorders>
          </w:tcPr>
          <w:p>
            <w:pPr>
              <w:spacing w:after="0"/>
              <w:rPr>
                <w:sz w:val="16"/>
                <w:szCs w:val="16"/>
                <w:color w:val="auto"/>
              </w:rPr>
            </w:pPr>
          </w:p>
        </w:tc>
        <w:tc>
          <w:tcPr>
            <w:tcW w:w="980" w:type="dxa"/>
            <w:vAlign w:val="bottom"/>
            <w:tcBorders>
              <w:top w:val="single" w:sz="8" w:color="237CC1"/>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Base salary</w:t>
            </w:r>
          </w:p>
        </w:tc>
        <w:tc>
          <w:tcPr>
            <w:tcW w:w="2260" w:type="dxa"/>
            <w:vAlign w:val="bottom"/>
            <w:tcBorders>
              <w:bottom w:val="single" w:sz="8" w:color="B2B2B2"/>
            </w:tcBorders>
          </w:tcPr>
          <w:p>
            <w:pPr>
              <w:jc w:val="right"/>
              <w:ind w:right="568"/>
              <w:spacing w:after="0"/>
              <w:rPr>
                <w:sz w:val="20"/>
                <w:szCs w:val="20"/>
                <w:color w:val="auto"/>
              </w:rPr>
            </w:pPr>
            <w:r>
              <w:rPr>
                <w:rFonts w:ascii="Arial" w:cs="Arial" w:eastAsia="Arial" w:hAnsi="Arial"/>
                <w:sz w:val="14"/>
                <w:szCs w:val="14"/>
                <w:color w:val="auto"/>
              </w:rPr>
              <w:t>$625,000</w:t>
            </w:r>
          </w:p>
        </w:tc>
        <w:tc>
          <w:tcPr>
            <w:tcW w:w="1640" w:type="dxa"/>
            <w:vAlign w:val="bottom"/>
            <w:tcBorders>
              <w:bottom w:val="single" w:sz="8" w:color="B2B2B2"/>
            </w:tcBorders>
          </w:tcPr>
          <w:p>
            <w:pPr>
              <w:jc w:val="right"/>
              <w:ind w:right="5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240" w:type="dxa"/>
            <w:vAlign w:val="bottom"/>
            <w:tcBorders>
              <w:bottom w:val="single" w:sz="8" w:color="B2B2B2"/>
            </w:tcBorders>
          </w:tcPr>
          <w:p>
            <w:pPr>
              <w:spacing w:after="0"/>
              <w:rPr>
                <w:sz w:val="20"/>
                <w:szCs w:val="20"/>
                <w:color w:val="auto"/>
              </w:rPr>
            </w:pPr>
            <w:r>
              <w:rPr>
                <w:rFonts w:ascii="Arial" w:cs="Arial" w:eastAsia="Arial" w:hAnsi="Arial"/>
                <w:sz w:val="14"/>
                <w:szCs w:val="14"/>
                <w:b w:val="1"/>
                <w:bCs w:val="1"/>
                <w:color w:val="auto"/>
              </w:rPr>
              <w:t>Variable</w:t>
            </w:r>
          </w:p>
        </w:tc>
        <w:tc>
          <w:tcPr>
            <w:tcW w:w="2260" w:type="dxa"/>
            <w:vAlign w:val="bottom"/>
            <w:tcBorders>
              <w:bottom w:val="single" w:sz="8" w:color="B2B2B2"/>
            </w:tcBorders>
          </w:tcPr>
          <w:p>
            <w:pPr>
              <w:spacing w:after="0"/>
              <w:rPr>
                <w:sz w:val="17"/>
                <w:szCs w:val="17"/>
                <w:color w:val="auto"/>
              </w:rPr>
            </w:pPr>
          </w:p>
        </w:tc>
        <w:tc>
          <w:tcPr>
            <w:tcW w:w="1640" w:type="dxa"/>
            <w:vAlign w:val="bottom"/>
            <w:tcBorders>
              <w:bottom w:val="single" w:sz="8" w:color="B2B2B2"/>
            </w:tcBorders>
          </w:tcPr>
          <w:p>
            <w:pPr>
              <w:spacing w:after="0"/>
              <w:rPr>
                <w:sz w:val="17"/>
                <w:szCs w:val="17"/>
                <w:color w:val="auto"/>
              </w:rPr>
            </w:pPr>
          </w:p>
        </w:tc>
        <w:tc>
          <w:tcPr>
            <w:tcW w:w="98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4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Short-term incentive</w:t>
            </w:r>
          </w:p>
        </w:tc>
        <w:tc>
          <w:tcPr>
            <w:tcW w:w="2260" w:type="dxa"/>
            <w:vAlign w:val="bottom"/>
            <w:tcBorders>
              <w:bottom w:val="single" w:sz="8" w:color="B2B2B2"/>
            </w:tcBorders>
          </w:tcPr>
          <w:p>
            <w:pPr>
              <w:jc w:val="right"/>
              <w:ind w:right="568"/>
              <w:spacing w:after="0"/>
              <w:rPr>
                <w:sz w:val="20"/>
                <w:szCs w:val="20"/>
                <w:color w:val="auto"/>
              </w:rPr>
            </w:pPr>
            <w:r>
              <w:rPr>
                <w:rFonts w:ascii="Arial" w:cs="Arial" w:eastAsia="Arial" w:hAnsi="Arial"/>
                <w:sz w:val="14"/>
                <w:szCs w:val="14"/>
                <w:color w:val="auto"/>
              </w:rPr>
              <w:t>565,069</w:t>
            </w:r>
          </w:p>
        </w:tc>
        <w:tc>
          <w:tcPr>
            <w:tcW w:w="1640" w:type="dxa"/>
            <w:vAlign w:val="bottom"/>
            <w:tcBorders>
              <w:bottom w:val="single" w:sz="8" w:color="B2B2B2"/>
            </w:tcBorders>
          </w:tcPr>
          <w:p>
            <w:pPr>
              <w:jc w:val="right"/>
              <w:ind w:right="5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Long-term incentive</w:t>
            </w:r>
          </w:p>
        </w:tc>
        <w:tc>
          <w:tcPr>
            <w:tcW w:w="2260" w:type="dxa"/>
            <w:vAlign w:val="bottom"/>
            <w:tcBorders>
              <w:bottom w:val="single" w:sz="8" w:color="B2B2B2"/>
            </w:tcBorders>
          </w:tcPr>
          <w:p>
            <w:pPr>
              <w:spacing w:after="0"/>
              <w:rPr>
                <w:sz w:val="16"/>
                <w:szCs w:val="16"/>
                <w:color w:val="auto"/>
              </w:rPr>
            </w:pPr>
          </w:p>
        </w:tc>
        <w:tc>
          <w:tcPr>
            <w:tcW w:w="1640" w:type="dxa"/>
            <w:vAlign w:val="bottom"/>
            <w:tcBorders>
              <w:bottom w:val="single" w:sz="8" w:color="B2B2B2"/>
            </w:tcBorders>
          </w:tcPr>
          <w:p>
            <w:pPr>
              <w:spacing w:after="0"/>
              <w:rPr>
                <w:sz w:val="16"/>
                <w:szCs w:val="16"/>
                <w:color w:val="auto"/>
              </w:rPr>
            </w:pPr>
          </w:p>
        </w:tc>
        <w:tc>
          <w:tcPr>
            <w:tcW w:w="98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40" w:type="dxa"/>
            <w:vAlign w:val="bottom"/>
          </w:tcPr>
          <w:p>
            <w:pPr>
              <w:ind w:left="180"/>
              <w:spacing w:after="0"/>
              <w:rPr>
                <w:sz w:val="20"/>
                <w:szCs w:val="20"/>
                <w:color w:val="auto"/>
              </w:rPr>
            </w:pPr>
            <w:r>
              <w:rPr>
                <w:rFonts w:ascii="Arial" w:cs="Arial" w:eastAsia="Arial" w:hAnsi="Arial"/>
                <w:sz w:val="14"/>
                <w:szCs w:val="14"/>
                <w:color w:val="auto"/>
              </w:rPr>
              <w:t>PSUs</w:t>
            </w:r>
          </w:p>
        </w:tc>
        <w:tc>
          <w:tcPr>
            <w:tcW w:w="2260" w:type="dxa"/>
            <w:vAlign w:val="bottom"/>
            <w:vMerge w:val="restart"/>
          </w:tcPr>
          <w:p>
            <w:pPr>
              <w:jc w:val="right"/>
              <w:ind w:right="568"/>
              <w:spacing w:after="0"/>
              <w:rPr>
                <w:sz w:val="20"/>
                <w:szCs w:val="20"/>
                <w:color w:val="auto"/>
              </w:rPr>
            </w:pPr>
            <w:r>
              <w:rPr>
                <w:rFonts w:ascii="Arial" w:cs="Arial" w:eastAsia="Arial" w:hAnsi="Arial"/>
                <w:sz w:val="14"/>
                <w:szCs w:val="14"/>
                <w:color w:val="auto"/>
              </w:rPr>
              <w:t>1,312,500</w:t>
            </w:r>
          </w:p>
        </w:tc>
        <w:tc>
          <w:tcPr>
            <w:tcW w:w="164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3240" w:type="dxa"/>
            <w:vAlign w:val="bottom"/>
            <w:tcBorders>
              <w:bottom w:val="single" w:sz="8" w:color="B2B2B2"/>
            </w:tcBorders>
          </w:tcPr>
          <w:p>
            <w:pPr>
              <w:spacing w:after="0"/>
              <w:rPr>
                <w:sz w:val="5"/>
                <w:szCs w:val="5"/>
                <w:color w:val="auto"/>
              </w:rPr>
            </w:pPr>
          </w:p>
        </w:tc>
        <w:tc>
          <w:tcPr>
            <w:tcW w:w="2260" w:type="dxa"/>
            <w:vAlign w:val="bottom"/>
            <w:tcBorders>
              <w:bottom w:val="single" w:sz="8" w:color="B2B2B2"/>
            </w:tcBorders>
            <w:vMerge w:val="continue"/>
          </w:tcPr>
          <w:p>
            <w:pPr>
              <w:spacing w:after="0"/>
              <w:rPr>
                <w:sz w:val="5"/>
                <w:szCs w:val="5"/>
                <w:color w:val="auto"/>
              </w:rPr>
            </w:pPr>
          </w:p>
        </w:tc>
        <w:tc>
          <w:tcPr>
            <w:tcW w:w="1640" w:type="dxa"/>
            <w:vAlign w:val="bottom"/>
            <w:tcBorders>
              <w:bottom w:val="single" w:sz="8" w:color="B2B2B2"/>
            </w:tcBorders>
            <w:vMerge w:val="continue"/>
          </w:tcPr>
          <w:p>
            <w:pPr>
              <w:spacing w:after="0"/>
              <w:rPr>
                <w:sz w:val="5"/>
                <w:szCs w:val="5"/>
                <w:color w:val="auto"/>
              </w:rPr>
            </w:pPr>
          </w:p>
        </w:tc>
        <w:tc>
          <w:tcPr>
            <w:tcW w:w="980" w:type="dxa"/>
            <w:vAlign w:val="bottom"/>
            <w:tcBorders>
              <w:bottom w:val="single" w:sz="8" w:color="B2B2B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240" w:type="dxa"/>
            <w:vAlign w:val="bottom"/>
            <w:tcBorders>
              <w:bottom w:val="single" w:sz="8" w:color="B2B2B2"/>
            </w:tcBorders>
          </w:tcPr>
          <w:p>
            <w:pPr>
              <w:ind w:left="180"/>
              <w:spacing w:after="0"/>
              <w:rPr>
                <w:sz w:val="20"/>
                <w:szCs w:val="20"/>
                <w:color w:val="auto"/>
              </w:rPr>
            </w:pPr>
            <w:r>
              <w:rPr>
                <w:rFonts w:ascii="Arial" w:cs="Arial" w:eastAsia="Arial" w:hAnsi="Arial"/>
                <w:sz w:val="14"/>
                <w:szCs w:val="14"/>
                <w:color w:val="auto"/>
              </w:rPr>
              <w:t>RSUs</w:t>
            </w:r>
          </w:p>
        </w:tc>
        <w:tc>
          <w:tcPr>
            <w:tcW w:w="2260" w:type="dxa"/>
            <w:vAlign w:val="bottom"/>
            <w:tcBorders>
              <w:bottom w:val="single" w:sz="8" w:color="B2B2B2"/>
            </w:tcBorders>
          </w:tcPr>
          <w:p>
            <w:pPr>
              <w:jc w:val="right"/>
              <w:ind w:right="568"/>
              <w:spacing w:after="0"/>
              <w:rPr>
                <w:sz w:val="20"/>
                <w:szCs w:val="20"/>
                <w:color w:val="auto"/>
              </w:rPr>
            </w:pPr>
            <w:r>
              <w:rPr>
                <w:rFonts w:ascii="Arial" w:cs="Arial" w:eastAsia="Arial" w:hAnsi="Arial"/>
                <w:sz w:val="14"/>
                <w:szCs w:val="14"/>
                <w:color w:val="auto"/>
              </w:rPr>
              <w:t>2,762,500</w:t>
            </w:r>
          </w:p>
        </w:tc>
        <w:tc>
          <w:tcPr>
            <w:tcW w:w="1640" w:type="dxa"/>
            <w:vAlign w:val="bottom"/>
            <w:tcBorders>
              <w:bottom w:val="single" w:sz="8" w:color="B2B2B2"/>
            </w:tcBorders>
          </w:tcPr>
          <w:p>
            <w:pPr>
              <w:jc w:val="right"/>
              <w:ind w:right="5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240" w:type="dxa"/>
            <w:vAlign w:val="bottom"/>
            <w:tcBorders>
              <w:bottom w:val="single" w:sz="8" w:color="B2B2B2"/>
            </w:tcBorders>
          </w:tcPr>
          <w:p>
            <w:pPr>
              <w:spacing w:after="0"/>
              <w:rPr>
                <w:sz w:val="20"/>
                <w:szCs w:val="20"/>
                <w:color w:val="auto"/>
              </w:rPr>
            </w:pPr>
            <w:r>
              <w:rPr>
                <w:rFonts w:ascii="Arial" w:cs="Arial" w:eastAsia="Arial" w:hAnsi="Arial"/>
                <w:sz w:val="14"/>
                <w:szCs w:val="14"/>
                <w:b w:val="1"/>
                <w:bCs w:val="1"/>
                <w:color w:val="auto"/>
              </w:rPr>
              <w:t>Total direct compensation</w:t>
            </w:r>
          </w:p>
        </w:tc>
        <w:tc>
          <w:tcPr>
            <w:tcW w:w="2260" w:type="dxa"/>
            <w:vAlign w:val="bottom"/>
            <w:tcBorders>
              <w:bottom w:val="single" w:sz="8" w:color="B2B2B2"/>
            </w:tcBorders>
          </w:tcPr>
          <w:p>
            <w:pPr>
              <w:jc w:val="right"/>
              <w:ind w:right="568"/>
              <w:spacing w:after="0"/>
              <w:rPr>
                <w:sz w:val="20"/>
                <w:szCs w:val="20"/>
                <w:color w:val="auto"/>
              </w:rPr>
            </w:pPr>
            <w:r>
              <w:rPr>
                <w:rFonts w:ascii="Arial" w:cs="Arial" w:eastAsia="Arial" w:hAnsi="Arial"/>
                <w:sz w:val="14"/>
                <w:szCs w:val="14"/>
                <w:b w:val="1"/>
                <w:bCs w:val="1"/>
                <w:color w:val="auto"/>
              </w:rPr>
              <w:t>$5,265,069</w:t>
            </w:r>
          </w:p>
        </w:tc>
        <w:tc>
          <w:tcPr>
            <w:tcW w:w="1640" w:type="dxa"/>
            <w:vAlign w:val="bottom"/>
            <w:tcBorders>
              <w:bottom w:val="single" w:sz="8" w:color="B2B2B2"/>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237CC1"/>
            </w:tcBorders>
          </w:tcPr>
          <w:p>
            <w:pPr>
              <w:spacing w:after="0"/>
              <w:rPr>
                <w:sz w:val="20"/>
                <w:szCs w:val="20"/>
                <w:color w:val="auto"/>
              </w:rPr>
            </w:pPr>
            <w:r>
              <w:rPr>
                <w:rFonts w:ascii="Arial" w:cs="Arial" w:eastAsia="Arial" w:hAnsi="Arial"/>
                <w:sz w:val="14"/>
                <w:szCs w:val="14"/>
                <w:b w:val="1"/>
                <w:bCs w:val="1"/>
                <w:color w:val="auto"/>
              </w:rPr>
              <w:t>Change from last year</w:t>
            </w:r>
          </w:p>
        </w:tc>
        <w:tc>
          <w:tcPr>
            <w:tcW w:w="2260" w:type="dxa"/>
            <w:vAlign w:val="bottom"/>
            <w:tcBorders>
              <w:bottom w:val="single" w:sz="8" w:color="237CC1"/>
            </w:tcBorders>
          </w:tcPr>
          <w:p>
            <w:pPr>
              <w:jc w:val="right"/>
              <w:ind w:right="6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237CC1"/>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237CC1"/>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-1270635</wp:posOffset>
            </wp:positionV>
            <wp:extent cx="2414905" cy="30714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14905" cy="307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0D64EF"/>
        </w:rPr>
        <w:t>Share ownership</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2060" w:type="dxa"/>
            <w:vAlign w:val="bottom"/>
            <w:tcBorders>
              <w:top w:val="single" w:sz="8" w:color="237CC1"/>
              <w:bottom w:val="single" w:sz="8" w:color="D1D0CF"/>
            </w:tcBorders>
            <w:shd w:val="clear" w:color="auto" w:fill="D1D0CF"/>
          </w:tcPr>
          <w:p>
            <w:pPr>
              <w:jc w:val="right"/>
              <w:ind w:right="388"/>
              <w:spacing w:after="0"/>
              <w:rPr>
                <w:sz w:val="20"/>
                <w:szCs w:val="20"/>
                <w:color w:val="auto"/>
              </w:rPr>
            </w:pPr>
            <w:r>
              <w:rPr>
                <w:rFonts w:ascii="Arial" w:cs="Arial" w:eastAsia="Arial" w:hAnsi="Arial"/>
                <w:sz w:val="14"/>
                <w:szCs w:val="14"/>
                <w:b w:val="1"/>
                <w:bCs w:val="1"/>
                <w:color w:val="auto"/>
              </w:rPr>
              <w:t>Minimum</w:t>
            </w:r>
          </w:p>
        </w:tc>
        <w:tc>
          <w:tcPr>
            <w:tcW w:w="1180" w:type="dxa"/>
            <w:vAlign w:val="bottom"/>
            <w:tcBorders>
              <w:top w:val="single" w:sz="8" w:color="237CC1"/>
              <w:bottom w:val="single" w:sz="8" w:color="D1D0CF"/>
            </w:tcBorders>
            <w:shd w:val="clear" w:color="auto" w:fill="D1D0CF"/>
          </w:tcPr>
          <w:p>
            <w:pPr>
              <w:spacing w:after="0"/>
              <w:rPr>
                <w:sz w:val="24"/>
                <w:szCs w:val="24"/>
                <w:color w:val="auto"/>
              </w:rPr>
            </w:pPr>
          </w:p>
        </w:tc>
        <w:tc>
          <w:tcPr>
            <w:tcW w:w="4880" w:type="dxa"/>
            <w:vAlign w:val="bottom"/>
            <w:tcBorders>
              <w:top w:val="single" w:sz="8" w:color="237CC1"/>
              <w:bottom w:val="single" w:sz="8" w:color="D1D0CF"/>
            </w:tcBorders>
            <w:gridSpan w:val="2"/>
            <w:shd w:val="clear" w:color="auto" w:fill="D1D0CF"/>
          </w:tcPr>
          <w:p>
            <w:pPr>
              <w:jc w:val="right"/>
              <w:ind w:right="1248"/>
              <w:spacing w:after="0"/>
              <w:rPr>
                <w:sz w:val="20"/>
                <w:szCs w:val="20"/>
                <w:color w:val="auto"/>
              </w:rPr>
            </w:pPr>
            <w:r>
              <w:rPr>
                <w:rFonts w:ascii="Arial" w:cs="Arial" w:eastAsia="Arial" w:hAnsi="Arial"/>
                <w:sz w:val="14"/>
                <w:szCs w:val="14"/>
                <w:b w:val="1"/>
                <w:bCs w:val="1"/>
                <w:color w:val="auto"/>
              </w:rPr>
              <w:t>Ownership under the guidelines</w:t>
            </w:r>
            <w:r>
              <w:rPr>
                <w:rFonts w:ascii="Arial" w:cs="Arial" w:eastAsia="Arial" w:hAnsi="Arial"/>
                <w:sz w:val="18"/>
                <w:szCs w:val="18"/>
                <w:b w:val="1"/>
                <w:bCs w:val="1"/>
                <w:color w:val="auto"/>
                <w:vertAlign w:val="superscript"/>
              </w:rPr>
              <w:t>1</w:t>
            </w:r>
          </w:p>
        </w:tc>
      </w:tr>
      <w:tr>
        <w:trPr>
          <w:trHeight w:val="141"/>
        </w:trPr>
        <w:tc>
          <w:tcPr>
            <w:tcW w:w="2060" w:type="dxa"/>
            <w:vAlign w:val="bottom"/>
            <w:tcBorders>
              <w:top w:val="single" w:sz="8" w:color="D1D0CF"/>
            </w:tcBorders>
            <w:shd w:val="clear" w:color="auto" w:fill="D1D0CF"/>
          </w:tcPr>
          <w:p>
            <w:pPr>
              <w:jc w:val="right"/>
              <w:ind w:right="388"/>
              <w:spacing w:after="0" w:line="141" w:lineRule="exact"/>
              <w:rPr>
                <w:sz w:val="20"/>
                <w:szCs w:val="20"/>
                <w:color w:val="auto"/>
              </w:rPr>
            </w:pPr>
            <w:r>
              <w:rPr>
                <w:rFonts w:ascii="Arial" w:cs="Arial" w:eastAsia="Arial" w:hAnsi="Arial"/>
                <w:sz w:val="14"/>
                <w:szCs w:val="14"/>
                <w:b w:val="1"/>
                <w:bCs w:val="1"/>
                <w:color w:val="auto"/>
              </w:rPr>
              <w:t>level of</w:t>
            </w:r>
          </w:p>
        </w:tc>
        <w:tc>
          <w:tcPr>
            <w:tcW w:w="1180" w:type="dxa"/>
            <w:vAlign w:val="bottom"/>
            <w:tcBorders>
              <w:top w:val="single" w:sz="8" w:color="D1D0CF"/>
            </w:tcBorders>
            <w:shd w:val="clear" w:color="auto" w:fill="D1D0CF"/>
          </w:tcPr>
          <w:p>
            <w:pPr>
              <w:jc w:val="right"/>
              <w:spacing w:after="0" w:line="141" w:lineRule="exact"/>
              <w:rPr>
                <w:sz w:val="20"/>
                <w:szCs w:val="20"/>
                <w:color w:val="auto"/>
              </w:rPr>
            </w:pPr>
            <w:r>
              <w:rPr>
                <w:rFonts w:ascii="Arial" w:cs="Arial" w:eastAsia="Arial" w:hAnsi="Arial"/>
                <w:sz w:val="14"/>
                <w:szCs w:val="14"/>
                <w:b w:val="1"/>
                <w:bCs w:val="1"/>
                <w:color w:val="auto"/>
              </w:rPr>
              <w:t>Minimum</w:t>
            </w:r>
          </w:p>
        </w:tc>
        <w:tc>
          <w:tcPr>
            <w:tcW w:w="2220" w:type="dxa"/>
            <w:vAlign w:val="bottom"/>
            <w:tcBorders>
              <w:top w:val="single" w:sz="8" w:color="237CC1"/>
            </w:tcBorders>
            <w:shd w:val="clear" w:color="auto" w:fill="D1D0CF"/>
          </w:tcPr>
          <w:p>
            <w:pPr>
              <w:jc w:val="right"/>
              <w:ind w:right="568"/>
              <w:spacing w:after="0" w:line="141" w:lineRule="exact"/>
              <w:rPr>
                <w:sz w:val="20"/>
                <w:szCs w:val="20"/>
                <w:color w:val="auto"/>
              </w:rPr>
            </w:pPr>
            <w:r>
              <w:rPr>
                <w:rFonts w:ascii="Arial" w:cs="Arial" w:eastAsia="Arial" w:hAnsi="Arial"/>
                <w:sz w:val="14"/>
                <w:szCs w:val="14"/>
                <w:b w:val="1"/>
                <w:bCs w:val="1"/>
                <w:color w:val="auto"/>
              </w:rPr>
              <w:t>TC Energy</w:t>
            </w:r>
          </w:p>
        </w:tc>
        <w:tc>
          <w:tcPr>
            <w:tcW w:w="2660" w:type="dxa"/>
            <w:vAlign w:val="bottom"/>
            <w:tcBorders>
              <w:top w:val="single" w:sz="8" w:color="237CC1"/>
            </w:tcBorders>
            <w:shd w:val="clear" w:color="auto" w:fill="D1D0CF"/>
          </w:tcPr>
          <w:p>
            <w:pPr>
              <w:jc w:val="right"/>
              <w:spacing w:after="0" w:line="141" w:lineRule="exact"/>
              <w:rPr>
                <w:sz w:val="20"/>
                <w:szCs w:val="20"/>
                <w:color w:val="auto"/>
              </w:rPr>
            </w:pPr>
            <w:r>
              <w:rPr>
                <w:rFonts w:ascii="Arial" w:cs="Arial" w:eastAsia="Arial" w:hAnsi="Arial"/>
                <w:sz w:val="14"/>
                <w:szCs w:val="14"/>
                <w:b w:val="1"/>
                <w:bCs w:val="1"/>
                <w:color w:val="auto"/>
              </w:rPr>
              <w:t>Total ownership as a multiple</w:t>
            </w:r>
          </w:p>
        </w:tc>
      </w:tr>
      <w:tr>
        <w:trPr>
          <w:trHeight w:val="233"/>
        </w:trPr>
        <w:tc>
          <w:tcPr>
            <w:tcW w:w="2060" w:type="dxa"/>
            <w:vAlign w:val="bottom"/>
            <w:tcBorders>
              <w:bottom w:val="single" w:sz="8" w:color="D1D0CF"/>
            </w:tcBorders>
            <w:shd w:val="clear" w:color="auto" w:fill="D1D0CF"/>
          </w:tcPr>
          <w:p>
            <w:pPr>
              <w:jc w:val="right"/>
              <w:ind w:right="388"/>
              <w:spacing w:after="0"/>
              <w:rPr>
                <w:sz w:val="20"/>
                <w:szCs w:val="20"/>
                <w:color w:val="auto"/>
              </w:rPr>
            </w:pPr>
            <w:r>
              <w:rPr>
                <w:rFonts w:ascii="Arial" w:cs="Arial" w:eastAsia="Arial" w:hAnsi="Arial"/>
                <w:sz w:val="14"/>
                <w:szCs w:val="14"/>
                <w:b w:val="1"/>
                <w:bCs w:val="1"/>
                <w:color w:val="auto"/>
              </w:rPr>
              <w:t>ownership</w:t>
            </w:r>
          </w:p>
        </w:tc>
        <w:tc>
          <w:tcPr>
            <w:tcW w:w="1180" w:type="dxa"/>
            <w:vAlign w:val="bottom"/>
            <w:tcBorders>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value</w:t>
            </w:r>
          </w:p>
        </w:tc>
        <w:tc>
          <w:tcPr>
            <w:tcW w:w="2220" w:type="dxa"/>
            <w:vAlign w:val="bottom"/>
            <w:tcBorders>
              <w:bottom w:val="single" w:sz="8" w:color="D1D0CF"/>
            </w:tcBorders>
            <w:shd w:val="clear" w:color="auto" w:fill="D1D0CF"/>
          </w:tcPr>
          <w:p>
            <w:pPr>
              <w:jc w:val="right"/>
              <w:ind w:right="528"/>
              <w:spacing w:after="0"/>
              <w:rPr>
                <w:sz w:val="20"/>
                <w:szCs w:val="20"/>
                <w:color w:val="auto"/>
              </w:rPr>
            </w:pPr>
            <w:r>
              <w:rPr>
                <w:rFonts w:ascii="Arial" w:cs="Arial" w:eastAsia="Arial" w:hAnsi="Arial"/>
                <w:sz w:val="14"/>
                <w:szCs w:val="14"/>
                <w:b w:val="1"/>
                <w:bCs w:val="1"/>
                <w:color w:val="auto"/>
              </w:rPr>
              <w:t>shares</w:t>
            </w:r>
          </w:p>
        </w:tc>
        <w:tc>
          <w:tcPr>
            <w:tcW w:w="2660" w:type="dxa"/>
            <w:vAlign w:val="bottom"/>
            <w:tcBorders>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of base salary</w:t>
            </w:r>
          </w:p>
        </w:tc>
      </w:tr>
      <w:tr>
        <w:trPr>
          <w:trHeight w:val="231"/>
        </w:trPr>
        <w:tc>
          <w:tcPr>
            <w:tcW w:w="2060" w:type="dxa"/>
            <w:vAlign w:val="bottom"/>
            <w:tcBorders>
              <w:top w:val="single" w:sz="8" w:color="237CC1"/>
              <w:bottom w:val="single" w:sz="8" w:color="237CC1"/>
            </w:tcBorders>
          </w:tcPr>
          <w:p>
            <w:pPr>
              <w:jc w:val="right"/>
              <w:ind w:right="388"/>
              <w:spacing w:after="0"/>
              <w:rPr>
                <w:sz w:val="20"/>
                <w:szCs w:val="20"/>
                <w:color w:val="auto"/>
              </w:rPr>
            </w:pPr>
            <w:r>
              <w:rPr>
                <w:rFonts w:ascii="Arial" w:cs="Arial" w:eastAsia="Arial" w:hAnsi="Arial"/>
                <w:sz w:val="14"/>
                <w:szCs w:val="14"/>
                <w:color w:val="auto"/>
              </w:rPr>
              <w:t>3x</w:t>
            </w:r>
          </w:p>
        </w:tc>
        <w:tc>
          <w:tcPr>
            <w:tcW w:w="1180" w:type="dxa"/>
            <w:vAlign w:val="bottom"/>
            <w:tcBorders>
              <w:top w:val="single" w:sz="8" w:color="237CC1"/>
              <w:bottom w:val="single" w:sz="8" w:color="237CC1"/>
            </w:tcBorders>
          </w:tcPr>
          <w:p>
            <w:pPr>
              <w:jc w:val="right"/>
              <w:spacing w:after="0"/>
              <w:rPr>
                <w:sz w:val="20"/>
                <w:szCs w:val="20"/>
                <w:color w:val="auto"/>
              </w:rPr>
            </w:pPr>
            <w:r>
              <w:rPr>
                <w:rFonts w:ascii="Arial" w:cs="Arial" w:eastAsia="Arial" w:hAnsi="Arial"/>
                <w:sz w:val="14"/>
                <w:szCs w:val="14"/>
                <w:color w:val="auto"/>
              </w:rPr>
              <w:t>$1,875,000</w:t>
            </w:r>
          </w:p>
        </w:tc>
        <w:tc>
          <w:tcPr>
            <w:tcW w:w="2220" w:type="dxa"/>
            <w:vAlign w:val="bottom"/>
            <w:tcBorders>
              <w:top w:val="single" w:sz="8" w:color="237CC1"/>
              <w:bottom w:val="single" w:sz="8" w:color="237CC1"/>
            </w:tcBorders>
          </w:tcPr>
          <w:p>
            <w:pPr>
              <w:jc w:val="right"/>
              <w:ind w:right="528"/>
              <w:spacing w:after="0"/>
              <w:rPr>
                <w:sz w:val="20"/>
                <w:szCs w:val="20"/>
                <w:color w:val="auto"/>
              </w:rPr>
            </w:pPr>
            <w:r>
              <w:rPr>
                <w:rFonts w:ascii="Arial" w:cs="Arial" w:eastAsia="Arial" w:hAnsi="Arial"/>
                <w:sz w:val="14"/>
                <w:szCs w:val="14"/>
                <w:color w:val="auto"/>
              </w:rPr>
              <w:t>$4,188,056</w:t>
            </w:r>
          </w:p>
        </w:tc>
        <w:tc>
          <w:tcPr>
            <w:tcW w:w="2660" w:type="dxa"/>
            <w:vAlign w:val="bottom"/>
            <w:tcBorders>
              <w:top w:val="single" w:sz="8" w:color="237CC1"/>
              <w:bottom w:val="single" w:sz="8" w:color="237CC1"/>
            </w:tcBorders>
          </w:tcPr>
          <w:p>
            <w:pPr>
              <w:jc w:val="right"/>
              <w:spacing w:after="0"/>
              <w:rPr>
                <w:sz w:val="20"/>
                <w:szCs w:val="20"/>
                <w:color w:val="auto"/>
              </w:rPr>
            </w:pPr>
            <w:r>
              <w:rPr>
                <w:rFonts w:ascii="Arial" w:cs="Arial" w:eastAsia="Arial" w:hAnsi="Arial"/>
                <w:sz w:val="14"/>
                <w:szCs w:val="14"/>
                <w:color w:val="auto"/>
              </w:rPr>
              <w:t>6.7x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8255" cy="1708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17081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2680" w:space="380"/>
            <w:col w:w="8160"/>
          </w:cols>
          <w:pgMar w:left="340" w:top="1142" w:right="339" w:bottom="1440" w:gutter="0" w:footer="0" w:header="0"/>
        </w:sectPr>
      </w:pPr>
    </w:p>
    <w:p>
      <w:pPr>
        <w:ind w:left="60" w:hanging="55"/>
        <w:spacing w:after="0"/>
        <w:tabs>
          <w:tab w:leader="none" w:pos="60" w:val="left"/>
        </w:tabs>
        <w:numPr>
          <w:ilvl w:val="0"/>
          <w:numId w:val="150"/>
        </w:numPr>
        <w:rPr>
          <w:rFonts w:ascii="Arial" w:cs="Arial" w:eastAsia="Arial" w:hAnsi="Arial"/>
          <w:sz w:val="14"/>
          <w:szCs w:val="14"/>
          <w:color w:val="auto"/>
          <w:vertAlign w:val="superscript"/>
        </w:rPr>
      </w:pPr>
      <w:r>
        <w:rPr>
          <w:rFonts w:ascii="Arial" w:cs="Arial" w:eastAsia="Arial" w:hAnsi="Arial"/>
          <w:sz w:val="11"/>
          <w:szCs w:val="11"/>
          <w:color w:val="auto"/>
        </w:rPr>
        <w:t>Ms. Dusevic Oliva has met her share ownership requirements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111</w:t>
      </w:r>
    </w:p>
    <w:p>
      <w:pPr>
        <w:sectPr>
          <w:pgSz w:w="11900" w:h="16838" w:orient="portrait"/>
          <w:cols w:equalWidth="0" w:num="1">
            <w:col w:w="11220"/>
          </w:cols>
          <w:pgMar w:left="340" w:top="1142" w:right="339" w:bottom="1440" w:gutter="0" w:footer="0" w:header="0"/>
          <w:type w:val="continuous"/>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429895</wp:posOffset>
            </wp:positionH>
            <wp:positionV relativeFrom="page">
              <wp:posOffset>711835</wp:posOffset>
            </wp:positionV>
            <wp:extent cx="1279525" cy="1279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2025 key results</w:t>
      </w:r>
    </w:p>
    <w:p>
      <w:pPr>
        <w:spacing w:after="0" w:line="76" w:lineRule="exact"/>
        <w:rPr>
          <w:sz w:val="20"/>
          <w:szCs w:val="20"/>
          <w:color w:val="auto"/>
        </w:rPr>
      </w:pPr>
    </w:p>
    <w:p>
      <w:pPr>
        <w:ind w:left="180" w:hanging="155"/>
        <w:spacing w:after="0" w:line="291" w:lineRule="auto"/>
        <w:tabs>
          <w:tab w:leader="none" w:pos="163" w:val="left"/>
        </w:tabs>
        <w:numPr>
          <w:ilvl w:val="0"/>
          <w:numId w:val="151"/>
        </w:numPr>
        <w:rPr>
          <w:rFonts w:ascii="Arial" w:cs="Arial" w:eastAsia="Arial" w:hAnsi="Arial"/>
          <w:sz w:val="14"/>
          <w:szCs w:val="14"/>
          <w:color w:val="auto"/>
        </w:rPr>
      </w:pPr>
      <w:r>
        <w:rPr>
          <w:rFonts w:ascii="Arial" w:cs="Arial" w:eastAsia="Arial" w:hAnsi="Arial"/>
          <w:sz w:val="14"/>
          <w:szCs w:val="14"/>
          <w:color w:val="auto"/>
        </w:rPr>
        <w:t>Guided Southeast Gateway Project into service on time and 13 per cent below initial budget estimates</w:t>
      </w:r>
    </w:p>
    <w:p>
      <w:pPr>
        <w:spacing w:after="0" w:line="59" w:lineRule="exact"/>
        <w:rPr>
          <w:rFonts w:ascii="Arial" w:cs="Arial" w:eastAsia="Arial" w:hAnsi="Arial"/>
          <w:sz w:val="14"/>
          <w:szCs w:val="14"/>
          <w:color w:val="auto"/>
        </w:rPr>
      </w:pPr>
    </w:p>
    <w:p>
      <w:pPr>
        <w:ind w:left="180" w:right="320" w:hanging="155"/>
        <w:spacing w:after="0" w:line="291" w:lineRule="auto"/>
        <w:tabs>
          <w:tab w:leader="none" w:pos="163" w:val="left"/>
        </w:tabs>
        <w:numPr>
          <w:ilvl w:val="0"/>
          <w:numId w:val="151"/>
        </w:numPr>
        <w:rPr>
          <w:rFonts w:ascii="Arial" w:cs="Arial" w:eastAsia="Arial" w:hAnsi="Arial"/>
          <w:sz w:val="14"/>
          <w:szCs w:val="14"/>
          <w:color w:val="auto"/>
        </w:rPr>
      </w:pPr>
      <w:r>
        <w:rPr>
          <w:rFonts w:ascii="Arial" w:cs="Arial" w:eastAsia="Arial" w:hAnsi="Arial"/>
          <w:sz w:val="14"/>
          <w:szCs w:val="14"/>
          <w:color w:val="auto"/>
        </w:rPr>
        <w:t>Generated over $1.5 billion of enterprise value creation from our Focus Project initiative which was above target figures and delivered ahead of schedule</w:t>
      </w:r>
    </w:p>
    <w:p>
      <w:pPr>
        <w:spacing w:after="0" w:line="58" w:lineRule="exact"/>
        <w:rPr>
          <w:rFonts w:ascii="Arial" w:cs="Arial" w:eastAsia="Arial" w:hAnsi="Arial"/>
          <w:sz w:val="14"/>
          <w:szCs w:val="14"/>
          <w:color w:val="auto"/>
        </w:rPr>
      </w:pPr>
    </w:p>
    <w:p>
      <w:pPr>
        <w:ind w:left="180" w:right="200" w:hanging="155"/>
        <w:spacing w:after="0" w:line="301" w:lineRule="auto"/>
        <w:tabs>
          <w:tab w:leader="none" w:pos="163" w:val="left"/>
        </w:tabs>
        <w:numPr>
          <w:ilvl w:val="0"/>
          <w:numId w:val="151"/>
        </w:numPr>
        <w:rPr>
          <w:rFonts w:ascii="Arial" w:cs="Arial" w:eastAsia="Arial" w:hAnsi="Arial"/>
          <w:sz w:val="14"/>
          <w:szCs w:val="14"/>
          <w:color w:val="auto"/>
        </w:rPr>
      </w:pPr>
      <w:r>
        <w:rPr>
          <w:rFonts w:ascii="Arial" w:cs="Arial" w:eastAsia="Arial" w:hAnsi="Arial"/>
          <w:sz w:val="14"/>
          <w:szCs w:val="14"/>
          <w:color w:val="auto"/>
        </w:rPr>
        <w:t>Successfully transitioned his Chief Operating Officer (COO) role to Tina Faraca</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9"/>
          <w:szCs w:val="29"/>
          <w:color w:val="0D64EF"/>
        </w:rPr>
        <w:t>Stanley Chapman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-190500</wp:posOffset>
            </wp:positionV>
            <wp:extent cx="8255" cy="7047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704786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64EF"/>
        </w:rPr>
        <w:t>EXECUTIVE VICE-PRESIDENT AND EXECUTIVE ADVISOR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Vice-President and Chief Operating Officer, Natural Gas Pipelines until January 31, 2025)</w:t>
      </w:r>
    </w:p>
    <w:p>
      <w:pPr>
        <w:spacing w:after="0" w:line="155" w:lineRule="exact"/>
        <w:rPr>
          <w:sz w:val="20"/>
          <w:szCs w:val="20"/>
          <w:color w:val="auto"/>
        </w:rPr>
      </w:pPr>
    </w:p>
    <w:p>
      <w:pPr>
        <w:ind w:left="20" w:right="100"/>
        <w:spacing w:after="0" w:line="312" w:lineRule="auto"/>
        <w:rPr>
          <w:sz w:val="20"/>
          <w:szCs w:val="20"/>
          <w:color w:val="auto"/>
        </w:rPr>
      </w:pPr>
      <w:r>
        <w:rPr>
          <w:rFonts w:ascii="Arial" w:cs="Arial" w:eastAsia="Arial" w:hAnsi="Arial"/>
          <w:sz w:val="16"/>
          <w:szCs w:val="16"/>
          <w:color w:val="auto"/>
        </w:rPr>
        <w:t>Mr. Chapman acted as Executive Vice-President and Chief Operating Officer, Natural Gas Pipelines until January 31, 2025, with his role as Executive Vice-President and Chief Operating Officer, Natural Gas Pipelines transitioning to his successor effective February 1, 2025. Mr. Chapman was an Executive Vice-President and Executive Advisor until his departure from TC Energy effective June 30, 2025. See pages 124 and 125 for a description of the compensation arrangements applicable to departing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51790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79060" cy="8255"/>
                    </a:xfrm>
                    <a:prstGeom prst="rect">
                      <a:avLst/>
                    </a:prstGeom>
                    <a:noFill/>
                  </pic:spPr>
                </pic:pic>
              </a:graphicData>
            </a:graphic>
          </wp:anchor>
        </w:drawing>
      </w:r>
    </w:p>
    <w:p>
      <w:pPr>
        <w:spacing w:after="0" w:line="356" w:lineRule="exact"/>
        <w:rPr>
          <w:sz w:val="20"/>
          <w:szCs w:val="20"/>
          <w:color w:val="auto"/>
        </w:rPr>
      </w:pPr>
    </w:p>
    <w:p>
      <w:pPr>
        <w:ind w:left="180" w:right="200" w:hanging="158"/>
        <w:spacing w:after="0" w:line="297" w:lineRule="auto"/>
        <w:tabs>
          <w:tab w:leader="none" w:pos="15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short-term incentive award for 2025 was based on Mr. Chapman’s average short-term incentive award for the three years preceding his retirement date prorated by the number of days worked in 2025.</w:t>
      </w:r>
    </w:p>
    <w:p>
      <w:pPr>
        <w:spacing w:after="0" w:line="1" w:lineRule="exact"/>
        <w:rPr>
          <w:rFonts w:ascii="Arial" w:cs="Arial" w:eastAsia="Arial" w:hAnsi="Arial"/>
          <w:sz w:val="16"/>
          <w:szCs w:val="16"/>
          <w:color w:val="auto"/>
        </w:rPr>
      </w:pPr>
    </w:p>
    <w:p>
      <w:pPr>
        <w:ind w:left="180" w:right="200" w:hanging="158"/>
        <w:spacing w:after="0" w:line="301" w:lineRule="auto"/>
        <w:tabs>
          <w:tab w:leader="none" w:pos="15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Mr. Chapman’s 2025 short-term and long-term incentive awards as a percentage of 2025 base salary were 70 per cent and 450 per cent,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3420" w:type="dxa"/>
            <w:vAlign w:val="bottom"/>
            <w:tcBorders>
              <w:top w:val="single" w:sz="8" w:color="237CC1"/>
              <w:bottom w:val="single" w:sz="8" w:color="237CC1"/>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color w:val="auto"/>
              </w:rPr>
              <w:t>(as at December 31)</w:t>
            </w:r>
            <w:r>
              <w:rPr>
                <w:rFonts w:ascii="Arial" w:cs="Arial" w:eastAsia="Arial" w:hAnsi="Arial"/>
                <w:sz w:val="18"/>
                <w:szCs w:val="18"/>
                <w:color w:val="auto"/>
                <w:vertAlign w:val="superscript"/>
              </w:rPr>
              <w:t>1, 2</w:t>
            </w:r>
          </w:p>
        </w:tc>
        <w:tc>
          <w:tcPr>
            <w:tcW w:w="2060" w:type="dxa"/>
            <w:vAlign w:val="bottom"/>
            <w:tcBorders>
              <w:top w:val="single" w:sz="8" w:color="237CC1"/>
              <w:bottom w:val="single" w:sz="8" w:color="237CC1"/>
            </w:tcBorders>
            <w:shd w:val="clear" w:color="auto" w:fill="D1D0CF"/>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560" w:type="dxa"/>
            <w:vAlign w:val="bottom"/>
            <w:tcBorders>
              <w:top w:val="single" w:sz="8" w:color="237CC1"/>
              <w:bottom w:val="single" w:sz="8" w:color="237CC1"/>
            </w:tcBorders>
            <w:shd w:val="clear" w:color="auto" w:fill="D1D0CF"/>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120" w:type="dxa"/>
            <w:vAlign w:val="bottom"/>
            <w:tcBorders>
              <w:top w:val="single" w:sz="8" w:color="237CC1"/>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237CC1"/>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Fixed</w:t>
            </w:r>
          </w:p>
        </w:tc>
        <w:tc>
          <w:tcPr>
            <w:tcW w:w="2060" w:type="dxa"/>
            <w:vAlign w:val="bottom"/>
            <w:tcBorders>
              <w:bottom w:val="single" w:sz="8" w:color="B2B2B2"/>
            </w:tcBorders>
          </w:tcPr>
          <w:p>
            <w:pPr>
              <w:spacing w:after="0"/>
              <w:rPr>
                <w:sz w:val="17"/>
                <w:szCs w:val="17"/>
                <w:color w:val="auto"/>
              </w:rPr>
            </w:pPr>
          </w:p>
        </w:tc>
        <w:tc>
          <w:tcPr>
            <w:tcW w:w="1560" w:type="dxa"/>
            <w:vAlign w:val="bottom"/>
            <w:tcBorders>
              <w:bottom w:val="single" w:sz="8" w:color="B2B2B2"/>
            </w:tcBorders>
          </w:tcPr>
          <w:p>
            <w:pPr>
              <w:spacing w:after="0"/>
              <w:rPr>
                <w:sz w:val="17"/>
                <w:szCs w:val="17"/>
                <w:color w:val="auto"/>
              </w:rPr>
            </w:pPr>
          </w:p>
        </w:tc>
        <w:tc>
          <w:tcPr>
            <w:tcW w:w="1120" w:type="dxa"/>
            <w:vAlign w:val="bottom"/>
            <w:tcBorders>
              <w:bottom w:val="single" w:sz="8" w:color="B2B2B2"/>
            </w:tcBorders>
          </w:tcPr>
          <w:p>
            <w:pPr>
              <w:spacing w:after="0"/>
              <w:rPr>
                <w:sz w:val="17"/>
                <w:szCs w:val="17"/>
                <w:color w:val="auto"/>
              </w:rPr>
            </w:pPr>
          </w:p>
        </w:tc>
        <w:tc>
          <w:tcPr>
            <w:tcW w:w="2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Base salary</w:t>
            </w:r>
          </w:p>
        </w:tc>
        <w:tc>
          <w:tcPr>
            <w:tcW w:w="2060" w:type="dxa"/>
            <w:vAlign w:val="bottom"/>
            <w:tcBorders>
              <w:bottom w:val="single" w:sz="8" w:color="B2B2B2"/>
            </w:tcBorders>
          </w:tcPr>
          <w:p>
            <w:pPr>
              <w:jc w:val="right"/>
              <w:ind w:right="388"/>
              <w:spacing w:after="0"/>
              <w:rPr>
                <w:sz w:val="20"/>
                <w:szCs w:val="20"/>
                <w:color w:val="auto"/>
              </w:rPr>
            </w:pPr>
            <w:r>
              <w:rPr>
                <w:rFonts w:ascii="Arial" w:cs="Arial" w:eastAsia="Arial" w:hAnsi="Arial"/>
                <w:sz w:val="14"/>
                <w:szCs w:val="14"/>
                <w:color w:val="auto"/>
              </w:rPr>
              <w:t>$1,149,691</w:t>
            </w:r>
          </w:p>
        </w:tc>
        <w:tc>
          <w:tcPr>
            <w:tcW w:w="156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$1,126,661</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$1,110,128</w:t>
            </w:r>
          </w:p>
        </w:tc>
        <w:tc>
          <w:tcPr>
            <w:tcW w:w="2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Variable</w:t>
            </w:r>
          </w:p>
        </w:tc>
        <w:tc>
          <w:tcPr>
            <w:tcW w:w="2060" w:type="dxa"/>
            <w:vAlign w:val="bottom"/>
            <w:tcBorders>
              <w:bottom w:val="single" w:sz="8" w:color="B2B2B2"/>
            </w:tcBorders>
          </w:tcPr>
          <w:p>
            <w:pPr>
              <w:spacing w:after="0"/>
              <w:rPr>
                <w:sz w:val="17"/>
                <w:szCs w:val="17"/>
                <w:color w:val="auto"/>
              </w:rPr>
            </w:pPr>
          </w:p>
        </w:tc>
        <w:tc>
          <w:tcPr>
            <w:tcW w:w="1560" w:type="dxa"/>
            <w:vAlign w:val="bottom"/>
            <w:tcBorders>
              <w:bottom w:val="single" w:sz="8" w:color="B2B2B2"/>
            </w:tcBorders>
          </w:tcPr>
          <w:p>
            <w:pPr>
              <w:spacing w:after="0"/>
              <w:rPr>
                <w:sz w:val="17"/>
                <w:szCs w:val="17"/>
                <w:color w:val="auto"/>
              </w:rPr>
            </w:pPr>
          </w:p>
        </w:tc>
        <w:tc>
          <w:tcPr>
            <w:tcW w:w="1120" w:type="dxa"/>
            <w:vAlign w:val="bottom"/>
            <w:tcBorders>
              <w:bottom w:val="single" w:sz="8" w:color="B2B2B2"/>
            </w:tcBorders>
          </w:tcPr>
          <w:p>
            <w:pPr>
              <w:spacing w:after="0"/>
              <w:rPr>
                <w:sz w:val="17"/>
                <w:szCs w:val="17"/>
                <w:color w:val="auto"/>
              </w:rPr>
            </w:pPr>
          </w:p>
        </w:tc>
        <w:tc>
          <w:tcPr>
            <w:tcW w:w="2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Short-term incentive</w:t>
            </w:r>
          </w:p>
        </w:tc>
        <w:tc>
          <w:tcPr>
            <w:tcW w:w="2060" w:type="dxa"/>
            <w:vAlign w:val="bottom"/>
            <w:tcBorders>
              <w:bottom w:val="single" w:sz="8" w:color="B2B2B2"/>
            </w:tcBorders>
          </w:tcPr>
          <w:p>
            <w:pPr>
              <w:jc w:val="right"/>
              <w:ind w:right="388"/>
              <w:spacing w:after="0"/>
              <w:rPr>
                <w:sz w:val="20"/>
                <w:szCs w:val="20"/>
                <w:color w:val="auto"/>
              </w:rPr>
            </w:pPr>
            <w:r>
              <w:rPr>
                <w:rFonts w:ascii="Arial" w:cs="Arial" w:eastAsia="Arial" w:hAnsi="Arial"/>
                <w:sz w:val="14"/>
                <w:szCs w:val="14"/>
                <w:color w:val="auto"/>
              </w:rPr>
              <w:t>801,823</w:t>
            </w:r>
          </w:p>
        </w:tc>
        <w:tc>
          <w:tcPr>
            <w:tcW w:w="156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2,027,989</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1,413,630</w:t>
            </w:r>
          </w:p>
        </w:tc>
        <w:tc>
          <w:tcPr>
            <w:tcW w:w="2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Long-term incentive</w:t>
            </w:r>
          </w:p>
        </w:tc>
        <w:tc>
          <w:tcPr>
            <w:tcW w:w="2060" w:type="dxa"/>
            <w:vAlign w:val="bottom"/>
            <w:tcBorders>
              <w:bottom w:val="single" w:sz="8" w:color="B2B2B2"/>
            </w:tcBorders>
          </w:tcPr>
          <w:p>
            <w:pPr>
              <w:spacing w:after="0"/>
              <w:rPr>
                <w:sz w:val="16"/>
                <w:szCs w:val="16"/>
                <w:color w:val="auto"/>
              </w:rPr>
            </w:pPr>
          </w:p>
        </w:tc>
        <w:tc>
          <w:tcPr>
            <w:tcW w:w="1560" w:type="dxa"/>
            <w:vAlign w:val="bottom"/>
            <w:tcBorders>
              <w:bottom w:val="single" w:sz="8" w:color="B2B2B2"/>
            </w:tcBorders>
          </w:tcPr>
          <w:p>
            <w:pPr>
              <w:spacing w:after="0"/>
              <w:rPr>
                <w:sz w:val="16"/>
                <w:szCs w:val="16"/>
                <w:color w:val="auto"/>
              </w:rPr>
            </w:pPr>
          </w:p>
        </w:tc>
        <w:tc>
          <w:tcPr>
            <w:tcW w:w="1120" w:type="dxa"/>
            <w:vAlign w:val="bottom"/>
            <w:tcBorders>
              <w:bottom w:val="single" w:sz="8" w:color="B2B2B2"/>
            </w:tcBorders>
          </w:tcPr>
          <w:p>
            <w:pPr>
              <w:spacing w:after="0"/>
              <w:rPr>
                <w:sz w:val="16"/>
                <w:szCs w:val="16"/>
                <w:color w:val="auto"/>
              </w:rPr>
            </w:pPr>
          </w:p>
        </w:tc>
        <w:tc>
          <w:tcPr>
            <w:tcW w:w="2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tcPr>
          <w:p>
            <w:pPr>
              <w:ind w:left="180"/>
              <w:spacing w:after="0"/>
              <w:rPr>
                <w:sz w:val="20"/>
                <w:szCs w:val="20"/>
                <w:color w:val="auto"/>
              </w:rPr>
            </w:pPr>
            <w:r>
              <w:rPr>
                <w:rFonts w:ascii="Arial" w:cs="Arial" w:eastAsia="Arial" w:hAnsi="Arial"/>
                <w:sz w:val="14"/>
                <w:szCs w:val="14"/>
                <w:color w:val="auto"/>
              </w:rPr>
              <w:t>PSUs</w:t>
            </w:r>
          </w:p>
        </w:tc>
        <w:tc>
          <w:tcPr>
            <w:tcW w:w="2060" w:type="dxa"/>
            <w:vAlign w:val="bottom"/>
            <w:vMerge w:val="restart"/>
          </w:tcPr>
          <w:p>
            <w:pPr>
              <w:jc w:val="right"/>
              <w:ind w:right="388"/>
              <w:spacing w:after="0"/>
              <w:rPr>
                <w:sz w:val="20"/>
                <w:szCs w:val="20"/>
                <w:color w:val="auto"/>
              </w:rPr>
            </w:pPr>
            <w:r>
              <w:rPr>
                <w:rFonts w:ascii="Arial" w:cs="Arial" w:eastAsia="Arial" w:hAnsi="Arial"/>
                <w:sz w:val="14"/>
                <w:szCs w:val="14"/>
                <w:color w:val="auto"/>
              </w:rPr>
              <w:t>3,621,525</w:t>
            </w:r>
          </w:p>
        </w:tc>
        <w:tc>
          <w:tcPr>
            <w:tcW w:w="1560" w:type="dxa"/>
            <w:vAlign w:val="bottom"/>
            <w:vMerge w:val="restart"/>
          </w:tcPr>
          <w:p>
            <w:pPr>
              <w:jc w:val="right"/>
              <w:ind w:right="328"/>
              <w:spacing w:after="0"/>
              <w:rPr>
                <w:sz w:val="20"/>
                <w:szCs w:val="20"/>
                <w:color w:val="auto"/>
              </w:rPr>
            </w:pPr>
            <w:r>
              <w:rPr>
                <w:rFonts w:ascii="Arial" w:cs="Arial" w:eastAsia="Arial" w:hAnsi="Arial"/>
                <w:sz w:val="14"/>
                <w:szCs w:val="14"/>
                <w:color w:val="auto"/>
              </w:rPr>
              <w:t>3,548,981</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2,815,137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420" w:type="dxa"/>
            <w:vAlign w:val="bottom"/>
            <w:tcBorders>
              <w:bottom w:val="single" w:sz="8" w:color="B2B2B2"/>
            </w:tcBorders>
          </w:tcPr>
          <w:p>
            <w:pPr>
              <w:spacing w:after="0"/>
              <w:rPr>
                <w:sz w:val="5"/>
                <w:szCs w:val="5"/>
                <w:color w:val="auto"/>
              </w:rPr>
            </w:pPr>
          </w:p>
        </w:tc>
        <w:tc>
          <w:tcPr>
            <w:tcW w:w="2060" w:type="dxa"/>
            <w:vAlign w:val="bottom"/>
            <w:tcBorders>
              <w:bottom w:val="single" w:sz="8" w:color="B2B2B2"/>
            </w:tcBorders>
            <w:vMerge w:val="continue"/>
          </w:tcPr>
          <w:p>
            <w:pPr>
              <w:spacing w:after="0"/>
              <w:rPr>
                <w:sz w:val="5"/>
                <w:szCs w:val="5"/>
                <w:color w:val="auto"/>
              </w:rPr>
            </w:pPr>
          </w:p>
        </w:tc>
        <w:tc>
          <w:tcPr>
            <w:tcW w:w="1560" w:type="dxa"/>
            <w:vAlign w:val="bottom"/>
            <w:tcBorders>
              <w:bottom w:val="single" w:sz="8" w:color="B2B2B2"/>
            </w:tcBorders>
            <w:vMerge w:val="continue"/>
          </w:tcPr>
          <w:p>
            <w:pPr>
              <w:spacing w:after="0"/>
              <w:rPr>
                <w:sz w:val="5"/>
                <w:szCs w:val="5"/>
                <w:color w:val="auto"/>
              </w:rPr>
            </w:pPr>
          </w:p>
        </w:tc>
        <w:tc>
          <w:tcPr>
            <w:tcW w:w="1120" w:type="dxa"/>
            <w:vAlign w:val="bottom"/>
            <w:tcBorders>
              <w:bottom w:val="single" w:sz="8" w:color="B2B2B2"/>
            </w:tcBorders>
            <w:vMerge w:val="continue"/>
          </w:tcPr>
          <w:p>
            <w:pPr>
              <w:spacing w:after="0"/>
              <w:rPr>
                <w:sz w:val="5"/>
                <w:szCs w:val="5"/>
                <w:color w:val="auto"/>
              </w:rPr>
            </w:pPr>
          </w:p>
        </w:tc>
        <w:tc>
          <w:tcPr>
            <w:tcW w:w="2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420" w:type="dxa"/>
            <w:vAlign w:val="bottom"/>
            <w:tcBorders>
              <w:bottom w:val="single" w:sz="8" w:color="B2B2B2"/>
            </w:tcBorders>
          </w:tcPr>
          <w:p>
            <w:pPr>
              <w:ind w:left="180"/>
              <w:spacing w:after="0"/>
              <w:rPr>
                <w:sz w:val="20"/>
                <w:szCs w:val="20"/>
                <w:color w:val="auto"/>
              </w:rPr>
            </w:pPr>
            <w:r>
              <w:rPr>
                <w:rFonts w:ascii="Arial" w:cs="Arial" w:eastAsia="Arial" w:hAnsi="Arial"/>
                <w:sz w:val="14"/>
                <w:szCs w:val="14"/>
                <w:color w:val="auto"/>
              </w:rPr>
              <w:t>RSUs</w:t>
            </w:r>
          </w:p>
        </w:tc>
        <w:tc>
          <w:tcPr>
            <w:tcW w:w="2060" w:type="dxa"/>
            <w:vAlign w:val="bottom"/>
            <w:tcBorders>
              <w:bottom w:val="single" w:sz="8" w:color="B2B2B2"/>
            </w:tcBorders>
          </w:tcPr>
          <w:p>
            <w:pPr>
              <w:jc w:val="right"/>
              <w:ind w:right="388"/>
              <w:spacing w:after="0"/>
              <w:rPr>
                <w:sz w:val="20"/>
                <w:szCs w:val="20"/>
                <w:color w:val="auto"/>
              </w:rPr>
            </w:pPr>
            <w:r>
              <w:rPr>
                <w:rFonts w:ascii="Arial" w:cs="Arial" w:eastAsia="Arial" w:hAnsi="Arial"/>
                <w:sz w:val="14"/>
                <w:szCs w:val="14"/>
                <w:color w:val="auto"/>
              </w:rPr>
              <w:t>1,552,082</w:t>
            </w:r>
          </w:p>
        </w:tc>
        <w:tc>
          <w:tcPr>
            <w:tcW w:w="156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1,520,992</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20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1,876,758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420" w:type="dxa"/>
            <w:vAlign w:val="bottom"/>
            <w:tcBorders>
              <w:bottom w:val="single" w:sz="8" w:color="B2B2B2"/>
            </w:tcBorders>
          </w:tcPr>
          <w:p>
            <w:pPr>
              <w:spacing w:after="0"/>
              <w:rPr>
                <w:sz w:val="5"/>
                <w:szCs w:val="5"/>
                <w:color w:val="auto"/>
              </w:rPr>
            </w:pPr>
          </w:p>
        </w:tc>
        <w:tc>
          <w:tcPr>
            <w:tcW w:w="2060" w:type="dxa"/>
            <w:vAlign w:val="bottom"/>
            <w:tcBorders>
              <w:bottom w:val="single" w:sz="8" w:color="B2B2B2"/>
            </w:tcBorders>
            <w:vMerge w:val="continue"/>
          </w:tcPr>
          <w:p>
            <w:pPr>
              <w:spacing w:after="0"/>
              <w:rPr>
                <w:sz w:val="5"/>
                <w:szCs w:val="5"/>
                <w:color w:val="auto"/>
              </w:rPr>
            </w:pPr>
          </w:p>
        </w:tc>
        <w:tc>
          <w:tcPr>
            <w:tcW w:w="1560" w:type="dxa"/>
            <w:vAlign w:val="bottom"/>
            <w:tcBorders>
              <w:bottom w:val="single" w:sz="8" w:color="B2B2B2"/>
            </w:tcBorders>
            <w:vMerge w:val="continue"/>
          </w:tcPr>
          <w:p>
            <w:pPr>
              <w:spacing w:after="0"/>
              <w:rPr>
                <w:sz w:val="5"/>
                <w:szCs w:val="5"/>
                <w:color w:val="auto"/>
              </w:rPr>
            </w:pPr>
          </w:p>
        </w:tc>
        <w:tc>
          <w:tcPr>
            <w:tcW w:w="1120" w:type="dxa"/>
            <w:vAlign w:val="bottom"/>
            <w:tcBorders>
              <w:bottom w:val="single" w:sz="8" w:color="B2B2B2"/>
            </w:tcBorders>
            <w:vMerge w:val="continue"/>
          </w:tcPr>
          <w:p>
            <w:pPr>
              <w:spacing w:after="0"/>
              <w:rPr>
                <w:sz w:val="5"/>
                <w:szCs w:val="5"/>
                <w:color w:val="auto"/>
              </w:rPr>
            </w:pPr>
          </w:p>
        </w:tc>
        <w:tc>
          <w:tcPr>
            <w:tcW w:w="2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42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Total direct compensation</w:t>
            </w:r>
          </w:p>
        </w:tc>
        <w:tc>
          <w:tcPr>
            <w:tcW w:w="2060" w:type="dxa"/>
            <w:vAlign w:val="bottom"/>
            <w:tcBorders>
              <w:bottom w:val="single" w:sz="8" w:color="B2B2B2"/>
            </w:tcBorders>
          </w:tcPr>
          <w:p>
            <w:pPr>
              <w:jc w:val="right"/>
              <w:ind w:right="388"/>
              <w:spacing w:after="0"/>
              <w:rPr>
                <w:sz w:val="20"/>
                <w:szCs w:val="20"/>
                <w:color w:val="auto"/>
              </w:rPr>
            </w:pPr>
            <w:r>
              <w:rPr>
                <w:rFonts w:ascii="Arial" w:cs="Arial" w:eastAsia="Arial" w:hAnsi="Arial"/>
                <w:sz w:val="14"/>
                <w:szCs w:val="14"/>
                <w:b w:val="1"/>
                <w:bCs w:val="1"/>
                <w:color w:val="auto"/>
              </w:rPr>
              <w:t>$7,125,121</w:t>
            </w:r>
          </w:p>
        </w:tc>
        <w:tc>
          <w:tcPr>
            <w:tcW w:w="156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b w:val="1"/>
                <w:bCs w:val="1"/>
                <w:color w:val="auto"/>
              </w:rPr>
              <w:t>$8,224,623</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$7,215,653</w:t>
            </w:r>
          </w:p>
        </w:tc>
        <w:tc>
          <w:tcPr>
            <w:tcW w:w="2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tcBorders>
              <w:bottom w:val="single" w:sz="8" w:color="237CC1"/>
            </w:tcBorders>
          </w:tcPr>
          <w:p>
            <w:pPr>
              <w:ind w:left="20"/>
              <w:spacing w:after="0"/>
              <w:rPr>
                <w:sz w:val="20"/>
                <w:szCs w:val="20"/>
                <w:color w:val="auto"/>
              </w:rPr>
            </w:pPr>
            <w:r>
              <w:rPr>
                <w:rFonts w:ascii="Arial" w:cs="Arial" w:eastAsia="Arial" w:hAnsi="Arial"/>
                <w:sz w:val="14"/>
                <w:szCs w:val="14"/>
                <w:b w:val="1"/>
                <w:bCs w:val="1"/>
                <w:color w:val="auto"/>
              </w:rPr>
              <w:t>Change from last year</w:t>
            </w:r>
          </w:p>
        </w:tc>
        <w:tc>
          <w:tcPr>
            <w:tcW w:w="2060" w:type="dxa"/>
            <w:vAlign w:val="bottom"/>
            <w:tcBorders>
              <w:bottom w:val="single" w:sz="8" w:color="237CC1"/>
            </w:tcBorders>
          </w:tcPr>
          <w:p>
            <w:pPr>
              <w:jc w:val="right"/>
              <w:ind w:right="388"/>
              <w:spacing w:after="0"/>
              <w:rPr>
                <w:sz w:val="20"/>
                <w:szCs w:val="20"/>
                <w:color w:val="auto"/>
              </w:rPr>
            </w:pPr>
            <w:r>
              <w:rPr>
                <w:rFonts w:ascii="Arial" w:cs="Arial" w:eastAsia="Arial" w:hAnsi="Arial"/>
                <w:sz w:val="14"/>
                <w:szCs w:val="14"/>
                <w:b w:val="1"/>
                <w:bCs w:val="1"/>
                <w:color w:val="auto"/>
              </w:rPr>
              <w:t>-13 %</w:t>
            </w:r>
          </w:p>
        </w:tc>
        <w:tc>
          <w:tcPr>
            <w:tcW w:w="1560" w:type="dxa"/>
            <w:vAlign w:val="bottom"/>
            <w:tcBorders>
              <w:bottom w:val="single" w:sz="8" w:color="237CC1"/>
            </w:tcBorders>
          </w:tcPr>
          <w:p>
            <w:pPr>
              <w:jc w:val="right"/>
              <w:ind w:right="328"/>
              <w:spacing w:after="0"/>
              <w:rPr>
                <w:sz w:val="20"/>
                <w:szCs w:val="20"/>
                <w:color w:val="auto"/>
              </w:rPr>
            </w:pPr>
            <w:r>
              <w:rPr>
                <w:rFonts w:ascii="Arial" w:cs="Arial" w:eastAsia="Arial" w:hAnsi="Arial"/>
                <w:sz w:val="14"/>
                <w:szCs w:val="14"/>
                <w:b w:val="1"/>
                <w:bCs w:val="1"/>
                <w:color w:val="auto"/>
              </w:rPr>
              <w:t>14 %</w:t>
            </w:r>
          </w:p>
        </w:tc>
        <w:tc>
          <w:tcPr>
            <w:tcW w:w="1120" w:type="dxa"/>
            <w:vAlign w:val="bottom"/>
            <w:tcBorders>
              <w:bottom w:val="single" w:sz="8" w:color="237CC1"/>
            </w:tcBorders>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237CC1"/>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-1441450</wp:posOffset>
            </wp:positionV>
            <wp:extent cx="3455670" cy="32505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55670" cy="32505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360"/>
            <w:col w:w="8180"/>
          </w:cols>
          <w:pgMar w:left="320" w:top="10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0D64EF"/>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1932940</wp:posOffset>
            </wp:positionH>
            <wp:positionV relativeFrom="paragraph">
              <wp:posOffset>53975</wp:posOffset>
            </wp:positionV>
            <wp:extent cx="51790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79060" cy="8255"/>
                    </a:xfrm>
                    <a:prstGeom prst="rect">
                      <a:avLst/>
                    </a:prstGeom>
                    <a:noFill/>
                  </pic:spPr>
                </pic:pic>
              </a:graphicData>
            </a:graphic>
          </wp:anchor>
        </w:drawing>
      </w:r>
    </w:p>
    <w:p>
      <w:pPr>
        <w:spacing w:after="0" w:line="83" w:lineRule="exact"/>
        <w:rPr>
          <w:sz w:val="20"/>
          <w:szCs w:val="20"/>
          <w:color w:val="auto"/>
        </w:rPr>
      </w:pPr>
    </w:p>
    <w:p>
      <w:pPr>
        <w:jc w:val="right"/>
        <w:ind w:right="1240"/>
        <w:spacing w:after="0"/>
        <w:rPr>
          <w:sz w:val="20"/>
          <w:szCs w:val="20"/>
          <w:color w:val="auto"/>
        </w:rPr>
      </w:pPr>
      <w:r>
        <w:rPr>
          <w:rFonts w:ascii="Arial" w:cs="Arial" w:eastAsia="Arial" w:hAnsi="Arial"/>
          <w:sz w:val="14"/>
          <w:szCs w:val="14"/>
          <w:color w:val="auto"/>
        </w:rPr>
        <w:t>Mr. Chapman departed from TC Energy on June 30, 2025 and no longer has Share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1932940</wp:posOffset>
            </wp:positionH>
            <wp:positionV relativeFrom="paragraph">
              <wp:posOffset>449580</wp:posOffset>
            </wp:positionV>
            <wp:extent cx="51790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79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0" w:hanging="75"/>
        <w:spacing w:after="0"/>
        <w:tabs>
          <w:tab w:leader="none" w:pos="100" w:val="left"/>
        </w:tabs>
        <w:numPr>
          <w:ilvl w:val="0"/>
          <w:numId w:val="153"/>
        </w:numPr>
        <w:rPr>
          <w:rFonts w:ascii="Arial" w:cs="Arial" w:eastAsia="Arial" w:hAnsi="Arial"/>
          <w:sz w:val="19"/>
          <w:szCs w:val="19"/>
          <w:color w:val="auto"/>
          <w:vertAlign w:val="superscript"/>
        </w:rPr>
      </w:pPr>
      <w:r>
        <w:rPr>
          <w:rFonts w:ascii="Arial" w:cs="Arial" w:eastAsia="Arial" w:hAnsi="Arial"/>
          <w:sz w:val="12"/>
          <w:szCs w:val="12"/>
          <w:color w:val="auto"/>
        </w:rPr>
        <w:t>Values reflect a U.S./Canada foreign exchange rate of 1.3978 in 2025, 1.3698 for 2024 and 1.3497 for 2023.</w:t>
      </w:r>
    </w:p>
    <w:p>
      <w:pPr>
        <w:ind w:left="100" w:hanging="75"/>
        <w:spacing w:after="0" w:line="186" w:lineRule="auto"/>
        <w:tabs>
          <w:tab w:leader="none" w:pos="100" w:val="left"/>
        </w:tabs>
        <w:numPr>
          <w:ilvl w:val="0"/>
          <w:numId w:val="154"/>
        </w:numPr>
        <w:rPr>
          <w:rFonts w:ascii="Arial" w:cs="Arial" w:eastAsia="Arial" w:hAnsi="Arial"/>
          <w:sz w:val="18"/>
          <w:szCs w:val="18"/>
          <w:color w:val="auto"/>
          <w:vertAlign w:val="superscript"/>
        </w:rPr>
      </w:pPr>
      <w:r>
        <w:rPr>
          <w:rFonts w:ascii="Arial" w:cs="Arial" w:eastAsia="Arial" w:hAnsi="Arial"/>
          <w:sz w:val="11"/>
          <w:szCs w:val="11"/>
          <w:color w:val="auto"/>
        </w:rPr>
        <w:t>Mr. Chapman's 2025 base salary is displayed based on the latest salary held as of his departure date on June 30, 2025.</w:t>
      </w:r>
    </w:p>
    <w:p>
      <w:pPr>
        <w:sectPr>
          <w:pgSz w:w="11900" w:h="16838" w:orient="portrait"/>
          <w:cols w:equalWidth="0" w:num="1">
            <w:col w:w="11220"/>
          </w:cols>
          <w:pgMar w:left="320" w:top="108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88" w:right="35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29"/>
          <w:szCs w:val="29"/>
          <w:color w:val="0D64EF"/>
        </w:rPr>
        <w:t>Executive Compensation – 2025 Details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in Canadian dollars, unless otherwise indicated.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SUMMARY COMPENSATION TABLE</w:t>
      </w:r>
    </w:p>
    <w:p>
      <w:pPr>
        <w:spacing w:after="0" w:line="48" w:lineRule="exact"/>
        <w:rPr>
          <w:sz w:val="20"/>
          <w:szCs w:val="20"/>
          <w:color w:val="auto"/>
        </w:rPr>
      </w:pPr>
    </w:p>
    <w:p>
      <w:pPr>
        <w:ind w:right="660"/>
        <w:spacing w:after="0" w:line="337" w:lineRule="auto"/>
        <w:rPr>
          <w:sz w:val="20"/>
          <w:szCs w:val="20"/>
          <w:color w:val="auto"/>
        </w:rPr>
      </w:pPr>
      <w:r>
        <w:rPr>
          <w:rFonts w:ascii="Arial" w:cs="Arial" w:eastAsia="Arial" w:hAnsi="Arial"/>
          <w:sz w:val="16"/>
          <w:szCs w:val="16"/>
          <w:color w:val="auto"/>
        </w:rPr>
        <w:t>The table below is a summary of the compensation awarded to our named executives for the last three fiscal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132955" cy="6140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955" cy="614045"/>
                    </a:xfrm>
                    <a:prstGeom prst="rect">
                      <a:avLst/>
                    </a:prstGeom>
                    <a:noFill/>
                  </pic:spPr>
                </pic:pic>
              </a:graphicData>
            </a:graphic>
          </wp:anchor>
        </w:drawing>
      </w:r>
    </w:p>
    <w:p>
      <w:pPr>
        <w:spacing w:after="0" w:line="66" w:lineRule="exact"/>
        <w:rPr>
          <w:sz w:val="20"/>
          <w:szCs w:val="20"/>
          <w:color w:val="auto"/>
        </w:rPr>
      </w:pPr>
    </w:p>
    <w:p>
      <w:pPr>
        <w:jc w:val="right"/>
        <w:ind w:right="3860"/>
        <w:spacing w:after="0"/>
        <w:rPr>
          <w:sz w:val="20"/>
          <w:szCs w:val="20"/>
          <w:color w:val="auto"/>
        </w:rPr>
      </w:pPr>
      <w:r>
        <w:rPr>
          <w:rFonts w:ascii="Arial" w:cs="Arial" w:eastAsia="Arial" w:hAnsi="Arial"/>
          <w:sz w:val="13"/>
          <w:szCs w:val="13"/>
          <w:b w:val="1"/>
          <w:bCs w:val="1"/>
          <w:color w:val="auto"/>
        </w:rPr>
        <w:t>Non-equity incentive</w:t>
      </w:r>
    </w:p>
    <w:p>
      <w:pPr>
        <w:jc w:val="right"/>
        <w:ind w:right="3880"/>
        <w:spacing w:after="0"/>
        <w:rPr>
          <w:sz w:val="20"/>
          <w:szCs w:val="20"/>
          <w:color w:val="auto"/>
        </w:rPr>
      </w:pPr>
      <w:r>
        <w:rPr>
          <w:rFonts w:ascii="Arial" w:cs="Arial" w:eastAsia="Arial" w:hAnsi="Arial"/>
          <w:sz w:val="13"/>
          <w:szCs w:val="13"/>
          <w:b w:val="1"/>
          <w:bCs w:val="1"/>
          <w:color w:val="auto"/>
        </w:rPr>
        <w:t>plan compensation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100" w:type="dxa"/>
            <w:vAlign w:val="bottom"/>
          </w:tcPr>
          <w:p>
            <w:pPr>
              <w:spacing w:after="0"/>
              <w:rPr>
                <w:sz w:val="12"/>
                <w:szCs w:val="12"/>
                <w:color w:val="auto"/>
              </w:rPr>
            </w:pPr>
          </w:p>
        </w:tc>
        <w:tc>
          <w:tcPr>
            <w:tcW w:w="780" w:type="dxa"/>
            <w:vAlign w:val="bottom"/>
            <w:tcBorders>
              <w:top w:val="single" w:sz="8" w:color="D1D0CF"/>
            </w:tcBorders>
            <w:shd w:val="clear" w:color="auto" w:fill="D1D0CF"/>
          </w:tcPr>
          <w:p>
            <w:pPr>
              <w:spacing w:after="0"/>
              <w:rPr>
                <w:sz w:val="12"/>
                <w:szCs w:val="12"/>
                <w:color w:val="auto"/>
              </w:rPr>
            </w:pPr>
          </w:p>
        </w:tc>
        <w:tc>
          <w:tcPr>
            <w:tcW w:w="960" w:type="dxa"/>
            <w:vAlign w:val="bottom"/>
            <w:tcBorders>
              <w:top w:val="single" w:sz="8" w:color="D1D0CF"/>
            </w:tcBorders>
            <w:shd w:val="clear" w:color="auto" w:fill="D1D0CF"/>
          </w:tcPr>
          <w:p>
            <w:pPr>
              <w:spacing w:after="0"/>
              <w:rPr>
                <w:sz w:val="12"/>
                <w:szCs w:val="12"/>
                <w:color w:val="auto"/>
              </w:rPr>
            </w:pPr>
          </w:p>
        </w:tc>
        <w:tc>
          <w:tcPr>
            <w:tcW w:w="1060" w:type="dxa"/>
            <w:vAlign w:val="bottom"/>
            <w:tcBorders>
              <w:top w:val="single" w:sz="8" w:color="D1D0CF"/>
            </w:tcBorders>
            <w:shd w:val="clear" w:color="auto" w:fill="D1D0CF"/>
          </w:tcPr>
          <w:p>
            <w:pPr>
              <w:jc w:val="right"/>
              <w:ind w:right="153"/>
              <w:spacing w:after="0" w:line="145" w:lineRule="exact"/>
              <w:rPr>
                <w:sz w:val="20"/>
                <w:szCs w:val="20"/>
                <w:color w:val="auto"/>
              </w:rPr>
            </w:pPr>
            <w:r>
              <w:rPr>
                <w:rFonts w:ascii="Arial" w:cs="Arial" w:eastAsia="Arial" w:hAnsi="Arial"/>
                <w:sz w:val="13"/>
                <w:szCs w:val="13"/>
                <w:b w:val="1"/>
                <w:bCs w:val="1"/>
                <w:color w:val="auto"/>
              </w:rPr>
              <w:t>Share-</w:t>
            </w:r>
          </w:p>
        </w:tc>
        <w:tc>
          <w:tcPr>
            <w:tcW w:w="840" w:type="dxa"/>
            <w:vAlign w:val="bottom"/>
            <w:tcBorders>
              <w:top w:val="single" w:sz="8" w:color="D1D0CF"/>
            </w:tcBorders>
            <w:shd w:val="clear" w:color="auto" w:fill="D1D0CF"/>
          </w:tcPr>
          <w:p>
            <w:pPr>
              <w:jc w:val="right"/>
              <w:spacing w:after="0" w:line="145" w:lineRule="exact"/>
              <w:rPr>
                <w:sz w:val="20"/>
                <w:szCs w:val="20"/>
                <w:color w:val="auto"/>
              </w:rPr>
            </w:pPr>
            <w:r>
              <w:rPr>
                <w:rFonts w:ascii="Arial" w:cs="Arial" w:eastAsia="Arial" w:hAnsi="Arial"/>
                <w:sz w:val="13"/>
                <w:szCs w:val="13"/>
                <w:b w:val="1"/>
                <w:bCs w:val="1"/>
                <w:color w:val="auto"/>
              </w:rPr>
              <w:t>Option-</w:t>
            </w:r>
          </w:p>
        </w:tc>
        <w:tc>
          <w:tcPr>
            <w:tcW w:w="1120" w:type="dxa"/>
            <w:vAlign w:val="bottom"/>
            <w:tcBorders>
              <w:top w:val="single" w:sz="8" w:color="237CC1"/>
            </w:tcBorders>
            <w:shd w:val="clear" w:color="auto" w:fill="D1D0CF"/>
          </w:tcPr>
          <w:p>
            <w:pPr>
              <w:jc w:val="right"/>
              <w:ind w:right="113"/>
              <w:spacing w:after="0" w:line="145" w:lineRule="exact"/>
              <w:rPr>
                <w:sz w:val="20"/>
                <w:szCs w:val="20"/>
                <w:color w:val="auto"/>
              </w:rPr>
            </w:pPr>
            <w:r>
              <w:rPr>
                <w:rFonts w:ascii="Arial" w:cs="Arial" w:eastAsia="Arial" w:hAnsi="Arial"/>
                <w:sz w:val="13"/>
                <w:szCs w:val="13"/>
                <w:b w:val="1"/>
                <w:bCs w:val="1"/>
                <w:color w:val="auto"/>
              </w:rPr>
              <w:t>Annual</w:t>
            </w:r>
          </w:p>
        </w:tc>
        <w:tc>
          <w:tcPr>
            <w:tcW w:w="880" w:type="dxa"/>
            <w:vAlign w:val="bottom"/>
            <w:tcBorders>
              <w:top w:val="single" w:sz="8" w:color="237CC1"/>
            </w:tcBorders>
            <w:shd w:val="clear" w:color="auto" w:fill="D1D0CF"/>
          </w:tcPr>
          <w:p>
            <w:pPr>
              <w:jc w:val="right"/>
              <w:spacing w:after="0" w:line="145" w:lineRule="exact"/>
              <w:rPr>
                <w:sz w:val="20"/>
                <w:szCs w:val="20"/>
                <w:color w:val="auto"/>
              </w:rPr>
            </w:pPr>
            <w:r>
              <w:rPr>
                <w:rFonts w:ascii="Arial" w:cs="Arial" w:eastAsia="Arial" w:hAnsi="Arial"/>
                <w:sz w:val="13"/>
                <w:szCs w:val="13"/>
                <w:b w:val="1"/>
                <w:bCs w:val="1"/>
                <w:color w:val="auto"/>
              </w:rPr>
              <w:t>Long-term</w:t>
            </w:r>
          </w:p>
        </w:tc>
        <w:tc>
          <w:tcPr>
            <w:tcW w:w="1060" w:type="dxa"/>
            <w:vAlign w:val="bottom"/>
            <w:tcBorders>
              <w:top w:val="single" w:sz="8" w:color="D1D0CF"/>
            </w:tcBorders>
            <w:vMerge w:val="restart"/>
            <w:shd w:val="clear" w:color="auto" w:fill="D1D0CF"/>
          </w:tcPr>
          <w:p>
            <w:pPr>
              <w:jc w:val="right"/>
              <w:ind w:right="153"/>
              <w:spacing w:after="0"/>
              <w:rPr>
                <w:sz w:val="20"/>
                <w:szCs w:val="20"/>
                <w:color w:val="auto"/>
              </w:rPr>
            </w:pPr>
            <w:r>
              <w:rPr>
                <w:rFonts w:ascii="Arial" w:cs="Arial" w:eastAsia="Arial" w:hAnsi="Arial"/>
                <w:sz w:val="13"/>
                <w:szCs w:val="13"/>
                <w:b w:val="1"/>
                <w:bCs w:val="1"/>
                <w:color w:val="auto"/>
              </w:rPr>
              <w:t>Pension</w:t>
            </w:r>
          </w:p>
        </w:tc>
        <w:tc>
          <w:tcPr>
            <w:tcW w:w="1300" w:type="dxa"/>
            <w:vAlign w:val="bottom"/>
            <w:tcBorders>
              <w:top w:val="single" w:sz="8" w:color="D1D0CF"/>
            </w:tcBorders>
            <w:vMerge w:val="restart"/>
            <w:shd w:val="clear" w:color="auto" w:fill="D1D0CF"/>
          </w:tcPr>
          <w:p>
            <w:pPr>
              <w:jc w:val="right"/>
              <w:ind w:right="153"/>
              <w:spacing w:after="0"/>
              <w:rPr>
                <w:sz w:val="20"/>
                <w:szCs w:val="20"/>
                <w:color w:val="auto"/>
              </w:rPr>
            </w:pPr>
            <w:r>
              <w:rPr>
                <w:rFonts w:ascii="Arial" w:cs="Arial" w:eastAsia="Arial" w:hAnsi="Arial"/>
                <w:sz w:val="13"/>
                <w:szCs w:val="13"/>
                <w:b w:val="1"/>
                <w:bCs w:val="1"/>
                <w:color w:val="auto"/>
              </w:rPr>
              <w:t>All other</w:t>
            </w:r>
          </w:p>
        </w:tc>
        <w:tc>
          <w:tcPr>
            <w:tcW w:w="1140" w:type="dxa"/>
            <w:vAlign w:val="bottom"/>
            <w:tcBorders>
              <w:top w:val="single" w:sz="8" w:color="D1D0CF"/>
            </w:tcBorders>
            <w:vMerge w:val="restart"/>
            <w:shd w:val="clear" w:color="auto" w:fill="D1D0C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780" w:type="dxa"/>
            <w:vAlign w:val="bottom"/>
            <w:shd w:val="clear" w:color="auto" w:fill="D1D0CF"/>
          </w:tcPr>
          <w:p>
            <w:pPr>
              <w:spacing w:after="0"/>
              <w:rPr>
                <w:sz w:val="11"/>
                <w:szCs w:val="11"/>
                <w:color w:val="auto"/>
              </w:rPr>
            </w:pPr>
          </w:p>
        </w:tc>
        <w:tc>
          <w:tcPr>
            <w:tcW w:w="960" w:type="dxa"/>
            <w:vAlign w:val="bottom"/>
            <w:vMerge w:val="restart"/>
            <w:shd w:val="clear" w:color="auto" w:fill="D1D0CF"/>
          </w:tcPr>
          <w:p>
            <w:pPr>
              <w:jc w:val="right"/>
              <w:ind w:right="133"/>
              <w:spacing w:after="0"/>
              <w:rPr>
                <w:sz w:val="20"/>
                <w:szCs w:val="20"/>
                <w:color w:val="auto"/>
              </w:rPr>
            </w:pPr>
            <w:r>
              <w:rPr>
                <w:rFonts w:ascii="Arial" w:cs="Arial" w:eastAsia="Arial" w:hAnsi="Arial"/>
                <w:sz w:val="13"/>
                <w:szCs w:val="13"/>
                <w:b w:val="1"/>
                <w:bCs w:val="1"/>
                <w:color w:val="auto"/>
              </w:rPr>
              <w:t>Salary</w:t>
            </w:r>
          </w:p>
        </w:tc>
        <w:tc>
          <w:tcPr>
            <w:tcW w:w="1060" w:type="dxa"/>
            <w:vAlign w:val="bottom"/>
            <w:shd w:val="clear" w:color="auto" w:fill="D1D0CF"/>
          </w:tcPr>
          <w:p>
            <w:pPr>
              <w:jc w:val="right"/>
              <w:ind w:right="153"/>
              <w:spacing w:after="0" w:line="134" w:lineRule="exact"/>
              <w:rPr>
                <w:sz w:val="20"/>
                <w:szCs w:val="20"/>
                <w:color w:val="auto"/>
              </w:rPr>
            </w:pPr>
            <w:r>
              <w:rPr>
                <w:rFonts w:ascii="Arial" w:cs="Arial" w:eastAsia="Arial" w:hAnsi="Arial"/>
                <w:sz w:val="13"/>
                <w:szCs w:val="13"/>
                <w:b w:val="1"/>
                <w:bCs w:val="1"/>
                <w:color w:val="auto"/>
              </w:rPr>
              <w:t>based</w:t>
            </w:r>
          </w:p>
        </w:tc>
        <w:tc>
          <w:tcPr>
            <w:tcW w:w="840" w:type="dxa"/>
            <w:vAlign w:val="bottom"/>
            <w:shd w:val="clear" w:color="auto" w:fill="D1D0CF"/>
          </w:tcPr>
          <w:p>
            <w:pPr>
              <w:jc w:val="right"/>
              <w:spacing w:after="0" w:line="134" w:lineRule="exact"/>
              <w:rPr>
                <w:sz w:val="20"/>
                <w:szCs w:val="20"/>
                <w:color w:val="auto"/>
              </w:rPr>
            </w:pPr>
            <w:r>
              <w:rPr>
                <w:rFonts w:ascii="Arial" w:cs="Arial" w:eastAsia="Arial" w:hAnsi="Arial"/>
                <w:sz w:val="13"/>
                <w:szCs w:val="13"/>
                <w:b w:val="1"/>
                <w:bCs w:val="1"/>
                <w:color w:val="auto"/>
              </w:rPr>
              <w:t>based</w:t>
            </w:r>
          </w:p>
        </w:tc>
        <w:tc>
          <w:tcPr>
            <w:tcW w:w="1120" w:type="dxa"/>
            <w:vAlign w:val="bottom"/>
            <w:shd w:val="clear" w:color="auto" w:fill="D1D0CF"/>
          </w:tcPr>
          <w:p>
            <w:pPr>
              <w:jc w:val="right"/>
              <w:ind w:right="113"/>
              <w:spacing w:after="0" w:line="134" w:lineRule="exact"/>
              <w:rPr>
                <w:sz w:val="20"/>
                <w:szCs w:val="20"/>
                <w:color w:val="auto"/>
              </w:rPr>
            </w:pPr>
            <w:r>
              <w:rPr>
                <w:rFonts w:ascii="Arial" w:cs="Arial" w:eastAsia="Arial" w:hAnsi="Arial"/>
                <w:sz w:val="13"/>
                <w:szCs w:val="13"/>
                <w:b w:val="1"/>
                <w:bCs w:val="1"/>
                <w:color w:val="auto"/>
              </w:rPr>
              <w:t>incentive</w:t>
            </w:r>
          </w:p>
        </w:tc>
        <w:tc>
          <w:tcPr>
            <w:tcW w:w="880" w:type="dxa"/>
            <w:vAlign w:val="bottom"/>
            <w:shd w:val="clear" w:color="auto" w:fill="D1D0CF"/>
          </w:tcPr>
          <w:p>
            <w:pPr>
              <w:jc w:val="right"/>
              <w:spacing w:after="0" w:line="134" w:lineRule="exact"/>
              <w:rPr>
                <w:sz w:val="20"/>
                <w:szCs w:val="20"/>
                <w:color w:val="auto"/>
              </w:rPr>
            </w:pPr>
            <w:r>
              <w:rPr>
                <w:rFonts w:ascii="Arial" w:cs="Arial" w:eastAsia="Arial" w:hAnsi="Arial"/>
                <w:sz w:val="13"/>
                <w:szCs w:val="13"/>
                <w:b w:val="1"/>
                <w:bCs w:val="1"/>
                <w:color w:val="auto"/>
              </w:rPr>
              <w:t>incentive</w:t>
            </w:r>
          </w:p>
        </w:tc>
        <w:tc>
          <w:tcPr>
            <w:tcW w:w="1060" w:type="dxa"/>
            <w:vAlign w:val="bottom"/>
            <w:vMerge w:val="continue"/>
            <w:shd w:val="clear" w:color="auto" w:fill="D1D0CF"/>
          </w:tcPr>
          <w:p>
            <w:pPr>
              <w:spacing w:after="0"/>
              <w:rPr>
                <w:sz w:val="11"/>
                <w:szCs w:val="11"/>
                <w:color w:val="auto"/>
              </w:rPr>
            </w:pPr>
          </w:p>
        </w:tc>
        <w:tc>
          <w:tcPr>
            <w:tcW w:w="1300" w:type="dxa"/>
            <w:vAlign w:val="bottom"/>
            <w:vMerge w:val="continue"/>
            <w:shd w:val="clear" w:color="auto" w:fill="D1D0CF"/>
          </w:tcPr>
          <w:p>
            <w:pPr>
              <w:spacing w:after="0"/>
              <w:rPr>
                <w:sz w:val="11"/>
                <w:szCs w:val="11"/>
                <w:color w:val="auto"/>
              </w:rPr>
            </w:pPr>
          </w:p>
        </w:tc>
        <w:tc>
          <w:tcPr>
            <w:tcW w:w="1140" w:type="dxa"/>
            <w:vAlign w:val="bottom"/>
            <w:vMerge w:val="continue"/>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780" w:type="dxa"/>
            <w:vAlign w:val="bottom"/>
            <w:vMerge w:val="restart"/>
            <w:shd w:val="clear" w:color="auto" w:fill="D1D0CF"/>
          </w:tcPr>
          <w:p>
            <w:pPr>
              <w:jc w:val="right"/>
              <w:ind w:right="93"/>
              <w:spacing w:after="0"/>
              <w:rPr>
                <w:sz w:val="20"/>
                <w:szCs w:val="20"/>
                <w:color w:val="auto"/>
              </w:rPr>
            </w:pPr>
            <w:r>
              <w:rPr>
                <w:rFonts w:ascii="Arial" w:cs="Arial" w:eastAsia="Arial" w:hAnsi="Arial"/>
                <w:sz w:val="13"/>
                <w:szCs w:val="13"/>
                <w:b w:val="1"/>
                <w:bCs w:val="1"/>
                <w:color w:val="auto"/>
              </w:rPr>
              <w:t>Year</w:t>
            </w:r>
          </w:p>
        </w:tc>
        <w:tc>
          <w:tcPr>
            <w:tcW w:w="960" w:type="dxa"/>
            <w:vAlign w:val="bottom"/>
            <w:vMerge w:val="continue"/>
            <w:shd w:val="clear" w:color="auto" w:fill="D1D0CF"/>
          </w:tcPr>
          <w:p>
            <w:pPr>
              <w:spacing w:after="0"/>
              <w:rPr>
                <w:sz w:val="11"/>
                <w:szCs w:val="11"/>
                <w:color w:val="auto"/>
              </w:rPr>
            </w:pPr>
          </w:p>
        </w:tc>
        <w:tc>
          <w:tcPr>
            <w:tcW w:w="1060" w:type="dxa"/>
            <w:vAlign w:val="bottom"/>
            <w:shd w:val="clear" w:color="auto" w:fill="D1D0CF"/>
          </w:tcPr>
          <w:p>
            <w:pPr>
              <w:jc w:val="right"/>
              <w:ind w:right="153"/>
              <w:spacing w:after="0" w:line="134" w:lineRule="exact"/>
              <w:rPr>
                <w:sz w:val="20"/>
                <w:szCs w:val="20"/>
                <w:color w:val="auto"/>
              </w:rPr>
            </w:pPr>
            <w:r>
              <w:rPr>
                <w:rFonts w:ascii="Arial" w:cs="Arial" w:eastAsia="Arial" w:hAnsi="Arial"/>
                <w:sz w:val="13"/>
                <w:szCs w:val="13"/>
                <w:b w:val="1"/>
                <w:bCs w:val="1"/>
                <w:color w:val="auto"/>
              </w:rPr>
              <w:t>awards</w:t>
            </w:r>
          </w:p>
        </w:tc>
        <w:tc>
          <w:tcPr>
            <w:tcW w:w="840" w:type="dxa"/>
            <w:vAlign w:val="bottom"/>
            <w:shd w:val="clear" w:color="auto" w:fill="D1D0CF"/>
          </w:tcPr>
          <w:p>
            <w:pPr>
              <w:jc w:val="right"/>
              <w:spacing w:after="0" w:line="134" w:lineRule="exact"/>
              <w:rPr>
                <w:sz w:val="20"/>
                <w:szCs w:val="20"/>
                <w:color w:val="auto"/>
              </w:rPr>
            </w:pPr>
            <w:r>
              <w:rPr>
                <w:rFonts w:ascii="Arial" w:cs="Arial" w:eastAsia="Arial" w:hAnsi="Arial"/>
                <w:sz w:val="13"/>
                <w:szCs w:val="13"/>
                <w:b w:val="1"/>
                <w:bCs w:val="1"/>
                <w:color w:val="auto"/>
              </w:rPr>
              <w:t>awards</w:t>
            </w:r>
          </w:p>
        </w:tc>
        <w:tc>
          <w:tcPr>
            <w:tcW w:w="1120" w:type="dxa"/>
            <w:vAlign w:val="bottom"/>
            <w:shd w:val="clear" w:color="auto" w:fill="D1D0CF"/>
          </w:tcPr>
          <w:p>
            <w:pPr>
              <w:jc w:val="right"/>
              <w:ind w:right="113"/>
              <w:spacing w:after="0" w:line="134" w:lineRule="exact"/>
              <w:rPr>
                <w:sz w:val="20"/>
                <w:szCs w:val="20"/>
                <w:color w:val="auto"/>
              </w:rPr>
            </w:pPr>
            <w:r>
              <w:rPr>
                <w:rFonts w:ascii="Arial" w:cs="Arial" w:eastAsia="Arial" w:hAnsi="Arial"/>
                <w:sz w:val="13"/>
                <w:szCs w:val="13"/>
                <w:b w:val="1"/>
                <w:bCs w:val="1"/>
                <w:color w:val="auto"/>
              </w:rPr>
              <w:t>plans</w:t>
            </w:r>
          </w:p>
        </w:tc>
        <w:tc>
          <w:tcPr>
            <w:tcW w:w="880" w:type="dxa"/>
            <w:vAlign w:val="bottom"/>
            <w:shd w:val="clear" w:color="auto" w:fill="D1D0CF"/>
          </w:tcPr>
          <w:p>
            <w:pPr>
              <w:jc w:val="right"/>
              <w:spacing w:after="0" w:line="134" w:lineRule="exact"/>
              <w:rPr>
                <w:sz w:val="20"/>
                <w:szCs w:val="20"/>
                <w:color w:val="auto"/>
              </w:rPr>
            </w:pPr>
            <w:r>
              <w:rPr>
                <w:rFonts w:ascii="Arial" w:cs="Arial" w:eastAsia="Arial" w:hAnsi="Arial"/>
                <w:sz w:val="13"/>
                <w:szCs w:val="13"/>
                <w:b w:val="1"/>
                <w:bCs w:val="1"/>
                <w:color w:val="auto"/>
              </w:rPr>
              <w:t>plans</w:t>
            </w:r>
          </w:p>
        </w:tc>
        <w:tc>
          <w:tcPr>
            <w:tcW w:w="1060" w:type="dxa"/>
            <w:vAlign w:val="bottom"/>
            <w:shd w:val="clear" w:color="auto" w:fill="D1D0CF"/>
          </w:tcPr>
          <w:p>
            <w:pPr>
              <w:jc w:val="right"/>
              <w:ind w:right="153"/>
              <w:spacing w:after="0" w:line="134" w:lineRule="exact"/>
              <w:rPr>
                <w:sz w:val="20"/>
                <w:szCs w:val="20"/>
                <w:color w:val="auto"/>
              </w:rPr>
            </w:pPr>
            <w:r>
              <w:rPr>
                <w:rFonts w:ascii="Arial" w:cs="Arial" w:eastAsia="Arial" w:hAnsi="Arial"/>
                <w:sz w:val="13"/>
                <w:szCs w:val="13"/>
                <w:b w:val="1"/>
                <w:bCs w:val="1"/>
                <w:color w:val="auto"/>
              </w:rPr>
              <w:t>value</w:t>
            </w:r>
          </w:p>
        </w:tc>
        <w:tc>
          <w:tcPr>
            <w:tcW w:w="1300" w:type="dxa"/>
            <w:vAlign w:val="bottom"/>
            <w:shd w:val="clear" w:color="auto" w:fill="D1D0CF"/>
          </w:tcPr>
          <w:p>
            <w:pPr>
              <w:jc w:val="right"/>
              <w:ind w:right="153"/>
              <w:spacing w:after="0" w:line="134" w:lineRule="exact"/>
              <w:rPr>
                <w:sz w:val="20"/>
                <w:szCs w:val="20"/>
                <w:color w:val="auto"/>
              </w:rPr>
            </w:pPr>
            <w:r>
              <w:rPr>
                <w:rFonts w:ascii="Arial" w:cs="Arial" w:eastAsia="Arial" w:hAnsi="Arial"/>
                <w:sz w:val="13"/>
                <w:szCs w:val="13"/>
                <w:b w:val="1"/>
                <w:bCs w:val="1"/>
                <w:color w:val="auto"/>
              </w:rPr>
              <w:t>compensation</w:t>
            </w:r>
          </w:p>
        </w:tc>
        <w:tc>
          <w:tcPr>
            <w:tcW w:w="1140" w:type="dxa"/>
            <w:vAlign w:val="bottom"/>
            <w:shd w:val="clear" w:color="auto" w:fill="D1D0CF"/>
          </w:tcPr>
          <w:p>
            <w:pPr>
              <w:jc w:val="right"/>
              <w:spacing w:after="0" w:line="134" w:lineRule="exact"/>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95"/>
        </w:trPr>
        <w:tc>
          <w:tcPr>
            <w:tcW w:w="2100" w:type="dxa"/>
            <w:vAlign w:val="bottom"/>
            <w:tcBorders>
              <w:bottom w:val="single" w:sz="8" w:color="237CC1"/>
            </w:tcBorders>
            <w:vMerge w:val="continue"/>
          </w:tcPr>
          <w:p>
            <w:pPr>
              <w:spacing w:after="0"/>
              <w:rPr>
                <w:sz w:val="16"/>
                <w:szCs w:val="16"/>
                <w:color w:val="auto"/>
              </w:rPr>
            </w:pPr>
          </w:p>
        </w:tc>
        <w:tc>
          <w:tcPr>
            <w:tcW w:w="780" w:type="dxa"/>
            <w:vAlign w:val="bottom"/>
            <w:tcBorders>
              <w:bottom w:val="single" w:sz="8" w:color="237CC1"/>
            </w:tcBorders>
            <w:vMerge w:val="continue"/>
            <w:shd w:val="clear" w:color="auto" w:fill="D1D0CF"/>
          </w:tcPr>
          <w:p>
            <w:pPr>
              <w:spacing w:after="0"/>
              <w:rPr>
                <w:sz w:val="16"/>
                <w:szCs w:val="16"/>
                <w:color w:val="auto"/>
              </w:rPr>
            </w:pPr>
          </w:p>
        </w:tc>
        <w:tc>
          <w:tcPr>
            <w:tcW w:w="960" w:type="dxa"/>
            <w:vAlign w:val="bottom"/>
            <w:tcBorders>
              <w:bottom w:val="single" w:sz="8" w:color="237CC1"/>
            </w:tcBorders>
            <w:shd w:val="clear" w:color="auto" w:fill="D1D0CF"/>
          </w:tcPr>
          <w:p>
            <w:pPr>
              <w:jc w:val="right"/>
              <w:ind w:right="93"/>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237CC1"/>
            </w:tcBorders>
            <w:shd w:val="clear" w:color="auto" w:fill="D1D0CF"/>
          </w:tcPr>
          <w:p>
            <w:pPr>
              <w:jc w:val="right"/>
              <w:ind w:right="11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237CC1"/>
            </w:tcBorders>
            <w:shd w:val="clear" w:color="auto" w:fill="D1D0CF"/>
          </w:tcPr>
          <w:p>
            <w:pPr>
              <w:jc w:val="right"/>
              <w:ind w:right="93"/>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237CC1"/>
            </w:tcBorders>
            <w:shd w:val="clear" w:color="auto" w:fill="D1D0CF"/>
          </w:tcPr>
          <w:p>
            <w:pPr>
              <w:ind w:left="700"/>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237CC1"/>
            </w:tcBorders>
            <w:shd w:val="clear" w:color="auto" w:fill="D1D0CF"/>
          </w:tcPr>
          <w:p>
            <w:pPr>
              <w:jc w:val="right"/>
              <w:ind w:right="113"/>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237CC1"/>
            </w:tcBorders>
            <w:shd w:val="clear" w:color="auto" w:fill="D1D0CF"/>
          </w:tcPr>
          <w:p>
            <w:pPr>
              <w:jc w:val="right"/>
              <w:ind w:right="113"/>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4"/>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François Poirier</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2025</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1,235,000</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11,644,200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2,593,944</w:t>
            </w:r>
          </w:p>
        </w:tc>
        <w:tc>
          <w:tcPr>
            <w:tcW w:w="880" w:type="dxa"/>
            <w:vAlign w:val="bottom"/>
          </w:tcPr>
          <w:p>
            <w:pPr>
              <w:ind w:left="6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594,000</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122,895</w:t>
            </w:r>
          </w:p>
        </w:tc>
        <w:tc>
          <w:tcPr>
            <w:tcW w:w="1140" w:type="dxa"/>
            <w:vAlign w:val="bottom"/>
          </w:tcPr>
          <w:p>
            <w:pPr>
              <w:jc w:val="right"/>
              <w:spacing w:after="0"/>
              <w:rPr>
                <w:sz w:val="20"/>
                <w:szCs w:val="20"/>
                <w:color w:val="auto"/>
              </w:rPr>
            </w:pPr>
            <w:r>
              <w:rPr>
                <w:rFonts w:ascii="Arial" w:cs="Arial" w:eastAsia="Arial" w:hAnsi="Arial"/>
                <w:sz w:val="13"/>
                <w:szCs w:val="13"/>
                <w:color w:val="auto"/>
              </w:rPr>
              <w:t>16,190,039</w:t>
            </w:r>
          </w:p>
        </w:tc>
        <w:tc>
          <w:tcPr>
            <w:tcW w:w="0" w:type="dxa"/>
            <w:vAlign w:val="bottom"/>
          </w:tcPr>
          <w:p>
            <w:pPr>
              <w:spacing w:after="0"/>
              <w:rPr>
                <w:sz w:val="1"/>
                <w:szCs w:val="1"/>
                <w:color w:val="auto"/>
              </w:rPr>
            </w:pPr>
          </w:p>
        </w:tc>
      </w:tr>
      <w:tr>
        <w:trPr>
          <w:trHeight w:val="152"/>
        </w:trPr>
        <w:tc>
          <w:tcPr>
            <w:tcW w:w="2100" w:type="dxa"/>
            <w:vAlign w:val="bottom"/>
          </w:tcPr>
          <w:p>
            <w:pPr>
              <w:ind w:left="20"/>
              <w:spacing w:after="0"/>
              <w:rPr>
                <w:sz w:val="20"/>
                <w:szCs w:val="20"/>
                <w:color w:val="auto"/>
              </w:rPr>
            </w:pPr>
            <w:r>
              <w:rPr>
                <w:rFonts w:ascii="Arial" w:cs="Arial" w:eastAsia="Arial" w:hAnsi="Arial"/>
                <w:sz w:val="13"/>
                <w:szCs w:val="13"/>
                <w:color w:val="auto"/>
              </w:rPr>
              <w:t>President and Chief Executive</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2024</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1,200,000</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10,500,000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3,024,000</w:t>
            </w:r>
          </w:p>
        </w:tc>
        <w:tc>
          <w:tcPr>
            <w:tcW w:w="880" w:type="dxa"/>
            <w:vAlign w:val="bottom"/>
          </w:tcPr>
          <w:p>
            <w:pPr>
              <w:ind w:left="6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370,000</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84,187</w:t>
            </w:r>
          </w:p>
        </w:tc>
        <w:tc>
          <w:tcPr>
            <w:tcW w:w="1140" w:type="dxa"/>
            <w:vAlign w:val="bottom"/>
          </w:tcPr>
          <w:p>
            <w:pPr>
              <w:jc w:val="right"/>
              <w:spacing w:after="0"/>
              <w:rPr>
                <w:sz w:val="20"/>
                <w:szCs w:val="20"/>
                <w:color w:val="auto"/>
              </w:rPr>
            </w:pPr>
            <w:r>
              <w:rPr>
                <w:rFonts w:ascii="Arial" w:cs="Arial" w:eastAsia="Arial" w:hAnsi="Arial"/>
                <w:sz w:val="13"/>
                <w:szCs w:val="13"/>
                <w:color w:val="auto"/>
              </w:rPr>
              <w:t>15,178,187</w:t>
            </w:r>
          </w:p>
        </w:tc>
        <w:tc>
          <w:tcPr>
            <w:tcW w:w="0" w:type="dxa"/>
            <w:vAlign w:val="bottom"/>
          </w:tcPr>
          <w:p>
            <w:pPr>
              <w:spacing w:after="0"/>
              <w:rPr>
                <w:sz w:val="1"/>
                <w:szCs w:val="1"/>
                <w:color w:val="auto"/>
              </w:rPr>
            </w:pPr>
          </w:p>
        </w:tc>
      </w:tr>
      <w:tr>
        <w:trPr>
          <w:trHeight w:val="165"/>
        </w:trPr>
        <w:tc>
          <w:tcPr>
            <w:tcW w:w="2100" w:type="dxa"/>
            <w:vAlign w:val="bottom"/>
          </w:tcPr>
          <w:p>
            <w:pPr>
              <w:ind w:left="20"/>
              <w:spacing w:after="0"/>
              <w:rPr>
                <w:sz w:val="20"/>
                <w:szCs w:val="20"/>
                <w:color w:val="auto"/>
              </w:rPr>
            </w:pPr>
            <w:r>
              <w:rPr>
                <w:rFonts w:ascii="Arial" w:cs="Arial" w:eastAsia="Arial" w:hAnsi="Arial"/>
                <w:sz w:val="13"/>
                <w:szCs w:val="13"/>
                <w:color w:val="auto"/>
              </w:rPr>
              <w:t>Officer</w:t>
            </w:r>
          </w:p>
        </w:tc>
        <w:tc>
          <w:tcPr>
            <w:tcW w:w="780" w:type="dxa"/>
            <w:vAlign w:val="bottom"/>
            <w:vMerge w:val="restart"/>
          </w:tcPr>
          <w:p>
            <w:pPr>
              <w:jc w:val="right"/>
              <w:ind w:right="93"/>
              <w:spacing w:after="0"/>
              <w:rPr>
                <w:sz w:val="20"/>
                <w:szCs w:val="20"/>
                <w:color w:val="auto"/>
              </w:rPr>
            </w:pPr>
            <w:r>
              <w:rPr>
                <w:rFonts w:ascii="Arial" w:cs="Arial" w:eastAsia="Arial" w:hAnsi="Arial"/>
                <w:sz w:val="13"/>
                <w:szCs w:val="13"/>
                <w:color w:val="auto"/>
              </w:rPr>
              <w:t>2023</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color w:val="auto"/>
              </w:rPr>
              <w:t>1,183,333</w:t>
            </w:r>
          </w:p>
        </w:tc>
        <w:tc>
          <w:tcPr>
            <w:tcW w:w="1060" w:type="dxa"/>
            <w:vAlign w:val="bottom"/>
            <w:vMerge w:val="restart"/>
          </w:tcPr>
          <w:p>
            <w:pPr>
              <w:jc w:val="right"/>
              <w:ind w:right="153"/>
              <w:spacing w:after="0"/>
              <w:rPr>
                <w:sz w:val="20"/>
                <w:szCs w:val="20"/>
                <w:color w:val="auto"/>
              </w:rPr>
            </w:pPr>
            <w:r>
              <w:rPr>
                <w:rFonts w:ascii="Arial" w:cs="Arial" w:eastAsia="Arial" w:hAnsi="Arial"/>
                <w:sz w:val="13"/>
                <w:szCs w:val="13"/>
                <w:color w:val="auto"/>
              </w:rPr>
              <w:t>5,550,000</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3,700,000</w:t>
            </w:r>
          </w:p>
        </w:tc>
        <w:tc>
          <w:tcPr>
            <w:tcW w:w="1120" w:type="dxa"/>
            <w:vAlign w:val="bottom"/>
            <w:vMerge w:val="restart"/>
          </w:tcPr>
          <w:p>
            <w:pPr>
              <w:jc w:val="right"/>
              <w:ind w:right="133"/>
              <w:spacing w:after="0"/>
              <w:rPr>
                <w:sz w:val="20"/>
                <w:szCs w:val="20"/>
                <w:color w:val="auto"/>
              </w:rPr>
            </w:pPr>
            <w:r>
              <w:rPr>
                <w:rFonts w:ascii="Arial" w:cs="Arial" w:eastAsia="Arial" w:hAnsi="Arial"/>
                <w:sz w:val="13"/>
                <w:szCs w:val="13"/>
                <w:color w:val="auto"/>
              </w:rPr>
              <w:t>2,154,581</w:t>
            </w:r>
          </w:p>
        </w:tc>
        <w:tc>
          <w:tcPr>
            <w:tcW w:w="88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73"/>
              <w:spacing w:after="0"/>
              <w:rPr>
                <w:sz w:val="20"/>
                <w:szCs w:val="20"/>
                <w:color w:val="auto"/>
              </w:rPr>
            </w:pPr>
            <w:r>
              <w:rPr>
                <w:rFonts w:ascii="Arial" w:cs="Arial" w:eastAsia="Arial" w:hAnsi="Arial"/>
                <w:sz w:val="13"/>
                <w:szCs w:val="13"/>
                <w:color w:val="auto"/>
              </w:rPr>
              <w:t>697,000</w:t>
            </w:r>
          </w:p>
        </w:tc>
        <w:tc>
          <w:tcPr>
            <w:tcW w:w="1300" w:type="dxa"/>
            <w:vAlign w:val="bottom"/>
            <w:vMerge w:val="restart"/>
          </w:tcPr>
          <w:p>
            <w:pPr>
              <w:jc w:val="right"/>
              <w:ind w:right="153"/>
              <w:spacing w:after="0"/>
              <w:rPr>
                <w:sz w:val="20"/>
                <w:szCs w:val="20"/>
                <w:color w:val="auto"/>
              </w:rPr>
            </w:pPr>
            <w:r>
              <w:rPr>
                <w:rFonts w:ascii="Arial" w:cs="Arial" w:eastAsia="Arial" w:hAnsi="Arial"/>
                <w:sz w:val="13"/>
                <w:szCs w:val="13"/>
                <w:color w:val="auto"/>
              </w:rPr>
              <w:t>5,917</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13,290,831</w:t>
            </w:r>
          </w:p>
        </w:tc>
        <w:tc>
          <w:tcPr>
            <w:tcW w:w="0" w:type="dxa"/>
            <w:vAlign w:val="bottom"/>
          </w:tcPr>
          <w:p>
            <w:pPr>
              <w:spacing w:after="0"/>
              <w:rPr>
                <w:sz w:val="1"/>
                <w:szCs w:val="1"/>
                <w:color w:val="auto"/>
              </w:rPr>
            </w:pPr>
          </w:p>
        </w:tc>
      </w:tr>
      <w:tr>
        <w:trPr>
          <w:trHeight w:val="92"/>
        </w:trPr>
        <w:tc>
          <w:tcPr>
            <w:tcW w:w="2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100" w:type="dxa"/>
            <w:vAlign w:val="bottom"/>
            <w:tcBorders>
              <w:bottom w:val="single" w:sz="8" w:color="B2B2B2"/>
            </w:tcBorders>
          </w:tcPr>
          <w:p>
            <w:pPr>
              <w:spacing w:after="0"/>
              <w:rPr>
                <w:sz w:val="6"/>
                <w:szCs w:val="6"/>
                <w:color w:val="auto"/>
              </w:rPr>
            </w:pPr>
          </w:p>
        </w:tc>
        <w:tc>
          <w:tcPr>
            <w:tcW w:w="780" w:type="dxa"/>
            <w:vAlign w:val="bottom"/>
            <w:tcBorders>
              <w:bottom w:val="single" w:sz="8" w:color="B2B2B2"/>
            </w:tcBorders>
          </w:tcPr>
          <w:p>
            <w:pPr>
              <w:spacing w:after="0"/>
              <w:rPr>
                <w:sz w:val="6"/>
                <w:szCs w:val="6"/>
                <w:color w:val="auto"/>
              </w:rPr>
            </w:pPr>
          </w:p>
        </w:tc>
        <w:tc>
          <w:tcPr>
            <w:tcW w:w="960" w:type="dxa"/>
            <w:vAlign w:val="bottom"/>
            <w:tcBorders>
              <w:bottom w:val="single" w:sz="8" w:color="B2B2B2"/>
            </w:tcBorders>
          </w:tcPr>
          <w:p>
            <w:pPr>
              <w:spacing w:after="0"/>
              <w:rPr>
                <w:sz w:val="6"/>
                <w:szCs w:val="6"/>
                <w:color w:val="auto"/>
              </w:rPr>
            </w:pPr>
          </w:p>
        </w:tc>
        <w:tc>
          <w:tcPr>
            <w:tcW w:w="1060" w:type="dxa"/>
            <w:vAlign w:val="bottom"/>
            <w:tcBorders>
              <w:bottom w:val="single" w:sz="8" w:color="B2B2B2"/>
            </w:tcBorders>
          </w:tcPr>
          <w:p>
            <w:pPr>
              <w:spacing w:after="0"/>
              <w:rPr>
                <w:sz w:val="6"/>
                <w:szCs w:val="6"/>
                <w:color w:val="auto"/>
              </w:rPr>
            </w:pPr>
          </w:p>
        </w:tc>
        <w:tc>
          <w:tcPr>
            <w:tcW w:w="840" w:type="dxa"/>
            <w:vAlign w:val="bottom"/>
            <w:tcBorders>
              <w:bottom w:val="single" w:sz="8" w:color="B2B2B2"/>
            </w:tcBorders>
          </w:tcPr>
          <w:p>
            <w:pPr>
              <w:spacing w:after="0"/>
              <w:rPr>
                <w:sz w:val="6"/>
                <w:szCs w:val="6"/>
                <w:color w:val="auto"/>
              </w:rPr>
            </w:pPr>
          </w:p>
        </w:tc>
        <w:tc>
          <w:tcPr>
            <w:tcW w:w="1120" w:type="dxa"/>
            <w:vAlign w:val="bottom"/>
            <w:tcBorders>
              <w:bottom w:val="single" w:sz="8" w:color="B2B2B2"/>
            </w:tcBorders>
          </w:tcPr>
          <w:p>
            <w:pPr>
              <w:spacing w:after="0"/>
              <w:rPr>
                <w:sz w:val="6"/>
                <w:szCs w:val="6"/>
                <w:color w:val="auto"/>
              </w:rPr>
            </w:pPr>
          </w:p>
        </w:tc>
        <w:tc>
          <w:tcPr>
            <w:tcW w:w="880" w:type="dxa"/>
            <w:vAlign w:val="bottom"/>
            <w:tcBorders>
              <w:bottom w:val="single" w:sz="8" w:color="B2B2B2"/>
            </w:tcBorders>
          </w:tcPr>
          <w:p>
            <w:pPr>
              <w:spacing w:after="0"/>
              <w:rPr>
                <w:sz w:val="6"/>
                <w:szCs w:val="6"/>
                <w:color w:val="auto"/>
              </w:rPr>
            </w:pPr>
          </w:p>
        </w:tc>
        <w:tc>
          <w:tcPr>
            <w:tcW w:w="1060" w:type="dxa"/>
            <w:vAlign w:val="bottom"/>
            <w:tcBorders>
              <w:bottom w:val="single" w:sz="8" w:color="B2B2B2"/>
            </w:tcBorders>
          </w:tcPr>
          <w:p>
            <w:pPr>
              <w:spacing w:after="0"/>
              <w:rPr>
                <w:sz w:val="6"/>
                <w:szCs w:val="6"/>
                <w:color w:val="auto"/>
              </w:rPr>
            </w:pPr>
          </w:p>
        </w:tc>
        <w:tc>
          <w:tcPr>
            <w:tcW w:w="1300" w:type="dxa"/>
            <w:vAlign w:val="bottom"/>
            <w:tcBorders>
              <w:bottom w:val="single" w:sz="8" w:color="B2B2B2"/>
            </w:tcBorders>
          </w:tcPr>
          <w:p>
            <w:pPr>
              <w:spacing w:after="0"/>
              <w:rPr>
                <w:sz w:val="6"/>
                <w:szCs w:val="6"/>
                <w:color w:val="auto"/>
              </w:rPr>
            </w:pPr>
          </w:p>
        </w:tc>
        <w:tc>
          <w:tcPr>
            <w:tcW w:w="114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Sean O'Donnell</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2025</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1,020,663</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3,721,643</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1,226,082</w:t>
            </w:r>
          </w:p>
        </w:tc>
        <w:tc>
          <w:tcPr>
            <w:tcW w:w="880" w:type="dxa"/>
            <w:vAlign w:val="bottom"/>
          </w:tcPr>
          <w:p>
            <w:pPr>
              <w:ind w:left="6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132,103</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6,100,491</w:t>
            </w:r>
          </w:p>
        </w:tc>
        <w:tc>
          <w:tcPr>
            <w:tcW w:w="0" w:type="dxa"/>
            <w:vAlign w:val="bottom"/>
          </w:tcPr>
          <w:p>
            <w:pPr>
              <w:spacing w:after="0"/>
              <w:rPr>
                <w:sz w:val="1"/>
                <w:szCs w:val="1"/>
                <w:color w:val="auto"/>
              </w:rPr>
            </w:pPr>
          </w:p>
        </w:tc>
      </w:tr>
      <w:tr>
        <w:trPr>
          <w:trHeight w:val="152"/>
        </w:trPr>
        <w:tc>
          <w:tcPr>
            <w:tcW w:w="2100" w:type="dxa"/>
            <w:vAlign w:val="bottom"/>
          </w:tcPr>
          <w:p>
            <w:pPr>
              <w:ind w:left="20"/>
              <w:spacing w:after="0"/>
              <w:rPr>
                <w:sz w:val="20"/>
                <w:szCs w:val="20"/>
                <w:color w:val="auto"/>
              </w:rPr>
            </w:pPr>
            <w:r>
              <w:rPr>
                <w:rFonts w:ascii="Arial" w:cs="Arial" w:eastAsia="Arial" w:hAnsi="Arial"/>
                <w:sz w:val="13"/>
                <w:szCs w:val="13"/>
                <w:color w:val="auto"/>
              </w:rPr>
              <w:t>Executive Vice-President, Strategy</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2024</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895,507</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2,577,279</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1,234,027</w:t>
            </w:r>
          </w:p>
        </w:tc>
        <w:tc>
          <w:tcPr>
            <w:tcW w:w="880" w:type="dxa"/>
            <w:vAlign w:val="bottom"/>
          </w:tcPr>
          <w:p>
            <w:pPr>
              <w:ind w:left="6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43,392</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2,093,027</w:t>
            </w:r>
          </w:p>
        </w:tc>
        <w:tc>
          <w:tcPr>
            <w:tcW w:w="1140" w:type="dxa"/>
            <w:vAlign w:val="bottom"/>
          </w:tcPr>
          <w:p>
            <w:pPr>
              <w:jc w:val="right"/>
              <w:spacing w:after="0"/>
              <w:rPr>
                <w:sz w:val="20"/>
                <w:szCs w:val="20"/>
                <w:color w:val="auto"/>
              </w:rPr>
            </w:pPr>
            <w:r>
              <w:rPr>
                <w:rFonts w:ascii="Arial" w:cs="Arial" w:eastAsia="Arial" w:hAnsi="Arial"/>
                <w:sz w:val="13"/>
                <w:szCs w:val="13"/>
                <w:color w:val="auto"/>
              </w:rPr>
              <w:t>6,843,232</w:t>
            </w:r>
          </w:p>
        </w:tc>
        <w:tc>
          <w:tcPr>
            <w:tcW w:w="0" w:type="dxa"/>
            <w:vAlign w:val="bottom"/>
          </w:tcPr>
          <w:p>
            <w:pPr>
              <w:spacing w:after="0"/>
              <w:rPr>
                <w:sz w:val="1"/>
                <w:szCs w:val="1"/>
                <w:color w:val="auto"/>
              </w:rPr>
            </w:pPr>
          </w:p>
        </w:tc>
      </w:tr>
      <w:tr>
        <w:trPr>
          <w:trHeight w:val="103"/>
        </w:trPr>
        <w:tc>
          <w:tcPr>
            <w:tcW w:w="2100" w:type="dxa"/>
            <w:vAlign w:val="bottom"/>
          </w:tcPr>
          <w:p>
            <w:pPr>
              <w:ind w:left="20"/>
              <w:spacing w:after="0" w:line="103" w:lineRule="exact"/>
              <w:rPr>
                <w:sz w:val="20"/>
                <w:szCs w:val="20"/>
                <w:color w:val="auto"/>
              </w:rPr>
            </w:pPr>
            <w:r>
              <w:rPr>
                <w:rFonts w:ascii="Arial" w:cs="Arial" w:eastAsia="Arial" w:hAnsi="Arial"/>
                <w:sz w:val="11"/>
                <w:szCs w:val="11"/>
                <w:color w:val="auto"/>
              </w:rPr>
              <w:t>and Corporate Development and</w:t>
            </w:r>
          </w:p>
        </w:tc>
        <w:tc>
          <w:tcPr>
            <w:tcW w:w="780" w:type="dxa"/>
            <w:vAlign w:val="bottom"/>
            <w:vMerge w:val="restart"/>
          </w:tcPr>
          <w:p>
            <w:pPr>
              <w:jc w:val="right"/>
              <w:ind w:right="93"/>
              <w:spacing w:after="0"/>
              <w:rPr>
                <w:sz w:val="20"/>
                <w:szCs w:val="20"/>
                <w:color w:val="auto"/>
              </w:rPr>
            </w:pPr>
            <w:r>
              <w:rPr>
                <w:rFonts w:ascii="Arial" w:cs="Arial" w:eastAsia="Arial" w:hAnsi="Arial"/>
                <w:sz w:val="13"/>
                <w:szCs w:val="13"/>
                <w:color w:val="auto"/>
              </w:rPr>
              <w:t>2023</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color w:val="auto"/>
              </w:rPr>
              <w:t>88,224</w:t>
            </w:r>
          </w:p>
        </w:tc>
        <w:tc>
          <w:tcPr>
            <w:tcW w:w="1060" w:type="dxa"/>
            <w:vAlign w:val="bottom"/>
            <w:vMerge w:val="restart"/>
          </w:tcPr>
          <w:p>
            <w:pPr>
              <w:jc w:val="right"/>
              <w:ind w:right="153"/>
              <w:spacing w:after="0"/>
              <w:rPr>
                <w:sz w:val="20"/>
                <w:szCs w:val="20"/>
                <w:color w:val="auto"/>
              </w:rPr>
            </w:pPr>
            <w:r>
              <w:rPr>
                <w:rFonts w:ascii="Arial" w:cs="Arial" w:eastAsia="Arial" w:hAnsi="Arial"/>
                <w:sz w:val="13"/>
                <w:szCs w:val="13"/>
                <w:color w:val="auto"/>
              </w:rPr>
              <w:t>4,089,591</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133"/>
              <w:spacing w:after="0"/>
              <w:rPr>
                <w:sz w:val="20"/>
                <w:szCs w:val="20"/>
                <w:color w:val="auto"/>
              </w:rPr>
            </w:pPr>
            <w:r>
              <w:rPr>
                <w:rFonts w:ascii="Arial" w:cs="Arial" w:eastAsia="Arial" w:hAnsi="Arial"/>
                <w:sz w:val="13"/>
                <w:szCs w:val="13"/>
                <w:color w:val="auto"/>
              </w:rPr>
              <w:t>417,057</w:t>
            </w:r>
          </w:p>
        </w:tc>
        <w:tc>
          <w:tcPr>
            <w:tcW w:w="88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73"/>
              <w:spacing w:after="0"/>
              <w:rPr>
                <w:sz w:val="20"/>
                <w:szCs w:val="20"/>
                <w:color w:val="auto"/>
              </w:rPr>
            </w:pPr>
            <w:r>
              <w:rPr>
                <w:rFonts w:ascii="Arial" w:cs="Arial" w:eastAsia="Arial" w:hAnsi="Arial"/>
                <w:sz w:val="13"/>
                <w:szCs w:val="13"/>
                <w:color w:val="auto"/>
              </w:rPr>
              <w:t>10,186</w:t>
            </w:r>
          </w:p>
        </w:tc>
        <w:tc>
          <w:tcPr>
            <w:tcW w:w="1300" w:type="dxa"/>
            <w:vAlign w:val="bottom"/>
            <w:vMerge w:val="restart"/>
          </w:tcPr>
          <w:p>
            <w:pPr>
              <w:jc w:val="right"/>
              <w:ind w:right="153"/>
              <w:spacing w:after="0"/>
              <w:rPr>
                <w:sz w:val="20"/>
                <w:szCs w:val="20"/>
                <w:color w:val="auto"/>
              </w:rPr>
            </w:pPr>
            <w:r>
              <w:rPr>
                <w:rFonts w:ascii="Arial" w:cs="Arial" w:eastAsia="Arial" w:hAnsi="Arial"/>
                <w:sz w:val="13"/>
                <w:szCs w:val="13"/>
                <w:color w:val="auto"/>
              </w:rPr>
              <w:t>2,024,550</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6,629,608</w:t>
            </w:r>
          </w:p>
        </w:tc>
        <w:tc>
          <w:tcPr>
            <w:tcW w:w="0" w:type="dxa"/>
            <w:vAlign w:val="bottom"/>
          </w:tcPr>
          <w:p>
            <w:pPr>
              <w:spacing w:after="0"/>
              <w:rPr>
                <w:sz w:val="1"/>
                <w:szCs w:val="1"/>
                <w:color w:val="auto"/>
              </w:rPr>
            </w:pPr>
          </w:p>
        </w:tc>
      </w:tr>
      <w:tr>
        <w:trPr>
          <w:trHeight w:val="165"/>
        </w:trPr>
        <w:tc>
          <w:tcPr>
            <w:tcW w:w="2100" w:type="dxa"/>
            <w:vAlign w:val="bottom"/>
          </w:tcPr>
          <w:p>
            <w:pPr>
              <w:ind w:left="20"/>
              <w:spacing w:after="0"/>
              <w:rPr>
                <w:sz w:val="20"/>
                <w:szCs w:val="20"/>
                <w:color w:val="auto"/>
              </w:rPr>
            </w:pPr>
            <w:r>
              <w:rPr>
                <w:rFonts w:ascii="Arial" w:cs="Arial" w:eastAsia="Arial" w:hAnsi="Arial"/>
                <w:sz w:val="13"/>
                <w:szCs w:val="13"/>
                <w:color w:val="auto"/>
              </w:rPr>
              <w:t>Chief Financial Officer</w:t>
            </w: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00" w:type="dxa"/>
            <w:vAlign w:val="bottom"/>
            <w:tcBorders>
              <w:bottom w:val="single" w:sz="8" w:color="B2B2B2"/>
            </w:tcBorders>
          </w:tcPr>
          <w:p>
            <w:pPr>
              <w:spacing w:after="0"/>
              <w:rPr>
                <w:sz w:val="15"/>
                <w:szCs w:val="15"/>
                <w:color w:val="auto"/>
              </w:rPr>
            </w:pPr>
          </w:p>
        </w:tc>
        <w:tc>
          <w:tcPr>
            <w:tcW w:w="780" w:type="dxa"/>
            <w:vAlign w:val="bottom"/>
            <w:tcBorders>
              <w:bottom w:val="single" w:sz="8" w:color="B2B2B2"/>
            </w:tcBorders>
          </w:tcPr>
          <w:p>
            <w:pPr>
              <w:spacing w:after="0"/>
              <w:rPr>
                <w:sz w:val="15"/>
                <w:szCs w:val="15"/>
                <w:color w:val="auto"/>
              </w:rPr>
            </w:pPr>
          </w:p>
        </w:tc>
        <w:tc>
          <w:tcPr>
            <w:tcW w:w="960" w:type="dxa"/>
            <w:vAlign w:val="bottom"/>
            <w:tcBorders>
              <w:bottom w:val="single" w:sz="8" w:color="B2B2B2"/>
            </w:tcBorders>
          </w:tcPr>
          <w:p>
            <w:pPr>
              <w:spacing w:after="0"/>
              <w:rPr>
                <w:sz w:val="15"/>
                <w:szCs w:val="15"/>
                <w:color w:val="auto"/>
              </w:rPr>
            </w:pPr>
          </w:p>
        </w:tc>
        <w:tc>
          <w:tcPr>
            <w:tcW w:w="1060" w:type="dxa"/>
            <w:vAlign w:val="bottom"/>
            <w:tcBorders>
              <w:bottom w:val="single" w:sz="8" w:color="B2B2B2"/>
            </w:tcBorders>
          </w:tcPr>
          <w:p>
            <w:pPr>
              <w:spacing w:after="0"/>
              <w:rPr>
                <w:sz w:val="15"/>
                <w:szCs w:val="15"/>
                <w:color w:val="auto"/>
              </w:rPr>
            </w:pPr>
          </w:p>
        </w:tc>
        <w:tc>
          <w:tcPr>
            <w:tcW w:w="840" w:type="dxa"/>
            <w:vAlign w:val="bottom"/>
            <w:tcBorders>
              <w:bottom w:val="single" w:sz="8" w:color="B2B2B2"/>
            </w:tcBorders>
          </w:tcPr>
          <w:p>
            <w:pPr>
              <w:spacing w:after="0"/>
              <w:rPr>
                <w:sz w:val="15"/>
                <w:szCs w:val="15"/>
                <w:color w:val="auto"/>
              </w:rPr>
            </w:pPr>
          </w:p>
        </w:tc>
        <w:tc>
          <w:tcPr>
            <w:tcW w:w="1120" w:type="dxa"/>
            <w:vAlign w:val="bottom"/>
            <w:tcBorders>
              <w:bottom w:val="single" w:sz="8" w:color="B2B2B2"/>
            </w:tcBorders>
          </w:tcPr>
          <w:p>
            <w:pPr>
              <w:spacing w:after="0"/>
              <w:rPr>
                <w:sz w:val="15"/>
                <w:szCs w:val="15"/>
                <w:color w:val="auto"/>
              </w:rPr>
            </w:pPr>
          </w:p>
        </w:tc>
        <w:tc>
          <w:tcPr>
            <w:tcW w:w="880" w:type="dxa"/>
            <w:vAlign w:val="bottom"/>
            <w:tcBorders>
              <w:bottom w:val="single" w:sz="8" w:color="B2B2B2"/>
            </w:tcBorders>
          </w:tcPr>
          <w:p>
            <w:pPr>
              <w:spacing w:after="0"/>
              <w:rPr>
                <w:sz w:val="15"/>
                <w:szCs w:val="15"/>
                <w:color w:val="auto"/>
              </w:rPr>
            </w:pPr>
          </w:p>
        </w:tc>
        <w:tc>
          <w:tcPr>
            <w:tcW w:w="1060" w:type="dxa"/>
            <w:vAlign w:val="bottom"/>
            <w:tcBorders>
              <w:bottom w:val="single" w:sz="8" w:color="B2B2B2"/>
            </w:tcBorders>
          </w:tcPr>
          <w:p>
            <w:pPr>
              <w:spacing w:after="0"/>
              <w:rPr>
                <w:sz w:val="15"/>
                <w:szCs w:val="15"/>
                <w:color w:val="auto"/>
              </w:rPr>
            </w:pPr>
          </w:p>
        </w:tc>
        <w:tc>
          <w:tcPr>
            <w:tcW w:w="1300" w:type="dxa"/>
            <w:vAlign w:val="bottom"/>
            <w:tcBorders>
              <w:bottom w:val="single" w:sz="8" w:color="B2B2B2"/>
            </w:tcBorders>
          </w:tcPr>
          <w:p>
            <w:pPr>
              <w:spacing w:after="0"/>
              <w:rPr>
                <w:sz w:val="15"/>
                <w:szCs w:val="15"/>
                <w:color w:val="auto"/>
              </w:rPr>
            </w:pPr>
          </w:p>
        </w:tc>
        <w:tc>
          <w:tcPr>
            <w:tcW w:w="1140" w:type="dxa"/>
            <w:vAlign w:val="bottom"/>
            <w:tcBorders>
              <w:bottom w:val="single" w:sz="8" w:color="B2B2B2"/>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Tina Faraca</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2025</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1,016,093</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3,852,686</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1,222,888</w:t>
            </w:r>
          </w:p>
        </w:tc>
        <w:tc>
          <w:tcPr>
            <w:tcW w:w="880" w:type="dxa"/>
            <w:vAlign w:val="bottom"/>
          </w:tcPr>
          <w:p>
            <w:pPr>
              <w:ind w:left="6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162,689</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349,450</w:t>
            </w:r>
          </w:p>
        </w:tc>
        <w:tc>
          <w:tcPr>
            <w:tcW w:w="1140" w:type="dxa"/>
            <w:vAlign w:val="bottom"/>
          </w:tcPr>
          <w:p>
            <w:pPr>
              <w:jc w:val="right"/>
              <w:spacing w:after="0"/>
              <w:rPr>
                <w:sz w:val="20"/>
                <w:szCs w:val="20"/>
                <w:color w:val="auto"/>
              </w:rPr>
            </w:pPr>
            <w:r>
              <w:rPr>
                <w:rFonts w:ascii="Arial" w:cs="Arial" w:eastAsia="Arial" w:hAnsi="Arial"/>
                <w:sz w:val="13"/>
                <w:szCs w:val="13"/>
                <w:color w:val="auto"/>
              </w:rPr>
              <w:t>6,603,806</w:t>
            </w:r>
          </w:p>
        </w:tc>
        <w:tc>
          <w:tcPr>
            <w:tcW w:w="0" w:type="dxa"/>
            <w:vAlign w:val="bottom"/>
          </w:tcPr>
          <w:p>
            <w:pPr>
              <w:spacing w:after="0"/>
              <w:rPr>
                <w:sz w:val="1"/>
                <w:szCs w:val="1"/>
                <w:color w:val="auto"/>
              </w:rPr>
            </w:pPr>
          </w:p>
        </w:tc>
      </w:tr>
      <w:tr>
        <w:trPr>
          <w:trHeight w:val="152"/>
        </w:trPr>
        <w:tc>
          <w:tcPr>
            <w:tcW w:w="2100" w:type="dxa"/>
            <w:vAlign w:val="bottom"/>
          </w:tcPr>
          <w:p>
            <w:pPr>
              <w:ind w:left="20"/>
              <w:spacing w:after="0"/>
              <w:rPr>
                <w:sz w:val="20"/>
                <w:szCs w:val="20"/>
                <w:color w:val="auto"/>
              </w:rPr>
            </w:pPr>
            <w:r>
              <w:rPr>
                <w:rFonts w:ascii="Arial" w:cs="Arial" w:eastAsia="Arial" w:hAnsi="Arial"/>
                <w:sz w:val="13"/>
                <w:szCs w:val="13"/>
                <w:color w:val="auto"/>
              </w:rPr>
              <w:t>Executive Vice-President and Chief</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2024</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876,514</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2,165,996</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1,266,450</w:t>
            </w:r>
          </w:p>
        </w:tc>
        <w:tc>
          <w:tcPr>
            <w:tcW w:w="880" w:type="dxa"/>
            <w:vAlign w:val="bottom"/>
          </w:tcPr>
          <w:p>
            <w:pPr>
              <w:ind w:left="6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112,717</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4,421,677</w:t>
            </w:r>
          </w:p>
        </w:tc>
        <w:tc>
          <w:tcPr>
            <w:tcW w:w="0" w:type="dxa"/>
            <w:vAlign w:val="bottom"/>
          </w:tcPr>
          <w:p>
            <w:pPr>
              <w:spacing w:after="0"/>
              <w:rPr>
                <w:sz w:val="1"/>
                <w:szCs w:val="1"/>
                <w:color w:val="auto"/>
              </w:rPr>
            </w:pPr>
          </w:p>
        </w:tc>
      </w:tr>
      <w:tr>
        <w:trPr>
          <w:trHeight w:val="103"/>
        </w:trPr>
        <w:tc>
          <w:tcPr>
            <w:tcW w:w="2100" w:type="dxa"/>
            <w:vAlign w:val="bottom"/>
          </w:tcPr>
          <w:p>
            <w:pPr>
              <w:ind w:left="20"/>
              <w:spacing w:after="0" w:line="103" w:lineRule="exact"/>
              <w:rPr>
                <w:sz w:val="20"/>
                <w:szCs w:val="20"/>
                <w:color w:val="auto"/>
              </w:rPr>
            </w:pPr>
            <w:r>
              <w:rPr>
                <w:rFonts w:ascii="Arial" w:cs="Arial" w:eastAsia="Arial" w:hAnsi="Arial"/>
                <w:sz w:val="11"/>
                <w:szCs w:val="11"/>
                <w:color w:val="auto"/>
              </w:rPr>
              <w:t>Operation Officer, Natural Gas</w:t>
            </w:r>
          </w:p>
        </w:tc>
        <w:tc>
          <w:tcPr>
            <w:tcW w:w="780" w:type="dxa"/>
            <w:vAlign w:val="bottom"/>
            <w:vMerge w:val="restart"/>
          </w:tcPr>
          <w:p>
            <w:pPr>
              <w:jc w:val="right"/>
              <w:ind w:right="93"/>
              <w:spacing w:after="0"/>
              <w:rPr>
                <w:sz w:val="20"/>
                <w:szCs w:val="20"/>
                <w:color w:val="auto"/>
              </w:rPr>
            </w:pPr>
            <w:r>
              <w:rPr>
                <w:rFonts w:ascii="Arial" w:cs="Arial" w:eastAsia="Arial" w:hAnsi="Arial"/>
                <w:sz w:val="13"/>
                <w:szCs w:val="13"/>
                <w:color w:val="auto"/>
              </w:rPr>
              <w:t>2023</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color w:val="auto"/>
              </w:rPr>
              <w:t>729,487</w:t>
            </w:r>
          </w:p>
        </w:tc>
        <w:tc>
          <w:tcPr>
            <w:tcW w:w="1060" w:type="dxa"/>
            <w:vAlign w:val="bottom"/>
            <w:vMerge w:val="restart"/>
          </w:tcPr>
          <w:p>
            <w:pPr>
              <w:jc w:val="right"/>
              <w:ind w:right="153"/>
              <w:spacing w:after="0"/>
              <w:rPr>
                <w:sz w:val="20"/>
                <w:szCs w:val="20"/>
                <w:color w:val="auto"/>
              </w:rPr>
            </w:pPr>
            <w:r>
              <w:rPr>
                <w:rFonts w:ascii="Arial" w:cs="Arial" w:eastAsia="Arial" w:hAnsi="Arial"/>
                <w:sz w:val="13"/>
                <w:szCs w:val="13"/>
                <w:color w:val="auto"/>
              </w:rPr>
              <w:t>1,237,225</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416,157</w:t>
            </w:r>
          </w:p>
        </w:tc>
        <w:tc>
          <w:tcPr>
            <w:tcW w:w="1120" w:type="dxa"/>
            <w:vAlign w:val="bottom"/>
            <w:vMerge w:val="restart"/>
          </w:tcPr>
          <w:p>
            <w:pPr>
              <w:jc w:val="right"/>
              <w:ind w:right="133"/>
              <w:spacing w:after="0"/>
              <w:rPr>
                <w:sz w:val="20"/>
                <w:szCs w:val="20"/>
                <w:color w:val="auto"/>
              </w:rPr>
            </w:pPr>
            <w:r>
              <w:rPr>
                <w:rFonts w:ascii="Arial" w:cs="Arial" w:eastAsia="Arial" w:hAnsi="Arial"/>
                <w:sz w:val="13"/>
                <w:szCs w:val="13"/>
                <w:color w:val="auto"/>
              </w:rPr>
              <w:t>715,426</w:t>
            </w:r>
          </w:p>
        </w:tc>
        <w:tc>
          <w:tcPr>
            <w:tcW w:w="88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73"/>
              <w:spacing w:after="0"/>
              <w:rPr>
                <w:sz w:val="20"/>
                <w:szCs w:val="20"/>
                <w:color w:val="auto"/>
              </w:rPr>
            </w:pPr>
            <w:r>
              <w:rPr>
                <w:rFonts w:ascii="Arial" w:cs="Arial" w:eastAsia="Arial" w:hAnsi="Arial"/>
                <w:sz w:val="13"/>
                <w:szCs w:val="13"/>
                <w:color w:val="auto"/>
              </w:rPr>
              <w:t>83,661</w:t>
            </w:r>
          </w:p>
        </w:tc>
        <w:tc>
          <w:tcPr>
            <w:tcW w:w="1300" w:type="dxa"/>
            <w:vAlign w:val="bottom"/>
            <w:vMerge w:val="restart"/>
          </w:tcPr>
          <w:p>
            <w:pPr>
              <w:jc w:val="right"/>
              <w:ind w:right="153"/>
              <w:spacing w:after="0"/>
              <w:rPr>
                <w:sz w:val="20"/>
                <w:szCs w:val="20"/>
                <w:color w:val="auto"/>
              </w:rPr>
            </w:pPr>
            <w:r>
              <w:rPr>
                <w:rFonts w:ascii="Arial" w:cs="Arial" w:eastAsia="Arial" w:hAnsi="Arial"/>
                <w:sz w:val="13"/>
                <w:szCs w:val="13"/>
                <w:color w:val="auto"/>
              </w:rPr>
              <w:t>337,425</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3,519,381</w:t>
            </w:r>
          </w:p>
        </w:tc>
        <w:tc>
          <w:tcPr>
            <w:tcW w:w="0" w:type="dxa"/>
            <w:vAlign w:val="bottom"/>
          </w:tcPr>
          <w:p>
            <w:pPr>
              <w:spacing w:after="0"/>
              <w:rPr>
                <w:sz w:val="1"/>
                <w:szCs w:val="1"/>
                <w:color w:val="auto"/>
              </w:rPr>
            </w:pPr>
          </w:p>
        </w:tc>
      </w:tr>
      <w:tr>
        <w:trPr>
          <w:trHeight w:val="165"/>
        </w:trPr>
        <w:tc>
          <w:tcPr>
            <w:tcW w:w="2100" w:type="dxa"/>
            <w:vAlign w:val="bottom"/>
          </w:tcPr>
          <w:p>
            <w:pPr>
              <w:ind w:left="20"/>
              <w:spacing w:after="0"/>
              <w:rPr>
                <w:sz w:val="20"/>
                <w:szCs w:val="20"/>
                <w:color w:val="auto"/>
              </w:rPr>
            </w:pPr>
            <w:r>
              <w:rPr>
                <w:rFonts w:ascii="Arial" w:cs="Arial" w:eastAsia="Arial" w:hAnsi="Arial"/>
                <w:sz w:val="13"/>
                <w:szCs w:val="13"/>
                <w:color w:val="auto"/>
              </w:rPr>
              <w:t>Pipelines</w:t>
            </w: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100" w:type="dxa"/>
            <w:vAlign w:val="bottom"/>
            <w:tcBorders>
              <w:bottom w:val="single" w:sz="8" w:color="B2B2B2"/>
            </w:tcBorders>
          </w:tcPr>
          <w:p>
            <w:pPr>
              <w:spacing w:after="0"/>
              <w:rPr>
                <w:sz w:val="5"/>
                <w:szCs w:val="5"/>
                <w:color w:val="auto"/>
              </w:rPr>
            </w:pPr>
          </w:p>
        </w:tc>
        <w:tc>
          <w:tcPr>
            <w:tcW w:w="780" w:type="dxa"/>
            <w:vAlign w:val="bottom"/>
            <w:tcBorders>
              <w:bottom w:val="single" w:sz="8" w:color="B2B2B2"/>
            </w:tcBorders>
          </w:tcPr>
          <w:p>
            <w:pPr>
              <w:spacing w:after="0"/>
              <w:rPr>
                <w:sz w:val="5"/>
                <w:szCs w:val="5"/>
                <w:color w:val="auto"/>
              </w:rPr>
            </w:pPr>
          </w:p>
        </w:tc>
        <w:tc>
          <w:tcPr>
            <w:tcW w:w="96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840" w:type="dxa"/>
            <w:vAlign w:val="bottom"/>
            <w:tcBorders>
              <w:bottom w:val="single" w:sz="8" w:color="B2B2B2"/>
            </w:tcBorders>
          </w:tcPr>
          <w:p>
            <w:pPr>
              <w:spacing w:after="0"/>
              <w:rPr>
                <w:sz w:val="5"/>
                <w:szCs w:val="5"/>
                <w:color w:val="auto"/>
              </w:rPr>
            </w:pPr>
          </w:p>
        </w:tc>
        <w:tc>
          <w:tcPr>
            <w:tcW w:w="1120" w:type="dxa"/>
            <w:vAlign w:val="bottom"/>
            <w:tcBorders>
              <w:bottom w:val="single" w:sz="8" w:color="B2B2B2"/>
            </w:tcBorders>
          </w:tcPr>
          <w:p>
            <w:pPr>
              <w:spacing w:after="0"/>
              <w:rPr>
                <w:sz w:val="5"/>
                <w:szCs w:val="5"/>
                <w:color w:val="auto"/>
              </w:rPr>
            </w:pPr>
          </w:p>
        </w:tc>
        <w:tc>
          <w:tcPr>
            <w:tcW w:w="88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1300" w:type="dxa"/>
            <w:vAlign w:val="bottom"/>
            <w:tcBorders>
              <w:bottom w:val="single" w:sz="8" w:color="B2B2B2"/>
            </w:tcBorders>
          </w:tcPr>
          <w:p>
            <w:pPr>
              <w:spacing w:after="0"/>
              <w:rPr>
                <w:sz w:val="5"/>
                <w:szCs w:val="5"/>
                <w:color w:val="auto"/>
              </w:rPr>
            </w:pPr>
          </w:p>
        </w:tc>
        <w:tc>
          <w:tcPr>
            <w:tcW w:w="114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Anita Dusevic Oliva</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2025</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468,750</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4,075,000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565,069</w:t>
            </w:r>
          </w:p>
        </w:tc>
        <w:tc>
          <w:tcPr>
            <w:tcW w:w="880" w:type="dxa"/>
            <w:vAlign w:val="bottom"/>
          </w:tcPr>
          <w:p>
            <w:pPr>
              <w:ind w:left="6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42,188</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763,281</w:t>
            </w:r>
          </w:p>
        </w:tc>
        <w:tc>
          <w:tcPr>
            <w:tcW w:w="1140" w:type="dxa"/>
            <w:vAlign w:val="bottom"/>
          </w:tcPr>
          <w:p>
            <w:pPr>
              <w:jc w:val="right"/>
              <w:spacing w:after="0"/>
              <w:rPr>
                <w:sz w:val="20"/>
                <w:szCs w:val="20"/>
                <w:color w:val="auto"/>
              </w:rPr>
            </w:pPr>
            <w:r>
              <w:rPr>
                <w:rFonts w:ascii="Arial" w:cs="Arial" w:eastAsia="Arial" w:hAnsi="Arial"/>
                <w:sz w:val="13"/>
                <w:szCs w:val="13"/>
                <w:color w:val="auto"/>
              </w:rPr>
              <w:t>5,914,288</w:t>
            </w:r>
          </w:p>
        </w:tc>
        <w:tc>
          <w:tcPr>
            <w:tcW w:w="0" w:type="dxa"/>
            <w:vAlign w:val="bottom"/>
          </w:tcPr>
          <w:p>
            <w:pPr>
              <w:spacing w:after="0"/>
              <w:rPr>
                <w:sz w:val="1"/>
                <w:szCs w:val="1"/>
                <w:color w:val="auto"/>
              </w:rPr>
            </w:pPr>
          </w:p>
        </w:tc>
      </w:tr>
      <w:tr>
        <w:trPr>
          <w:trHeight w:val="133"/>
        </w:trPr>
        <w:tc>
          <w:tcPr>
            <w:tcW w:w="2100" w:type="dxa"/>
            <w:vAlign w:val="bottom"/>
          </w:tcPr>
          <w:p>
            <w:pPr>
              <w:ind w:left="20"/>
              <w:spacing w:after="0" w:line="133" w:lineRule="exact"/>
              <w:rPr>
                <w:sz w:val="20"/>
                <w:szCs w:val="20"/>
                <w:color w:val="auto"/>
              </w:rPr>
            </w:pPr>
            <w:r>
              <w:rPr>
                <w:rFonts w:ascii="Arial" w:cs="Arial" w:eastAsia="Arial" w:hAnsi="Arial"/>
                <w:sz w:val="13"/>
                <w:szCs w:val="13"/>
                <w:color w:val="auto"/>
              </w:rPr>
              <w:t>Executive Vice-President and</w:t>
            </w:r>
          </w:p>
        </w:tc>
        <w:tc>
          <w:tcPr>
            <w:tcW w:w="780" w:type="dxa"/>
            <w:vAlign w:val="bottom"/>
          </w:tcPr>
          <w:p>
            <w:pPr>
              <w:jc w:val="right"/>
              <w:ind w:right="93"/>
              <w:spacing w:after="0" w:line="133" w:lineRule="exact"/>
              <w:rPr>
                <w:sz w:val="20"/>
                <w:szCs w:val="20"/>
                <w:color w:val="auto"/>
              </w:rPr>
            </w:pPr>
            <w:r>
              <w:rPr>
                <w:rFonts w:ascii="Arial" w:cs="Arial" w:eastAsia="Arial" w:hAnsi="Arial"/>
                <w:sz w:val="13"/>
                <w:szCs w:val="13"/>
                <w:color w:val="auto"/>
              </w:rPr>
              <w:t>2024</w:t>
            </w:r>
          </w:p>
        </w:tc>
        <w:tc>
          <w:tcPr>
            <w:tcW w:w="960" w:type="dxa"/>
            <w:vAlign w:val="bottom"/>
          </w:tcPr>
          <w:p>
            <w:pPr>
              <w:jc w:val="right"/>
              <w:ind w:right="153"/>
              <w:spacing w:after="0" w:line="133"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53"/>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line="133"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line="133" w:lineRule="exact"/>
              <w:rPr>
                <w:sz w:val="20"/>
                <w:szCs w:val="20"/>
                <w:color w:val="auto"/>
              </w:rPr>
            </w:pPr>
            <w:r>
              <w:rPr>
                <w:rFonts w:ascii="Arial" w:cs="Arial" w:eastAsia="Arial" w:hAnsi="Arial"/>
                <w:sz w:val="13"/>
                <w:szCs w:val="13"/>
                <w:color w:val="auto"/>
              </w:rPr>
              <w:t>—</w:t>
            </w:r>
          </w:p>
        </w:tc>
        <w:tc>
          <w:tcPr>
            <w:tcW w:w="880" w:type="dxa"/>
            <w:vAlign w:val="bottom"/>
          </w:tcPr>
          <w:p>
            <w:pPr>
              <w:ind w:left="680"/>
              <w:spacing w:after="0" w:line="133"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73"/>
              <w:spacing w:after="0" w:line="133"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153"/>
              <w:spacing w:after="0" w:line="133"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2100" w:type="dxa"/>
            <w:vAlign w:val="bottom"/>
          </w:tcPr>
          <w:p>
            <w:pPr>
              <w:ind w:left="20"/>
              <w:spacing w:after="0"/>
              <w:rPr>
                <w:sz w:val="20"/>
                <w:szCs w:val="20"/>
                <w:color w:val="auto"/>
              </w:rPr>
            </w:pPr>
            <w:r>
              <w:rPr>
                <w:rFonts w:ascii="Arial" w:cs="Arial" w:eastAsia="Arial" w:hAnsi="Arial"/>
                <w:sz w:val="13"/>
                <w:szCs w:val="13"/>
                <w:color w:val="auto"/>
              </w:rPr>
              <w:t>General Counsel</w:t>
            </w:r>
          </w:p>
        </w:tc>
        <w:tc>
          <w:tcPr>
            <w:tcW w:w="780" w:type="dxa"/>
            <w:vAlign w:val="bottom"/>
            <w:vMerge w:val="restart"/>
          </w:tcPr>
          <w:p>
            <w:pPr>
              <w:jc w:val="right"/>
              <w:ind w:right="93"/>
              <w:spacing w:after="0"/>
              <w:rPr>
                <w:sz w:val="20"/>
                <w:szCs w:val="20"/>
                <w:color w:val="auto"/>
              </w:rPr>
            </w:pPr>
            <w:r>
              <w:rPr>
                <w:rFonts w:ascii="Arial" w:cs="Arial" w:eastAsia="Arial" w:hAnsi="Arial"/>
                <w:sz w:val="13"/>
                <w:szCs w:val="13"/>
                <w:color w:val="auto"/>
              </w:rPr>
              <w:t>2023</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2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100" w:type="dxa"/>
            <w:vAlign w:val="bottom"/>
            <w:tcBorders>
              <w:bottom w:val="single" w:sz="8" w:color="B2B2B2"/>
            </w:tcBorders>
          </w:tcPr>
          <w:p>
            <w:pPr>
              <w:spacing w:after="0"/>
              <w:rPr>
                <w:sz w:val="6"/>
                <w:szCs w:val="6"/>
                <w:color w:val="auto"/>
              </w:rPr>
            </w:pPr>
          </w:p>
        </w:tc>
        <w:tc>
          <w:tcPr>
            <w:tcW w:w="780" w:type="dxa"/>
            <w:vAlign w:val="bottom"/>
            <w:tcBorders>
              <w:bottom w:val="single" w:sz="8" w:color="B2B2B2"/>
            </w:tcBorders>
          </w:tcPr>
          <w:p>
            <w:pPr>
              <w:spacing w:after="0"/>
              <w:rPr>
                <w:sz w:val="6"/>
                <w:szCs w:val="6"/>
                <w:color w:val="auto"/>
              </w:rPr>
            </w:pPr>
          </w:p>
        </w:tc>
        <w:tc>
          <w:tcPr>
            <w:tcW w:w="960" w:type="dxa"/>
            <w:vAlign w:val="bottom"/>
            <w:tcBorders>
              <w:bottom w:val="single" w:sz="8" w:color="B2B2B2"/>
            </w:tcBorders>
          </w:tcPr>
          <w:p>
            <w:pPr>
              <w:spacing w:after="0"/>
              <w:rPr>
                <w:sz w:val="6"/>
                <w:szCs w:val="6"/>
                <w:color w:val="auto"/>
              </w:rPr>
            </w:pPr>
          </w:p>
        </w:tc>
        <w:tc>
          <w:tcPr>
            <w:tcW w:w="1060" w:type="dxa"/>
            <w:vAlign w:val="bottom"/>
            <w:tcBorders>
              <w:bottom w:val="single" w:sz="8" w:color="B2B2B2"/>
            </w:tcBorders>
          </w:tcPr>
          <w:p>
            <w:pPr>
              <w:spacing w:after="0"/>
              <w:rPr>
                <w:sz w:val="6"/>
                <w:szCs w:val="6"/>
                <w:color w:val="auto"/>
              </w:rPr>
            </w:pPr>
          </w:p>
        </w:tc>
        <w:tc>
          <w:tcPr>
            <w:tcW w:w="840" w:type="dxa"/>
            <w:vAlign w:val="bottom"/>
            <w:tcBorders>
              <w:bottom w:val="single" w:sz="8" w:color="B2B2B2"/>
            </w:tcBorders>
          </w:tcPr>
          <w:p>
            <w:pPr>
              <w:spacing w:after="0"/>
              <w:rPr>
                <w:sz w:val="6"/>
                <w:szCs w:val="6"/>
                <w:color w:val="auto"/>
              </w:rPr>
            </w:pPr>
          </w:p>
        </w:tc>
        <w:tc>
          <w:tcPr>
            <w:tcW w:w="1120" w:type="dxa"/>
            <w:vAlign w:val="bottom"/>
            <w:tcBorders>
              <w:bottom w:val="single" w:sz="8" w:color="B2B2B2"/>
            </w:tcBorders>
          </w:tcPr>
          <w:p>
            <w:pPr>
              <w:spacing w:after="0"/>
              <w:rPr>
                <w:sz w:val="6"/>
                <w:szCs w:val="6"/>
                <w:color w:val="auto"/>
              </w:rPr>
            </w:pPr>
          </w:p>
        </w:tc>
        <w:tc>
          <w:tcPr>
            <w:tcW w:w="880" w:type="dxa"/>
            <w:vAlign w:val="bottom"/>
            <w:tcBorders>
              <w:bottom w:val="single" w:sz="8" w:color="B2B2B2"/>
            </w:tcBorders>
          </w:tcPr>
          <w:p>
            <w:pPr>
              <w:spacing w:after="0"/>
              <w:rPr>
                <w:sz w:val="6"/>
                <w:szCs w:val="6"/>
                <w:color w:val="auto"/>
              </w:rPr>
            </w:pPr>
          </w:p>
        </w:tc>
        <w:tc>
          <w:tcPr>
            <w:tcW w:w="1060" w:type="dxa"/>
            <w:vAlign w:val="bottom"/>
            <w:tcBorders>
              <w:bottom w:val="single" w:sz="8" w:color="B2B2B2"/>
            </w:tcBorders>
          </w:tcPr>
          <w:p>
            <w:pPr>
              <w:spacing w:after="0"/>
              <w:rPr>
                <w:sz w:val="6"/>
                <w:szCs w:val="6"/>
                <w:color w:val="auto"/>
              </w:rPr>
            </w:pPr>
          </w:p>
        </w:tc>
        <w:tc>
          <w:tcPr>
            <w:tcW w:w="1300" w:type="dxa"/>
            <w:vAlign w:val="bottom"/>
            <w:tcBorders>
              <w:bottom w:val="single" w:sz="8" w:color="B2B2B2"/>
            </w:tcBorders>
          </w:tcPr>
          <w:p>
            <w:pPr>
              <w:spacing w:after="0"/>
              <w:rPr>
                <w:sz w:val="6"/>
                <w:szCs w:val="6"/>
                <w:color w:val="auto"/>
              </w:rPr>
            </w:pPr>
          </w:p>
        </w:tc>
        <w:tc>
          <w:tcPr>
            <w:tcW w:w="114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Stanley Chapman III</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2025</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667,152</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5,173,607</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801,823</w:t>
            </w:r>
          </w:p>
        </w:tc>
        <w:tc>
          <w:tcPr>
            <w:tcW w:w="880" w:type="dxa"/>
            <w:vAlign w:val="bottom"/>
          </w:tcPr>
          <w:p>
            <w:pPr>
              <w:ind w:left="6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123,950</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18,451</w:t>
            </w:r>
          </w:p>
        </w:tc>
        <w:tc>
          <w:tcPr>
            <w:tcW w:w="1140" w:type="dxa"/>
            <w:vAlign w:val="bottom"/>
          </w:tcPr>
          <w:p>
            <w:pPr>
              <w:jc w:val="right"/>
              <w:spacing w:after="0"/>
              <w:rPr>
                <w:sz w:val="20"/>
                <w:szCs w:val="20"/>
                <w:color w:val="auto"/>
              </w:rPr>
            </w:pPr>
            <w:r>
              <w:rPr>
                <w:rFonts w:ascii="Arial" w:cs="Arial" w:eastAsia="Arial" w:hAnsi="Arial"/>
                <w:sz w:val="13"/>
                <w:szCs w:val="13"/>
                <w:color w:val="auto"/>
              </w:rPr>
              <w:t>6,784,983</w:t>
            </w:r>
          </w:p>
        </w:tc>
        <w:tc>
          <w:tcPr>
            <w:tcW w:w="0" w:type="dxa"/>
            <w:vAlign w:val="bottom"/>
          </w:tcPr>
          <w:p>
            <w:pPr>
              <w:spacing w:after="0"/>
              <w:rPr>
                <w:sz w:val="1"/>
                <w:szCs w:val="1"/>
                <w:color w:val="auto"/>
              </w:rPr>
            </w:pPr>
          </w:p>
        </w:tc>
      </w:tr>
      <w:tr>
        <w:trPr>
          <w:trHeight w:val="152"/>
        </w:trPr>
        <w:tc>
          <w:tcPr>
            <w:tcW w:w="2100" w:type="dxa"/>
            <w:vAlign w:val="bottom"/>
          </w:tcPr>
          <w:p>
            <w:pPr>
              <w:ind w:left="20"/>
              <w:spacing w:after="0"/>
              <w:rPr>
                <w:sz w:val="20"/>
                <w:szCs w:val="20"/>
                <w:color w:val="auto"/>
              </w:rPr>
            </w:pPr>
            <w:r>
              <w:rPr>
                <w:rFonts w:ascii="Arial" w:cs="Arial" w:eastAsia="Arial" w:hAnsi="Arial"/>
                <w:sz w:val="13"/>
                <w:szCs w:val="13"/>
                <w:color w:val="auto"/>
              </w:rPr>
              <w:t>Executive Vice-President and</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2024</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1,126,660</w:t>
            </w:r>
          </w:p>
        </w:tc>
        <w:tc>
          <w:tcPr>
            <w:tcW w:w="1060" w:type="dxa"/>
            <w:vAlign w:val="bottom"/>
          </w:tcPr>
          <w:p>
            <w:pPr>
              <w:jc w:val="right"/>
              <w:ind w:right="153"/>
              <w:spacing w:after="0"/>
              <w:rPr>
                <w:sz w:val="20"/>
                <w:szCs w:val="20"/>
                <w:color w:val="auto"/>
              </w:rPr>
            </w:pPr>
            <w:r>
              <w:rPr>
                <w:rFonts w:ascii="Arial" w:cs="Arial" w:eastAsia="Arial" w:hAnsi="Arial"/>
                <w:sz w:val="13"/>
                <w:szCs w:val="13"/>
                <w:color w:val="auto"/>
              </w:rPr>
              <w:t>5,069,972</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2,027,989</w:t>
            </w:r>
          </w:p>
        </w:tc>
        <w:tc>
          <w:tcPr>
            <w:tcW w:w="880" w:type="dxa"/>
            <w:vAlign w:val="bottom"/>
          </w:tcPr>
          <w:p>
            <w:pPr>
              <w:ind w:left="68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119,550</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8,344,171</w:t>
            </w:r>
          </w:p>
        </w:tc>
        <w:tc>
          <w:tcPr>
            <w:tcW w:w="0" w:type="dxa"/>
            <w:vAlign w:val="bottom"/>
          </w:tcPr>
          <w:p>
            <w:pPr>
              <w:spacing w:after="0"/>
              <w:rPr>
                <w:sz w:val="1"/>
                <w:szCs w:val="1"/>
                <w:color w:val="auto"/>
              </w:rPr>
            </w:pPr>
          </w:p>
        </w:tc>
      </w:tr>
      <w:tr>
        <w:trPr>
          <w:trHeight w:val="165"/>
        </w:trPr>
        <w:tc>
          <w:tcPr>
            <w:tcW w:w="2100" w:type="dxa"/>
            <w:vAlign w:val="bottom"/>
          </w:tcPr>
          <w:p>
            <w:pPr>
              <w:ind w:left="20"/>
              <w:spacing w:after="0"/>
              <w:rPr>
                <w:sz w:val="20"/>
                <w:szCs w:val="20"/>
                <w:color w:val="auto"/>
              </w:rPr>
            </w:pPr>
            <w:r>
              <w:rPr>
                <w:rFonts w:ascii="Arial" w:cs="Arial" w:eastAsia="Arial" w:hAnsi="Arial"/>
                <w:sz w:val="13"/>
                <w:szCs w:val="13"/>
                <w:color w:val="auto"/>
              </w:rPr>
              <w:t>Executive Advisor</w:t>
            </w:r>
          </w:p>
        </w:tc>
        <w:tc>
          <w:tcPr>
            <w:tcW w:w="780" w:type="dxa"/>
            <w:vAlign w:val="bottom"/>
            <w:vMerge w:val="restart"/>
          </w:tcPr>
          <w:p>
            <w:pPr>
              <w:jc w:val="right"/>
              <w:ind w:right="93"/>
              <w:spacing w:after="0"/>
              <w:rPr>
                <w:sz w:val="20"/>
                <w:szCs w:val="20"/>
                <w:color w:val="auto"/>
              </w:rPr>
            </w:pPr>
            <w:r>
              <w:rPr>
                <w:rFonts w:ascii="Arial" w:cs="Arial" w:eastAsia="Arial" w:hAnsi="Arial"/>
                <w:sz w:val="13"/>
                <w:szCs w:val="13"/>
                <w:color w:val="auto"/>
              </w:rPr>
              <w:t>2023</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color w:val="auto"/>
              </w:rPr>
              <w:t>1,069,637</w:t>
            </w:r>
          </w:p>
        </w:tc>
        <w:tc>
          <w:tcPr>
            <w:tcW w:w="1060" w:type="dxa"/>
            <w:vAlign w:val="bottom"/>
            <w:vMerge w:val="restart"/>
          </w:tcPr>
          <w:p>
            <w:pPr>
              <w:jc w:val="right"/>
              <w:ind w:right="153"/>
              <w:spacing w:after="0"/>
              <w:rPr>
                <w:sz w:val="20"/>
                <w:szCs w:val="20"/>
                <w:color w:val="auto"/>
              </w:rPr>
            </w:pPr>
            <w:r>
              <w:rPr>
                <w:rFonts w:ascii="Arial" w:cs="Arial" w:eastAsia="Arial" w:hAnsi="Arial"/>
                <w:sz w:val="13"/>
                <w:szCs w:val="13"/>
                <w:color w:val="auto"/>
              </w:rPr>
              <w:t>2,815,137</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1,876,758</w:t>
            </w:r>
          </w:p>
        </w:tc>
        <w:tc>
          <w:tcPr>
            <w:tcW w:w="1120" w:type="dxa"/>
            <w:vAlign w:val="bottom"/>
            <w:vMerge w:val="restart"/>
          </w:tcPr>
          <w:p>
            <w:pPr>
              <w:jc w:val="right"/>
              <w:ind w:right="133"/>
              <w:spacing w:after="0"/>
              <w:rPr>
                <w:sz w:val="20"/>
                <w:szCs w:val="20"/>
                <w:color w:val="auto"/>
              </w:rPr>
            </w:pPr>
            <w:r>
              <w:rPr>
                <w:rFonts w:ascii="Arial" w:cs="Arial" w:eastAsia="Arial" w:hAnsi="Arial"/>
                <w:sz w:val="13"/>
                <w:szCs w:val="13"/>
                <w:color w:val="auto"/>
              </w:rPr>
              <w:t>1,413,630</w:t>
            </w:r>
          </w:p>
        </w:tc>
        <w:tc>
          <w:tcPr>
            <w:tcW w:w="88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73"/>
              <w:spacing w:after="0"/>
              <w:rPr>
                <w:sz w:val="20"/>
                <w:szCs w:val="20"/>
                <w:color w:val="auto"/>
              </w:rPr>
            </w:pPr>
            <w:r>
              <w:rPr>
                <w:rFonts w:ascii="Arial" w:cs="Arial" w:eastAsia="Arial" w:hAnsi="Arial"/>
                <w:sz w:val="13"/>
                <w:szCs w:val="13"/>
                <w:color w:val="auto"/>
              </w:rPr>
              <w:t>111,010</w:t>
            </w:r>
          </w:p>
        </w:tc>
        <w:tc>
          <w:tcPr>
            <w:tcW w:w="130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7,286,172</w:t>
            </w:r>
          </w:p>
        </w:tc>
        <w:tc>
          <w:tcPr>
            <w:tcW w:w="0" w:type="dxa"/>
            <w:vAlign w:val="bottom"/>
          </w:tcPr>
          <w:p>
            <w:pPr>
              <w:spacing w:after="0"/>
              <w:rPr>
                <w:sz w:val="1"/>
                <w:szCs w:val="1"/>
                <w:color w:val="auto"/>
              </w:rPr>
            </w:pPr>
          </w:p>
        </w:tc>
      </w:tr>
      <w:tr>
        <w:trPr>
          <w:trHeight w:val="92"/>
        </w:trPr>
        <w:tc>
          <w:tcPr>
            <w:tcW w:w="2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100" w:type="dxa"/>
            <w:vAlign w:val="bottom"/>
            <w:tcBorders>
              <w:bottom w:val="single" w:sz="8" w:color="237CC1"/>
            </w:tcBorders>
          </w:tcPr>
          <w:p>
            <w:pPr>
              <w:spacing w:after="0"/>
              <w:rPr>
                <w:sz w:val="6"/>
                <w:szCs w:val="6"/>
                <w:color w:val="auto"/>
              </w:rPr>
            </w:pPr>
          </w:p>
        </w:tc>
        <w:tc>
          <w:tcPr>
            <w:tcW w:w="780" w:type="dxa"/>
            <w:vAlign w:val="bottom"/>
            <w:tcBorders>
              <w:bottom w:val="single" w:sz="8" w:color="237CC1"/>
            </w:tcBorders>
          </w:tcPr>
          <w:p>
            <w:pPr>
              <w:spacing w:after="0"/>
              <w:rPr>
                <w:sz w:val="6"/>
                <w:szCs w:val="6"/>
                <w:color w:val="auto"/>
              </w:rPr>
            </w:pPr>
          </w:p>
        </w:tc>
        <w:tc>
          <w:tcPr>
            <w:tcW w:w="960" w:type="dxa"/>
            <w:vAlign w:val="bottom"/>
            <w:tcBorders>
              <w:bottom w:val="single" w:sz="8" w:color="237CC1"/>
            </w:tcBorders>
          </w:tcPr>
          <w:p>
            <w:pPr>
              <w:spacing w:after="0"/>
              <w:rPr>
                <w:sz w:val="6"/>
                <w:szCs w:val="6"/>
                <w:color w:val="auto"/>
              </w:rPr>
            </w:pPr>
          </w:p>
        </w:tc>
        <w:tc>
          <w:tcPr>
            <w:tcW w:w="1060" w:type="dxa"/>
            <w:vAlign w:val="bottom"/>
            <w:tcBorders>
              <w:bottom w:val="single" w:sz="8" w:color="237CC1"/>
            </w:tcBorders>
          </w:tcPr>
          <w:p>
            <w:pPr>
              <w:spacing w:after="0"/>
              <w:rPr>
                <w:sz w:val="6"/>
                <w:szCs w:val="6"/>
                <w:color w:val="auto"/>
              </w:rPr>
            </w:pPr>
          </w:p>
        </w:tc>
        <w:tc>
          <w:tcPr>
            <w:tcW w:w="840" w:type="dxa"/>
            <w:vAlign w:val="bottom"/>
            <w:tcBorders>
              <w:bottom w:val="single" w:sz="8" w:color="237CC1"/>
            </w:tcBorders>
          </w:tcPr>
          <w:p>
            <w:pPr>
              <w:spacing w:after="0"/>
              <w:rPr>
                <w:sz w:val="6"/>
                <w:szCs w:val="6"/>
                <w:color w:val="auto"/>
              </w:rPr>
            </w:pPr>
          </w:p>
        </w:tc>
        <w:tc>
          <w:tcPr>
            <w:tcW w:w="1120" w:type="dxa"/>
            <w:vAlign w:val="bottom"/>
            <w:tcBorders>
              <w:bottom w:val="single" w:sz="8" w:color="237CC1"/>
            </w:tcBorders>
          </w:tcPr>
          <w:p>
            <w:pPr>
              <w:spacing w:after="0"/>
              <w:rPr>
                <w:sz w:val="6"/>
                <w:szCs w:val="6"/>
                <w:color w:val="auto"/>
              </w:rPr>
            </w:pPr>
          </w:p>
        </w:tc>
        <w:tc>
          <w:tcPr>
            <w:tcW w:w="880" w:type="dxa"/>
            <w:vAlign w:val="bottom"/>
            <w:tcBorders>
              <w:bottom w:val="single" w:sz="8" w:color="237CC1"/>
            </w:tcBorders>
          </w:tcPr>
          <w:p>
            <w:pPr>
              <w:spacing w:after="0"/>
              <w:rPr>
                <w:sz w:val="6"/>
                <w:szCs w:val="6"/>
                <w:color w:val="auto"/>
              </w:rPr>
            </w:pPr>
          </w:p>
        </w:tc>
        <w:tc>
          <w:tcPr>
            <w:tcW w:w="1060" w:type="dxa"/>
            <w:vAlign w:val="bottom"/>
            <w:tcBorders>
              <w:bottom w:val="single" w:sz="8" w:color="237CC1"/>
            </w:tcBorders>
          </w:tcPr>
          <w:p>
            <w:pPr>
              <w:spacing w:after="0"/>
              <w:rPr>
                <w:sz w:val="6"/>
                <w:szCs w:val="6"/>
                <w:color w:val="auto"/>
              </w:rPr>
            </w:pPr>
          </w:p>
        </w:tc>
        <w:tc>
          <w:tcPr>
            <w:tcW w:w="1300" w:type="dxa"/>
            <w:vAlign w:val="bottom"/>
            <w:tcBorders>
              <w:bottom w:val="single" w:sz="8" w:color="237CC1"/>
            </w:tcBorders>
          </w:tcPr>
          <w:p>
            <w:pPr>
              <w:spacing w:after="0"/>
              <w:rPr>
                <w:sz w:val="6"/>
                <w:szCs w:val="6"/>
                <w:color w:val="auto"/>
              </w:rPr>
            </w:pPr>
          </w:p>
        </w:tc>
        <w:tc>
          <w:tcPr>
            <w:tcW w:w="1140" w:type="dxa"/>
            <w:vAlign w:val="bottom"/>
            <w:tcBorders>
              <w:bottom w:val="single" w:sz="8" w:color="237CC1"/>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60" w:hanging="153"/>
        <w:spacing w:after="0"/>
        <w:tabs>
          <w:tab w:leader="none" w:pos="160" w:val="left"/>
        </w:tabs>
        <w:numPr>
          <w:ilvl w:val="0"/>
          <w:numId w:val="155"/>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Salary </w:t>
      </w:r>
      <w:r>
        <w:rPr>
          <w:rFonts w:ascii="Arial" w:cs="Arial" w:eastAsia="Arial" w:hAnsi="Arial"/>
          <w:sz w:val="13"/>
          <w:szCs w:val="13"/>
          <w:color w:val="auto"/>
        </w:rPr>
        <w:t>is the actual base salary earned during each of the three years.</w:t>
      </w:r>
    </w:p>
    <w:p>
      <w:pPr>
        <w:spacing w:after="0" w:line="38" w:lineRule="exact"/>
        <w:rPr>
          <w:rFonts w:ascii="Arial" w:cs="Arial" w:eastAsia="Arial" w:hAnsi="Arial"/>
          <w:sz w:val="13"/>
          <w:szCs w:val="13"/>
          <w:i w:val="1"/>
          <w:iCs w:val="1"/>
          <w:color w:val="auto"/>
        </w:rPr>
      </w:pPr>
    </w:p>
    <w:p>
      <w:pPr>
        <w:ind w:left="140" w:hanging="133"/>
        <w:spacing w:after="0"/>
        <w:tabs>
          <w:tab w:leader="none" w:pos="140" w:val="left"/>
        </w:tabs>
        <w:numPr>
          <w:ilvl w:val="0"/>
          <w:numId w:val="155"/>
        </w:numPr>
        <w:rPr>
          <w:rFonts w:ascii="Arial" w:cs="Arial" w:eastAsia="Arial" w:hAnsi="Arial"/>
          <w:sz w:val="13"/>
          <w:szCs w:val="13"/>
          <w:color w:val="auto"/>
        </w:rPr>
      </w:pPr>
      <w:r>
        <w:rPr>
          <w:rFonts w:ascii="Arial" w:cs="Arial" w:eastAsia="Arial" w:hAnsi="Arial"/>
          <w:sz w:val="13"/>
          <w:szCs w:val="13"/>
          <w:i w:val="1"/>
          <w:iCs w:val="1"/>
          <w:color w:val="auto"/>
        </w:rPr>
        <w:t xml:space="preserve">Share-based awards </w:t>
      </w:r>
      <w:r>
        <w:rPr>
          <w:rFonts w:ascii="Arial" w:cs="Arial" w:eastAsia="Arial" w:hAnsi="Arial"/>
          <w:sz w:val="13"/>
          <w:szCs w:val="13"/>
          <w:color w:val="auto"/>
        </w:rPr>
        <w:t>is the long-term incentive compensation that was awarded as PSUs and RSUs. The number of PSUs/RSUs granted is the value of the</w:t>
      </w:r>
    </w:p>
    <w:p>
      <w:pPr>
        <w:spacing w:after="0" w:line="25" w:lineRule="exact"/>
        <w:rPr>
          <w:sz w:val="20"/>
          <w:szCs w:val="20"/>
          <w:color w:val="auto"/>
        </w:rPr>
      </w:pPr>
    </w:p>
    <w:p>
      <w:pPr>
        <w:ind w:left="160" w:right="100"/>
        <w:spacing w:after="0" w:line="293" w:lineRule="auto"/>
        <w:rPr>
          <w:sz w:val="20"/>
          <w:szCs w:val="20"/>
          <w:color w:val="auto"/>
        </w:rPr>
      </w:pPr>
      <w:r>
        <w:rPr>
          <w:rFonts w:ascii="Arial" w:cs="Arial" w:eastAsia="Arial" w:hAnsi="Arial"/>
          <w:sz w:val="13"/>
          <w:szCs w:val="13"/>
          <w:color w:val="auto"/>
        </w:rPr>
        <w:t>PSUs/RSUs divided by the volume-weighted average closing price of TC Energy shares for the 5 trading days immediately prior to the grant date: $64.72 in 2025, $53.57 in 2024, and $55.96 in 2023 for Canadian employees and $45.44 in 2025 and $39.71 in 2024 for U.S. employees. Beginning in 2024, the number of PSUs/RSUs awarded to U.S. employees is based on the value of the PSUs/RSUs divided by the volume-weighted average closing price of TC Energy shares on the NYSE for the five trading days immediately prior to the grant date. In 2023, the number of PSUs/RSUs awarded to U.S. employees was based on the value of the PSUs/RSUs divided by the volume-weighted average closing price of TC Energy shares on the TSX for the five trading days immediately prior to the grant date.</w:t>
      </w:r>
    </w:p>
    <w:p>
      <w:pPr>
        <w:spacing w:after="0" w:line="1" w:lineRule="exact"/>
        <w:rPr>
          <w:sz w:val="20"/>
          <w:szCs w:val="20"/>
          <w:color w:val="auto"/>
        </w:rPr>
      </w:pPr>
    </w:p>
    <w:p>
      <w:pPr>
        <w:ind w:left="140" w:hanging="133"/>
        <w:spacing w:after="0"/>
        <w:tabs>
          <w:tab w:leader="none" w:pos="140" w:val="left"/>
        </w:tabs>
        <w:numPr>
          <w:ilvl w:val="0"/>
          <w:numId w:val="156"/>
        </w:numPr>
        <w:rPr>
          <w:rFonts w:ascii="Arial" w:cs="Arial" w:eastAsia="Arial" w:hAnsi="Arial"/>
          <w:sz w:val="11"/>
          <w:szCs w:val="11"/>
          <w:color w:val="auto"/>
        </w:rPr>
      </w:pPr>
      <w:r>
        <w:rPr>
          <w:rFonts w:ascii="Arial" w:cs="Arial" w:eastAsia="Arial" w:hAnsi="Arial"/>
          <w:sz w:val="11"/>
          <w:szCs w:val="11"/>
          <w:i w:val="1"/>
          <w:iCs w:val="1"/>
          <w:color w:val="auto"/>
        </w:rPr>
        <w:t xml:space="preserve">Option-based awards </w:t>
      </w:r>
      <w:r>
        <w:rPr>
          <w:rFonts w:ascii="Arial" w:cs="Arial" w:eastAsia="Arial" w:hAnsi="Arial"/>
          <w:sz w:val="11"/>
          <w:szCs w:val="11"/>
          <w:color w:val="auto"/>
        </w:rPr>
        <w:t>is the long-term incentive compensation that was awarded as Stock Options. The exercise price is the closing market price of TC Energy shares on the TSX on the trading day</w:t>
      </w:r>
    </w:p>
    <w:p>
      <w:pPr>
        <w:spacing w:after="0" w:line="61" w:lineRule="exact"/>
        <w:rPr>
          <w:rFonts w:ascii="Arial" w:cs="Arial" w:eastAsia="Arial" w:hAnsi="Arial"/>
          <w:sz w:val="11"/>
          <w:szCs w:val="11"/>
          <w:color w:val="auto"/>
        </w:rPr>
      </w:pPr>
    </w:p>
    <w:p>
      <w:pPr>
        <w:ind w:left="160" w:right="280"/>
        <w:spacing w:after="0" w:line="291" w:lineRule="auto"/>
        <w:rPr>
          <w:rFonts w:ascii="Arial" w:cs="Arial" w:eastAsia="Arial" w:hAnsi="Arial"/>
          <w:sz w:val="11"/>
          <w:szCs w:val="11"/>
          <w:color w:val="auto"/>
        </w:rPr>
      </w:pPr>
      <w:r>
        <w:rPr>
          <w:rFonts w:ascii="Arial" w:cs="Arial" w:eastAsia="Arial" w:hAnsi="Arial"/>
          <w:sz w:val="13"/>
          <w:szCs w:val="13"/>
          <w:color w:val="auto"/>
        </w:rPr>
        <w:t xml:space="preserve">immediately prior to the grant date: $56.66 in 2023. See </w:t>
      </w:r>
      <w:r>
        <w:rPr>
          <w:rFonts w:ascii="Arial" w:cs="Arial" w:eastAsia="Arial" w:hAnsi="Arial"/>
          <w:sz w:val="13"/>
          <w:szCs w:val="13"/>
          <w:i w:val="1"/>
          <w:iCs w:val="1"/>
          <w:color w:val="auto"/>
        </w:rPr>
        <w:t>Stock Option valuation</w:t>
      </w:r>
      <w:r>
        <w:rPr>
          <w:rFonts w:ascii="Arial" w:cs="Arial" w:eastAsia="Arial" w:hAnsi="Arial"/>
          <w:sz w:val="13"/>
          <w:szCs w:val="13"/>
          <w:color w:val="auto"/>
        </w:rPr>
        <w:t xml:space="preserve"> below for more information. The exercise prices were adjusted after October 1, 2024 to reflect the Liquids Pipelines business spinoff transaction as described on page 98.</w:t>
      </w:r>
    </w:p>
    <w:p>
      <w:pPr>
        <w:ind w:left="140" w:hanging="133"/>
        <w:spacing w:after="0"/>
        <w:tabs>
          <w:tab w:leader="none" w:pos="140" w:val="left"/>
        </w:tabs>
        <w:numPr>
          <w:ilvl w:val="0"/>
          <w:numId w:val="156"/>
        </w:numPr>
        <w:rPr>
          <w:rFonts w:ascii="Arial" w:cs="Arial" w:eastAsia="Arial" w:hAnsi="Arial"/>
          <w:sz w:val="13"/>
          <w:szCs w:val="13"/>
          <w:color w:val="auto"/>
        </w:rPr>
      </w:pPr>
      <w:r>
        <w:rPr>
          <w:rFonts w:ascii="Arial" w:cs="Arial" w:eastAsia="Arial" w:hAnsi="Arial"/>
          <w:sz w:val="13"/>
          <w:szCs w:val="13"/>
          <w:i w:val="1"/>
          <w:iCs w:val="1"/>
          <w:color w:val="auto"/>
        </w:rPr>
        <w:t xml:space="preserve">Annual incentive plans </w:t>
      </w:r>
      <w:r>
        <w:rPr>
          <w:rFonts w:ascii="Arial" w:cs="Arial" w:eastAsia="Arial" w:hAnsi="Arial"/>
          <w:sz w:val="13"/>
          <w:szCs w:val="13"/>
          <w:color w:val="auto"/>
        </w:rPr>
        <w:t>is the short-term incentive award, paid as an annual cash bonus and attributable to the noted financial year. Payments are made in</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first quarter of the following year.</w:t>
      </w:r>
    </w:p>
    <w:p>
      <w:pPr>
        <w:spacing w:after="0" w:line="39" w:lineRule="exact"/>
        <w:rPr>
          <w:sz w:val="20"/>
          <w:szCs w:val="20"/>
          <w:color w:val="auto"/>
        </w:rPr>
      </w:pPr>
    </w:p>
    <w:p>
      <w:pPr>
        <w:ind w:left="140" w:hanging="133"/>
        <w:spacing w:after="0"/>
        <w:tabs>
          <w:tab w:leader="none" w:pos="14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There are no long-term non-equity incentive plans.</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57"/>
        </w:numPr>
        <w:rPr>
          <w:rFonts w:ascii="Arial" w:cs="Arial" w:eastAsia="Arial" w:hAnsi="Arial"/>
          <w:sz w:val="11"/>
          <w:szCs w:val="11"/>
          <w:color w:val="auto"/>
        </w:rPr>
      </w:pPr>
      <w:r>
        <w:rPr>
          <w:rFonts w:ascii="Arial" w:cs="Arial" w:eastAsia="Arial" w:hAnsi="Arial"/>
          <w:sz w:val="11"/>
          <w:szCs w:val="11"/>
          <w:i w:val="1"/>
          <w:iCs w:val="1"/>
          <w:color w:val="auto"/>
        </w:rPr>
        <w:t xml:space="preserve">Pension value </w:t>
      </w:r>
      <w:r>
        <w:rPr>
          <w:rFonts w:ascii="Arial" w:cs="Arial" w:eastAsia="Arial" w:hAnsi="Arial"/>
          <w:sz w:val="11"/>
          <w:szCs w:val="11"/>
          <w:color w:val="auto"/>
        </w:rPr>
        <w:t>for Mr. Poirier includes the annual compensatory value from the DB Plan and the Supplemental DB Plan. The annual compensatory value is the compensatory change in the accrued</w:t>
      </w:r>
    </w:p>
    <w:p>
      <w:pPr>
        <w:spacing w:after="0" w:line="61" w:lineRule="exact"/>
        <w:rPr>
          <w:rFonts w:ascii="Arial" w:cs="Arial" w:eastAsia="Arial" w:hAnsi="Arial"/>
          <w:sz w:val="11"/>
          <w:szCs w:val="11"/>
          <w:color w:val="auto"/>
        </w:rPr>
      </w:pPr>
    </w:p>
    <w:p>
      <w:pPr>
        <w:ind w:left="160" w:right="360"/>
        <w:spacing w:after="0" w:line="287" w:lineRule="auto"/>
        <w:rPr>
          <w:rFonts w:ascii="Arial" w:cs="Arial" w:eastAsia="Arial" w:hAnsi="Arial"/>
          <w:sz w:val="11"/>
          <w:szCs w:val="11"/>
          <w:color w:val="auto"/>
        </w:rPr>
      </w:pPr>
      <w:r>
        <w:rPr>
          <w:rFonts w:ascii="Arial" w:cs="Arial" w:eastAsia="Arial" w:hAnsi="Arial"/>
          <w:sz w:val="13"/>
          <w:szCs w:val="13"/>
          <w:color w:val="auto"/>
        </w:rPr>
        <w:t xml:space="preserve">obligation and includes the service cost to TC Energy in 2025, plus compensation changes that were higher or lower than the base salary assumptions and plan changes. </w:t>
      </w:r>
      <w:r>
        <w:rPr>
          <w:rFonts w:ascii="Arial" w:cs="Arial" w:eastAsia="Arial" w:hAnsi="Arial"/>
          <w:sz w:val="13"/>
          <w:szCs w:val="13"/>
          <w:i w:val="1"/>
          <w:iCs w:val="1"/>
          <w:color w:val="auto"/>
        </w:rPr>
        <w:t>Pension value</w:t>
      </w:r>
      <w:r>
        <w:rPr>
          <w:rFonts w:ascii="Arial" w:cs="Arial" w:eastAsia="Arial" w:hAnsi="Arial"/>
          <w:sz w:val="13"/>
          <w:szCs w:val="13"/>
          <w:color w:val="auto"/>
        </w:rPr>
        <w:t xml:space="preserve"> for Ms. Dusevic Oliva is the value of the annual employer contributions to the DC Plan and the Supplemental DC Plan. </w:t>
      </w:r>
      <w:r>
        <w:rPr>
          <w:rFonts w:ascii="Arial" w:cs="Arial" w:eastAsia="Arial" w:hAnsi="Arial"/>
          <w:sz w:val="13"/>
          <w:szCs w:val="13"/>
          <w:i w:val="1"/>
          <w:iCs w:val="1"/>
          <w:color w:val="auto"/>
        </w:rPr>
        <w:t>Pension value</w:t>
      </w:r>
      <w:r>
        <w:rPr>
          <w:rFonts w:ascii="Arial" w:cs="Arial" w:eastAsia="Arial" w:hAnsi="Arial"/>
          <w:sz w:val="13"/>
          <w:szCs w:val="13"/>
          <w:color w:val="auto"/>
        </w:rPr>
        <w:t xml:space="preserve"> for Mr. O'Donnell, Ms. Faraca, and Mr. Chapman is the value of the annual employer contribution to the 401(k) Plan and to the Non-Qualified Plan. See </w:t>
      </w:r>
      <w:r>
        <w:rPr>
          <w:rFonts w:ascii="Arial" w:cs="Arial" w:eastAsia="Arial" w:hAnsi="Arial"/>
          <w:sz w:val="13"/>
          <w:szCs w:val="13"/>
          <w:i w:val="1"/>
          <w:iCs w:val="1"/>
          <w:color w:val="auto"/>
        </w:rPr>
        <w:t>Retirement benefits</w:t>
      </w:r>
      <w:r>
        <w:rPr>
          <w:rFonts w:ascii="Arial" w:cs="Arial" w:eastAsia="Arial" w:hAnsi="Arial"/>
          <w:sz w:val="13"/>
          <w:szCs w:val="13"/>
          <w:color w:val="auto"/>
        </w:rPr>
        <w:t xml:space="preserve"> on page 119 for more information.</w:t>
      </w:r>
    </w:p>
    <w:p>
      <w:pPr>
        <w:spacing w:after="0" w:line="1" w:lineRule="exact"/>
        <w:rPr>
          <w:rFonts w:ascii="Arial" w:cs="Arial" w:eastAsia="Arial" w:hAnsi="Arial"/>
          <w:sz w:val="11"/>
          <w:szCs w:val="11"/>
          <w:color w:val="auto"/>
        </w:rPr>
      </w:pPr>
    </w:p>
    <w:p>
      <w:pPr>
        <w:ind w:left="140" w:hanging="133"/>
        <w:spacing w:after="0"/>
        <w:tabs>
          <w:tab w:leader="none" w:pos="14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Values provided to Mr. O'Donnell, Ms. Faraca, and Mr. Chapman reflect a U.S./Canada foreign exchange rate of 1.3978 in 2025, 1.3698 for 2024 and 1.3497 for 2023.</w:t>
      </w:r>
    </w:p>
    <w:p>
      <w:pPr>
        <w:spacing w:after="0" w:line="38" w:lineRule="exact"/>
        <w:rPr>
          <w:rFonts w:ascii="Arial" w:cs="Arial" w:eastAsia="Arial" w:hAnsi="Arial"/>
          <w:sz w:val="13"/>
          <w:szCs w:val="13"/>
          <w:color w:val="auto"/>
        </w:rPr>
      </w:pPr>
    </w:p>
    <w:p>
      <w:pPr>
        <w:ind w:left="140" w:hanging="133"/>
        <w:spacing w:after="0"/>
        <w:tabs>
          <w:tab w:leader="none" w:pos="14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Mr. O'Donnell joined TC Energy on November 8, 2023 and was ineligible to receive a Stock Option grant that year.</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Upon hire, Mr. O'Donnell received a $1,390,191 out-of-cycle PSU and a $2,699,400 out-of-cycle RSU grant, These amounts are reflected in share-based awards.</w:t>
      </w:r>
    </w:p>
    <w:p>
      <w:pPr>
        <w:spacing w:after="0" w:line="38" w:lineRule="exact"/>
        <w:rPr>
          <w:rFonts w:ascii="Arial" w:cs="Arial" w:eastAsia="Arial" w:hAnsi="Arial"/>
          <w:sz w:val="13"/>
          <w:szCs w:val="13"/>
          <w:color w:val="auto"/>
        </w:rPr>
      </w:pPr>
    </w:p>
    <w:p>
      <w:pPr>
        <w:ind w:left="160" w:right="240" w:hanging="153"/>
        <w:spacing w:after="0" w:line="291" w:lineRule="auto"/>
        <w:tabs>
          <w:tab w:leader="none" w:pos="137" w:val="left"/>
        </w:tabs>
        <w:numPr>
          <w:ilvl w:val="0"/>
          <w:numId w:val="157"/>
        </w:numPr>
        <w:rPr>
          <w:rFonts w:ascii="Arial" w:cs="Arial" w:eastAsia="Arial" w:hAnsi="Arial"/>
          <w:sz w:val="13"/>
          <w:szCs w:val="13"/>
          <w:color w:val="auto"/>
        </w:rPr>
      </w:pPr>
      <w:r>
        <w:rPr>
          <w:rFonts w:ascii="Arial" w:cs="Arial" w:eastAsia="Arial" w:hAnsi="Arial"/>
          <w:sz w:val="13"/>
          <w:szCs w:val="13"/>
          <w:color w:val="auto"/>
        </w:rPr>
        <w:t>Mr. O'Donnell's 2023 annual incentive was paid at target and his 2024 annual incentive plan was prorated based on the effective date of compensation terms for his appointment as Executive Vice-President and Chief Financial Officer.</w:t>
      </w:r>
    </w:p>
    <w:p>
      <w:pPr>
        <w:ind w:left="160" w:right="100" w:hanging="153"/>
        <w:spacing w:after="0" w:line="291" w:lineRule="auto"/>
        <w:tabs>
          <w:tab w:leader="none" w:pos="137" w:val="left"/>
        </w:tabs>
        <w:numPr>
          <w:ilvl w:val="0"/>
          <w:numId w:val="157"/>
        </w:numPr>
        <w:rPr>
          <w:rFonts w:ascii="Arial" w:cs="Arial" w:eastAsia="Arial" w:hAnsi="Arial"/>
          <w:sz w:val="13"/>
          <w:szCs w:val="13"/>
          <w:color w:val="auto"/>
        </w:rPr>
      </w:pPr>
      <w:r>
        <w:rPr>
          <w:rFonts w:ascii="Arial" w:cs="Arial" w:eastAsia="Arial" w:hAnsi="Arial"/>
          <w:sz w:val="13"/>
          <w:szCs w:val="13"/>
          <w:color w:val="auto"/>
        </w:rPr>
        <w:t>Mr. O'Donnell was appointed Executive Vice-President and Chief Financial Officer on May 15, 2024. Amounts shown in 2024 include compensation earned for the period April 8 to December 31 in his new position and for the period January 1 to April 7 in his previous position as Senior Vice-President, Capital Markets and Corporate Planning.</w:t>
      </w:r>
    </w:p>
    <w:p>
      <w:pPr>
        <w:ind w:left="140" w:hanging="133"/>
        <w:spacing w:after="0"/>
        <w:tabs>
          <w:tab w:leader="none" w:pos="14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Mr. O'Donnell received a $939,922 out-of-cycle PSU grant and a $402,824 out-of-cycle RSU grant upon his promotion to Executive Vice-President and</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Chief Financial Officer in 2024. These amounts are reflected in share-based awards.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113</w:t>
      </w:r>
    </w:p>
    <w:p>
      <w:pPr>
        <w:sectPr>
          <w:pgSz w:w="11900" w:h="16838" w:orient="portrait"/>
          <w:cols w:equalWidth="0" w:num="1">
            <w:col w:w="11240"/>
          </w:cols>
          <w:pgMar w:left="320" w:top="1048" w:right="339" w:bottom="1440" w:gutter="0" w:footer="0" w:header="0"/>
        </w:sectPr>
      </w:pPr>
    </w:p>
    <w:bookmarkStart w:id="119" w:name="page120"/>
    <w:bookmarkEnd w:id="119"/>
    <w:p>
      <w:pPr>
        <w:jc w:val="both"/>
        <w:ind w:left="160" w:right="2660" w:hanging="160"/>
        <w:spacing w:after="0" w:line="294" w:lineRule="auto"/>
        <w:rPr>
          <w:sz w:val="20"/>
          <w:szCs w:val="20"/>
          <w:color w:val="auto"/>
        </w:rPr>
      </w:pPr>
      <w:r>
        <w:rPr>
          <w:rFonts w:ascii="Arial" w:cs="Arial" w:eastAsia="Arial" w:hAnsi="Arial"/>
          <w:sz w:val="13"/>
          <w:szCs w:val="13"/>
          <w:color w:val="auto"/>
        </w:rPr>
        <w:t>• Ms. Faraca was appointed Executive Vice-President and Chief Operating Officer, Natural Gas Pipelines on February 1, 2025. Amounts shown in 2025 include compensation earned for the period February 1 to December 31 in her new position and for the period January 1 to January 31 in her previous position as Executive Vice-President, U.S. Natural Gas Pipelines.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  Ms. Faraca received a $349,450 special cash payment in 2025 related to her appointment as President, U.S. Natural Gas Pipelines in September 2022.</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deferred payment was awarded for recognition and retention purposes.</w:t>
      </w:r>
    </w:p>
    <w:p>
      <w:pPr>
        <w:spacing w:after="0" w:line="39" w:lineRule="exact"/>
        <w:rPr>
          <w:sz w:val="20"/>
          <w:szCs w:val="20"/>
          <w:color w:val="auto"/>
        </w:rPr>
      </w:pPr>
    </w:p>
    <w:p>
      <w:pPr>
        <w:ind w:left="160" w:right="2760" w:hanging="160"/>
        <w:spacing w:after="0" w:line="291" w:lineRule="auto"/>
        <w:rPr>
          <w:sz w:val="20"/>
          <w:szCs w:val="20"/>
          <w:color w:val="auto"/>
        </w:rPr>
      </w:pPr>
      <w:r>
        <w:rPr>
          <w:rFonts w:ascii="Arial" w:cs="Arial" w:eastAsia="Arial" w:hAnsi="Arial"/>
          <w:sz w:val="13"/>
          <w:szCs w:val="13"/>
          <w:color w:val="auto"/>
        </w:rPr>
        <w:t>• Ms. Dusevic Oliva received a $1,875,000 out-of-cycle PSU grant and a $2,200,000 out-of-cycle RSU grant upon hire. These amounts are reflected in share-based awards.</w:t>
      </w:r>
    </w:p>
    <w:p>
      <w:pPr>
        <w:ind w:left="160" w:right="2680" w:hanging="160"/>
        <w:spacing w:after="0" w:line="291" w:lineRule="auto"/>
        <w:rPr>
          <w:sz w:val="20"/>
          <w:szCs w:val="20"/>
          <w:color w:val="auto"/>
        </w:rPr>
      </w:pPr>
      <w:r>
        <w:rPr>
          <w:rFonts w:ascii="Arial" w:cs="Arial" w:eastAsia="Arial" w:hAnsi="Arial"/>
          <w:sz w:val="13"/>
          <w:szCs w:val="13"/>
          <w:color w:val="auto"/>
        </w:rPr>
        <w:t>• Mr. Chapman was appointed Executive Vice-President and Chief Operating Officer, Natural Gas Pipelines on August 1, 2023. Amounts shown in 2023 include compensation earned in all of the positions he held in 2023.</w:t>
      </w:r>
    </w:p>
    <w:p>
      <w:pPr>
        <w:ind w:left="160" w:right="2960" w:hanging="160"/>
        <w:spacing w:after="0" w:line="291" w:lineRule="auto"/>
        <w:rPr>
          <w:sz w:val="20"/>
          <w:szCs w:val="20"/>
          <w:color w:val="auto"/>
        </w:rPr>
      </w:pPr>
      <w:r>
        <w:rPr>
          <w:rFonts w:ascii="Arial" w:cs="Arial" w:eastAsia="Arial" w:hAnsi="Arial"/>
          <w:sz w:val="13"/>
          <w:szCs w:val="13"/>
          <w:color w:val="auto"/>
        </w:rPr>
        <w:t xml:space="preserve">• Mr. Chapman's amounts reflect his departure date of June 30, 2025 and were prorated pursuant to the terms of his retirement. Please refer to the </w:t>
      </w:r>
      <w:r>
        <w:rPr>
          <w:rFonts w:ascii="Arial" w:cs="Arial" w:eastAsia="Arial" w:hAnsi="Arial"/>
          <w:sz w:val="13"/>
          <w:szCs w:val="13"/>
          <w:i w:val="1"/>
          <w:iCs w:val="1"/>
          <w:color w:val="auto"/>
        </w:rPr>
        <w:t xml:space="preserve">Departure of Chief Operating Officer </w:t>
      </w:r>
      <w:r>
        <w:rPr>
          <w:rFonts w:ascii="Arial" w:cs="Arial" w:eastAsia="Arial" w:hAnsi="Arial"/>
          <w:sz w:val="13"/>
          <w:szCs w:val="13"/>
          <w:color w:val="auto"/>
        </w:rPr>
        <w:t>section on page 124 for more information.</w:t>
      </w:r>
    </w:p>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All other compensation</w:t>
      </w:r>
      <w:r>
        <w:rPr>
          <w:rFonts w:ascii="Arial" w:cs="Arial" w:eastAsia="Arial" w:hAnsi="Arial"/>
          <w:sz w:val="13"/>
          <w:szCs w:val="13"/>
          <w:color w:val="auto"/>
        </w:rPr>
        <w:t xml:space="preserve"> includes other compensation not reported in any other column for each named executive and includes: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matching contributions we made on behalf of the named executives under the Canadian employee stock purchase plan:</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5080" w:type="dxa"/>
            <w:vAlign w:val="bottom"/>
            <w:tcBorders>
              <w:top w:val="single" w:sz="8" w:color="237CC1"/>
              <w:bottom w:val="single" w:sz="8" w:color="237CC1"/>
            </w:tcBorders>
            <w:shd w:val="clear" w:color="auto" w:fill="D1D0CF"/>
          </w:tcPr>
          <w:p>
            <w:pPr>
              <w:spacing w:after="0"/>
              <w:rPr>
                <w:sz w:val="18"/>
                <w:szCs w:val="18"/>
                <w:color w:val="auto"/>
              </w:rPr>
            </w:pPr>
          </w:p>
        </w:tc>
        <w:tc>
          <w:tcPr>
            <w:tcW w:w="920" w:type="dxa"/>
            <w:vAlign w:val="bottom"/>
            <w:tcBorders>
              <w:top w:val="single" w:sz="8" w:color="237CC1"/>
              <w:bottom w:val="single" w:sz="8" w:color="237CC1"/>
            </w:tcBorders>
            <w:shd w:val="clear" w:color="auto" w:fill="D1D0CF"/>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top w:val="single" w:sz="8" w:color="237CC1"/>
              <w:bottom w:val="single" w:sz="8" w:color="237CC1"/>
            </w:tcBorders>
            <w:shd w:val="clear" w:color="auto" w:fill="D1D0CF"/>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top w:val="single" w:sz="8" w:color="237CC1"/>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5080" w:type="dxa"/>
            <w:vAlign w:val="bottom"/>
            <w:tcBorders>
              <w:bottom w:val="single" w:sz="8" w:color="237CC1"/>
            </w:tcBorders>
          </w:tcPr>
          <w:p>
            <w:pPr>
              <w:ind w:left="20"/>
              <w:spacing w:after="0"/>
              <w:rPr>
                <w:sz w:val="20"/>
                <w:szCs w:val="20"/>
                <w:color w:val="auto"/>
              </w:rPr>
            </w:pPr>
            <w:r>
              <w:rPr>
                <w:rFonts w:ascii="Arial" w:cs="Arial" w:eastAsia="Arial" w:hAnsi="Arial"/>
                <w:sz w:val="14"/>
                <w:szCs w:val="14"/>
                <w:color w:val="auto"/>
              </w:rPr>
              <w:t>Mr. Poirier</w:t>
            </w:r>
          </w:p>
        </w:tc>
        <w:tc>
          <w:tcPr>
            <w:tcW w:w="920" w:type="dxa"/>
            <w:vAlign w:val="bottom"/>
            <w:tcBorders>
              <w:bottom w:val="single" w:sz="8" w:color="237CC1"/>
            </w:tcBorders>
          </w:tcPr>
          <w:p>
            <w:pPr>
              <w:jc w:val="right"/>
              <w:ind w:right="111"/>
              <w:spacing w:after="0"/>
              <w:rPr>
                <w:sz w:val="20"/>
                <w:szCs w:val="20"/>
                <w:color w:val="auto"/>
              </w:rPr>
            </w:pPr>
            <w:r>
              <w:rPr>
                <w:rFonts w:ascii="Arial" w:cs="Arial" w:eastAsia="Arial" w:hAnsi="Arial"/>
                <w:sz w:val="13"/>
                <w:szCs w:val="13"/>
                <w:color w:val="auto"/>
              </w:rPr>
              <w:t>$6,175</w:t>
            </w:r>
          </w:p>
        </w:tc>
        <w:tc>
          <w:tcPr>
            <w:tcW w:w="920" w:type="dxa"/>
            <w:vAlign w:val="bottom"/>
            <w:tcBorders>
              <w:bottom w:val="single" w:sz="8" w:color="237CC1"/>
            </w:tcBorders>
          </w:tcPr>
          <w:p>
            <w:pPr>
              <w:jc w:val="right"/>
              <w:ind w:right="111"/>
              <w:spacing w:after="0"/>
              <w:rPr>
                <w:sz w:val="20"/>
                <w:szCs w:val="20"/>
                <w:color w:val="auto"/>
              </w:rPr>
            </w:pPr>
            <w:r>
              <w:rPr>
                <w:rFonts w:ascii="Arial" w:cs="Arial" w:eastAsia="Arial" w:hAnsi="Arial"/>
                <w:sz w:val="13"/>
                <w:szCs w:val="13"/>
                <w:color w:val="auto"/>
              </w:rPr>
              <w:t>$6,000</w:t>
            </w:r>
          </w:p>
        </w:tc>
        <w:tc>
          <w:tcPr>
            <w:tcW w:w="740" w:type="dxa"/>
            <w:vAlign w:val="bottom"/>
            <w:tcBorders>
              <w:bottom w:val="single" w:sz="8" w:color="237CC1"/>
            </w:tcBorders>
          </w:tcPr>
          <w:p>
            <w:pPr>
              <w:jc w:val="right"/>
              <w:spacing w:after="0"/>
              <w:rPr>
                <w:sz w:val="20"/>
                <w:szCs w:val="20"/>
                <w:color w:val="auto"/>
              </w:rPr>
            </w:pPr>
            <w:r>
              <w:rPr>
                <w:rFonts w:ascii="Arial" w:cs="Arial" w:eastAsia="Arial" w:hAnsi="Arial"/>
                <w:sz w:val="13"/>
                <w:szCs w:val="13"/>
                <w:color w:val="auto"/>
              </w:rPr>
              <w:t>$5,917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19"/>
        </w:trPr>
        <w:tc>
          <w:tcPr>
            <w:tcW w:w="6920" w:type="dxa"/>
            <w:vAlign w:val="bottom"/>
            <w:gridSpan w:val="3"/>
          </w:tcPr>
          <w:p>
            <w:pPr>
              <w:ind w:left="340"/>
              <w:spacing w:after="0"/>
              <w:rPr>
                <w:sz w:val="20"/>
                <w:szCs w:val="20"/>
                <w:color w:val="auto"/>
              </w:rPr>
            </w:pPr>
            <w:r>
              <w:rPr>
                <w:rFonts w:ascii="Arial" w:cs="Arial" w:eastAsia="Arial" w:hAnsi="Arial"/>
                <w:sz w:val="13"/>
                <w:szCs w:val="13"/>
                <w:color w:val="auto"/>
              </w:rPr>
              <w:t>•  matching contributions we made on behalf of the named executives under the Canadian Savings Plan:</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5080" w:type="dxa"/>
            <w:vAlign w:val="bottom"/>
            <w:tcBorders>
              <w:bottom w:val="single" w:sz="8" w:color="237CC1"/>
            </w:tcBorders>
          </w:tcPr>
          <w:p>
            <w:pPr>
              <w:spacing w:after="0"/>
              <w:rPr>
                <w:sz w:val="10"/>
                <w:szCs w:val="10"/>
                <w:color w:val="auto"/>
              </w:rPr>
            </w:pPr>
          </w:p>
        </w:tc>
        <w:tc>
          <w:tcPr>
            <w:tcW w:w="920" w:type="dxa"/>
            <w:vAlign w:val="bottom"/>
            <w:tcBorders>
              <w:bottom w:val="single" w:sz="8" w:color="237CC1"/>
            </w:tcBorders>
          </w:tcPr>
          <w:p>
            <w:pPr>
              <w:spacing w:after="0"/>
              <w:rPr>
                <w:sz w:val="10"/>
                <w:szCs w:val="10"/>
                <w:color w:val="auto"/>
              </w:rPr>
            </w:pPr>
          </w:p>
        </w:tc>
        <w:tc>
          <w:tcPr>
            <w:tcW w:w="920" w:type="dxa"/>
            <w:vAlign w:val="bottom"/>
            <w:tcBorders>
              <w:bottom w:val="single" w:sz="8" w:color="237CC1"/>
            </w:tcBorders>
          </w:tcPr>
          <w:p>
            <w:pPr>
              <w:spacing w:after="0"/>
              <w:rPr>
                <w:sz w:val="10"/>
                <w:szCs w:val="10"/>
                <w:color w:val="auto"/>
              </w:rPr>
            </w:pPr>
          </w:p>
        </w:tc>
        <w:tc>
          <w:tcPr>
            <w:tcW w:w="740" w:type="dxa"/>
            <w:vAlign w:val="bottom"/>
            <w:tcBorders>
              <w:bottom w:val="single" w:sz="8" w:color="237CC1"/>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94"/>
        </w:trPr>
        <w:tc>
          <w:tcPr>
            <w:tcW w:w="5080" w:type="dxa"/>
            <w:vAlign w:val="bottom"/>
            <w:tcBorders>
              <w:bottom w:val="single" w:sz="8" w:color="237CC1"/>
            </w:tcBorders>
            <w:shd w:val="clear" w:color="auto" w:fill="D1D0CF"/>
          </w:tcPr>
          <w:p>
            <w:pPr>
              <w:spacing w:after="0"/>
              <w:rPr>
                <w:sz w:val="16"/>
                <w:szCs w:val="16"/>
                <w:color w:val="auto"/>
              </w:rPr>
            </w:pPr>
          </w:p>
        </w:tc>
        <w:tc>
          <w:tcPr>
            <w:tcW w:w="920" w:type="dxa"/>
            <w:vAlign w:val="bottom"/>
            <w:tcBorders>
              <w:bottom w:val="single" w:sz="8" w:color="237CC1"/>
            </w:tcBorders>
            <w:shd w:val="clear" w:color="auto" w:fill="D1D0CF"/>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bottom w:val="single" w:sz="8" w:color="237CC1"/>
            </w:tcBorders>
            <w:shd w:val="clear" w:color="auto" w:fill="D1D0CF"/>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080" w:type="dxa"/>
            <w:vAlign w:val="bottom"/>
          </w:tcPr>
          <w:p>
            <w:pPr>
              <w:ind w:left="20"/>
              <w:spacing w:after="0"/>
              <w:rPr>
                <w:sz w:val="20"/>
                <w:szCs w:val="20"/>
                <w:color w:val="auto"/>
              </w:rPr>
            </w:pPr>
            <w:r>
              <w:rPr>
                <w:rFonts w:ascii="Arial" w:cs="Arial" w:eastAsia="Arial" w:hAnsi="Arial"/>
                <w:sz w:val="14"/>
                <w:szCs w:val="14"/>
                <w:color w:val="auto"/>
              </w:rPr>
              <w:t>Ms. Dusevic Oliva</w:t>
            </w:r>
          </w:p>
        </w:tc>
        <w:tc>
          <w:tcPr>
            <w:tcW w:w="920" w:type="dxa"/>
            <w:vAlign w:val="bottom"/>
          </w:tcPr>
          <w:p>
            <w:pPr>
              <w:jc w:val="right"/>
              <w:ind w:right="111"/>
              <w:spacing w:after="0"/>
              <w:rPr>
                <w:sz w:val="20"/>
                <w:szCs w:val="20"/>
                <w:color w:val="auto"/>
              </w:rPr>
            </w:pPr>
            <w:r>
              <w:rPr>
                <w:rFonts w:ascii="Arial" w:cs="Arial" w:eastAsia="Arial" w:hAnsi="Arial"/>
                <w:sz w:val="13"/>
                <w:szCs w:val="13"/>
                <w:color w:val="auto"/>
              </w:rPr>
              <w:t>$13,281</w:t>
            </w:r>
          </w:p>
        </w:tc>
        <w:tc>
          <w:tcPr>
            <w:tcW w:w="920" w:type="dxa"/>
            <w:vAlign w:val="bottom"/>
          </w:tcPr>
          <w:p>
            <w:pPr>
              <w:jc w:val="right"/>
              <w:ind w:right="151"/>
              <w:spacing w:after="0"/>
              <w:rPr>
                <w:sz w:val="20"/>
                <w:szCs w:val="20"/>
                <w:color w:val="auto"/>
              </w:rPr>
            </w:pPr>
            <w:r>
              <w:rPr>
                <w:rFonts w:ascii="Arial" w:cs="Arial" w:eastAsia="Arial" w:hAnsi="Arial"/>
                <w:sz w:val="13"/>
                <w:szCs w:val="13"/>
                <w:color w:val="auto"/>
              </w:rPr>
              <w:t>—</w:t>
            </w:r>
          </w:p>
        </w:tc>
        <w:tc>
          <w:tcPr>
            <w:tcW w:w="86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r>
      <w:tr>
        <w:trPr>
          <w:trHeight w:val="333"/>
        </w:trPr>
        <w:tc>
          <w:tcPr>
            <w:tcW w:w="6920" w:type="dxa"/>
            <w:vAlign w:val="bottom"/>
            <w:tcBorders>
              <w:top w:val="single" w:sz="8" w:color="237CC1"/>
            </w:tcBorders>
            <w:gridSpan w:val="3"/>
          </w:tcPr>
          <w:p>
            <w:pPr>
              <w:ind w:left="340"/>
              <w:spacing w:after="0"/>
              <w:rPr>
                <w:sz w:val="20"/>
                <w:szCs w:val="20"/>
                <w:color w:val="auto"/>
              </w:rPr>
            </w:pPr>
            <w:r>
              <w:rPr>
                <w:rFonts w:ascii="Arial" w:cs="Arial" w:eastAsia="Arial" w:hAnsi="Arial"/>
                <w:sz w:val="13"/>
                <w:szCs w:val="13"/>
                <w:color w:val="auto"/>
              </w:rPr>
              <w:t>•  cash payments in lieu of forgone share-based awards from previous employers upon hire at TC Energy:</w:t>
            </w:r>
          </w:p>
        </w:tc>
        <w:tc>
          <w:tcPr>
            <w:tcW w:w="740" w:type="dxa"/>
            <w:vAlign w:val="bottom"/>
            <w:tcBorders>
              <w:top w:val="single" w:sz="8" w:color="237CC1"/>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5080" w:type="dxa"/>
            <w:vAlign w:val="bottom"/>
            <w:tcBorders>
              <w:bottom w:val="single" w:sz="8" w:color="237CC1"/>
            </w:tcBorders>
          </w:tcPr>
          <w:p>
            <w:pPr>
              <w:spacing w:after="0"/>
              <w:rPr>
                <w:sz w:val="11"/>
                <w:szCs w:val="11"/>
                <w:color w:val="auto"/>
              </w:rPr>
            </w:pPr>
          </w:p>
        </w:tc>
        <w:tc>
          <w:tcPr>
            <w:tcW w:w="920" w:type="dxa"/>
            <w:vAlign w:val="bottom"/>
            <w:tcBorders>
              <w:bottom w:val="single" w:sz="8" w:color="237CC1"/>
            </w:tcBorders>
          </w:tcPr>
          <w:p>
            <w:pPr>
              <w:spacing w:after="0"/>
              <w:rPr>
                <w:sz w:val="11"/>
                <w:szCs w:val="11"/>
                <w:color w:val="auto"/>
              </w:rPr>
            </w:pPr>
          </w:p>
        </w:tc>
        <w:tc>
          <w:tcPr>
            <w:tcW w:w="920" w:type="dxa"/>
            <w:vAlign w:val="bottom"/>
            <w:tcBorders>
              <w:bottom w:val="single" w:sz="8" w:color="237CC1"/>
            </w:tcBorders>
          </w:tcPr>
          <w:p>
            <w:pPr>
              <w:spacing w:after="0"/>
              <w:rPr>
                <w:sz w:val="11"/>
                <w:szCs w:val="11"/>
                <w:color w:val="auto"/>
              </w:rPr>
            </w:pPr>
          </w:p>
        </w:tc>
        <w:tc>
          <w:tcPr>
            <w:tcW w:w="740" w:type="dxa"/>
            <w:vAlign w:val="bottom"/>
            <w:tcBorders>
              <w:bottom w:val="single" w:sz="8" w:color="237CC1"/>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4"/>
        </w:trPr>
        <w:tc>
          <w:tcPr>
            <w:tcW w:w="5080" w:type="dxa"/>
            <w:vAlign w:val="bottom"/>
            <w:tcBorders>
              <w:bottom w:val="single" w:sz="8" w:color="237CC1"/>
            </w:tcBorders>
            <w:shd w:val="clear" w:color="auto" w:fill="D1D0CF"/>
          </w:tcPr>
          <w:p>
            <w:pPr>
              <w:spacing w:after="0"/>
              <w:rPr>
                <w:sz w:val="16"/>
                <w:szCs w:val="16"/>
                <w:color w:val="auto"/>
              </w:rPr>
            </w:pPr>
          </w:p>
        </w:tc>
        <w:tc>
          <w:tcPr>
            <w:tcW w:w="920" w:type="dxa"/>
            <w:vAlign w:val="bottom"/>
            <w:tcBorders>
              <w:bottom w:val="single" w:sz="8" w:color="237CC1"/>
            </w:tcBorders>
            <w:shd w:val="clear" w:color="auto" w:fill="D1D0CF"/>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bottom w:val="single" w:sz="8" w:color="237CC1"/>
            </w:tcBorders>
            <w:shd w:val="clear" w:color="auto" w:fill="D1D0CF"/>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08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Mr. O'Donnell</w:t>
            </w:r>
          </w:p>
        </w:tc>
        <w:tc>
          <w:tcPr>
            <w:tcW w:w="920" w:type="dxa"/>
            <w:vAlign w:val="bottom"/>
            <w:tcBorders>
              <w:bottom w:val="single" w:sz="8" w:color="B2B2B2"/>
            </w:tcBorders>
          </w:tcPr>
          <w:p>
            <w:pPr>
              <w:jc w:val="right"/>
              <w:ind w:right="151"/>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2B2B2"/>
            </w:tcBorders>
          </w:tcPr>
          <w:p>
            <w:pPr>
              <w:jc w:val="right"/>
              <w:ind w:right="111"/>
              <w:spacing w:after="0"/>
              <w:rPr>
                <w:sz w:val="20"/>
                <w:szCs w:val="20"/>
                <w:color w:val="auto"/>
              </w:rPr>
            </w:pPr>
            <w:r>
              <w:rPr>
                <w:rFonts w:ascii="Arial" w:cs="Arial" w:eastAsia="Arial" w:hAnsi="Arial"/>
                <w:sz w:val="13"/>
                <w:szCs w:val="13"/>
                <w:color w:val="auto"/>
              </w:rPr>
              <w:t>$2,057,440</w:t>
            </w: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$2,024,550</w:t>
            </w:r>
          </w:p>
        </w:tc>
        <w:tc>
          <w:tcPr>
            <w:tcW w:w="20" w:type="dxa"/>
            <w:vAlign w:val="bottom"/>
            <w:tcBorders>
              <w:bottom w:val="single" w:sz="8" w:color="B2B2B2"/>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5080" w:type="dxa"/>
            <w:vAlign w:val="bottom"/>
          </w:tcPr>
          <w:p>
            <w:pPr>
              <w:ind w:left="20"/>
              <w:spacing w:after="0"/>
              <w:rPr>
                <w:sz w:val="20"/>
                <w:szCs w:val="20"/>
                <w:color w:val="auto"/>
              </w:rPr>
            </w:pPr>
            <w:r>
              <w:rPr>
                <w:rFonts w:ascii="Arial" w:cs="Arial" w:eastAsia="Arial" w:hAnsi="Arial"/>
                <w:sz w:val="14"/>
                <w:szCs w:val="14"/>
                <w:color w:val="auto"/>
              </w:rPr>
              <w:t>Ms. Dusevic Oliva</w:t>
            </w:r>
          </w:p>
        </w:tc>
        <w:tc>
          <w:tcPr>
            <w:tcW w:w="920" w:type="dxa"/>
            <w:vAlign w:val="bottom"/>
          </w:tcPr>
          <w:p>
            <w:pPr>
              <w:jc w:val="right"/>
              <w:ind w:right="111"/>
              <w:spacing w:after="0"/>
              <w:rPr>
                <w:sz w:val="20"/>
                <w:szCs w:val="20"/>
                <w:color w:val="auto"/>
              </w:rPr>
            </w:pPr>
            <w:r>
              <w:rPr>
                <w:rFonts w:ascii="Arial" w:cs="Arial" w:eastAsia="Arial" w:hAnsi="Arial"/>
                <w:sz w:val="13"/>
                <w:szCs w:val="13"/>
                <w:color w:val="auto"/>
              </w:rPr>
              <w:t>$750,000</w:t>
            </w:r>
          </w:p>
        </w:tc>
        <w:tc>
          <w:tcPr>
            <w:tcW w:w="920" w:type="dxa"/>
            <w:vAlign w:val="bottom"/>
          </w:tcPr>
          <w:p>
            <w:pPr>
              <w:jc w:val="right"/>
              <w:ind w:right="151"/>
              <w:spacing w:after="0"/>
              <w:rPr>
                <w:sz w:val="20"/>
                <w:szCs w:val="20"/>
                <w:color w:val="auto"/>
              </w:rPr>
            </w:pPr>
            <w:r>
              <w:rPr>
                <w:rFonts w:ascii="Arial" w:cs="Arial" w:eastAsia="Arial" w:hAnsi="Arial"/>
                <w:sz w:val="13"/>
                <w:szCs w:val="13"/>
                <w:color w:val="auto"/>
              </w:rPr>
              <w:t>—</w:t>
            </w:r>
          </w:p>
        </w:tc>
        <w:tc>
          <w:tcPr>
            <w:tcW w:w="86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r>
      <w:tr>
        <w:trPr>
          <w:trHeight w:val="333"/>
        </w:trPr>
        <w:tc>
          <w:tcPr>
            <w:tcW w:w="5080" w:type="dxa"/>
            <w:vAlign w:val="bottom"/>
            <w:tcBorders>
              <w:top w:val="single" w:sz="8" w:color="237CC1"/>
            </w:tcBorders>
          </w:tcPr>
          <w:p>
            <w:pPr>
              <w:ind w:left="340"/>
              <w:spacing w:after="0"/>
              <w:rPr>
                <w:sz w:val="20"/>
                <w:szCs w:val="20"/>
                <w:color w:val="auto"/>
              </w:rPr>
            </w:pPr>
            <w:r>
              <w:rPr>
                <w:rFonts w:ascii="Arial" w:cs="Arial" w:eastAsia="Arial" w:hAnsi="Arial"/>
                <w:sz w:val="13"/>
                <w:szCs w:val="13"/>
                <w:color w:val="auto"/>
                <w:w w:val="99"/>
              </w:rPr>
              <w:t>•  cash payments in accordance with appointments for retention of key executives:</w:t>
            </w:r>
          </w:p>
        </w:tc>
        <w:tc>
          <w:tcPr>
            <w:tcW w:w="920" w:type="dxa"/>
            <w:vAlign w:val="bottom"/>
            <w:tcBorders>
              <w:top w:val="single" w:sz="8" w:color="237CC1"/>
            </w:tcBorders>
          </w:tcPr>
          <w:p>
            <w:pPr>
              <w:spacing w:after="0"/>
              <w:rPr>
                <w:sz w:val="24"/>
                <w:szCs w:val="24"/>
                <w:color w:val="auto"/>
              </w:rPr>
            </w:pPr>
          </w:p>
        </w:tc>
        <w:tc>
          <w:tcPr>
            <w:tcW w:w="920" w:type="dxa"/>
            <w:vAlign w:val="bottom"/>
            <w:tcBorders>
              <w:top w:val="single" w:sz="8" w:color="237CC1"/>
            </w:tcBorders>
          </w:tcPr>
          <w:p>
            <w:pPr>
              <w:spacing w:after="0"/>
              <w:rPr>
                <w:sz w:val="24"/>
                <w:szCs w:val="24"/>
                <w:color w:val="auto"/>
              </w:rPr>
            </w:pPr>
          </w:p>
        </w:tc>
        <w:tc>
          <w:tcPr>
            <w:tcW w:w="740" w:type="dxa"/>
            <w:vAlign w:val="bottom"/>
            <w:tcBorders>
              <w:top w:val="single" w:sz="8" w:color="237CC1"/>
            </w:tcBorders>
          </w:tcPr>
          <w:p>
            <w:pPr>
              <w:spacing w:after="0"/>
              <w:rPr>
                <w:sz w:val="24"/>
                <w:szCs w:val="24"/>
                <w:color w:val="auto"/>
              </w:rPr>
            </w:pPr>
          </w:p>
        </w:tc>
        <w:tc>
          <w:tcPr>
            <w:tcW w:w="20" w:type="dxa"/>
            <w:vAlign w:val="bottom"/>
            <w:tcBorders>
              <w:top w:val="single" w:sz="8" w:color="237CC1"/>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5080" w:type="dxa"/>
            <w:vAlign w:val="bottom"/>
            <w:tcBorders>
              <w:bottom w:val="single" w:sz="8" w:color="237CC1"/>
            </w:tcBorders>
          </w:tcPr>
          <w:p>
            <w:pPr>
              <w:spacing w:after="0"/>
              <w:rPr>
                <w:sz w:val="10"/>
                <w:szCs w:val="10"/>
                <w:color w:val="auto"/>
              </w:rPr>
            </w:pPr>
          </w:p>
        </w:tc>
        <w:tc>
          <w:tcPr>
            <w:tcW w:w="920" w:type="dxa"/>
            <w:vAlign w:val="bottom"/>
            <w:tcBorders>
              <w:bottom w:val="single" w:sz="8" w:color="237CC1"/>
            </w:tcBorders>
          </w:tcPr>
          <w:p>
            <w:pPr>
              <w:spacing w:after="0"/>
              <w:rPr>
                <w:sz w:val="10"/>
                <w:szCs w:val="10"/>
                <w:color w:val="auto"/>
              </w:rPr>
            </w:pPr>
          </w:p>
        </w:tc>
        <w:tc>
          <w:tcPr>
            <w:tcW w:w="920" w:type="dxa"/>
            <w:vAlign w:val="bottom"/>
            <w:tcBorders>
              <w:bottom w:val="single" w:sz="8" w:color="237CC1"/>
            </w:tcBorders>
          </w:tcPr>
          <w:p>
            <w:pPr>
              <w:spacing w:after="0"/>
              <w:rPr>
                <w:sz w:val="10"/>
                <w:szCs w:val="10"/>
                <w:color w:val="auto"/>
              </w:rPr>
            </w:pPr>
          </w:p>
        </w:tc>
        <w:tc>
          <w:tcPr>
            <w:tcW w:w="740" w:type="dxa"/>
            <w:vAlign w:val="bottom"/>
            <w:tcBorders>
              <w:bottom w:val="single" w:sz="8" w:color="237CC1"/>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94"/>
        </w:trPr>
        <w:tc>
          <w:tcPr>
            <w:tcW w:w="5080" w:type="dxa"/>
            <w:vAlign w:val="bottom"/>
            <w:tcBorders>
              <w:bottom w:val="single" w:sz="8" w:color="237CC1"/>
            </w:tcBorders>
            <w:shd w:val="clear" w:color="auto" w:fill="D1D0CF"/>
          </w:tcPr>
          <w:p>
            <w:pPr>
              <w:spacing w:after="0"/>
              <w:rPr>
                <w:sz w:val="16"/>
                <w:szCs w:val="16"/>
                <w:color w:val="auto"/>
              </w:rPr>
            </w:pPr>
          </w:p>
        </w:tc>
        <w:tc>
          <w:tcPr>
            <w:tcW w:w="920" w:type="dxa"/>
            <w:vAlign w:val="bottom"/>
            <w:tcBorders>
              <w:bottom w:val="single" w:sz="8" w:color="237CC1"/>
            </w:tcBorders>
            <w:shd w:val="clear" w:color="auto" w:fill="D1D0CF"/>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bottom w:val="single" w:sz="8" w:color="237CC1"/>
            </w:tcBorders>
            <w:shd w:val="clear" w:color="auto" w:fill="D1D0CF"/>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080" w:type="dxa"/>
            <w:vAlign w:val="bottom"/>
            <w:tcBorders>
              <w:bottom w:val="single" w:sz="8" w:color="237CC1"/>
            </w:tcBorders>
          </w:tcPr>
          <w:p>
            <w:pPr>
              <w:ind w:left="20"/>
              <w:spacing w:after="0"/>
              <w:rPr>
                <w:sz w:val="20"/>
                <w:szCs w:val="20"/>
                <w:color w:val="auto"/>
              </w:rPr>
            </w:pPr>
            <w:r>
              <w:rPr>
                <w:rFonts w:ascii="Arial" w:cs="Arial" w:eastAsia="Arial" w:hAnsi="Arial"/>
                <w:sz w:val="14"/>
                <w:szCs w:val="14"/>
                <w:color w:val="auto"/>
              </w:rPr>
              <w:t>Ms. Faraca</w:t>
            </w:r>
          </w:p>
        </w:tc>
        <w:tc>
          <w:tcPr>
            <w:tcW w:w="920" w:type="dxa"/>
            <w:vAlign w:val="bottom"/>
            <w:tcBorders>
              <w:bottom w:val="single" w:sz="8" w:color="237CC1"/>
            </w:tcBorders>
          </w:tcPr>
          <w:p>
            <w:pPr>
              <w:jc w:val="right"/>
              <w:ind w:right="111"/>
              <w:spacing w:after="0"/>
              <w:rPr>
                <w:sz w:val="20"/>
                <w:szCs w:val="20"/>
                <w:color w:val="auto"/>
              </w:rPr>
            </w:pPr>
            <w:r>
              <w:rPr>
                <w:rFonts w:ascii="Arial" w:cs="Arial" w:eastAsia="Arial" w:hAnsi="Arial"/>
                <w:sz w:val="13"/>
                <w:szCs w:val="13"/>
                <w:color w:val="auto"/>
              </w:rPr>
              <w:t>$349,450</w:t>
            </w:r>
          </w:p>
        </w:tc>
        <w:tc>
          <w:tcPr>
            <w:tcW w:w="920" w:type="dxa"/>
            <w:vAlign w:val="bottom"/>
            <w:tcBorders>
              <w:bottom w:val="single" w:sz="8" w:color="237CC1"/>
            </w:tcBorders>
          </w:tcPr>
          <w:p>
            <w:pPr>
              <w:jc w:val="right"/>
              <w:ind w:right="151"/>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237CC1"/>
            </w:tcBorders>
          </w:tcPr>
          <w:p>
            <w:pPr>
              <w:jc w:val="right"/>
              <w:spacing w:after="0"/>
              <w:rPr>
                <w:sz w:val="20"/>
                <w:szCs w:val="20"/>
                <w:color w:val="auto"/>
              </w:rPr>
            </w:pPr>
            <w:r>
              <w:rPr>
                <w:rFonts w:ascii="Arial" w:cs="Arial" w:eastAsia="Arial" w:hAnsi="Arial"/>
                <w:sz w:val="13"/>
                <w:szCs w:val="13"/>
                <w:color w:val="auto"/>
              </w:rPr>
              <w:t>$337,425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19"/>
        </w:trPr>
        <w:tc>
          <w:tcPr>
            <w:tcW w:w="5080" w:type="dxa"/>
            <w:vAlign w:val="bottom"/>
          </w:tcPr>
          <w:p>
            <w:pPr>
              <w:ind w:left="340"/>
              <w:spacing w:after="0"/>
              <w:rPr>
                <w:sz w:val="20"/>
                <w:szCs w:val="20"/>
                <w:color w:val="auto"/>
              </w:rPr>
            </w:pPr>
            <w:r>
              <w:rPr>
                <w:rFonts w:ascii="Arial" w:cs="Arial" w:eastAsia="Arial" w:hAnsi="Arial"/>
                <w:sz w:val="13"/>
                <w:szCs w:val="13"/>
                <w:color w:val="auto"/>
              </w:rPr>
              <w:t>•  cash payments in accordance with retirement agreements of key executives: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5080" w:type="dxa"/>
            <w:vAlign w:val="bottom"/>
            <w:tcBorders>
              <w:bottom w:val="single" w:sz="8" w:color="237CC1"/>
            </w:tcBorders>
          </w:tcPr>
          <w:p>
            <w:pPr>
              <w:spacing w:after="0"/>
              <w:rPr>
                <w:sz w:val="10"/>
                <w:szCs w:val="10"/>
                <w:color w:val="auto"/>
              </w:rPr>
            </w:pPr>
          </w:p>
        </w:tc>
        <w:tc>
          <w:tcPr>
            <w:tcW w:w="920" w:type="dxa"/>
            <w:vAlign w:val="bottom"/>
            <w:tcBorders>
              <w:bottom w:val="single" w:sz="8" w:color="237CC1"/>
            </w:tcBorders>
          </w:tcPr>
          <w:p>
            <w:pPr>
              <w:spacing w:after="0"/>
              <w:rPr>
                <w:sz w:val="10"/>
                <w:szCs w:val="10"/>
                <w:color w:val="auto"/>
              </w:rPr>
            </w:pPr>
          </w:p>
        </w:tc>
        <w:tc>
          <w:tcPr>
            <w:tcW w:w="920" w:type="dxa"/>
            <w:vAlign w:val="bottom"/>
            <w:tcBorders>
              <w:bottom w:val="single" w:sz="8" w:color="237CC1"/>
            </w:tcBorders>
          </w:tcPr>
          <w:p>
            <w:pPr>
              <w:spacing w:after="0"/>
              <w:rPr>
                <w:sz w:val="10"/>
                <w:szCs w:val="10"/>
                <w:color w:val="auto"/>
              </w:rPr>
            </w:pPr>
          </w:p>
        </w:tc>
        <w:tc>
          <w:tcPr>
            <w:tcW w:w="860" w:type="dxa"/>
            <w:vAlign w:val="bottom"/>
            <w:tcBorders>
              <w:bottom w:val="single" w:sz="8" w:color="237CC1"/>
            </w:tcBorders>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94"/>
        </w:trPr>
        <w:tc>
          <w:tcPr>
            <w:tcW w:w="5080" w:type="dxa"/>
            <w:vAlign w:val="bottom"/>
            <w:tcBorders>
              <w:bottom w:val="single" w:sz="8" w:color="237CC1"/>
            </w:tcBorders>
            <w:shd w:val="clear" w:color="auto" w:fill="D1D0CF"/>
          </w:tcPr>
          <w:p>
            <w:pPr>
              <w:spacing w:after="0"/>
              <w:rPr>
                <w:sz w:val="16"/>
                <w:szCs w:val="16"/>
                <w:color w:val="auto"/>
              </w:rPr>
            </w:pPr>
          </w:p>
        </w:tc>
        <w:tc>
          <w:tcPr>
            <w:tcW w:w="920" w:type="dxa"/>
            <w:vAlign w:val="bottom"/>
            <w:tcBorders>
              <w:bottom w:val="single" w:sz="8" w:color="237CC1"/>
            </w:tcBorders>
            <w:shd w:val="clear" w:color="auto" w:fill="D1D0CF"/>
          </w:tcPr>
          <w:p>
            <w:pPr>
              <w:jc w:val="right"/>
              <w:ind w:right="11"/>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bottom w:val="single" w:sz="8" w:color="237CC1"/>
            </w:tcBorders>
            <w:shd w:val="clear" w:color="auto" w:fill="D1D0CF"/>
          </w:tcPr>
          <w:p>
            <w:pPr>
              <w:jc w:val="right"/>
              <w:ind w:right="11"/>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237CC1"/>
            </w:tcBorders>
            <w:gridSpan w:val="3"/>
            <w:shd w:val="clear" w:color="auto" w:fill="D1D0CF"/>
          </w:tcPr>
          <w:p>
            <w:pPr>
              <w:ind w:left="540"/>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237CC1"/>
            </w:tcBorders>
          </w:tcPr>
          <w:p>
            <w:pPr>
              <w:spacing w:after="0"/>
              <w:rPr>
                <w:sz w:val="16"/>
                <w:szCs w:val="16"/>
                <w:color w:val="auto"/>
              </w:rPr>
            </w:pPr>
          </w:p>
        </w:tc>
      </w:tr>
      <w:tr>
        <w:trPr>
          <w:trHeight w:val="192"/>
        </w:trPr>
        <w:tc>
          <w:tcPr>
            <w:tcW w:w="5080" w:type="dxa"/>
            <w:vAlign w:val="bottom"/>
            <w:tcBorders>
              <w:bottom w:val="single" w:sz="8" w:color="237CC1"/>
            </w:tcBorders>
          </w:tcPr>
          <w:p>
            <w:pPr>
              <w:ind w:left="40"/>
              <w:spacing w:after="0"/>
              <w:rPr>
                <w:sz w:val="20"/>
                <w:szCs w:val="20"/>
                <w:color w:val="auto"/>
              </w:rPr>
            </w:pPr>
            <w:r>
              <w:rPr>
                <w:rFonts w:ascii="Arial" w:cs="Arial" w:eastAsia="Arial" w:hAnsi="Arial"/>
                <w:sz w:val="14"/>
                <w:szCs w:val="14"/>
                <w:color w:val="auto"/>
              </w:rPr>
              <w:t>Mr. Chapman</w:t>
            </w:r>
          </w:p>
        </w:tc>
        <w:tc>
          <w:tcPr>
            <w:tcW w:w="920" w:type="dxa"/>
            <w:vAlign w:val="bottom"/>
            <w:tcBorders>
              <w:bottom w:val="single" w:sz="8" w:color="237CC1"/>
            </w:tcBorders>
          </w:tcPr>
          <w:p>
            <w:pPr>
              <w:jc w:val="right"/>
              <w:ind w:right="11"/>
              <w:spacing w:after="0"/>
              <w:rPr>
                <w:sz w:val="20"/>
                <w:szCs w:val="20"/>
                <w:color w:val="auto"/>
              </w:rPr>
            </w:pPr>
            <w:r>
              <w:rPr>
                <w:rFonts w:ascii="Arial" w:cs="Arial" w:eastAsia="Arial" w:hAnsi="Arial"/>
                <w:sz w:val="13"/>
                <w:szCs w:val="13"/>
                <w:color w:val="auto"/>
              </w:rPr>
              <w:t>$18,451</w:t>
            </w:r>
          </w:p>
        </w:tc>
        <w:tc>
          <w:tcPr>
            <w:tcW w:w="920" w:type="dxa"/>
            <w:vAlign w:val="bottom"/>
            <w:tcBorders>
              <w:bottom w:val="single" w:sz="8" w:color="237CC1"/>
            </w:tcBorders>
          </w:tcPr>
          <w:p>
            <w:pPr>
              <w:jc w:val="right"/>
              <w:ind w:right="51"/>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237CC1"/>
            </w:tcBorders>
            <w:gridSpan w:val="3"/>
          </w:tcPr>
          <w:p>
            <w:pPr>
              <w:ind w:left="6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237CC1"/>
            </w:tcBorders>
          </w:tcPr>
          <w:p>
            <w:pPr>
              <w:spacing w:after="0"/>
              <w:rPr>
                <w:sz w:val="16"/>
                <w:szCs w:val="16"/>
                <w:color w:val="auto"/>
              </w:rPr>
            </w:pPr>
          </w:p>
        </w:tc>
      </w:tr>
      <w:tr>
        <w:trPr>
          <w:trHeight w:val="346"/>
        </w:trPr>
        <w:tc>
          <w:tcPr>
            <w:tcW w:w="5080" w:type="dxa"/>
            <w:vAlign w:val="bottom"/>
          </w:tcPr>
          <w:p>
            <w:pPr>
              <w:ind w:left="340"/>
              <w:spacing w:after="0"/>
              <w:rPr>
                <w:sz w:val="20"/>
                <w:szCs w:val="20"/>
                <w:color w:val="auto"/>
              </w:rPr>
            </w:pPr>
            <w:r>
              <w:rPr>
                <w:rFonts w:ascii="Arial" w:cs="Arial" w:eastAsia="Arial" w:hAnsi="Arial"/>
                <w:sz w:val="13"/>
                <w:szCs w:val="13"/>
                <w:color w:val="auto"/>
              </w:rPr>
              <w:t>•  gross-ups or other amounts reimbursed for the payment of taxes: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5080" w:type="dxa"/>
            <w:vAlign w:val="bottom"/>
            <w:tcBorders>
              <w:bottom w:val="single" w:sz="8" w:color="237CC1"/>
            </w:tcBorders>
          </w:tcPr>
          <w:p>
            <w:pPr>
              <w:spacing w:after="0"/>
              <w:rPr>
                <w:sz w:val="11"/>
                <w:szCs w:val="11"/>
                <w:color w:val="auto"/>
              </w:rPr>
            </w:pPr>
          </w:p>
        </w:tc>
        <w:tc>
          <w:tcPr>
            <w:tcW w:w="920" w:type="dxa"/>
            <w:vAlign w:val="bottom"/>
            <w:tcBorders>
              <w:bottom w:val="single" w:sz="8" w:color="237CC1"/>
            </w:tcBorders>
          </w:tcPr>
          <w:p>
            <w:pPr>
              <w:spacing w:after="0"/>
              <w:rPr>
                <w:sz w:val="11"/>
                <w:szCs w:val="11"/>
                <w:color w:val="auto"/>
              </w:rPr>
            </w:pPr>
          </w:p>
        </w:tc>
        <w:tc>
          <w:tcPr>
            <w:tcW w:w="920" w:type="dxa"/>
            <w:vAlign w:val="bottom"/>
            <w:tcBorders>
              <w:bottom w:val="single" w:sz="8" w:color="237CC1"/>
            </w:tcBorders>
          </w:tcPr>
          <w:p>
            <w:pPr>
              <w:spacing w:after="0"/>
              <w:rPr>
                <w:sz w:val="11"/>
                <w:szCs w:val="11"/>
                <w:color w:val="auto"/>
              </w:rPr>
            </w:pPr>
          </w:p>
        </w:tc>
        <w:tc>
          <w:tcPr>
            <w:tcW w:w="740" w:type="dxa"/>
            <w:vAlign w:val="bottom"/>
            <w:tcBorders>
              <w:bottom w:val="single" w:sz="8" w:color="237CC1"/>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4"/>
        </w:trPr>
        <w:tc>
          <w:tcPr>
            <w:tcW w:w="5080" w:type="dxa"/>
            <w:vAlign w:val="bottom"/>
            <w:tcBorders>
              <w:bottom w:val="single" w:sz="8" w:color="237CC1"/>
            </w:tcBorders>
            <w:shd w:val="clear" w:color="auto" w:fill="D1D0CF"/>
          </w:tcPr>
          <w:p>
            <w:pPr>
              <w:spacing w:after="0"/>
              <w:rPr>
                <w:sz w:val="16"/>
                <w:szCs w:val="16"/>
                <w:color w:val="auto"/>
              </w:rPr>
            </w:pPr>
          </w:p>
        </w:tc>
        <w:tc>
          <w:tcPr>
            <w:tcW w:w="920" w:type="dxa"/>
            <w:vAlign w:val="bottom"/>
            <w:tcBorders>
              <w:bottom w:val="single" w:sz="8" w:color="237CC1"/>
            </w:tcBorders>
            <w:shd w:val="clear" w:color="auto" w:fill="D1D0CF"/>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bottom w:val="single" w:sz="8" w:color="237CC1"/>
            </w:tcBorders>
            <w:shd w:val="clear" w:color="auto" w:fill="D1D0CF"/>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080" w:type="dxa"/>
            <w:vAlign w:val="bottom"/>
            <w:tcBorders>
              <w:bottom w:val="single" w:sz="8" w:color="237CC1"/>
            </w:tcBorders>
          </w:tcPr>
          <w:p>
            <w:pPr>
              <w:ind w:left="20"/>
              <w:spacing w:after="0"/>
              <w:rPr>
                <w:sz w:val="20"/>
                <w:szCs w:val="20"/>
                <w:color w:val="auto"/>
              </w:rPr>
            </w:pPr>
            <w:r>
              <w:rPr>
                <w:rFonts w:ascii="Arial" w:cs="Arial" w:eastAsia="Arial" w:hAnsi="Arial"/>
                <w:sz w:val="14"/>
                <w:szCs w:val="14"/>
                <w:color w:val="auto"/>
              </w:rPr>
              <w:t>Mr. O'Donnell</w:t>
            </w:r>
          </w:p>
        </w:tc>
        <w:tc>
          <w:tcPr>
            <w:tcW w:w="920" w:type="dxa"/>
            <w:vAlign w:val="bottom"/>
            <w:tcBorders>
              <w:bottom w:val="single" w:sz="8" w:color="237CC1"/>
            </w:tcBorders>
          </w:tcPr>
          <w:p>
            <w:pPr>
              <w:jc w:val="right"/>
              <w:ind w:right="151"/>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237CC1"/>
            </w:tcBorders>
          </w:tcPr>
          <w:p>
            <w:pPr>
              <w:jc w:val="right"/>
              <w:ind w:right="111"/>
              <w:spacing w:after="0"/>
              <w:rPr>
                <w:sz w:val="20"/>
                <w:szCs w:val="20"/>
                <w:color w:val="auto"/>
              </w:rPr>
            </w:pPr>
            <w:r>
              <w:rPr>
                <w:rFonts w:ascii="Arial" w:cs="Arial" w:eastAsia="Arial" w:hAnsi="Arial"/>
                <w:sz w:val="13"/>
                <w:szCs w:val="13"/>
                <w:color w:val="auto"/>
              </w:rPr>
              <w:t>$35,587</w:t>
            </w:r>
          </w:p>
        </w:tc>
        <w:tc>
          <w:tcPr>
            <w:tcW w:w="740" w:type="dxa"/>
            <w:vAlign w:val="bottom"/>
            <w:tcBorders>
              <w:bottom w:val="single" w:sz="8" w:color="237CC1"/>
            </w:tcBorders>
          </w:tcPr>
          <w:p>
            <w:pPr>
              <w:ind w:left="560"/>
              <w:spacing w:after="0"/>
              <w:rPr>
                <w:sz w:val="20"/>
                <w:szCs w:val="20"/>
                <w:color w:val="auto"/>
              </w:rPr>
            </w:pPr>
            <w:r>
              <w:rPr>
                <w:rFonts w:ascii="Arial" w:cs="Arial" w:eastAsia="Arial" w:hAnsi="Arial"/>
                <w:sz w:val="13"/>
                <w:szCs w:val="13"/>
                <w:color w:val="auto"/>
              </w:rPr>
              <w:t>—</w:t>
            </w: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-2584450</wp:posOffset>
            </wp:positionV>
            <wp:extent cx="8255" cy="1447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-2584450</wp:posOffset>
            </wp:positionV>
            <wp:extent cx="8255" cy="1447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-2584450</wp:posOffset>
            </wp:positionV>
            <wp:extent cx="8255" cy="1447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5073015</wp:posOffset>
            </wp:positionH>
            <wp:positionV relativeFrom="paragraph">
              <wp:posOffset>-1868170</wp:posOffset>
            </wp:positionV>
            <wp:extent cx="8255" cy="1447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-1868170</wp:posOffset>
            </wp:positionV>
            <wp:extent cx="8255" cy="1447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-1868170</wp:posOffset>
            </wp:positionV>
            <wp:extent cx="8255" cy="1447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-733425</wp:posOffset>
            </wp:positionV>
            <wp:extent cx="8255" cy="1447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-733425</wp:posOffset>
            </wp:positionV>
            <wp:extent cx="8255" cy="1447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-733425</wp:posOffset>
            </wp:positionV>
            <wp:extent cx="8255" cy="1447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-733425</wp:posOffset>
            </wp:positionV>
            <wp:extent cx="8255" cy="1447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-733425</wp:posOffset>
            </wp:positionV>
            <wp:extent cx="8255" cy="1447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44780"/>
                    </a:xfrm>
                    <a:prstGeom prst="rect">
                      <a:avLst/>
                    </a:prstGeom>
                    <a:noFill/>
                  </pic:spPr>
                </pic:pic>
              </a:graphicData>
            </a:graphic>
          </wp:anchor>
        </w:drawing>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In 2025, Mr. Poirier received perquisites totaling $116,720. Perquisites exceeding 25 per cent of his total included a $79,068 charge for the personal use</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1"/>
          <w:szCs w:val="11"/>
          <w:color w:val="auto"/>
        </w:rPr>
        <w:t>of the corporate aircraft. The perquisites for all other named executives for 2025 are not included because they were less than $50,000 and ten per cent of each individual's respective base salary.</w:t>
      </w:r>
    </w:p>
    <w:p>
      <w:pPr>
        <w:spacing w:after="0" w:line="48" w:lineRule="exact"/>
        <w:rPr>
          <w:sz w:val="20"/>
          <w:szCs w:val="20"/>
          <w:color w:val="auto"/>
        </w:rPr>
      </w:pPr>
    </w:p>
    <w:p>
      <w:pPr>
        <w:ind w:left="300" w:hanging="131"/>
        <w:spacing w:after="0"/>
        <w:tabs>
          <w:tab w:leader="none" w:pos="300" w:val="left"/>
        </w:tabs>
        <w:numPr>
          <w:ilvl w:val="0"/>
          <w:numId w:val="158"/>
        </w:numPr>
        <w:rPr>
          <w:rFonts w:ascii="Arial" w:cs="Arial" w:eastAsia="Arial" w:hAnsi="Arial"/>
          <w:sz w:val="11"/>
          <w:szCs w:val="11"/>
          <w:color w:val="auto"/>
        </w:rPr>
      </w:pPr>
      <w:r>
        <w:rPr>
          <w:rFonts w:ascii="Arial" w:cs="Arial" w:eastAsia="Arial" w:hAnsi="Arial"/>
          <w:sz w:val="11"/>
          <w:szCs w:val="11"/>
          <w:color w:val="auto"/>
        </w:rPr>
        <w:t>In 2024, Mr. Poirier received perquisites totaling $78,187. Perquisites exceeding 25 per cent of his total included a $41,234 one-time charge for the personal use of the corporate aircraft. The</w:t>
      </w:r>
    </w:p>
    <w:p>
      <w:pPr>
        <w:spacing w:after="0" w:line="61" w:lineRule="exact"/>
        <w:rPr>
          <w:rFonts w:ascii="Arial" w:cs="Arial" w:eastAsia="Arial" w:hAnsi="Arial"/>
          <w:sz w:val="11"/>
          <w:szCs w:val="11"/>
          <w:color w:val="auto"/>
        </w:rPr>
      </w:pPr>
    </w:p>
    <w:p>
      <w:pPr>
        <w:ind w:left="340" w:right="4960"/>
        <w:spacing w:after="0" w:line="291" w:lineRule="auto"/>
        <w:rPr>
          <w:rFonts w:ascii="Arial" w:cs="Arial" w:eastAsia="Arial" w:hAnsi="Arial"/>
          <w:sz w:val="11"/>
          <w:szCs w:val="11"/>
          <w:color w:val="auto"/>
        </w:rPr>
      </w:pPr>
      <w:r>
        <w:rPr>
          <w:rFonts w:ascii="Arial" w:cs="Arial" w:eastAsia="Arial" w:hAnsi="Arial"/>
          <w:sz w:val="13"/>
          <w:szCs w:val="13"/>
          <w:color w:val="auto"/>
        </w:rPr>
        <w:t>perquisites for all other named executives for 2024 are not included because they were less than $50,000 and ten per cent of each individual's respective base salary.</w:t>
      </w:r>
    </w:p>
    <w:p>
      <w:pPr>
        <w:ind w:left="300" w:hanging="131"/>
        <w:spacing w:after="0"/>
        <w:tabs>
          <w:tab w:leader="none" w:pos="30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Perquisites in 2023 are not included because they were less than $50,000 and ten per cent of each named executive's total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140"/>
          </w:cols>
          <w:pgMar w:left="320" w:top="1035" w:right="4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0D64EF"/>
        </w:rPr>
        <w:t>Additional notes to the summary compensation table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 valuation</w:t>
      </w:r>
    </w:p>
    <w:p>
      <w:pPr>
        <w:spacing w:after="0" w:line="58" w:lineRule="exact"/>
        <w:rPr>
          <w:sz w:val="20"/>
          <w:szCs w:val="20"/>
          <w:color w:val="auto"/>
        </w:rPr>
      </w:pPr>
    </w:p>
    <w:p>
      <w:pPr>
        <w:ind w:right="2700"/>
        <w:spacing w:after="0" w:line="337" w:lineRule="auto"/>
        <w:rPr>
          <w:sz w:val="20"/>
          <w:szCs w:val="20"/>
          <w:color w:val="auto"/>
        </w:rPr>
      </w:pPr>
      <w:r>
        <w:rPr>
          <w:rFonts w:ascii="Arial" w:cs="Arial" w:eastAsia="Arial" w:hAnsi="Arial"/>
          <w:sz w:val="16"/>
          <w:szCs w:val="16"/>
          <w:color w:val="auto"/>
        </w:rPr>
        <w:t xml:space="preserve">The amount under </w:t>
      </w:r>
      <w:r>
        <w:rPr>
          <w:rFonts w:ascii="Arial" w:cs="Arial" w:eastAsia="Arial" w:hAnsi="Arial"/>
          <w:sz w:val="16"/>
          <w:szCs w:val="16"/>
          <w:i w:val="1"/>
          <w:iCs w:val="1"/>
          <w:color w:val="auto"/>
        </w:rPr>
        <w:t>Option-based awards</w:t>
      </w:r>
      <w:r>
        <w:rPr>
          <w:rFonts w:ascii="Arial" w:cs="Arial" w:eastAsia="Arial" w:hAnsi="Arial"/>
          <w:sz w:val="16"/>
          <w:szCs w:val="16"/>
          <w:color w:val="auto"/>
        </w:rPr>
        <w:t xml:space="preserve"> is calculated using the grant date fair value of the stock options, as determined by the Human Resources Committee.</w:t>
      </w:r>
    </w:p>
    <w:p>
      <w:pPr>
        <w:spacing w:after="0" w:line="4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Human Resources Committee and Board have approved the Binomial valuation model, a generally accepted valuation method, as the methodology to determine stock option awards. The Compensation Binomial valuation model used</w:t>
      </w:r>
    </w:p>
    <w:p>
      <w:pPr>
        <w:spacing w:after="0" w:line="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to calculate stock option fair value differs from the Accounting Binomial valuation model. The Compensation Binomial valuation model bases the stock option term on the full award term and volatility on a seven-year historical volatility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while the Accounting Binomial valuation model uses expected life and a blend of historical and implied volatility.</w:t>
      </w:r>
    </w:p>
    <w:p>
      <w:pPr>
        <w:spacing w:after="0" w:line="58" w:lineRule="exact"/>
        <w:rPr>
          <w:sz w:val="20"/>
          <w:szCs w:val="20"/>
          <w:color w:val="auto"/>
        </w:rPr>
      </w:pPr>
    </w:p>
    <w:p>
      <w:pPr>
        <w:ind w:right="2740"/>
        <w:spacing w:after="0" w:line="337" w:lineRule="auto"/>
        <w:rPr>
          <w:sz w:val="20"/>
          <w:szCs w:val="20"/>
          <w:color w:val="auto"/>
        </w:rPr>
      </w:pPr>
      <w:r>
        <w:rPr>
          <w:rFonts w:ascii="Arial" w:cs="Arial" w:eastAsia="Arial" w:hAnsi="Arial"/>
          <w:sz w:val="16"/>
          <w:szCs w:val="16"/>
          <w:color w:val="auto"/>
        </w:rPr>
        <w:t>The Compensation Binomial valuation model yields per unit valuations that were $0.96 higher in 2023 and $2.13 higher in 2022. Stock Options are no longer granted starting in 2024.</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is a summary of the grant date compensation value for the Stock Option awards granted in 2023 and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40" w:type="dxa"/>
            <w:vAlign w:val="bottom"/>
            <w:tcBorders>
              <w:top w:val="single" w:sz="8" w:color="237CC1"/>
            </w:tcBorders>
            <w:vMerge w:val="restart"/>
            <w:shd w:val="clear" w:color="auto" w:fill="D1D0CF"/>
          </w:tcPr>
          <w:p>
            <w:pPr>
              <w:ind w:left="20"/>
              <w:spacing w:after="0"/>
              <w:rPr>
                <w:sz w:val="20"/>
                <w:szCs w:val="20"/>
                <w:color w:val="auto"/>
              </w:rPr>
            </w:pPr>
            <w:r>
              <w:rPr>
                <w:rFonts w:ascii="Arial" w:cs="Arial" w:eastAsia="Arial" w:hAnsi="Arial"/>
                <w:sz w:val="14"/>
                <w:szCs w:val="14"/>
                <w:b w:val="1"/>
                <w:bCs w:val="1"/>
                <w:color w:val="auto"/>
              </w:rPr>
              <w:t>Grant date</w:t>
            </w:r>
          </w:p>
        </w:tc>
        <w:tc>
          <w:tcPr>
            <w:tcW w:w="2740" w:type="dxa"/>
            <w:vAlign w:val="bottom"/>
            <w:tcBorders>
              <w:top w:val="single" w:sz="8" w:color="237CC1"/>
            </w:tcBorders>
            <w:vMerge w:val="restart"/>
            <w:shd w:val="clear" w:color="auto" w:fill="D1D0CF"/>
          </w:tcPr>
          <w:p>
            <w:pPr>
              <w:jc w:val="right"/>
              <w:ind w:right="48"/>
              <w:spacing w:after="0"/>
              <w:rPr>
                <w:sz w:val="20"/>
                <w:szCs w:val="20"/>
                <w:color w:val="auto"/>
              </w:rPr>
            </w:pPr>
            <w:r>
              <w:rPr>
                <w:rFonts w:ascii="Arial" w:cs="Arial" w:eastAsia="Arial" w:hAnsi="Arial"/>
                <w:sz w:val="14"/>
                <w:szCs w:val="14"/>
                <w:b w:val="1"/>
                <w:bCs w:val="1"/>
                <w:color w:val="auto"/>
              </w:rPr>
              <w:t>Original Exercise price ($)</w:t>
            </w:r>
          </w:p>
        </w:tc>
        <w:tc>
          <w:tcPr>
            <w:tcW w:w="2260" w:type="dxa"/>
            <w:vAlign w:val="bottom"/>
            <w:tcBorders>
              <w:top w:val="single" w:sz="8" w:color="237CC1"/>
            </w:tcBorders>
            <w:shd w:val="clear" w:color="auto" w:fill="D1D0CF"/>
          </w:tcPr>
          <w:p>
            <w:pPr>
              <w:spacing w:after="0"/>
              <w:rPr>
                <w:sz w:val="14"/>
                <w:szCs w:val="14"/>
                <w:color w:val="auto"/>
              </w:rPr>
            </w:pPr>
          </w:p>
        </w:tc>
        <w:tc>
          <w:tcPr>
            <w:tcW w:w="2300" w:type="dxa"/>
            <w:vAlign w:val="bottom"/>
            <w:tcBorders>
              <w:top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Original Compensation value of</w:t>
            </w:r>
          </w:p>
        </w:tc>
        <w:tc>
          <w:tcPr>
            <w:tcW w:w="0" w:type="dxa"/>
            <w:vAlign w:val="bottom"/>
          </w:tcPr>
          <w:p>
            <w:pPr>
              <w:spacing w:after="0"/>
              <w:rPr>
                <w:sz w:val="1"/>
                <w:szCs w:val="1"/>
                <w:color w:val="auto"/>
              </w:rPr>
            </w:pPr>
          </w:p>
        </w:tc>
      </w:tr>
      <w:tr>
        <w:trPr>
          <w:trHeight w:val="237"/>
        </w:trPr>
        <w:tc>
          <w:tcPr>
            <w:tcW w:w="2040" w:type="dxa"/>
            <w:vAlign w:val="bottom"/>
            <w:tcBorders>
              <w:bottom w:val="single" w:sz="8" w:color="237CC1"/>
            </w:tcBorders>
            <w:vMerge w:val="continue"/>
            <w:shd w:val="clear" w:color="auto" w:fill="D1D0CF"/>
          </w:tcPr>
          <w:p>
            <w:pPr>
              <w:spacing w:after="0"/>
              <w:rPr>
                <w:sz w:val="20"/>
                <w:szCs w:val="20"/>
                <w:color w:val="auto"/>
              </w:rPr>
            </w:pPr>
          </w:p>
        </w:tc>
        <w:tc>
          <w:tcPr>
            <w:tcW w:w="2740" w:type="dxa"/>
            <w:vAlign w:val="bottom"/>
            <w:tcBorders>
              <w:bottom w:val="single" w:sz="8" w:color="237CC1"/>
            </w:tcBorders>
            <w:vMerge w:val="continue"/>
            <w:shd w:val="clear" w:color="auto" w:fill="D1D0CF"/>
          </w:tcPr>
          <w:p>
            <w:pPr>
              <w:spacing w:after="0"/>
              <w:rPr>
                <w:sz w:val="20"/>
                <w:szCs w:val="20"/>
                <w:color w:val="auto"/>
              </w:rPr>
            </w:pPr>
          </w:p>
        </w:tc>
        <w:tc>
          <w:tcPr>
            <w:tcW w:w="226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Post Spinoff Exercise price ($)</w:t>
            </w:r>
          </w:p>
        </w:tc>
        <w:tc>
          <w:tcPr>
            <w:tcW w:w="230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each Stock Option ($)</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February 16, 2023</w:t>
            </w:r>
          </w:p>
        </w:tc>
        <w:tc>
          <w:tcPr>
            <w:tcW w:w="27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56.66</w:t>
            </w:r>
          </w:p>
        </w:tc>
        <w:tc>
          <w:tcPr>
            <w:tcW w:w="22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53.77</w:t>
            </w:r>
          </w:p>
        </w:tc>
        <w:tc>
          <w:tcPr>
            <w:tcW w:w="23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237CC1"/>
            </w:tcBorders>
          </w:tcPr>
          <w:p>
            <w:pPr>
              <w:ind w:left="20"/>
              <w:spacing w:after="0"/>
              <w:rPr>
                <w:sz w:val="20"/>
                <w:szCs w:val="20"/>
                <w:color w:val="auto"/>
              </w:rPr>
            </w:pPr>
            <w:r>
              <w:rPr>
                <w:rFonts w:ascii="Arial" w:cs="Arial" w:eastAsia="Arial" w:hAnsi="Arial"/>
                <w:sz w:val="14"/>
                <w:szCs w:val="14"/>
                <w:color w:val="auto"/>
              </w:rPr>
              <w:t>February 17, 2022</w:t>
            </w:r>
          </w:p>
        </w:tc>
        <w:tc>
          <w:tcPr>
            <w:tcW w:w="2740" w:type="dxa"/>
            <w:vAlign w:val="bottom"/>
            <w:tcBorders>
              <w:bottom w:val="single" w:sz="8" w:color="237CC1"/>
            </w:tcBorders>
          </w:tcPr>
          <w:p>
            <w:pPr>
              <w:jc w:val="right"/>
              <w:ind w:right="48"/>
              <w:spacing w:after="0"/>
              <w:rPr>
                <w:sz w:val="20"/>
                <w:szCs w:val="20"/>
                <w:color w:val="auto"/>
              </w:rPr>
            </w:pPr>
            <w:r>
              <w:rPr>
                <w:rFonts w:ascii="Arial" w:cs="Arial" w:eastAsia="Arial" w:hAnsi="Arial"/>
                <w:sz w:val="14"/>
                <w:szCs w:val="14"/>
                <w:color w:val="auto"/>
              </w:rPr>
              <w:t>66.49</w:t>
            </w:r>
          </w:p>
        </w:tc>
        <w:tc>
          <w:tcPr>
            <w:tcW w:w="226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63.60</w:t>
            </w:r>
          </w:p>
        </w:tc>
        <w:tc>
          <w:tcPr>
            <w:tcW w:w="230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Stock Options exercises in 2025 (supplemental table)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for each named executive:</w:t>
      </w:r>
    </w:p>
    <w:p>
      <w:pPr>
        <w:spacing w:after="0" w:line="98" w:lineRule="exact"/>
        <w:rPr>
          <w:sz w:val="20"/>
          <w:szCs w:val="20"/>
          <w:color w:val="auto"/>
        </w:rPr>
      </w:pPr>
    </w:p>
    <w:p>
      <w:pPr>
        <w:ind w:left="220" w:hanging="213"/>
        <w:spacing w:after="0"/>
        <w:tabs>
          <w:tab w:leader="none" w:pos="2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number of Stock Options exercised in 2025, and</w:t>
      </w:r>
    </w:p>
    <w:p>
      <w:pPr>
        <w:spacing w:after="0" w:line="57" w:lineRule="exact"/>
        <w:rPr>
          <w:rFonts w:ascii="Arial" w:cs="Arial" w:eastAsia="Arial" w:hAnsi="Arial"/>
          <w:sz w:val="16"/>
          <w:szCs w:val="16"/>
          <w:color w:val="auto"/>
        </w:rPr>
      </w:pPr>
    </w:p>
    <w:p>
      <w:pPr>
        <w:ind w:left="220" w:hanging="213"/>
        <w:spacing w:after="0"/>
        <w:tabs>
          <w:tab w:leader="none" w:pos="2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total value realized when the options were exercised.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60" w:type="dxa"/>
            <w:vAlign w:val="bottom"/>
            <w:tcBorders>
              <w:top w:val="single" w:sz="8" w:color="237CC1"/>
              <w:bottom w:val="single" w:sz="8" w:color="D1D0C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4340" w:type="dxa"/>
            <w:vAlign w:val="bottom"/>
            <w:tcBorders>
              <w:top w:val="single" w:sz="8" w:color="237CC1"/>
              <w:bottom w:val="single" w:sz="8" w:color="D1D0CF"/>
            </w:tcBorders>
            <w:shd w:val="clear" w:color="auto" w:fill="D1D0CF"/>
          </w:tcPr>
          <w:p>
            <w:pPr>
              <w:jc w:val="right"/>
              <w:ind w:right="908"/>
              <w:spacing w:after="0"/>
              <w:rPr>
                <w:sz w:val="20"/>
                <w:szCs w:val="20"/>
                <w:color w:val="auto"/>
              </w:rPr>
            </w:pPr>
            <w:r>
              <w:rPr>
                <w:rFonts w:ascii="Arial" w:cs="Arial" w:eastAsia="Arial" w:hAnsi="Arial"/>
                <w:sz w:val="14"/>
                <w:szCs w:val="14"/>
                <w:b w:val="1"/>
                <w:bCs w:val="1"/>
                <w:color w:val="auto"/>
              </w:rPr>
              <w:t>Total stock options exercised (#)</w:t>
            </w:r>
          </w:p>
        </w:tc>
        <w:tc>
          <w:tcPr>
            <w:tcW w:w="2540" w:type="dxa"/>
            <w:vAlign w:val="bottom"/>
            <w:tcBorders>
              <w:top w:val="single" w:sz="8" w:color="237CC1"/>
              <w:bottom w:val="single" w:sz="8" w:color="D1D0C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Total value realized ($)</w:t>
            </w:r>
          </w:p>
        </w:tc>
      </w:tr>
      <w:tr>
        <w:trPr>
          <w:trHeight w:val="191"/>
        </w:trPr>
        <w:tc>
          <w:tcPr>
            <w:tcW w:w="2460" w:type="dxa"/>
            <w:vAlign w:val="bottom"/>
            <w:tcBorders>
              <w:top w:val="single" w:sz="8" w:color="237CC1"/>
              <w:bottom w:val="single" w:sz="8" w:color="B2B2B2"/>
            </w:tcBorders>
          </w:tcPr>
          <w:p>
            <w:pPr>
              <w:ind w:left="20"/>
              <w:spacing w:after="0"/>
              <w:rPr>
                <w:sz w:val="20"/>
                <w:szCs w:val="20"/>
                <w:color w:val="auto"/>
              </w:rPr>
            </w:pPr>
            <w:r>
              <w:rPr>
                <w:rFonts w:ascii="Arial" w:cs="Arial" w:eastAsia="Arial" w:hAnsi="Arial"/>
                <w:sz w:val="14"/>
                <w:szCs w:val="14"/>
                <w:color w:val="auto"/>
              </w:rPr>
              <w:t>François Poirier</w:t>
            </w:r>
          </w:p>
        </w:tc>
        <w:tc>
          <w:tcPr>
            <w:tcW w:w="4340" w:type="dxa"/>
            <w:vAlign w:val="bottom"/>
            <w:tcBorders>
              <w:top w:val="single" w:sz="8" w:color="237CC1"/>
              <w:bottom w:val="single" w:sz="8" w:color="B2B2B2"/>
            </w:tcBorders>
          </w:tcPr>
          <w:p>
            <w:pPr>
              <w:jc w:val="right"/>
              <w:ind w:right="948"/>
              <w:spacing w:after="0"/>
              <w:rPr>
                <w:sz w:val="20"/>
                <w:szCs w:val="20"/>
                <w:color w:val="auto"/>
              </w:rPr>
            </w:pPr>
            <w:r>
              <w:rPr>
                <w:rFonts w:ascii="Arial" w:cs="Arial" w:eastAsia="Arial" w:hAnsi="Arial"/>
                <w:sz w:val="14"/>
                <w:szCs w:val="14"/>
                <w:color w:val="auto"/>
              </w:rPr>
              <w:t>208,946</w:t>
            </w:r>
          </w:p>
        </w:tc>
        <w:tc>
          <w:tcPr>
            <w:tcW w:w="2540" w:type="dxa"/>
            <w:vAlign w:val="bottom"/>
            <w:tcBorders>
              <w:top w:val="single" w:sz="8" w:color="237CC1"/>
              <w:bottom w:val="single" w:sz="8" w:color="B2B2B2"/>
            </w:tcBorders>
          </w:tcPr>
          <w:p>
            <w:pPr>
              <w:jc w:val="right"/>
              <w:ind w:right="8"/>
              <w:spacing w:after="0"/>
              <w:rPr>
                <w:sz w:val="20"/>
                <w:szCs w:val="20"/>
                <w:color w:val="auto"/>
              </w:rPr>
            </w:pPr>
            <w:r>
              <w:rPr>
                <w:rFonts w:ascii="Arial" w:cs="Arial" w:eastAsia="Arial" w:hAnsi="Arial"/>
                <w:sz w:val="14"/>
                <w:szCs w:val="14"/>
                <w:color w:val="auto"/>
              </w:rPr>
              <w:t>3,818,007</w:t>
            </w:r>
          </w:p>
        </w:tc>
      </w:tr>
      <w:tr>
        <w:trPr>
          <w:trHeight w:val="205"/>
        </w:trPr>
        <w:tc>
          <w:tcPr>
            <w:tcW w:w="2460" w:type="dxa"/>
            <w:vAlign w:val="bottom"/>
          </w:tcPr>
          <w:p>
            <w:pPr>
              <w:ind w:left="20"/>
              <w:spacing w:after="0"/>
              <w:rPr>
                <w:sz w:val="20"/>
                <w:szCs w:val="20"/>
                <w:color w:val="auto"/>
              </w:rPr>
            </w:pPr>
            <w:r>
              <w:rPr>
                <w:rFonts w:ascii="Arial" w:cs="Arial" w:eastAsia="Arial" w:hAnsi="Arial"/>
                <w:sz w:val="14"/>
                <w:szCs w:val="14"/>
                <w:color w:val="auto"/>
              </w:rPr>
              <w:t>Sean O'Donnell</w:t>
            </w:r>
          </w:p>
        </w:tc>
        <w:tc>
          <w:tcPr>
            <w:tcW w:w="434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25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
        </w:trPr>
        <w:tc>
          <w:tcPr>
            <w:tcW w:w="2460" w:type="dxa"/>
            <w:vAlign w:val="bottom"/>
            <w:tcBorders>
              <w:bottom w:val="single" w:sz="8" w:color="B2B2B2"/>
            </w:tcBorders>
          </w:tcPr>
          <w:p>
            <w:pPr>
              <w:spacing w:after="0" w:line="20" w:lineRule="exact"/>
              <w:rPr>
                <w:sz w:val="1"/>
                <w:szCs w:val="1"/>
                <w:color w:val="auto"/>
              </w:rPr>
            </w:pPr>
          </w:p>
        </w:tc>
        <w:tc>
          <w:tcPr>
            <w:tcW w:w="4340" w:type="dxa"/>
            <w:vAlign w:val="bottom"/>
            <w:tcBorders>
              <w:bottom w:val="single" w:sz="8" w:color="B2B2B2"/>
            </w:tcBorders>
          </w:tcPr>
          <w:p>
            <w:pPr>
              <w:spacing w:after="0" w:line="20" w:lineRule="exact"/>
              <w:rPr>
                <w:sz w:val="1"/>
                <w:szCs w:val="1"/>
                <w:color w:val="auto"/>
              </w:rPr>
            </w:pPr>
          </w:p>
        </w:tc>
        <w:tc>
          <w:tcPr>
            <w:tcW w:w="2540" w:type="dxa"/>
            <w:vAlign w:val="bottom"/>
            <w:tcBorders>
              <w:bottom w:val="single" w:sz="8" w:color="B2B2B2"/>
            </w:tcBorders>
          </w:tcPr>
          <w:p>
            <w:pPr>
              <w:spacing w:after="0" w:line="20" w:lineRule="exact"/>
              <w:rPr>
                <w:sz w:val="1"/>
                <w:szCs w:val="1"/>
                <w:color w:val="auto"/>
              </w:rPr>
            </w:pPr>
          </w:p>
        </w:tc>
      </w:tr>
      <w:tr>
        <w:trPr>
          <w:trHeight w:val="191"/>
        </w:trPr>
        <w:tc>
          <w:tcPr>
            <w:tcW w:w="24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Tina Faraca</w:t>
            </w:r>
          </w:p>
        </w:tc>
        <w:tc>
          <w:tcPr>
            <w:tcW w:w="4340" w:type="dxa"/>
            <w:vAlign w:val="bottom"/>
            <w:tcBorders>
              <w:bottom w:val="single" w:sz="8" w:color="B2B2B2"/>
            </w:tcBorders>
          </w:tcPr>
          <w:p>
            <w:pPr>
              <w:jc w:val="right"/>
              <w:ind w:right="948"/>
              <w:spacing w:after="0"/>
              <w:rPr>
                <w:sz w:val="20"/>
                <w:szCs w:val="20"/>
                <w:color w:val="auto"/>
              </w:rPr>
            </w:pPr>
            <w:r>
              <w:rPr>
                <w:rFonts w:ascii="Arial" w:cs="Arial" w:eastAsia="Arial" w:hAnsi="Arial"/>
                <w:sz w:val="14"/>
                <w:szCs w:val="14"/>
                <w:color w:val="auto"/>
              </w:rPr>
              <w:t>90,080</w:t>
            </w:r>
          </w:p>
        </w:tc>
        <w:tc>
          <w:tcPr>
            <w:tcW w:w="254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895,128</w:t>
            </w:r>
          </w:p>
        </w:tc>
      </w:tr>
      <w:tr>
        <w:trPr>
          <w:trHeight w:val="205"/>
        </w:trPr>
        <w:tc>
          <w:tcPr>
            <w:tcW w:w="2460" w:type="dxa"/>
            <w:vAlign w:val="bottom"/>
          </w:tcPr>
          <w:p>
            <w:pPr>
              <w:ind w:left="20"/>
              <w:spacing w:after="0"/>
              <w:rPr>
                <w:sz w:val="20"/>
                <w:szCs w:val="20"/>
                <w:color w:val="auto"/>
              </w:rPr>
            </w:pPr>
            <w:r>
              <w:rPr>
                <w:rFonts w:ascii="Arial" w:cs="Arial" w:eastAsia="Arial" w:hAnsi="Arial"/>
                <w:sz w:val="14"/>
                <w:szCs w:val="14"/>
                <w:color w:val="auto"/>
              </w:rPr>
              <w:t>Anita Dusevic Oliva</w:t>
            </w:r>
          </w:p>
        </w:tc>
        <w:tc>
          <w:tcPr>
            <w:tcW w:w="434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25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
        </w:trPr>
        <w:tc>
          <w:tcPr>
            <w:tcW w:w="2460" w:type="dxa"/>
            <w:vAlign w:val="bottom"/>
            <w:tcBorders>
              <w:bottom w:val="single" w:sz="8" w:color="B2B2B2"/>
            </w:tcBorders>
          </w:tcPr>
          <w:p>
            <w:pPr>
              <w:spacing w:after="0" w:line="20" w:lineRule="exact"/>
              <w:rPr>
                <w:sz w:val="1"/>
                <w:szCs w:val="1"/>
                <w:color w:val="auto"/>
              </w:rPr>
            </w:pPr>
          </w:p>
        </w:tc>
        <w:tc>
          <w:tcPr>
            <w:tcW w:w="4340" w:type="dxa"/>
            <w:vAlign w:val="bottom"/>
            <w:tcBorders>
              <w:bottom w:val="single" w:sz="8" w:color="B2B2B2"/>
            </w:tcBorders>
          </w:tcPr>
          <w:p>
            <w:pPr>
              <w:spacing w:after="0" w:line="20" w:lineRule="exact"/>
              <w:rPr>
                <w:sz w:val="1"/>
                <w:szCs w:val="1"/>
                <w:color w:val="auto"/>
              </w:rPr>
            </w:pPr>
          </w:p>
        </w:tc>
        <w:tc>
          <w:tcPr>
            <w:tcW w:w="2540" w:type="dxa"/>
            <w:vAlign w:val="bottom"/>
            <w:tcBorders>
              <w:bottom w:val="single" w:sz="8" w:color="B2B2B2"/>
            </w:tcBorders>
          </w:tcPr>
          <w:p>
            <w:pPr>
              <w:spacing w:after="0" w:line="20" w:lineRule="exact"/>
              <w:rPr>
                <w:sz w:val="1"/>
                <w:szCs w:val="1"/>
                <w:color w:val="auto"/>
              </w:rPr>
            </w:pPr>
          </w:p>
        </w:tc>
      </w:tr>
      <w:tr>
        <w:trPr>
          <w:trHeight w:val="201"/>
        </w:trPr>
        <w:tc>
          <w:tcPr>
            <w:tcW w:w="2460" w:type="dxa"/>
            <w:vAlign w:val="bottom"/>
          </w:tcPr>
          <w:p>
            <w:pPr>
              <w:ind w:left="20"/>
              <w:spacing w:after="0"/>
              <w:rPr>
                <w:sz w:val="20"/>
                <w:szCs w:val="20"/>
                <w:color w:val="auto"/>
              </w:rPr>
            </w:pPr>
            <w:r>
              <w:rPr>
                <w:rFonts w:ascii="Arial" w:cs="Arial" w:eastAsia="Arial" w:hAnsi="Arial"/>
                <w:sz w:val="14"/>
                <w:szCs w:val="14"/>
                <w:color w:val="auto"/>
              </w:rPr>
              <w:t>Stanley Chapman III</w:t>
            </w:r>
          </w:p>
        </w:tc>
        <w:tc>
          <w:tcPr>
            <w:tcW w:w="4340" w:type="dxa"/>
            <w:vAlign w:val="bottom"/>
          </w:tcPr>
          <w:p>
            <w:pPr>
              <w:jc w:val="right"/>
              <w:ind w:right="948"/>
              <w:spacing w:after="0"/>
              <w:rPr>
                <w:sz w:val="20"/>
                <w:szCs w:val="20"/>
                <w:color w:val="auto"/>
              </w:rPr>
            </w:pPr>
            <w:r>
              <w:rPr>
                <w:rFonts w:ascii="Arial" w:cs="Arial" w:eastAsia="Arial" w:hAnsi="Arial"/>
                <w:sz w:val="14"/>
                <w:szCs w:val="14"/>
                <w:color w:val="auto"/>
              </w:rPr>
              <w:t>363,119</w:t>
            </w:r>
          </w:p>
        </w:tc>
        <w:tc>
          <w:tcPr>
            <w:tcW w:w="2540" w:type="dxa"/>
            <w:vAlign w:val="bottom"/>
          </w:tcPr>
          <w:p>
            <w:pPr>
              <w:jc w:val="right"/>
              <w:ind w:right="8"/>
              <w:spacing w:after="0"/>
              <w:rPr>
                <w:sz w:val="20"/>
                <w:szCs w:val="20"/>
                <w:color w:val="auto"/>
              </w:rPr>
            </w:pPr>
            <w:r>
              <w:rPr>
                <w:rFonts w:ascii="Arial" w:cs="Arial" w:eastAsia="Arial" w:hAnsi="Arial"/>
                <w:sz w:val="14"/>
                <w:szCs w:val="14"/>
                <w:color w:val="auto"/>
              </w:rPr>
              <w:t>2,449,391</w:t>
            </w:r>
          </w:p>
        </w:tc>
      </w:tr>
      <w:tr>
        <w:trPr>
          <w:trHeight w:val="21"/>
        </w:trPr>
        <w:tc>
          <w:tcPr>
            <w:tcW w:w="2460" w:type="dxa"/>
            <w:vAlign w:val="bottom"/>
            <w:tcBorders>
              <w:bottom w:val="single" w:sz="8" w:color="237CC1"/>
            </w:tcBorders>
          </w:tcPr>
          <w:p>
            <w:pPr>
              <w:spacing w:after="0" w:line="20" w:lineRule="exact"/>
              <w:rPr>
                <w:sz w:val="1"/>
                <w:szCs w:val="1"/>
                <w:color w:val="auto"/>
              </w:rPr>
            </w:pPr>
          </w:p>
        </w:tc>
        <w:tc>
          <w:tcPr>
            <w:tcW w:w="4340" w:type="dxa"/>
            <w:vAlign w:val="bottom"/>
            <w:tcBorders>
              <w:bottom w:val="single" w:sz="8" w:color="237CC1"/>
            </w:tcBorders>
          </w:tcPr>
          <w:p>
            <w:pPr>
              <w:spacing w:after="0" w:line="20" w:lineRule="exact"/>
              <w:rPr>
                <w:sz w:val="1"/>
                <w:szCs w:val="1"/>
                <w:color w:val="auto"/>
              </w:rPr>
            </w:pPr>
          </w:p>
        </w:tc>
        <w:tc>
          <w:tcPr>
            <w:tcW w:w="2540" w:type="dxa"/>
            <w:vAlign w:val="bottom"/>
            <w:tcBorders>
              <w:bottom w:val="single" w:sz="8" w:color="237CC1"/>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115</w:t>
      </w:r>
    </w:p>
    <w:p>
      <w:pPr>
        <w:sectPr>
          <w:pgSz w:w="11900" w:h="16838" w:orient="portrait"/>
          <w:cols w:equalWidth="0" w:num="1">
            <w:col w:w="11240"/>
          </w:cols>
          <w:pgMar w:left="320" w:top="1061" w:right="3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b w:val="1"/>
          <w:bCs w:val="1"/>
          <w:color w:val="0D64EF"/>
        </w:rPr>
        <w:t>INCENTIVE PLAN AWARDS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Outstanding option-based and share-based awards</w:t>
      </w:r>
    </w:p>
    <w:p>
      <w:pPr>
        <w:spacing w:after="0" w:line="4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table below shows all outstanding option-based awards previously granted to the named executives that were still outstanding at the end of 2025 and all outstanding share-based awards previously granted to the named executives that were still outstanding as of December 31, 2025. Year-end values are based on $75.58 and U.S.$55.01, the closing price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of TC Energy shares on the TSX and NYSE, respectively, at December 31,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Borders>
              <w:top w:val="single" w:sz="8" w:color="237CC1"/>
            </w:tcBorders>
            <w:shd w:val="clear" w:color="auto" w:fill="D1D0CF"/>
          </w:tcPr>
          <w:p>
            <w:pPr>
              <w:spacing w:after="0"/>
              <w:rPr>
                <w:sz w:val="18"/>
                <w:szCs w:val="18"/>
                <w:color w:val="auto"/>
              </w:rPr>
            </w:pPr>
          </w:p>
        </w:tc>
        <w:tc>
          <w:tcPr>
            <w:tcW w:w="1080" w:type="dxa"/>
            <w:vAlign w:val="bottom"/>
            <w:tcBorders>
              <w:top w:val="single" w:sz="8" w:color="237CC1"/>
            </w:tcBorders>
            <w:shd w:val="clear" w:color="auto" w:fill="D1D0CF"/>
          </w:tcPr>
          <w:p>
            <w:pPr>
              <w:spacing w:after="0"/>
              <w:rPr>
                <w:sz w:val="18"/>
                <w:szCs w:val="18"/>
                <w:color w:val="auto"/>
              </w:rPr>
            </w:pPr>
          </w:p>
        </w:tc>
        <w:tc>
          <w:tcPr>
            <w:tcW w:w="1040" w:type="dxa"/>
            <w:vAlign w:val="bottom"/>
            <w:tcBorders>
              <w:top w:val="single" w:sz="8" w:color="237CC1"/>
            </w:tcBorders>
            <w:shd w:val="clear" w:color="auto" w:fill="D1D0CF"/>
          </w:tcPr>
          <w:p>
            <w:pPr>
              <w:spacing w:after="0"/>
              <w:rPr>
                <w:sz w:val="18"/>
                <w:szCs w:val="18"/>
                <w:color w:val="auto"/>
              </w:rPr>
            </w:pPr>
          </w:p>
        </w:tc>
        <w:tc>
          <w:tcPr>
            <w:tcW w:w="1120" w:type="dxa"/>
            <w:vAlign w:val="bottom"/>
            <w:tcBorders>
              <w:top w:val="single" w:sz="8" w:color="237CC1"/>
            </w:tcBorders>
            <w:shd w:val="clear" w:color="auto" w:fill="D1D0CF"/>
          </w:tcPr>
          <w:p>
            <w:pPr>
              <w:spacing w:after="0"/>
              <w:rPr>
                <w:sz w:val="18"/>
                <w:szCs w:val="18"/>
                <w:color w:val="auto"/>
              </w:rPr>
            </w:pPr>
          </w:p>
        </w:tc>
        <w:tc>
          <w:tcPr>
            <w:tcW w:w="2040" w:type="dxa"/>
            <w:vAlign w:val="bottom"/>
            <w:tcBorders>
              <w:top w:val="single" w:sz="8" w:color="237CC1"/>
            </w:tcBorders>
            <w:gridSpan w:val="2"/>
            <w:shd w:val="clear" w:color="auto" w:fill="D1D0CF"/>
          </w:tcPr>
          <w:p>
            <w:pPr>
              <w:jc w:val="right"/>
              <w:spacing w:after="0"/>
              <w:rPr>
                <w:sz w:val="20"/>
                <w:szCs w:val="20"/>
                <w:color w:val="auto"/>
              </w:rPr>
            </w:pPr>
            <w:r>
              <w:rPr>
                <w:rFonts w:ascii="Arial" w:cs="Arial" w:eastAsia="Arial" w:hAnsi="Arial"/>
                <w:sz w:val="14"/>
                <w:szCs w:val="14"/>
                <w:b w:val="1"/>
                <w:bCs w:val="1"/>
                <w:color w:val="auto"/>
              </w:rPr>
              <w:t>Option-based awards</w:t>
            </w:r>
          </w:p>
        </w:tc>
        <w:tc>
          <w:tcPr>
            <w:tcW w:w="1100" w:type="dxa"/>
            <w:vAlign w:val="bottom"/>
            <w:tcBorders>
              <w:top w:val="single" w:sz="8" w:color="0D64EF"/>
            </w:tcBorders>
            <w:shd w:val="clear" w:color="auto" w:fill="D1D0CF"/>
          </w:tcPr>
          <w:p>
            <w:pPr>
              <w:spacing w:after="0"/>
              <w:rPr>
                <w:sz w:val="18"/>
                <w:szCs w:val="18"/>
                <w:color w:val="auto"/>
              </w:rPr>
            </w:pPr>
          </w:p>
        </w:tc>
        <w:tc>
          <w:tcPr>
            <w:tcW w:w="2120" w:type="dxa"/>
            <w:vAlign w:val="bottom"/>
            <w:tcBorders>
              <w:top w:val="single" w:sz="8" w:color="0D64EF"/>
              <w:right w:val="single" w:sz="8" w:color="B2B2B2"/>
            </w:tcBorders>
            <w:gridSpan w:val="2"/>
            <w:shd w:val="clear" w:color="auto" w:fill="D1D0CF"/>
          </w:tcPr>
          <w:p>
            <w:pPr>
              <w:jc w:val="right"/>
              <w:spacing w:after="0"/>
              <w:rPr>
                <w:sz w:val="20"/>
                <w:szCs w:val="20"/>
                <w:color w:val="auto"/>
              </w:rPr>
            </w:pPr>
            <w:r>
              <w:rPr>
                <w:rFonts w:ascii="Arial" w:cs="Arial" w:eastAsia="Arial" w:hAnsi="Arial"/>
                <w:sz w:val="14"/>
                <w:szCs w:val="14"/>
                <w:b w:val="1"/>
                <w:bCs w:val="1"/>
                <w:color w:val="auto"/>
              </w:rPr>
              <w:t>Share-based awards</w:t>
            </w:r>
          </w:p>
        </w:tc>
        <w:tc>
          <w:tcPr>
            <w:tcW w:w="0" w:type="dxa"/>
            <w:vAlign w:val="bottom"/>
          </w:tcPr>
          <w:p>
            <w:pPr>
              <w:spacing w:after="0"/>
              <w:rPr>
                <w:sz w:val="1"/>
                <w:szCs w:val="1"/>
                <w:color w:val="auto"/>
              </w:rPr>
            </w:pPr>
          </w:p>
        </w:tc>
      </w:tr>
      <w:tr>
        <w:trPr>
          <w:trHeight w:val="109"/>
        </w:trPr>
        <w:tc>
          <w:tcPr>
            <w:tcW w:w="1480" w:type="dxa"/>
            <w:vAlign w:val="bottom"/>
            <w:tcBorders>
              <w:bottom w:val="single" w:sz="8" w:color="D1D0CF"/>
            </w:tcBorders>
            <w:shd w:val="clear" w:color="auto" w:fill="D1D0CF"/>
          </w:tcPr>
          <w:p>
            <w:pPr>
              <w:spacing w:after="0"/>
              <w:rPr>
                <w:sz w:val="9"/>
                <w:szCs w:val="9"/>
                <w:color w:val="auto"/>
              </w:rPr>
            </w:pPr>
          </w:p>
        </w:tc>
        <w:tc>
          <w:tcPr>
            <w:tcW w:w="1080" w:type="dxa"/>
            <w:vAlign w:val="bottom"/>
            <w:tcBorders>
              <w:bottom w:val="single" w:sz="8" w:color="237CC1"/>
            </w:tcBorders>
            <w:shd w:val="clear" w:color="auto" w:fill="D1D0CF"/>
          </w:tcPr>
          <w:p>
            <w:pPr>
              <w:spacing w:after="0"/>
              <w:rPr>
                <w:sz w:val="9"/>
                <w:szCs w:val="9"/>
                <w:color w:val="auto"/>
              </w:rPr>
            </w:pPr>
          </w:p>
        </w:tc>
        <w:tc>
          <w:tcPr>
            <w:tcW w:w="1040" w:type="dxa"/>
            <w:vAlign w:val="bottom"/>
            <w:tcBorders>
              <w:bottom w:val="single" w:sz="8" w:color="237CC1"/>
            </w:tcBorders>
            <w:shd w:val="clear" w:color="auto" w:fill="D1D0CF"/>
          </w:tcPr>
          <w:p>
            <w:pPr>
              <w:spacing w:after="0"/>
              <w:rPr>
                <w:sz w:val="9"/>
                <w:szCs w:val="9"/>
                <w:color w:val="auto"/>
              </w:rPr>
            </w:pPr>
          </w:p>
        </w:tc>
        <w:tc>
          <w:tcPr>
            <w:tcW w:w="1120" w:type="dxa"/>
            <w:vAlign w:val="bottom"/>
            <w:tcBorders>
              <w:bottom w:val="single" w:sz="8" w:color="237CC1"/>
            </w:tcBorders>
            <w:shd w:val="clear" w:color="auto" w:fill="D1D0CF"/>
          </w:tcPr>
          <w:p>
            <w:pPr>
              <w:spacing w:after="0"/>
              <w:rPr>
                <w:sz w:val="9"/>
                <w:szCs w:val="9"/>
                <w:color w:val="auto"/>
              </w:rPr>
            </w:pPr>
          </w:p>
        </w:tc>
        <w:tc>
          <w:tcPr>
            <w:tcW w:w="1020" w:type="dxa"/>
            <w:vAlign w:val="bottom"/>
            <w:tcBorders>
              <w:bottom w:val="single" w:sz="8" w:color="237CC1"/>
            </w:tcBorders>
            <w:shd w:val="clear" w:color="auto" w:fill="D1D0CF"/>
          </w:tcPr>
          <w:p>
            <w:pPr>
              <w:spacing w:after="0"/>
              <w:rPr>
                <w:sz w:val="9"/>
                <w:szCs w:val="9"/>
                <w:color w:val="auto"/>
              </w:rPr>
            </w:pPr>
          </w:p>
        </w:tc>
        <w:tc>
          <w:tcPr>
            <w:tcW w:w="1020" w:type="dxa"/>
            <w:vAlign w:val="bottom"/>
            <w:tcBorders>
              <w:bottom w:val="single" w:sz="8" w:color="237CC1"/>
            </w:tcBorders>
            <w:shd w:val="clear" w:color="auto" w:fill="D1D0CF"/>
          </w:tcPr>
          <w:p>
            <w:pPr>
              <w:spacing w:after="0"/>
              <w:rPr>
                <w:sz w:val="9"/>
                <w:szCs w:val="9"/>
                <w:color w:val="auto"/>
              </w:rPr>
            </w:pPr>
          </w:p>
        </w:tc>
        <w:tc>
          <w:tcPr>
            <w:tcW w:w="1100" w:type="dxa"/>
            <w:vAlign w:val="bottom"/>
            <w:tcBorders>
              <w:bottom w:val="single" w:sz="8" w:color="0D64EF"/>
            </w:tcBorders>
            <w:shd w:val="clear" w:color="auto" w:fill="D1D0CF"/>
          </w:tcPr>
          <w:p>
            <w:pPr>
              <w:spacing w:after="0"/>
              <w:rPr>
                <w:sz w:val="9"/>
                <w:szCs w:val="9"/>
                <w:color w:val="auto"/>
              </w:rPr>
            </w:pPr>
          </w:p>
        </w:tc>
        <w:tc>
          <w:tcPr>
            <w:tcW w:w="1000" w:type="dxa"/>
            <w:vAlign w:val="bottom"/>
            <w:tcBorders>
              <w:bottom w:val="single" w:sz="8" w:color="0D64EF"/>
            </w:tcBorders>
            <w:shd w:val="clear" w:color="auto" w:fill="D1D0CF"/>
          </w:tcPr>
          <w:p>
            <w:pPr>
              <w:spacing w:after="0"/>
              <w:rPr>
                <w:sz w:val="9"/>
                <w:szCs w:val="9"/>
                <w:color w:val="auto"/>
              </w:rPr>
            </w:pPr>
          </w:p>
        </w:tc>
        <w:tc>
          <w:tcPr>
            <w:tcW w:w="1120" w:type="dxa"/>
            <w:vAlign w:val="bottom"/>
            <w:tcBorders>
              <w:bottom w:val="single" w:sz="8" w:color="0D64EF"/>
              <w:right w:val="single" w:sz="8" w:color="B2B2B2"/>
            </w:tcBorders>
            <w:shd w:val="clear" w:color="auto" w:fill="D1D0C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480" w:type="dxa"/>
            <w:vAlign w:val="bottom"/>
            <w:shd w:val="clear" w:color="auto" w:fill="D1D0CF"/>
          </w:tcPr>
          <w:p>
            <w:pPr>
              <w:spacing w:after="0"/>
              <w:rPr>
                <w:sz w:val="12"/>
                <w:szCs w:val="12"/>
                <w:color w:val="auto"/>
              </w:rPr>
            </w:pPr>
          </w:p>
        </w:tc>
        <w:tc>
          <w:tcPr>
            <w:tcW w:w="1080" w:type="dxa"/>
            <w:vAlign w:val="bottom"/>
            <w:shd w:val="clear" w:color="auto" w:fill="D1D0CF"/>
          </w:tcPr>
          <w:p>
            <w:pPr>
              <w:spacing w:after="0"/>
              <w:rPr>
                <w:sz w:val="12"/>
                <w:szCs w:val="12"/>
                <w:color w:val="auto"/>
              </w:rPr>
            </w:pPr>
          </w:p>
        </w:tc>
        <w:tc>
          <w:tcPr>
            <w:tcW w:w="1040" w:type="dxa"/>
            <w:vAlign w:val="bottom"/>
            <w:shd w:val="clear" w:color="auto" w:fill="D1D0CF"/>
          </w:tcPr>
          <w:p>
            <w:pPr>
              <w:spacing w:after="0"/>
              <w:rPr>
                <w:sz w:val="12"/>
                <w:szCs w:val="12"/>
                <w:color w:val="auto"/>
              </w:rPr>
            </w:pPr>
          </w:p>
        </w:tc>
        <w:tc>
          <w:tcPr>
            <w:tcW w:w="1120" w:type="dxa"/>
            <w:vAlign w:val="bottom"/>
            <w:shd w:val="clear" w:color="auto" w:fill="D1D0CF"/>
          </w:tcPr>
          <w:p>
            <w:pPr>
              <w:spacing w:after="0"/>
              <w:rPr>
                <w:sz w:val="12"/>
                <w:szCs w:val="12"/>
                <w:color w:val="auto"/>
              </w:rPr>
            </w:pPr>
          </w:p>
        </w:tc>
        <w:tc>
          <w:tcPr>
            <w:tcW w:w="1020" w:type="dxa"/>
            <w:vAlign w:val="bottom"/>
            <w:shd w:val="clear" w:color="auto" w:fill="D1D0CF"/>
          </w:tcPr>
          <w:p>
            <w:pPr>
              <w:spacing w:after="0"/>
              <w:rPr>
                <w:sz w:val="12"/>
                <w:szCs w:val="12"/>
                <w:color w:val="auto"/>
              </w:rPr>
            </w:pPr>
          </w:p>
        </w:tc>
        <w:tc>
          <w:tcPr>
            <w:tcW w:w="1020" w:type="dxa"/>
            <w:vAlign w:val="bottom"/>
            <w:shd w:val="clear" w:color="auto" w:fill="D1D0CF"/>
          </w:tcPr>
          <w:p>
            <w:pPr>
              <w:spacing w:after="0"/>
              <w:rPr>
                <w:sz w:val="12"/>
                <w:szCs w:val="12"/>
                <w:color w:val="auto"/>
              </w:rPr>
            </w:pPr>
          </w:p>
        </w:tc>
        <w:tc>
          <w:tcPr>
            <w:tcW w:w="1100" w:type="dxa"/>
            <w:vAlign w:val="bottom"/>
            <w:shd w:val="clear" w:color="auto" w:fill="D1D0CF"/>
          </w:tcPr>
          <w:p>
            <w:pPr>
              <w:spacing w:after="0"/>
              <w:rPr>
                <w:sz w:val="12"/>
                <w:szCs w:val="12"/>
                <w:color w:val="auto"/>
              </w:rPr>
            </w:pPr>
          </w:p>
        </w:tc>
        <w:tc>
          <w:tcPr>
            <w:tcW w:w="100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Market or</w:t>
            </w:r>
          </w:p>
        </w:tc>
        <w:tc>
          <w:tcPr>
            <w:tcW w:w="1120" w:type="dxa"/>
            <w:vAlign w:val="bottom"/>
            <w:tcBorders>
              <w:right w:val="single" w:sz="8" w:color="B2B2B2"/>
            </w:tcBorders>
            <w:shd w:val="clear" w:color="auto" w:fill="D1D0CF"/>
          </w:tcPr>
          <w:p>
            <w:pPr>
              <w:jc w:val="right"/>
              <w:ind w:right="8"/>
              <w:spacing w:after="0" w:line="145"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480" w:type="dxa"/>
            <w:vAlign w:val="bottom"/>
            <w:shd w:val="clear" w:color="auto" w:fill="D1D0CF"/>
          </w:tcPr>
          <w:p>
            <w:pPr>
              <w:spacing w:after="0"/>
              <w:rPr>
                <w:sz w:val="12"/>
                <w:szCs w:val="12"/>
                <w:color w:val="auto"/>
              </w:rPr>
            </w:pPr>
          </w:p>
        </w:tc>
        <w:tc>
          <w:tcPr>
            <w:tcW w:w="1080" w:type="dxa"/>
            <w:vAlign w:val="bottom"/>
            <w:shd w:val="clear" w:color="auto" w:fill="D1D0CF"/>
          </w:tcPr>
          <w:p>
            <w:pPr>
              <w:spacing w:after="0"/>
              <w:rPr>
                <w:sz w:val="12"/>
                <w:szCs w:val="12"/>
                <w:color w:val="auto"/>
              </w:rPr>
            </w:pPr>
          </w:p>
        </w:tc>
        <w:tc>
          <w:tcPr>
            <w:tcW w:w="1040" w:type="dxa"/>
            <w:vAlign w:val="bottom"/>
            <w:shd w:val="clear" w:color="auto" w:fill="D1D0CF"/>
          </w:tcPr>
          <w:p>
            <w:pPr>
              <w:spacing w:after="0"/>
              <w:rPr>
                <w:sz w:val="12"/>
                <w:szCs w:val="12"/>
                <w:color w:val="auto"/>
              </w:rPr>
            </w:pPr>
          </w:p>
        </w:tc>
        <w:tc>
          <w:tcPr>
            <w:tcW w:w="1120" w:type="dxa"/>
            <w:vAlign w:val="bottom"/>
            <w:shd w:val="clear" w:color="auto" w:fill="D1D0CF"/>
          </w:tcPr>
          <w:p>
            <w:pPr>
              <w:spacing w:after="0"/>
              <w:rPr>
                <w:sz w:val="12"/>
                <w:szCs w:val="12"/>
                <w:color w:val="auto"/>
              </w:rPr>
            </w:pPr>
          </w:p>
        </w:tc>
        <w:tc>
          <w:tcPr>
            <w:tcW w:w="1020" w:type="dxa"/>
            <w:vAlign w:val="bottom"/>
            <w:shd w:val="clear" w:color="auto" w:fill="D1D0CF"/>
          </w:tcPr>
          <w:p>
            <w:pPr>
              <w:spacing w:after="0"/>
              <w:rPr>
                <w:sz w:val="12"/>
                <w:szCs w:val="12"/>
                <w:color w:val="auto"/>
              </w:rPr>
            </w:pPr>
          </w:p>
        </w:tc>
        <w:tc>
          <w:tcPr>
            <w:tcW w:w="1020" w:type="dxa"/>
            <w:vAlign w:val="bottom"/>
            <w:shd w:val="clear" w:color="auto" w:fill="D1D0CF"/>
          </w:tcPr>
          <w:p>
            <w:pPr>
              <w:spacing w:after="0"/>
              <w:rPr>
                <w:sz w:val="12"/>
                <w:szCs w:val="12"/>
                <w:color w:val="auto"/>
              </w:rPr>
            </w:pPr>
          </w:p>
        </w:tc>
        <w:tc>
          <w:tcPr>
            <w:tcW w:w="1100" w:type="dxa"/>
            <w:vAlign w:val="bottom"/>
            <w:vMerge w:val="restart"/>
            <w:shd w:val="clear" w:color="auto" w:fill="D1D0CF"/>
          </w:tcPr>
          <w:p>
            <w:pPr>
              <w:jc w:val="right"/>
              <w:ind w:right="8"/>
              <w:spacing w:after="0"/>
              <w:rPr>
                <w:sz w:val="20"/>
                <w:szCs w:val="20"/>
                <w:color w:val="auto"/>
              </w:rPr>
            </w:pPr>
            <w:r>
              <w:rPr>
                <w:rFonts w:ascii="Arial" w:cs="Arial" w:eastAsia="Arial" w:hAnsi="Arial"/>
                <w:sz w:val="14"/>
                <w:szCs w:val="14"/>
                <w:b w:val="1"/>
                <w:bCs w:val="1"/>
                <w:color w:val="auto"/>
              </w:rPr>
              <w:t>Number of</w:t>
            </w:r>
          </w:p>
        </w:tc>
        <w:tc>
          <w:tcPr>
            <w:tcW w:w="1000" w:type="dxa"/>
            <w:vAlign w:val="bottom"/>
            <w:vMerge w:val="continue"/>
            <w:shd w:val="clear" w:color="auto" w:fill="D1D0CF"/>
          </w:tcPr>
          <w:p>
            <w:pPr>
              <w:spacing w:after="0"/>
              <w:rPr>
                <w:sz w:val="12"/>
                <w:szCs w:val="12"/>
                <w:color w:val="auto"/>
              </w:rPr>
            </w:pPr>
          </w:p>
        </w:tc>
        <w:tc>
          <w:tcPr>
            <w:tcW w:w="1120" w:type="dxa"/>
            <w:vAlign w:val="bottom"/>
            <w:tcBorders>
              <w:right w:val="single" w:sz="8" w:color="B2B2B2"/>
            </w:tcBorders>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payout value of</w:t>
            </w:r>
          </w:p>
        </w:tc>
        <w:tc>
          <w:tcPr>
            <w:tcW w:w="0" w:type="dxa"/>
            <w:vAlign w:val="bottom"/>
          </w:tcPr>
          <w:p>
            <w:pPr>
              <w:spacing w:after="0"/>
              <w:rPr>
                <w:sz w:val="1"/>
                <w:szCs w:val="1"/>
                <w:color w:val="auto"/>
              </w:rPr>
            </w:pPr>
          </w:p>
        </w:tc>
      </w:tr>
      <w:tr>
        <w:trPr>
          <w:trHeight w:val="144"/>
        </w:trPr>
        <w:tc>
          <w:tcPr>
            <w:tcW w:w="1480" w:type="dxa"/>
            <w:vAlign w:val="bottom"/>
            <w:shd w:val="clear" w:color="auto" w:fill="D1D0CF"/>
          </w:tcPr>
          <w:p>
            <w:pPr>
              <w:spacing w:after="0"/>
              <w:rPr>
                <w:sz w:val="12"/>
                <w:szCs w:val="12"/>
                <w:color w:val="auto"/>
              </w:rPr>
            </w:pPr>
          </w:p>
        </w:tc>
        <w:tc>
          <w:tcPr>
            <w:tcW w:w="1080" w:type="dxa"/>
            <w:vAlign w:val="bottom"/>
            <w:vMerge w:val="restart"/>
            <w:shd w:val="clear" w:color="auto" w:fill="D1D0CF"/>
          </w:tcPr>
          <w:p>
            <w:pPr>
              <w:jc w:val="right"/>
              <w:ind w:right="8"/>
              <w:spacing w:after="0"/>
              <w:rPr>
                <w:sz w:val="20"/>
                <w:szCs w:val="20"/>
                <w:color w:val="auto"/>
              </w:rPr>
            </w:pPr>
            <w:r>
              <w:rPr>
                <w:rFonts w:ascii="Arial" w:cs="Arial" w:eastAsia="Arial" w:hAnsi="Arial"/>
                <w:sz w:val="14"/>
                <w:szCs w:val="14"/>
                <w:b w:val="1"/>
                <w:bCs w:val="1"/>
                <w:color w:val="auto"/>
              </w:rPr>
              <w:t>Number of</w:t>
            </w:r>
          </w:p>
        </w:tc>
        <w:tc>
          <w:tcPr>
            <w:tcW w:w="1040" w:type="dxa"/>
            <w:vAlign w:val="bottom"/>
            <w:shd w:val="clear" w:color="auto" w:fill="D1D0CF"/>
          </w:tcPr>
          <w:p>
            <w:pPr>
              <w:spacing w:after="0"/>
              <w:rPr>
                <w:sz w:val="12"/>
                <w:szCs w:val="12"/>
                <w:color w:val="auto"/>
              </w:rPr>
            </w:pPr>
          </w:p>
        </w:tc>
        <w:tc>
          <w:tcPr>
            <w:tcW w:w="1120" w:type="dxa"/>
            <w:vAlign w:val="bottom"/>
            <w:shd w:val="clear" w:color="auto" w:fill="D1D0CF"/>
          </w:tcPr>
          <w:p>
            <w:pPr>
              <w:spacing w:after="0"/>
              <w:rPr>
                <w:sz w:val="12"/>
                <w:szCs w:val="12"/>
                <w:color w:val="auto"/>
              </w:rPr>
            </w:pPr>
          </w:p>
        </w:tc>
        <w:tc>
          <w:tcPr>
            <w:tcW w:w="1020" w:type="dxa"/>
            <w:vAlign w:val="bottom"/>
            <w:shd w:val="clear" w:color="auto" w:fill="D1D0CF"/>
          </w:tcPr>
          <w:p>
            <w:pPr>
              <w:spacing w:after="0"/>
              <w:rPr>
                <w:sz w:val="12"/>
                <w:szCs w:val="12"/>
                <w:color w:val="auto"/>
              </w:rPr>
            </w:pPr>
          </w:p>
        </w:tc>
        <w:tc>
          <w:tcPr>
            <w:tcW w:w="1020" w:type="dxa"/>
            <w:vAlign w:val="bottom"/>
            <w:shd w:val="clear" w:color="auto" w:fill="D1D0CF"/>
          </w:tcPr>
          <w:p>
            <w:pPr>
              <w:spacing w:after="0"/>
              <w:rPr>
                <w:sz w:val="12"/>
                <w:szCs w:val="12"/>
                <w:color w:val="auto"/>
              </w:rPr>
            </w:pPr>
          </w:p>
        </w:tc>
        <w:tc>
          <w:tcPr>
            <w:tcW w:w="1100" w:type="dxa"/>
            <w:vAlign w:val="bottom"/>
            <w:vMerge w:val="continue"/>
            <w:shd w:val="clear" w:color="auto" w:fill="D1D0CF"/>
          </w:tcPr>
          <w:p>
            <w:pPr>
              <w:spacing w:after="0"/>
              <w:rPr>
                <w:sz w:val="12"/>
                <w:szCs w:val="12"/>
                <w:color w:val="auto"/>
              </w:rPr>
            </w:pPr>
          </w:p>
        </w:tc>
        <w:tc>
          <w:tcPr>
            <w:tcW w:w="1000" w:type="dxa"/>
            <w:vAlign w:val="bottom"/>
            <w:shd w:val="clear" w:color="auto" w:fill="D1D0CF"/>
          </w:tcPr>
          <w:p>
            <w:pPr>
              <w:jc w:val="right"/>
              <w:spacing w:after="0" w:line="144" w:lineRule="exact"/>
              <w:rPr>
                <w:sz w:val="20"/>
                <w:szCs w:val="20"/>
                <w:color w:val="auto"/>
              </w:rPr>
            </w:pPr>
            <w:r>
              <w:rPr>
                <w:rFonts w:ascii="Arial" w:cs="Arial" w:eastAsia="Arial" w:hAnsi="Arial"/>
                <w:sz w:val="14"/>
                <w:szCs w:val="14"/>
                <w:b w:val="1"/>
                <w:bCs w:val="1"/>
                <w:color w:val="auto"/>
              </w:rPr>
              <w:t>payout</w:t>
            </w:r>
          </w:p>
        </w:tc>
        <w:tc>
          <w:tcPr>
            <w:tcW w:w="1120" w:type="dxa"/>
            <w:vAlign w:val="bottom"/>
            <w:tcBorders>
              <w:right w:val="single" w:sz="8" w:color="B2B2B2"/>
            </w:tcBorders>
            <w:shd w:val="clear" w:color="auto" w:fill="D1D0CF"/>
          </w:tcPr>
          <w:p>
            <w:pPr>
              <w:jc w:val="right"/>
              <w:spacing w:after="0" w:line="144" w:lineRule="exact"/>
              <w:rPr>
                <w:sz w:val="20"/>
                <w:szCs w:val="20"/>
                <w:color w:val="auto"/>
              </w:rPr>
            </w:pPr>
            <w:r>
              <w:rPr>
                <w:rFonts w:ascii="Arial" w:cs="Arial" w:eastAsia="Arial" w:hAnsi="Arial"/>
                <w:sz w:val="14"/>
                <w:szCs w:val="14"/>
                <w:b w:val="1"/>
                <w:bCs w:val="1"/>
                <w:color w:val="auto"/>
              </w:rPr>
              <w:t>vested share-</w:t>
            </w:r>
          </w:p>
        </w:tc>
        <w:tc>
          <w:tcPr>
            <w:tcW w:w="0" w:type="dxa"/>
            <w:vAlign w:val="bottom"/>
          </w:tcPr>
          <w:p>
            <w:pPr>
              <w:spacing w:after="0"/>
              <w:rPr>
                <w:sz w:val="1"/>
                <w:szCs w:val="1"/>
                <w:color w:val="auto"/>
              </w:rPr>
            </w:pPr>
          </w:p>
        </w:tc>
      </w:tr>
      <w:tr>
        <w:trPr>
          <w:trHeight w:val="148"/>
        </w:trPr>
        <w:tc>
          <w:tcPr>
            <w:tcW w:w="1480" w:type="dxa"/>
            <w:vAlign w:val="bottom"/>
            <w:shd w:val="clear" w:color="auto" w:fill="D1D0CF"/>
          </w:tcPr>
          <w:p>
            <w:pPr>
              <w:spacing w:after="0"/>
              <w:rPr>
                <w:sz w:val="12"/>
                <w:szCs w:val="12"/>
                <w:color w:val="auto"/>
              </w:rPr>
            </w:pPr>
          </w:p>
        </w:tc>
        <w:tc>
          <w:tcPr>
            <w:tcW w:w="1080" w:type="dxa"/>
            <w:vAlign w:val="bottom"/>
            <w:vMerge w:val="continue"/>
            <w:shd w:val="clear" w:color="auto" w:fill="D1D0CF"/>
          </w:tcPr>
          <w:p>
            <w:pPr>
              <w:spacing w:after="0"/>
              <w:rPr>
                <w:sz w:val="12"/>
                <w:szCs w:val="12"/>
                <w:color w:val="auto"/>
              </w:rPr>
            </w:pPr>
          </w:p>
        </w:tc>
        <w:tc>
          <w:tcPr>
            <w:tcW w:w="1040" w:type="dxa"/>
            <w:vAlign w:val="bottom"/>
            <w:shd w:val="clear" w:color="auto" w:fill="D1D0CF"/>
          </w:tcPr>
          <w:p>
            <w:pPr>
              <w:spacing w:after="0"/>
              <w:rPr>
                <w:sz w:val="12"/>
                <w:szCs w:val="12"/>
                <w:color w:val="auto"/>
              </w:rPr>
            </w:pPr>
          </w:p>
        </w:tc>
        <w:tc>
          <w:tcPr>
            <w:tcW w:w="1120" w:type="dxa"/>
            <w:vAlign w:val="bottom"/>
            <w:shd w:val="clear" w:color="auto" w:fill="D1D0CF"/>
          </w:tcPr>
          <w:p>
            <w:pPr>
              <w:spacing w:after="0"/>
              <w:rPr>
                <w:sz w:val="12"/>
                <w:szCs w:val="12"/>
                <w:color w:val="auto"/>
              </w:rPr>
            </w:pPr>
          </w:p>
        </w:tc>
        <w:tc>
          <w:tcPr>
            <w:tcW w:w="1020" w:type="dxa"/>
            <w:vAlign w:val="bottom"/>
            <w:shd w:val="clear" w:color="auto" w:fill="D1D0CF"/>
          </w:tcPr>
          <w:p>
            <w:pPr>
              <w:spacing w:after="0"/>
              <w:rPr>
                <w:sz w:val="12"/>
                <w:szCs w:val="12"/>
                <w:color w:val="auto"/>
              </w:rPr>
            </w:pPr>
          </w:p>
        </w:tc>
        <w:tc>
          <w:tcPr>
            <w:tcW w:w="102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Value of</w:t>
            </w:r>
          </w:p>
        </w:tc>
        <w:tc>
          <w:tcPr>
            <w:tcW w:w="1100" w:type="dxa"/>
            <w:vAlign w:val="bottom"/>
            <w:shd w:val="clear" w:color="auto" w:fill="D1D0CF"/>
          </w:tcPr>
          <w:p>
            <w:pPr>
              <w:jc w:val="right"/>
              <w:ind w:right="8"/>
              <w:spacing w:after="0" w:line="148" w:lineRule="exact"/>
              <w:rPr>
                <w:sz w:val="20"/>
                <w:szCs w:val="20"/>
                <w:color w:val="auto"/>
              </w:rPr>
            </w:pPr>
            <w:r>
              <w:rPr>
                <w:rFonts w:ascii="Arial" w:cs="Arial" w:eastAsia="Arial" w:hAnsi="Arial"/>
                <w:sz w:val="14"/>
                <w:szCs w:val="14"/>
                <w:b w:val="1"/>
                <w:bCs w:val="1"/>
                <w:color w:val="auto"/>
              </w:rPr>
              <w:t>shares or</w:t>
            </w:r>
          </w:p>
        </w:tc>
        <w:tc>
          <w:tcPr>
            <w:tcW w:w="100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value of</w:t>
            </w:r>
          </w:p>
        </w:tc>
        <w:tc>
          <w:tcPr>
            <w:tcW w:w="1120" w:type="dxa"/>
            <w:vAlign w:val="bottom"/>
            <w:tcBorders>
              <w:right w:val="single" w:sz="8" w:color="B2B2B2"/>
            </w:tcBorders>
            <w:shd w:val="clear" w:color="auto" w:fill="D1D0CF"/>
          </w:tcPr>
          <w:p>
            <w:pPr>
              <w:jc w:val="right"/>
              <w:ind w:right="8"/>
              <w:spacing w:after="0" w:line="148" w:lineRule="exact"/>
              <w:rPr>
                <w:sz w:val="20"/>
                <w:szCs w:val="20"/>
                <w:color w:val="auto"/>
              </w:rPr>
            </w:pPr>
            <w:r>
              <w:rPr>
                <w:rFonts w:ascii="Arial" w:cs="Arial" w:eastAsia="Arial" w:hAnsi="Arial"/>
                <w:sz w:val="14"/>
                <w:szCs w:val="14"/>
                <w:b w:val="1"/>
                <w:bCs w:val="1"/>
                <w:color w:val="auto"/>
              </w:rPr>
              <w:t>based</w:t>
            </w:r>
          </w:p>
        </w:tc>
        <w:tc>
          <w:tcPr>
            <w:tcW w:w="0" w:type="dxa"/>
            <w:vAlign w:val="bottom"/>
          </w:tcPr>
          <w:p>
            <w:pPr>
              <w:spacing w:after="0"/>
              <w:rPr>
                <w:sz w:val="1"/>
                <w:szCs w:val="1"/>
                <w:color w:val="auto"/>
              </w:rPr>
            </w:pPr>
          </w:p>
        </w:tc>
      </w:tr>
      <w:tr>
        <w:trPr>
          <w:trHeight w:val="134"/>
        </w:trPr>
        <w:tc>
          <w:tcPr>
            <w:tcW w:w="1480" w:type="dxa"/>
            <w:vAlign w:val="bottom"/>
            <w:shd w:val="clear" w:color="auto" w:fill="D1D0CF"/>
          </w:tcPr>
          <w:p>
            <w:pPr>
              <w:spacing w:after="0"/>
              <w:rPr>
                <w:sz w:val="11"/>
                <w:szCs w:val="11"/>
                <w:color w:val="auto"/>
              </w:rPr>
            </w:pPr>
          </w:p>
        </w:tc>
        <w:tc>
          <w:tcPr>
            <w:tcW w:w="1080" w:type="dxa"/>
            <w:vAlign w:val="bottom"/>
            <w:shd w:val="clear" w:color="auto" w:fill="D1D0CF"/>
          </w:tcPr>
          <w:p>
            <w:pPr>
              <w:jc w:val="right"/>
              <w:ind w:right="8"/>
              <w:spacing w:after="0" w:line="135" w:lineRule="exact"/>
              <w:rPr>
                <w:sz w:val="20"/>
                <w:szCs w:val="20"/>
                <w:color w:val="auto"/>
              </w:rPr>
            </w:pPr>
            <w:r>
              <w:rPr>
                <w:rFonts w:ascii="Arial" w:cs="Arial" w:eastAsia="Arial" w:hAnsi="Arial"/>
                <w:sz w:val="14"/>
                <w:szCs w:val="14"/>
                <w:b w:val="1"/>
                <w:bCs w:val="1"/>
                <w:color w:val="auto"/>
              </w:rPr>
              <w:t>securities</w:t>
            </w:r>
          </w:p>
        </w:tc>
        <w:tc>
          <w:tcPr>
            <w:tcW w:w="104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Original</w:t>
            </w:r>
          </w:p>
        </w:tc>
        <w:tc>
          <w:tcPr>
            <w:tcW w:w="1120" w:type="dxa"/>
            <w:vAlign w:val="bottom"/>
            <w:vMerge w:val="restart"/>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Post Spinoff</w:t>
            </w:r>
          </w:p>
        </w:tc>
        <w:tc>
          <w:tcPr>
            <w:tcW w:w="1020" w:type="dxa"/>
            <w:vAlign w:val="bottom"/>
            <w:shd w:val="clear" w:color="auto" w:fill="D1D0CF"/>
          </w:tcPr>
          <w:p>
            <w:pPr>
              <w:spacing w:after="0"/>
              <w:rPr>
                <w:sz w:val="11"/>
                <w:szCs w:val="11"/>
                <w:color w:val="auto"/>
              </w:rPr>
            </w:pPr>
          </w:p>
        </w:tc>
        <w:tc>
          <w:tcPr>
            <w:tcW w:w="1020" w:type="dxa"/>
            <w:vAlign w:val="bottom"/>
            <w:vMerge w:val="continue"/>
            <w:shd w:val="clear" w:color="auto" w:fill="D1D0CF"/>
          </w:tcPr>
          <w:p>
            <w:pPr>
              <w:spacing w:after="0"/>
              <w:rPr>
                <w:sz w:val="11"/>
                <w:szCs w:val="11"/>
                <w:color w:val="auto"/>
              </w:rPr>
            </w:pPr>
          </w:p>
        </w:tc>
        <w:tc>
          <w:tcPr>
            <w:tcW w:w="1100" w:type="dxa"/>
            <w:vAlign w:val="bottom"/>
            <w:shd w:val="clear" w:color="auto" w:fill="D1D0CF"/>
          </w:tcPr>
          <w:p>
            <w:pPr>
              <w:jc w:val="right"/>
              <w:ind w:right="8"/>
              <w:spacing w:after="0" w:line="135" w:lineRule="exact"/>
              <w:rPr>
                <w:sz w:val="20"/>
                <w:szCs w:val="20"/>
                <w:color w:val="auto"/>
              </w:rPr>
            </w:pPr>
            <w:r>
              <w:rPr>
                <w:rFonts w:ascii="Arial" w:cs="Arial" w:eastAsia="Arial" w:hAnsi="Arial"/>
                <w:sz w:val="14"/>
                <w:szCs w:val="14"/>
                <w:b w:val="1"/>
                <w:bCs w:val="1"/>
                <w:color w:val="auto"/>
              </w:rPr>
              <w:t>units of</w:t>
            </w:r>
          </w:p>
        </w:tc>
        <w:tc>
          <w:tcPr>
            <w:tcW w:w="1000" w:type="dxa"/>
            <w:vAlign w:val="bottom"/>
            <w:shd w:val="clear" w:color="auto" w:fill="D1D0CF"/>
          </w:tcPr>
          <w:p>
            <w:pPr>
              <w:jc w:val="right"/>
              <w:spacing w:after="0" w:line="135" w:lineRule="exact"/>
              <w:rPr>
                <w:sz w:val="20"/>
                <w:szCs w:val="20"/>
                <w:color w:val="auto"/>
              </w:rPr>
            </w:pPr>
            <w:r>
              <w:rPr>
                <w:rFonts w:ascii="Arial" w:cs="Arial" w:eastAsia="Arial" w:hAnsi="Arial"/>
                <w:sz w:val="14"/>
                <w:szCs w:val="14"/>
                <w:b w:val="1"/>
                <w:bCs w:val="1"/>
                <w:color w:val="auto"/>
              </w:rPr>
              <w:t>share-based</w:t>
            </w:r>
          </w:p>
        </w:tc>
        <w:tc>
          <w:tcPr>
            <w:tcW w:w="1120" w:type="dxa"/>
            <w:vAlign w:val="bottom"/>
            <w:tcBorders>
              <w:right w:val="single" w:sz="8" w:color="B2B2B2"/>
            </w:tcBorders>
            <w:shd w:val="clear" w:color="auto" w:fill="D1D0CF"/>
          </w:tcPr>
          <w:p>
            <w:pPr>
              <w:jc w:val="right"/>
              <w:spacing w:after="0" w:line="135" w:lineRule="exact"/>
              <w:rPr>
                <w:sz w:val="20"/>
                <w:szCs w:val="20"/>
                <w:color w:val="auto"/>
              </w:rPr>
            </w:pPr>
            <w:r>
              <w:rPr>
                <w:rFonts w:ascii="Arial" w:cs="Arial" w:eastAsia="Arial" w:hAnsi="Arial"/>
                <w:sz w:val="14"/>
                <w:szCs w:val="14"/>
                <w:b w:val="1"/>
                <w:bCs w:val="1"/>
                <w:color w:val="auto"/>
              </w:rPr>
              <w:t>awards not</w:t>
            </w:r>
          </w:p>
        </w:tc>
        <w:tc>
          <w:tcPr>
            <w:tcW w:w="0" w:type="dxa"/>
            <w:vAlign w:val="bottom"/>
          </w:tcPr>
          <w:p>
            <w:pPr>
              <w:spacing w:after="0"/>
              <w:rPr>
                <w:sz w:val="1"/>
                <w:szCs w:val="1"/>
                <w:color w:val="auto"/>
              </w:rPr>
            </w:pPr>
          </w:p>
        </w:tc>
      </w:tr>
      <w:tr>
        <w:trPr>
          <w:trHeight w:val="148"/>
        </w:trPr>
        <w:tc>
          <w:tcPr>
            <w:tcW w:w="1480" w:type="dxa"/>
            <w:vAlign w:val="bottom"/>
            <w:shd w:val="clear" w:color="auto" w:fill="D1D0CF"/>
          </w:tcPr>
          <w:p>
            <w:pPr>
              <w:spacing w:after="0"/>
              <w:rPr>
                <w:sz w:val="12"/>
                <w:szCs w:val="12"/>
                <w:color w:val="auto"/>
              </w:rPr>
            </w:pPr>
          </w:p>
        </w:tc>
        <w:tc>
          <w:tcPr>
            <w:tcW w:w="1080" w:type="dxa"/>
            <w:vAlign w:val="bottom"/>
            <w:shd w:val="clear" w:color="auto" w:fill="D1D0CF"/>
          </w:tcPr>
          <w:p>
            <w:pPr>
              <w:jc w:val="right"/>
              <w:ind w:right="8"/>
              <w:spacing w:after="0" w:line="148" w:lineRule="exact"/>
              <w:rPr>
                <w:sz w:val="20"/>
                <w:szCs w:val="20"/>
                <w:color w:val="auto"/>
              </w:rPr>
            </w:pPr>
            <w:r>
              <w:rPr>
                <w:rFonts w:ascii="Arial" w:cs="Arial" w:eastAsia="Arial" w:hAnsi="Arial"/>
                <w:sz w:val="14"/>
                <w:szCs w:val="14"/>
                <w:b w:val="1"/>
                <w:bCs w:val="1"/>
                <w:color w:val="auto"/>
              </w:rPr>
              <w:t>underlying</w:t>
            </w:r>
          </w:p>
        </w:tc>
        <w:tc>
          <w:tcPr>
            <w:tcW w:w="1040" w:type="dxa"/>
            <w:vAlign w:val="bottom"/>
            <w:vMerge w:val="continue"/>
            <w:shd w:val="clear" w:color="auto" w:fill="D1D0CF"/>
          </w:tcPr>
          <w:p>
            <w:pPr>
              <w:spacing w:after="0"/>
              <w:rPr>
                <w:sz w:val="12"/>
                <w:szCs w:val="12"/>
                <w:color w:val="auto"/>
              </w:rPr>
            </w:pPr>
          </w:p>
        </w:tc>
        <w:tc>
          <w:tcPr>
            <w:tcW w:w="1120" w:type="dxa"/>
            <w:vAlign w:val="bottom"/>
            <w:vMerge w:val="continue"/>
            <w:shd w:val="clear" w:color="auto" w:fill="D1D0CF"/>
          </w:tcPr>
          <w:p>
            <w:pPr>
              <w:spacing w:after="0"/>
              <w:rPr>
                <w:sz w:val="12"/>
                <w:szCs w:val="12"/>
                <w:color w:val="auto"/>
              </w:rPr>
            </w:pPr>
          </w:p>
        </w:tc>
        <w:tc>
          <w:tcPr>
            <w:tcW w:w="1020" w:type="dxa"/>
            <w:vAlign w:val="bottom"/>
            <w:vMerge w:val="restart"/>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Option</w:t>
            </w:r>
          </w:p>
        </w:tc>
        <w:tc>
          <w:tcPr>
            <w:tcW w:w="102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unexercised</w:t>
            </w:r>
          </w:p>
        </w:tc>
        <w:tc>
          <w:tcPr>
            <w:tcW w:w="1100" w:type="dxa"/>
            <w:vAlign w:val="bottom"/>
            <w:shd w:val="clear" w:color="auto" w:fill="D1D0CF"/>
          </w:tcPr>
          <w:p>
            <w:pPr>
              <w:jc w:val="right"/>
              <w:ind w:right="8"/>
              <w:spacing w:after="0" w:line="148" w:lineRule="exact"/>
              <w:rPr>
                <w:sz w:val="20"/>
                <w:szCs w:val="20"/>
                <w:color w:val="auto"/>
              </w:rPr>
            </w:pPr>
            <w:r>
              <w:rPr>
                <w:rFonts w:ascii="Arial" w:cs="Arial" w:eastAsia="Arial" w:hAnsi="Arial"/>
                <w:sz w:val="14"/>
                <w:szCs w:val="14"/>
                <w:b w:val="1"/>
                <w:bCs w:val="1"/>
                <w:color w:val="auto"/>
              </w:rPr>
              <w:t>shares that</w:t>
            </w:r>
          </w:p>
        </w:tc>
        <w:tc>
          <w:tcPr>
            <w:tcW w:w="100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awards that</w:t>
            </w:r>
          </w:p>
        </w:tc>
        <w:tc>
          <w:tcPr>
            <w:tcW w:w="1120" w:type="dxa"/>
            <w:vAlign w:val="bottom"/>
            <w:tcBorders>
              <w:right w:val="single" w:sz="8" w:color="B2B2B2"/>
            </w:tcBorders>
            <w:shd w:val="clear" w:color="auto" w:fill="D1D0CF"/>
          </w:tcPr>
          <w:p>
            <w:pPr>
              <w:jc w:val="right"/>
              <w:ind w:right="8"/>
              <w:spacing w:after="0" w:line="148" w:lineRule="exact"/>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148"/>
        </w:trPr>
        <w:tc>
          <w:tcPr>
            <w:tcW w:w="1480" w:type="dxa"/>
            <w:vAlign w:val="bottom"/>
            <w:shd w:val="clear" w:color="auto" w:fill="D1D0CF"/>
          </w:tcPr>
          <w:p>
            <w:pPr>
              <w:spacing w:after="0"/>
              <w:rPr>
                <w:sz w:val="12"/>
                <w:szCs w:val="12"/>
                <w:color w:val="auto"/>
              </w:rPr>
            </w:pPr>
          </w:p>
        </w:tc>
        <w:tc>
          <w:tcPr>
            <w:tcW w:w="1080" w:type="dxa"/>
            <w:vAlign w:val="bottom"/>
            <w:shd w:val="clear" w:color="auto" w:fill="D1D0CF"/>
          </w:tcPr>
          <w:p>
            <w:pPr>
              <w:jc w:val="right"/>
              <w:ind w:right="8"/>
              <w:spacing w:after="0" w:line="148" w:lineRule="exact"/>
              <w:rPr>
                <w:sz w:val="20"/>
                <w:szCs w:val="20"/>
                <w:color w:val="auto"/>
              </w:rPr>
            </w:pPr>
            <w:r>
              <w:rPr>
                <w:rFonts w:ascii="Arial" w:cs="Arial" w:eastAsia="Arial" w:hAnsi="Arial"/>
                <w:sz w:val="14"/>
                <w:szCs w:val="14"/>
                <w:b w:val="1"/>
                <w:bCs w:val="1"/>
                <w:color w:val="auto"/>
              </w:rPr>
              <w:t>unexercised</w:t>
            </w:r>
          </w:p>
        </w:tc>
        <w:tc>
          <w:tcPr>
            <w:tcW w:w="104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Option</w:t>
            </w:r>
          </w:p>
        </w:tc>
        <w:tc>
          <w:tcPr>
            <w:tcW w:w="1120" w:type="dxa"/>
            <w:vAlign w:val="bottom"/>
            <w:shd w:val="clear" w:color="auto" w:fill="D1D0CF"/>
          </w:tcPr>
          <w:p>
            <w:pPr>
              <w:jc w:val="right"/>
              <w:ind w:right="28"/>
              <w:spacing w:after="0" w:line="148" w:lineRule="exact"/>
              <w:rPr>
                <w:sz w:val="20"/>
                <w:szCs w:val="20"/>
                <w:color w:val="auto"/>
              </w:rPr>
            </w:pPr>
            <w:r>
              <w:rPr>
                <w:rFonts w:ascii="Arial" w:cs="Arial" w:eastAsia="Arial" w:hAnsi="Arial"/>
                <w:sz w:val="14"/>
                <w:szCs w:val="14"/>
                <w:b w:val="1"/>
                <w:bCs w:val="1"/>
                <w:color w:val="auto"/>
              </w:rPr>
              <w:t>Option</w:t>
            </w:r>
          </w:p>
        </w:tc>
        <w:tc>
          <w:tcPr>
            <w:tcW w:w="1020" w:type="dxa"/>
            <w:vAlign w:val="bottom"/>
            <w:vMerge w:val="continue"/>
            <w:shd w:val="clear" w:color="auto" w:fill="D1D0CF"/>
          </w:tcPr>
          <w:p>
            <w:pPr>
              <w:spacing w:after="0"/>
              <w:rPr>
                <w:sz w:val="12"/>
                <w:szCs w:val="12"/>
                <w:color w:val="auto"/>
              </w:rPr>
            </w:pPr>
          </w:p>
        </w:tc>
        <w:tc>
          <w:tcPr>
            <w:tcW w:w="102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in-the-money</w:t>
            </w:r>
          </w:p>
        </w:tc>
        <w:tc>
          <w:tcPr>
            <w:tcW w:w="1100" w:type="dxa"/>
            <w:vAlign w:val="bottom"/>
            <w:shd w:val="clear" w:color="auto" w:fill="D1D0CF"/>
          </w:tcPr>
          <w:p>
            <w:pPr>
              <w:jc w:val="right"/>
              <w:ind w:right="8"/>
              <w:spacing w:after="0" w:line="148" w:lineRule="exact"/>
              <w:rPr>
                <w:sz w:val="20"/>
                <w:szCs w:val="20"/>
                <w:color w:val="auto"/>
              </w:rPr>
            </w:pPr>
            <w:r>
              <w:rPr>
                <w:rFonts w:ascii="Arial" w:cs="Arial" w:eastAsia="Arial" w:hAnsi="Arial"/>
                <w:sz w:val="14"/>
                <w:szCs w:val="14"/>
                <w:b w:val="1"/>
                <w:bCs w:val="1"/>
                <w:color w:val="auto"/>
              </w:rPr>
              <w:t>have not</w:t>
            </w:r>
          </w:p>
        </w:tc>
        <w:tc>
          <w:tcPr>
            <w:tcW w:w="100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have not</w:t>
            </w:r>
          </w:p>
        </w:tc>
        <w:tc>
          <w:tcPr>
            <w:tcW w:w="1120" w:type="dxa"/>
            <w:vAlign w:val="bottom"/>
            <w:tcBorders>
              <w:right w:val="single" w:sz="8" w:color="B2B2B2"/>
            </w:tcBorders>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out or</w:t>
            </w:r>
          </w:p>
        </w:tc>
        <w:tc>
          <w:tcPr>
            <w:tcW w:w="0" w:type="dxa"/>
            <w:vAlign w:val="bottom"/>
          </w:tcPr>
          <w:p>
            <w:pPr>
              <w:spacing w:after="0"/>
              <w:rPr>
                <w:sz w:val="1"/>
                <w:szCs w:val="1"/>
                <w:color w:val="auto"/>
              </w:rPr>
            </w:pPr>
          </w:p>
        </w:tc>
      </w:tr>
      <w:tr>
        <w:trPr>
          <w:trHeight w:val="134"/>
        </w:trPr>
        <w:tc>
          <w:tcPr>
            <w:tcW w:w="1480" w:type="dxa"/>
            <w:vAlign w:val="bottom"/>
            <w:vMerge w:val="restart"/>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1080" w:type="dxa"/>
            <w:vAlign w:val="bottom"/>
            <w:shd w:val="clear" w:color="auto" w:fill="D1D0CF"/>
          </w:tcPr>
          <w:p>
            <w:pPr>
              <w:jc w:val="right"/>
              <w:ind w:right="8"/>
              <w:spacing w:after="0" w:line="135" w:lineRule="exact"/>
              <w:rPr>
                <w:sz w:val="20"/>
                <w:szCs w:val="20"/>
                <w:color w:val="auto"/>
              </w:rPr>
            </w:pPr>
            <w:r>
              <w:rPr>
                <w:rFonts w:ascii="Arial" w:cs="Arial" w:eastAsia="Arial" w:hAnsi="Arial"/>
                <w:sz w:val="14"/>
                <w:szCs w:val="14"/>
                <w:b w:val="1"/>
                <w:bCs w:val="1"/>
                <w:color w:val="auto"/>
              </w:rPr>
              <w:t>options</w:t>
            </w:r>
          </w:p>
        </w:tc>
        <w:tc>
          <w:tcPr>
            <w:tcW w:w="1040" w:type="dxa"/>
            <w:vAlign w:val="bottom"/>
            <w:shd w:val="clear" w:color="auto" w:fill="D1D0CF"/>
          </w:tcPr>
          <w:p>
            <w:pPr>
              <w:jc w:val="right"/>
              <w:spacing w:after="0" w:line="135" w:lineRule="exact"/>
              <w:rPr>
                <w:sz w:val="20"/>
                <w:szCs w:val="20"/>
                <w:color w:val="auto"/>
              </w:rPr>
            </w:pPr>
            <w:r>
              <w:rPr>
                <w:rFonts w:ascii="Arial" w:cs="Arial" w:eastAsia="Arial" w:hAnsi="Arial"/>
                <w:sz w:val="14"/>
                <w:szCs w:val="14"/>
                <w:b w:val="1"/>
                <w:bCs w:val="1"/>
                <w:color w:val="auto"/>
              </w:rPr>
              <w:t>exercise price</w:t>
            </w:r>
          </w:p>
        </w:tc>
        <w:tc>
          <w:tcPr>
            <w:tcW w:w="1120" w:type="dxa"/>
            <w:vAlign w:val="bottom"/>
            <w:shd w:val="clear" w:color="auto" w:fill="D1D0CF"/>
          </w:tcPr>
          <w:p>
            <w:pPr>
              <w:jc w:val="right"/>
              <w:ind w:right="28"/>
              <w:spacing w:after="0" w:line="135" w:lineRule="exact"/>
              <w:rPr>
                <w:sz w:val="20"/>
                <w:szCs w:val="20"/>
                <w:color w:val="auto"/>
              </w:rPr>
            </w:pPr>
            <w:r>
              <w:rPr>
                <w:rFonts w:ascii="Arial" w:cs="Arial" w:eastAsia="Arial" w:hAnsi="Arial"/>
                <w:sz w:val="14"/>
                <w:szCs w:val="14"/>
                <w:b w:val="1"/>
                <w:bCs w:val="1"/>
                <w:color w:val="auto"/>
              </w:rPr>
              <w:t>exercise price</w:t>
            </w:r>
          </w:p>
        </w:tc>
        <w:tc>
          <w:tcPr>
            <w:tcW w:w="1020" w:type="dxa"/>
            <w:vAlign w:val="bottom"/>
            <w:shd w:val="clear" w:color="auto" w:fill="D1D0CF"/>
          </w:tcPr>
          <w:p>
            <w:pPr>
              <w:jc w:val="right"/>
              <w:ind w:right="28"/>
              <w:spacing w:after="0" w:line="135" w:lineRule="exact"/>
              <w:rPr>
                <w:sz w:val="20"/>
                <w:szCs w:val="20"/>
                <w:color w:val="auto"/>
              </w:rPr>
            </w:pPr>
            <w:r>
              <w:rPr>
                <w:rFonts w:ascii="Arial" w:cs="Arial" w:eastAsia="Arial" w:hAnsi="Arial"/>
                <w:sz w:val="14"/>
                <w:szCs w:val="14"/>
                <w:b w:val="1"/>
                <w:bCs w:val="1"/>
                <w:color w:val="auto"/>
              </w:rPr>
              <w:t>expiration</w:t>
            </w:r>
          </w:p>
        </w:tc>
        <w:tc>
          <w:tcPr>
            <w:tcW w:w="1020" w:type="dxa"/>
            <w:vAlign w:val="bottom"/>
            <w:shd w:val="clear" w:color="auto" w:fill="D1D0CF"/>
          </w:tcPr>
          <w:p>
            <w:pPr>
              <w:jc w:val="right"/>
              <w:spacing w:after="0" w:line="135" w:lineRule="exact"/>
              <w:rPr>
                <w:sz w:val="20"/>
                <w:szCs w:val="20"/>
                <w:color w:val="auto"/>
              </w:rPr>
            </w:pPr>
            <w:r>
              <w:rPr>
                <w:rFonts w:ascii="Arial" w:cs="Arial" w:eastAsia="Arial" w:hAnsi="Arial"/>
                <w:sz w:val="14"/>
                <w:szCs w:val="14"/>
                <w:b w:val="1"/>
                <w:bCs w:val="1"/>
                <w:color w:val="auto"/>
              </w:rPr>
              <w:t>options</w:t>
            </w:r>
          </w:p>
        </w:tc>
        <w:tc>
          <w:tcPr>
            <w:tcW w:w="1100" w:type="dxa"/>
            <w:vAlign w:val="bottom"/>
            <w:shd w:val="clear" w:color="auto" w:fill="D1D0CF"/>
          </w:tcPr>
          <w:p>
            <w:pPr>
              <w:jc w:val="right"/>
              <w:ind w:right="8"/>
              <w:spacing w:after="0" w:line="135" w:lineRule="exact"/>
              <w:rPr>
                <w:sz w:val="20"/>
                <w:szCs w:val="20"/>
                <w:color w:val="auto"/>
              </w:rPr>
            </w:pPr>
            <w:r>
              <w:rPr>
                <w:rFonts w:ascii="Arial" w:cs="Arial" w:eastAsia="Arial" w:hAnsi="Arial"/>
                <w:sz w:val="14"/>
                <w:szCs w:val="14"/>
                <w:b w:val="1"/>
                <w:bCs w:val="1"/>
                <w:color w:val="auto"/>
              </w:rPr>
              <w:t>vested</w:t>
            </w:r>
          </w:p>
        </w:tc>
        <w:tc>
          <w:tcPr>
            <w:tcW w:w="1000" w:type="dxa"/>
            <w:vAlign w:val="bottom"/>
            <w:shd w:val="clear" w:color="auto" w:fill="D1D0CF"/>
          </w:tcPr>
          <w:p>
            <w:pPr>
              <w:jc w:val="right"/>
              <w:spacing w:after="0" w:line="135" w:lineRule="exact"/>
              <w:rPr>
                <w:sz w:val="20"/>
                <w:szCs w:val="20"/>
                <w:color w:val="auto"/>
              </w:rPr>
            </w:pPr>
            <w:r>
              <w:rPr>
                <w:rFonts w:ascii="Arial" w:cs="Arial" w:eastAsia="Arial" w:hAnsi="Arial"/>
                <w:sz w:val="14"/>
                <w:szCs w:val="14"/>
                <w:b w:val="1"/>
                <w:bCs w:val="1"/>
                <w:color w:val="auto"/>
              </w:rPr>
              <w:t>vested</w:t>
            </w:r>
          </w:p>
        </w:tc>
        <w:tc>
          <w:tcPr>
            <w:tcW w:w="1120" w:type="dxa"/>
            <w:vAlign w:val="bottom"/>
            <w:tcBorders>
              <w:right w:val="single" w:sz="8" w:color="B2B2B2"/>
            </w:tcBorders>
            <w:shd w:val="clear" w:color="auto" w:fill="D1D0CF"/>
          </w:tcPr>
          <w:p>
            <w:pPr>
              <w:jc w:val="right"/>
              <w:ind w:right="8"/>
              <w:spacing w:after="0" w:line="135" w:lineRule="exact"/>
              <w:rPr>
                <w:sz w:val="20"/>
                <w:szCs w:val="20"/>
                <w:color w:val="auto"/>
              </w:rPr>
            </w:pPr>
            <w:r>
              <w:rPr>
                <w:rFonts w:ascii="Arial" w:cs="Arial" w:eastAsia="Arial" w:hAnsi="Arial"/>
                <w:sz w:val="14"/>
                <w:szCs w:val="14"/>
                <w:b w:val="1"/>
                <w:bCs w:val="1"/>
                <w:color w:val="auto"/>
              </w:rPr>
              <w:t>distributed</w:t>
            </w:r>
          </w:p>
        </w:tc>
        <w:tc>
          <w:tcPr>
            <w:tcW w:w="0" w:type="dxa"/>
            <w:vAlign w:val="bottom"/>
          </w:tcPr>
          <w:p>
            <w:pPr>
              <w:spacing w:after="0"/>
              <w:rPr>
                <w:sz w:val="1"/>
                <w:szCs w:val="1"/>
                <w:color w:val="auto"/>
              </w:rPr>
            </w:pPr>
          </w:p>
        </w:tc>
      </w:tr>
      <w:tr>
        <w:trPr>
          <w:trHeight w:val="188"/>
        </w:trPr>
        <w:tc>
          <w:tcPr>
            <w:tcW w:w="1480" w:type="dxa"/>
            <w:vAlign w:val="bottom"/>
            <w:tcBorders>
              <w:bottom w:val="single" w:sz="8" w:color="237CC1"/>
            </w:tcBorders>
            <w:vMerge w:val="continue"/>
            <w:shd w:val="clear" w:color="auto" w:fill="D1D0CF"/>
          </w:tcPr>
          <w:p>
            <w:pPr>
              <w:spacing w:after="0"/>
              <w:rPr>
                <w:sz w:val="16"/>
                <w:szCs w:val="16"/>
                <w:color w:val="auto"/>
              </w:rPr>
            </w:pPr>
          </w:p>
        </w:tc>
        <w:tc>
          <w:tcPr>
            <w:tcW w:w="108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237CC1"/>
            </w:tcBorders>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date</w:t>
            </w:r>
          </w:p>
        </w:tc>
        <w:tc>
          <w:tcPr>
            <w:tcW w:w="102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237CC1"/>
            </w:tcBorders>
            <w:shd w:val="clear" w:color="auto" w:fill="D1D0C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237CC1"/>
              <w:right w:val="single" w:sz="8" w:color="B2B2B2"/>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François Poirier</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145,786</w:t>
            </w:r>
          </w:p>
        </w:tc>
        <w:tc>
          <w:tcPr>
            <w:tcW w:w="1040" w:type="dxa"/>
            <w:vAlign w:val="bottom"/>
          </w:tcPr>
          <w:p>
            <w:pPr>
              <w:jc w:val="right"/>
              <w:spacing w:after="0"/>
              <w:rPr>
                <w:sz w:val="20"/>
                <w:szCs w:val="20"/>
                <w:color w:val="auto"/>
              </w:rPr>
            </w:pPr>
            <w:r>
              <w:rPr>
                <w:rFonts w:ascii="Arial" w:cs="Arial" w:eastAsia="Arial" w:hAnsi="Arial"/>
                <w:sz w:val="14"/>
                <w:szCs w:val="14"/>
                <w:color w:val="auto"/>
              </w:rPr>
              <w:t>75.06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72.17</w:t>
            </w:r>
          </w:p>
        </w:tc>
        <w:tc>
          <w:tcPr>
            <w:tcW w:w="1020" w:type="dxa"/>
            <w:vAlign w:val="bottom"/>
          </w:tcPr>
          <w:p>
            <w:pPr>
              <w:jc w:val="right"/>
              <w:spacing w:after="0"/>
              <w:rPr>
                <w:sz w:val="20"/>
                <w:szCs w:val="20"/>
                <w:color w:val="auto"/>
              </w:rPr>
            </w:pPr>
            <w:r>
              <w:rPr>
                <w:rFonts w:ascii="Arial" w:cs="Arial" w:eastAsia="Arial" w:hAnsi="Arial"/>
                <w:sz w:val="14"/>
                <w:szCs w:val="14"/>
                <w:color w:val="auto"/>
              </w:rPr>
              <w:t>Feb 19, 2027</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497,130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543,189</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25,268,329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480" w:type="dxa"/>
            <w:vAlign w:val="bottom"/>
            <w:vMerge w:val="continue"/>
          </w:tcPr>
          <w:p>
            <w:pPr>
              <w:spacing w:after="0"/>
              <w:rPr>
                <w:sz w:val="4"/>
                <w:szCs w:val="4"/>
                <w:color w:val="auto"/>
              </w:rPr>
            </w:pPr>
          </w:p>
        </w:tc>
        <w:tc>
          <w:tcPr>
            <w:tcW w:w="108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100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4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205,732</w:t>
            </w:r>
          </w:p>
        </w:tc>
        <w:tc>
          <w:tcPr>
            <w:tcW w:w="1040" w:type="dxa"/>
            <w:vAlign w:val="bottom"/>
          </w:tcPr>
          <w:p>
            <w:pPr>
              <w:jc w:val="right"/>
              <w:spacing w:after="0"/>
              <w:rPr>
                <w:sz w:val="20"/>
                <w:szCs w:val="20"/>
                <w:color w:val="auto"/>
              </w:rPr>
            </w:pPr>
            <w:r>
              <w:rPr>
                <w:rFonts w:ascii="Arial" w:cs="Arial" w:eastAsia="Arial" w:hAnsi="Arial"/>
                <w:sz w:val="14"/>
                <w:szCs w:val="14"/>
                <w:color w:val="auto"/>
              </w:rPr>
              <w:t>56.86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53.97</w:t>
            </w:r>
          </w:p>
        </w:tc>
        <w:tc>
          <w:tcPr>
            <w:tcW w:w="1020" w:type="dxa"/>
            <w:vAlign w:val="bottom"/>
          </w:tcPr>
          <w:p>
            <w:pPr>
              <w:jc w:val="right"/>
              <w:spacing w:after="0"/>
              <w:rPr>
                <w:sz w:val="20"/>
                <w:szCs w:val="20"/>
                <w:color w:val="auto"/>
              </w:rPr>
            </w:pPr>
            <w:r>
              <w:rPr>
                <w:rFonts w:ascii="Arial" w:cs="Arial" w:eastAsia="Arial" w:hAnsi="Arial"/>
                <w:sz w:val="14"/>
                <w:szCs w:val="14"/>
                <w:color w:val="auto"/>
              </w:rPr>
              <w:t>Feb 23, 2028</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4,445,869</w:t>
            </w: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480" w:type="dxa"/>
            <w:vAlign w:val="bottom"/>
          </w:tcPr>
          <w:p>
            <w:pPr>
              <w:spacing w:after="0"/>
              <w:rPr>
                <w:sz w:val="4"/>
                <w:szCs w:val="4"/>
                <w:color w:val="auto"/>
              </w:rPr>
            </w:pPr>
          </w:p>
        </w:tc>
        <w:tc>
          <w:tcPr>
            <w:tcW w:w="108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100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4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270,010</w:t>
            </w:r>
          </w:p>
        </w:tc>
        <w:tc>
          <w:tcPr>
            <w:tcW w:w="1040" w:type="dxa"/>
            <w:vAlign w:val="bottom"/>
          </w:tcPr>
          <w:p>
            <w:pPr>
              <w:jc w:val="right"/>
              <w:spacing w:after="0"/>
              <w:rPr>
                <w:sz w:val="20"/>
                <w:szCs w:val="20"/>
                <w:color w:val="auto"/>
              </w:rPr>
            </w:pPr>
            <w:r>
              <w:rPr>
                <w:rFonts w:ascii="Arial" w:cs="Arial" w:eastAsia="Arial" w:hAnsi="Arial"/>
                <w:sz w:val="14"/>
                <w:szCs w:val="14"/>
                <w:color w:val="auto"/>
              </w:rPr>
              <w:t>66.49</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63.60</w:t>
            </w:r>
          </w:p>
        </w:tc>
        <w:tc>
          <w:tcPr>
            <w:tcW w:w="1020" w:type="dxa"/>
            <w:vAlign w:val="bottom"/>
          </w:tcPr>
          <w:p>
            <w:pPr>
              <w:jc w:val="right"/>
              <w:spacing w:after="0"/>
              <w:rPr>
                <w:sz w:val="20"/>
                <w:szCs w:val="20"/>
                <w:color w:val="auto"/>
              </w:rPr>
            </w:pPr>
            <w:r>
              <w:rPr>
                <w:rFonts w:ascii="Arial" w:cs="Arial" w:eastAsia="Arial" w:hAnsi="Arial"/>
                <w:sz w:val="14"/>
                <w:szCs w:val="14"/>
                <w:color w:val="auto"/>
              </w:rPr>
              <w:t>Feb 17, 2029</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3,234,720</w:t>
            </w: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480" w:type="dxa"/>
            <w:vAlign w:val="bottom"/>
          </w:tcPr>
          <w:p>
            <w:pPr>
              <w:spacing w:after="0"/>
              <w:rPr>
                <w:sz w:val="4"/>
                <w:szCs w:val="4"/>
                <w:color w:val="auto"/>
              </w:rPr>
            </w:pPr>
          </w:p>
        </w:tc>
        <w:tc>
          <w:tcPr>
            <w:tcW w:w="108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100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4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418,601</w:t>
            </w:r>
          </w:p>
        </w:tc>
        <w:tc>
          <w:tcPr>
            <w:tcW w:w="1040" w:type="dxa"/>
            <w:vAlign w:val="bottom"/>
          </w:tcPr>
          <w:p>
            <w:pPr>
              <w:jc w:val="right"/>
              <w:spacing w:after="0"/>
              <w:rPr>
                <w:sz w:val="20"/>
                <w:szCs w:val="20"/>
                <w:color w:val="auto"/>
              </w:rPr>
            </w:pPr>
            <w:r>
              <w:rPr>
                <w:rFonts w:ascii="Arial" w:cs="Arial" w:eastAsia="Arial" w:hAnsi="Arial"/>
                <w:sz w:val="14"/>
                <w:szCs w:val="14"/>
                <w:color w:val="auto"/>
              </w:rPr>
              <w:t>56.66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53.77</w:t>
            </w:r>
          </w:p>
        </w:tc>
        <w:tc>
          <w:tcPr>
            <w:tcW w:w="1020" w:type="dxa"/>
            <w:vAlign w:val="bottom"/>
          </w:tcPr>
          <w:p>
            <w:pPr>
              <w:jc w:val="right"/>
              <w:spacing w:after="0"/>
              <w:rPr>
                <w:sz w:val="20"/>
                <w:szCs w:val="20"/>
                <w:color w:val="auto"/>
              </w:rPr>
            </w:pPr>
            <w:r>
              <w:rPr>
                <w:rFonts w:ascii="Arial" w:cs="Arial" w:eastAsia="Arial" w:hAnsi="Arial"/>
                <w:sz w:val="14"/>
                <w:szCs w:val="14"/>
                <w:color w:val="auto"/>
              </w:rPr>
              <w:t>Feb 16, 2030</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9,129,688</w:t>
            </w: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480" w:type="dxa"/>
            <w:vAlign w:val="bottom"/>
            <w:tcBorders>
              <w:bottom w:val="single" w:sz="8" w:color="B2B2B2"/>
            </w:tcBorders>
          </w:tcPr>
          <w:p>
            <w:pPr>
              <w:spacing w:after="0"/>
              <w:rPr>
                <w:sz w:val="4"/>
                <w:szCs w:val="4"/>
                <w:color w:val="auto"/>
              </w:rPr>
            </w:pPr>
          </w:p>
        </w:tc>
        <w:tc>
          <w:tcPr>
            <w:tcW w:w="108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02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1000" w:type="dxa"/>
            <w:vAlign w:val="bottom"/>
            <w:tcBorders>
              <w:bottom w:val="single" w:sz="8" w:color="B2B2B2"/>
            </w:tcBorders>
          </w:tcPr>
          <w:p>
            <w:pPr>
              <w:spacing w:after="0"/>
              <w:rPr>
                <w:sz w:val="4"/>
                <w:szCs w:val="4"/>
                <w:color w:val="auto"/>
              </w:rPr>
            </w:pPr>
          </w:p>
        </w:tc>
        <w:tc>
          <w:tcPr>
            <w:tcW w:w="11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8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Sean O'Donnell</w:t>
            </w:r>
          </w:p>
        </w:tc>
        <w:tc>
          <w:tcPr>
            <w:tcW w:w="10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142,389</w:t>
            </w:r>
          </w:p>
        </w:tc>
        <w:tc>
          <w:tcPr>
            <w:tcW w:w="100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7,289,085</w:t>
            </w:r>
          </w:p>
        </w:tc>
        <w:tc>
          <w:tcPr>
            <w:tcW w:w="112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148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Tina Faraca</w:t>
            </w:r>
          </w:p>
        </w:tc>
        <w:tc>
          <w:tcPr>
            <w:tcW w:w="10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15,594</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56.66</w:t>
            </w:r>
          </w:p>
        </w:tc>
        <w:tc>
          <w:tcPr>
            <w:tcW w:w="112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53.77</w:t>
            </w: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Feb 16, 2030</w:t>
            </w:r>
          </w:p>
        </w:tc>
        <w:tc>
          <w:tcPr>
            <w:tcW w:w="102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340,105</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131,778</w:t>
            </w:r>
          </w:p>
        </w:tc>
        <w:tc>
          <w:tcPr>
            <w:tcW w:w="100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6,831,321</w:t>
            </w:r>
          </w:p>
        </w:tc>
        <w:tc>
          <w:tcPr>
            <w:tcW w:w="112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148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Anita Dusevic Oliva</w:t>
            </w:r>
          </w:p>
        </w:tc>
        <w:tc>
          <w:tcPr>
            <w:tcW w:w="10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60,735</w:t>
            </w:r>
          </w:p>
        </w:tc>
        <w:tc>
          <w:tcPr>
            <w:tcW w:w="100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3,851,130</w:t>
            </w:r>
          </w:p>
        </w:tc>
        <w:tc>
          <w:tcPr>
            <w:tcW w:w="112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1480" w:type="dxa"/>
            <w:vAlign w:val="bottom"/>
            <w:tcBorders>
              <w:bottom w:val="single" w:sz="8" w:color="237CC1"/>
            </w:tcBorders>
          </w:tcPr>
          <w:p>
            <w:pPr>
              <w:ind w:left="20"/>
              <w:spacing w:after="0"/>
              <w:rPr>
                <w:sz w:val="20"/>
                <w:szCs w:val="20"/>
                <w:color w:val="auto"/>
              </w:rPr>
            </w:pPr>
            <w:r>
              <w:rPr>
                <w:rFonts w:ascii="Arial" w:cs="Arial" w:eastAsia="Arial" w:hAnsi="Arial"/>
                <w:sz w:val="14"/>
                <w:szCs w:val="14"/>
                <w:color w:val="auto"/>
              </w:rPr>
              <w:t>Stanley Chapman III</w:t>
            </w:r>
          </w:p>
        </w:tc>
        <w:tc>
          <w:tcPr>
            <w:tcW w:w="1080" w:type="dxa"/>
            <w:vAlign w:val="bottom"/>
            <w:tcBorders>
              <w:bottom w:val="single" w:sz="8" w:color="237CC1"/>
            </w:tcBorders>
          </w:tcPr>
          <w:p>
            <w:pPr>
              <w:jc w:val="right"/>
              <w:ind w:right="28"/>
              <w:spacing w:after="0"/>
              <w:rPr>
                <w:sz w:val="20"/>
                <w:szCs w:val="20"/>
                <w:color w:val="auto"/>
              </w:rPr>
            </w:pPr>
            <w:r>
              <w:rPr>
                <w:rFonts w:ascii="Arial" w:cs="Arial" w:eastAsia="Arial" w:hAnsi="Arial"/>
                <w:sz w:val="14"/>
                <w:szCs w:val="14"/>
                <w:color w:val="auto"/>
              </w:rPr>
              <w:t>70,325</w:t>
            </w:r>
          </w:p>
        </w:tc>
        <w:tc>
          <w:tcPr>
            <w:tcW w:w="104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56.66</w:t>
            </w:r>
          </w:p>
        </w:tc>
        <w:tc>
          <w:tcPr>
            <w:tcW w:w="1120" w:type="dxa"/>
            <w:vAlign w:val="bottom"/>
            <w:tcBorders>
              <w:bottom w:val="single" w:sz="8" w:color="237CC1"/>
            </w:tcBorders>
          </w:tcPr>
          <w:p>
            <w:pPr>
              <w:jc w:val="right"/>
              <w:ind w:right="28"/>
              <w:spacing w:after="0"/>
              <w:rPr>
                <w:sz w:val="20"/>
                <w:szCs w:val="20"/>
                <w:color w:val="auto"/>
              </w:rPr>
            </w:pPr>
            <w:r>
              <w:rPr>
                <w:rFonts w:ascii="Arial" w:cs="Arial" w:eastAsia="Arial" w:hAnsi="Arial"/>
                <w:sz w:val="14"/>
                <w:szCs w:val="14"/>
                <w:color w:val="auto"/>
              </w:rPr>
              <w:t>53.77</w:t>
            </w:r>
          </w:p>
        </w:tc>
        <w:tc>
          <w:tcPr>
            <w:tcW w:w="102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Jun 30, 2028</w:t>
            </w:r>
          </w:p>
        </w:tc>
        <w:tc>
          <w:tcPr>
            <w:tcW w:w="1020" w:type="dxa"/>
            <w:vAlign w:val="bottom"/>
            <w:tcBorders>
              <w:bottom w:val="single" w:sz="8" w:color="237CC1"/>
            </w:tcBorders>
          </w:tcPr>
          <w:p>
            <w:pPr>
              <w:jc w:val="right"/>
              <w:ind w:right="8"/>
              <w:spacing w:after="0"/>
              <w:rPr>
                <w:sz w:val="20"/>
                <w:szCs w:val="20"/>
                <w:color w:val="auto"/>
              </w:rPr>
            </w:pPr>
            <w:r>
              <w:rPr>
                <w:rFonts w:ascii="Arial" w:cs="Arial" w:eastAsia="Arial" w:hAnsi="Arial"/>
                <w:sz w:val="14"/>
                <w:szCs w:val="14"/>
                <w:color w:val="auto"/>
              </w:rPr>
              <w:t>1,533,788</w:t>
            </w:r>
          </w:p>
        </w:tc>
        <w:tc>
          <w:tcPr>
            <w:tcW w:w="1100" w:type="dxa"/>
            <w:vAlign w:val="bottom"/>
            <w:tcBorders>
              <w:bottom w:val="single" w:sz="8" w:color="237CC1"/>
            </w:tcBorders>
          </w:tcPr>
          <w:p>
            <w:pPr>
              <w:jc w:val="right"/>
              <w:ind w:right="48"/>
              <w:spacing w:after="0"/>
              <w:rPr>
                <w:sz w:val="20"/>
                <w:szCs w:val="20"/>
                <w:color w:val="auto"/>
              </w:rPr>
            </w:pPr>
            <w:r>
              <w:rPr>
                <w:rFonts w:ascii="Arial" w:cs="Arial" w:eastAsia="Arial" w:hAnsi="Arial"/>
                <w:sz w:val="14"/>
                <w:szCs w:val="14"/>
                <w:color w:val="auto"/>
              </w:rPr>
              <w:t>241,560</w:t>
            </w:r>
          </w:p>
        </w:tc>
        <w:tc>
          <w:tcPr>
            <w:tcW w:w="1000" w:type="dxa"/>
            <w:vAlign w:val="bottom"/>
            <w:tcBorders>
              <w:bottom w:val="single" w:sz="8" w:color="237CC1"/>
            </w:tcBorders>
          </w:tcPr>
          <w:p>
            <w:pPr>
              <w:jc w:val="right"/>
              <w:ind w:right="8"/>
              <w:spacing w:after="0"/>
              <w:rPr>
                <w:sz w:val="20"/>
                <w:szCs w:val="20"/>
                <w:color w:val="auto"/>
              </w:rPr>
            </w:pPr>
            <w:r>
              <w:rPr>
                <w:rFonts w:ascii="Arial" w:cs="Arial" w:eastAsia="Arial" w:hAnsi="Arial"/>
                <w:sz w:val="14"/>
                <w:szCs w:val="14"/>
                <w:color w:val="auto"/>
              </w:rPr>
              <w:t>12,206,801</w:t>
            </w:r>
          </w:p>
        </w:tc>
        <w:tc>
          <w:tcPr>
            <w:tcW w:w="1120" w:type="dxa"/>
            <w:vAlign w:val="bottom"/>
            <w:tcBorders>
              <w:bottom w:val="single" w:sz="8" w:color="237CC1"/>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6318885</wp:posOffset>
            </wp:positionH>
            <wp:positionV relativeFrom="paragraph">
              <wp:posOffset>-1202690</wp:posOffset>
            </wp:positionV>
            <wp:extent cx="8255" cy="12033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120332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40" w:hanging="133"/>
        <w:spacing w:after="0"/>
        <w:tabs>
          <w:tab w:leader="none" w:pos="140" w:val="left"/>
        </w:tabs>
        <w:numPr>
          <w:ilvl w:val="0"/>
          <w:numId w:val="160"/>
        </w:numPr>
        <w:rPr>
          <w:rFonts w:ascii="Arial" w:cs="Arial" w:eastAsia="Arial" w:hAnsi="Arial"/>
          <w:sz w:val="11"/>
          <w:szCs w:val="11"/>
          <w:color w:val="auto"/>
        </w:rPr>
      </w:pPr>
      <w:r>
        <w:rPr>
          <w:rFonts w:ascii="Arial" w:cs="Arial" w:eastAsia="Arial" w:hAnsi="Arial"/>
          <w:sz w:val="11"/>
          <w:szCs w:val="11"/>
          <w:i w:val="1"/>
          <w:iCs w:val="1"/>
          <w:color w:val="auto"/>
        </w:rPr>
        <w:t xml:space="preserve">Value of unexercised in-the-money options </w:t>
      </w:r>
      <w:r>
        <w:rPr>
          <w:rFonts w:ascii="Arial" w:cs="Arial" w:eastAsia="Arial" w:hAnsi="Arial"/>
          <w:sz w:val="11"/>
          <w:szCs w:val="11"/>
          <w:color w:val="auto"/>
        </w:rPr>
        <w:t>is based on outstanding vested and unvested Stock Options and the difference between the option exercise price and year-end closing price of our shares.</w:t>
      </w:r>
    </w:p>
    <w:p>
      <w:pPr>
        <w:spacing w:after="0" w:line="48" w:lineRule="exact"/>
        <w:rPr>
          <w:rFonts w:ascii="Arial" w:cs="Arial" w:eastAsia="Arial" w:hAnsi="Arial"/>
          <w:sz w:val="11"/>
          <w:szCs w:val="11"/>
          <w:color w:val="auto"/>
        </w:rPr>
      </w:pPr>
    </w:p>
    <w:p>
      <w:pPr>
        <w:ind w:left="140" w:hanging="133"/>
        <w:spacing w:after="0"/>
        <w:tabs>
          <w:tab w:leader="none" w:pos="140" w:val="left"/>
        </w:tabs>
        <w:numPr>
          <w:ilvl w:val="0"/>
          <w:numId w:val="160"/>
        </w:numPr>
        <w:rPr>
          <w:rFonts w:ascii="Arial" w:cs="Arial" w:eastAsia="Arial" w:hAnsi="Arial"/>
          <w:sz w:val="13"/>
          <w:szCs w:val="13"/>
          <w:color w:val="auto"/>
        </w:rPr>
      </w:pPr>
      <w:r>
        <w:rPr>
          <w:rFonts w:ascii="Arial" w:cs="Arial" w:eastAsia="Arial" w:hAnsi="Arial"/>
          <w:sz w:val="13"/>
          <w:szCs w:val="13"/>
          <w:i w:val="1"/>
          <w:iCs w:val="1"/>
          <w:color w:val="auto"/>
        </w:rPr>
        <w:t xml:space="preserve">Number of shares or units of shares that have not vested </w:t>
      </w:r>
      <w:r>
        <w:rPr>
          <w:rFonts w:ascii="Arial" w:cs="Arial" w:eastAsia="Arial" w:hAnsi="Arial"/>
          <w:sz w:val="13"/>
          <w:szCs w:val="13"/>
          <w:color w:val="auto"/>
        </w:rPr>
        <w:t>includes the amount of the grant plus reinvested units earned as dividend equivalents (reinvested</w:t>
      </w:r>
    </w:p>
    <w:p>
      <w:pPr>
        <w:spacing w:after="0" w:line="39" w:lineRule="exact"/>
        <w:rPr>
          <w:sz w:val="20"/>
          <w:szCs w:val="20"/>
          <w:color w:val="auto"/>
        </w:rPr>
      </w:pPr>
    </w:p>
    <w:p>
      <w:pPr>
        <w:ind w:left="160" w:right="180"/>
        <w:spacing w:after="0" w:line="291" w:lineRule="auto"/>
        <w:rPr>
          <w:sz w:val="20"/>
          <w:szCs w:val="20"/>
          <w:color w:val="auto"/>
        </w:rPr>
      </w:pPr>
      <w:r>
        <w:rPr>
          <w:rFonts w:ascii="Arial" w:cs="Arial" w:eastAsia="Arial" w:hAnsi="Arial"/>
          <w:sz w:val="13"/>
          <w:szCs w:val="13"/>
          <w:color w:val="auto"/>
        </w:rPr>
        <w:t>in accordance with any DRP in place at the time) of all outstanding PSUs and RSUs as at December 31, 2025. Beginning in 2025, three years' worth of PSUs and RSUs are displayed as having not vested due to the Board approved change in vesting period for TC Energy PSU and RSU grants awarded in 2023 and after.</w:t>
      </w:r>
    </w:p>
    <w:p>
      <w:pPr>
        <w:jc w:val="both"/>
        <w:ind w:left="160" w:right="60" w:hanging="153"/>
        <w:spacing w:after="0" w:line="339" w:lineRule="auto"/>
        <w:tabs>
          <w:tab w:leader="none" w:pos="137" w:val="left"/>
        </w:tabs>
        <w:numPr>
          <w:ilvl w:val="0"/>
          <w:numId w:val="161"/>
        </w:numPr>
        <w:rPr>
          <w:rFonts w:ascii="Arial" w:cs="Arial" w:eastAsia="Arial" w:hAnsi="Arial"/>
          <w:sz w:val="11"/>
          <w:szCs w:val="11"/>
          <w:color w:val="auto"/>
        </w:rPr>
      </w:pPr>
      <w:r>
        <w:rPr>
          <w:rFonts w:ascii="Arial" w:cs="Arial" w:eastAsia="Arial" w:hAnsi="Arial"/>
          <w:sz w:val="11"/>
          <w:szCs w:val="11"/>
          <w:i w:val="1"/>
          <w:iCs w:val="1"/>
          <w:color w:val="auto"/>
        </w:rPr>
        <w:t xml:space="preserve">Market or payout value of share-based awards that have not vested </w:t>
      </w:r>
      <w:r>
        <w:rPr>
          <w:rFonts w:ascii="Arial" w:cs="Arial" w:eastAsia="Arial" w:hAnsi="Arial"/>
          <w:sz w:val="11"/>
          <w:szCs w:val="11"/>
          <w:color w:val="auto"/>
        </w:rPr>
        <w:t>is the value of all outstanding RSUs and the minimum payout value of all outstanding PSUs as at December 31, 2025. Beginning in</w:t>
      </w:r>
      <w:r>
        <w:rPr>
          <w:rFonts w:ascii="Arial" w:cs="Arial" w:eastAsia="Arial" w:hAnsi="Arial"/>
          <w:sz w:val="11"/>
          <w:szCs w:val="11"/>
          <w:i w:val="1"/>
          <w:iCs w:val="1"/>
          <w:color w:val="auto"/>
        </w:rPr>
        <w:t xml:space="preserve"> </w:t>
      </w:r>
      <w:r>
        <w:rPr>
          <w:rFonts w:ascii="Arial" w:cs="Arial" w:eastAsia="Arial" w:hAnsi="Arial"/>
          <w:sz w:val="11"/>
          <w:szCs w:val="11"/>
          <w:color w:val="auto"/>
        </w:rPr>
        <w:t>2025, the value of three years' worth of PSUs and RSUs are displayed as having not vested due to the Board approved change in vesting period for TC Energy PSU and RSU grants awarded in 2023 and after. The outstanding minimum PSU value is calculated by multiplying 50 per cent of the number of units that have not vested by the year-end closing price of our common shares.</w:t>
      </w:r>
    </w:p>
    <w:p>
      <w:pPr>
        <w:spacing w:after="0" w:line="1" w:lineRule="exact"/>
        <w:rPr>
          <w:rFonts w:ascii="Arial" w:cs="Arial" w:eastAsia="Arial" w:hAnsi="Arial"/>
          <w:sz w:val="11"/>
          <w:szCs w:val="11"/>
          <w:color w:val="auto"/>
        </w:rPr>
      </w:pPr>
    </w:p>
    <w:p>
      <w:pPr>
        <w:ind w:left="140" w:hanging="133"/>
        <w:spacing w:after="0"/>
        <w:tabs>
          <w:tab w:leader="none" w:pos="14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Beginning in 2024, long-term incentive awards for eligible U.S. employees were granted in U.S. dollars based on TC Energy's share price on the NYSE.</w:t>
      </w:r>
    </w:p>
    <w:p>
      <w:pPr>
        <w:spacing w:after="0" w:line="39" w:lineRule="exact"/>
        <w:rPr>
          <w:sz w:val="20"/>
          <w:szCs w:val="20"/>
          <w:color w:val="auto"/>
        </w:rPr>
      </w:pPr>
    </w:p>
    <w:p>
      <w:pPr>
        <w:ind w:left="160" w:right="60"/>
        <w:spacing w:after="0" w:line="291" w:lineRule="auto"/>
        <w:rPr>
          <w:sz w:val="20"/>
          <w:szCs w:val="20"/>
          <w:color w:val="auto"/>
        </w:rPr>
      </w:pPr>
      <w:r>
        <w:rPr>
          <w:rFonts w:ascii="Arial" w:cs="Arial" w:eastAsia="Arial" w:hAnsi="Arial"/>
          <w:sz w:val="13"/>
          <w:szCs w:val="13"/>
          <w:color w:val="auto"/>
        </w:rPr>
        <w:t xml:space="preserve">The amounts for 2025 under </w:t>
      </w:r>
      <w:r>
        <w:rPr>
          <w:rFonts w:ascii="Arial" w:cs="Arial" w:eastAsia="Arial" w:hAnsi="Arial"/>
          <w:sz w:val="13"/>
          <w:szCs w:val="13"/>
          <w:i w:val="1"/>
          <w:iCs w:val="1"/>
          <w:color w:val="auto"/>
        </w:rPr>
        <w:t>Market or payout value of share-based awards that have not vested</w:t>
      </w:r>
      <w:r>
        <w:rPr>
          <w:rFonts w:ascii="Arial" w:cs="Arial" w:eastAsia="Arial" w:hAnsi="Arial"/>
          <w:sz w:val="13"/>
          <w:szCs w:val="13"/>
          <w:color w:val="auto"/>
        </w:rPr>
        <w:t xml:space="preserve"> for Mr. O'Donnell, Ms. Faraca, and Mr. Chapman were calculated using TC Energy's year-end closing price on the NYSE ($55.01). The values for Mr. O'Donnell, Ms. Faraca, and Mr. Chapman reflect a U.S./Canada foreign exchange rate of 1.3978 for 2025.</w:t>
      </w:r>
    </w:p>
    <w:p>
      <w:pPr>
        <w:ind w:left="140" w:hanging="133"/>
        <w:spacing w:after="0"/>
        <w:tabs>
          <w:tab w:leader="none" w:pos="140" w:val="left"/>
        </w:tabs>
        <w:numPr>
          <w:ilvl w:val="0"/>
          <w:numId w:val="162"/>
        </w:numPr>
        <w:rPr>
          <w:rFonts w:ascii="Arial" w:cs="Arial" w:eastAsia="Arial" w:hAnsi="Arial"/>
          <w:sz w:val="11"/>
          <w:szCs w:val="11"/>
          <w:color w:val="auto"/>
        </w:rPr>
      </w:pPr>
      <w:r>
        <w:rPr>
          <w:rFonts w:ascii="Arial" w:cs="Arial" w:eastAsia="Arial" w:hAnsi="Arial"/>
          <w:sz w:val="11"/>
          <w:szCs w:val="11"/>
          <w:color w:val="auto"/>
        </w:rPr>
        <w:t xml:space="preserve">No value is shown for </w:t>
      </w:r>
      <w:r>
        <w:rPr>
          <w:rFonts w:ascii="Arial" w:cs="Arial" w:eastAsia="Arial" w:hAnsi="Arial"/>
          <w:sz w:val="11"/>
          <w:szCs w:val="11"/>
          <w:i w:val="1"/>
          <w:iCs w:val="1"/>
          <w:color w:val="auto"/>
        </w:rPr>
        <w:t>Market or payout value of vested share-based awards not paid out or distributed</w:t>
      </w:r>
      <w:r>
        <w:rPr>
          <w:rFonts w:ascii="Arial" w:cs="Arial" w:eastAsia="Arial" w:hAnsi="Arial"/>
          <w:sz w:val="11"/>
          <w:szCs w:val="11"/>
          <w:color w:val="auto"/>
        </w:rPr>
        <w:t>. The PSUs granted in 2023 vested on February 22, 2026, and will be paid in March 2026. Refer</w:t>
      </w:r>
    </w:p>
    <w:p>
      <w:pPr>
        <w:spacing w:after="0" w:line="61" w:lineRule="exact"/>
        <w:rPr>
          <w:rFonts w:ascii="Arial" w:cs="Arial" w:eastAsia="Arial" w:hAnsi="Arial"/>
          <w:sz w:val="11"/>
          <w:szCs w:val="11"/>
          <w:color w:val="auto"/>
        </w:rPr>
      </w:pPr>
    </w:p>
    <w:p>
      <w:pPr>
        <w:ind w:left="160" w:right="4900"/>
        <w:spacing w:after="0" w:line="291" w:lineRule="auto"/>
        <w:rPr>
          <w:rFonts w:ascii="Arial" w:cs="Arial" w:eastAsia="Arial" w:hAnsi="Arial"/>
          <w:sz w:val="11"/>
          <w:szCs w:val="11"/>
          <w:color w:val="auto"/>
        </w:rPr>
      </w:pPr>
      <w:r>
        <w:rPr>
          <w:rFonts w:ascii="Arial" w:cs="Arial" w:eastAsia="Arial" w:hAnsi="Arial"/>
          <w:sz w:val="13"/>
          <w:szCs w:val="13"/>
          <w:color w:val="auto"/>
        </w:rPr>
        <w:t xml:space="preserve">to the </w:t>
      </w:r>
      <w:r>
        <w:rPr>
          <w:rFonts w:ascii="Arial" w:cs="Arial" w:eastAsia="Arial" w:hAnsi="Arial"/>
          <w:sz w:val="13"/>
          <w:szCs w:val="13"/>
          <w:i w:val="1"/>
          <w:iCs w:val="1"/>
          <w:color w:val="auto"/>
        </w:rPr>
        <w:t>Payout of 2023 PSU Award</w:t>
      </w:r>
      <w:r>
        <w:rPr>
          <w:rFonts w:ascii="Arial" w:cs="Arial" w:eastAsia="Arial" w:hAnsi="Arial"/>
          <w:sz w:val="13"/>
          <w:szCs w:val="13"/>
          <w:color w:val="auto"/>
        </w:rPr>
        <w:t xml:space="preserve"> section on page 104 for more information on 2023 PSU payout values for the named executives.</w:t>
      </w:r>
    </w:p>
    <w:p>
      <w:pPr>
        <w:ind w:left="160" w:right="160" w:hanging="153"/>
        <w:spacing w:after="0" w:line="287" w:lineRule="auto"/>
        <w:tabs>
          <w:tab w:leader="none" w:pos="137" w:val="left"/>
        </w:tabs>
        <w:numPr>
          <w:ilvl w:val="0"/>
          <w:numId w:val="162"/>
        </w:numPr>
        <w:rPr>
          <w:rFonts w:ascii="Arial" w:cs="Arial" w:eastAsia="Arial" w:hAnsi="Arial"/>
          <w:sz w:val="13"/>
          <w:szCs w:val="13"/>
          <w:color w:val="auto"/>
        </w:rPr>
      </w:pPr>
      <w:r>
        <w:rPr>
          <w:rFonts w:ascii="Arial" w:cs="Arial" w:eastAsia="Arial" w:hAnsi="Arial"/>
          <w:sz w:val="13"/>
          <w:szCs w:val="13"/>
          <w:color w:val="auto"/>
        </w:rPr>
        <w:t>Beginning with 2023 TC Energy PSU and RSU grants, the Board approved a change to amend the grant term and vesting period from a January 1 - December 31 calendar-based schedule to a February grant-date vesting schedule extending through the third anniversary of the grant date, consistent with the timing of Board-approved long-term incentive award grants and TC Energy's stock price on the grant date.</w:t>
      </w:r>
    </w:p>
    <w:p>
      <w:pPr>
        <w:spacing w:after="0" w:line="1" w:lineRule="exact"/>
        <w:rPr>
          <w:rFonts w:ascii="Arial" w:cs="Arial" w:eastAsia="Arial" w:hAnsi="Arial"/>
          <w:sz w:val="13"/>
          <w:szCs w:val="13"/>
          <w:color w:val="auto"/>
        </w:rPr>
      </w:pPr>
    </w:p>
    <w:p>
      <w:pPr>
        <w:ind w:left="140" w:hanging="133"/>
        <w:spacing w:after="0"/>
        <w:tabs>
          <w:tab w:leader="none" w:pos="140" w:val="left"/>
        </w:tabs>
        <w:numPr>
          <w:ilvl w:val="0"/>
          <w:numId w:val="162"/>
        </w:numPr>
        <w:rPr>
          <w:rFonts w:ascii="Arial" w:cs="Arial" w:eastAsia="Arial" w:hAnsi="Arial"/>
          <w:sz w:val="11"/>
          <w:szCs w:val="11"/>
          <w:color w:val="auto"/>
        </w:rPr>
      </w:pPr>
      <w:r>
        <w:rPr>
          <w:rFonts w:ascii="Arial" w:cs="Arial" w:eastAsia="Arial" w:hAnsi="Arial"/>
          <w:sz w:val="11"/>
          <w:szCs w:val="11"/>
          <w:color w:val="auto"/>
        </w:rPr>
        <w:t>Mr. Chapman departed TC Energy on June 30, 2025, with his role as Executive Vice-President and Chief Operating Officer transitioned to Ms. Faraca effective February 1, 2025. His stock option</w:t>
      </w:r>
    </w:p>
    <w:p>
      <w:pPr>
        <w:spacing w:after="0" w:line="61" w:lineRule="exact"/>
        <w:rPr>
          <w:rFonts w:ascii="Arial" w:cs="Arial" w:eastAsia="Arial" w:hAnsi="Arial"/>
          <w:sz w:val="11"/>
          <w:szCs w:val="11"/>
          <w:color w:val="auto"/>
        </w:rPr>
      </w:pPr>
    </w:p>
    <w:p>
      <w:pPr>
        <w:ind w:left="160" w:right="500"/>
        <w:spacing w:after="0" w:line="306" w:lineRule="auto"/>
        <w:rPr>
          <w:rFonts w:ascii="Arial" w:cs="Arial" w:eastAsia="Arial" w:hAnsi="Arial"/>
          <w:sz w:val="11"/>
          <w:szCs w:val="11"/>
          <w:color w:val="auto"/>
        </w:rPr>
      </w:pPr>
      <w:r>
        <w:rPr>
          <w:rFonts w:ascii="Arial" w:cs="Arial" w:eastAsia="Arial" w:hAnsi="Arial"/>
          <w:sz w:val="13"/>
          <w:szCs w:val="13"/>
          <w:color w:val="auto"/>
        </w:rPr>
        <w:t xml:space="preserve">expiration dates for Stock Options granted in 2023 were adjusted pursuant to the terms of his retirement. Please refer to the </w:t>
      </w:r>
      <w:r>
        <w:rPr>
          <w:rFonts w:ascii="Arial" w:cs="Arial" w:eastAsia="Arial" w:hAnsi="Arial"/>
          <w:sz w:val="13"/>
          <w:szCs w:val="13"/>
          <w:i w:val="1"/>
          <w:iCs w:val="1"/>
          <w:color w:val="auto"/>
        </w:rPr>
        <w:t>Departure of Chief Operating Officer</w:t>
      </w:r>
      <w:r>
        <w:rPr>
          <w:rFonts w:ascii="Arial" w:cs="Arial" w:eastAsia="Arial" w:hAnsi="Arial"/>
          <w:sz w:val="13"/>
          <w:szCs w:val="13"/>
          <w:color w:val="auto"/>
        </w:rPr>
        <w:t xml:space="preserve"> section on page 124 for more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9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0D64EF"/>
        </w:rPr>
        <w:t>Incentive plan awards – value vested during the year</w:t>
      </w:r>
    </w:p>
    <w:p>
      <w:pPr>
        <w:spacing w:after="0" w:line="40" w:lineRule="exact"/>
        <w:rPr>
          <w:sz w:val="20"/>
          <w:szCs w:val="20"/>
          <w:color w:val="auto"/>
        </w:rPr>
      </w:pPr>
    </w:p>
    <w:p>
      <w:pPr>
        <w:ind w:right="280"/>
        <w:spacing w:after="0" w:line="354" w:lineRule="auto"/>
        <w:rPr>
          <w:sz w:val="20"/>
          <w:szCs w:val="20"/>
          <w:color w:val="auto"/>
        </w:rPr>
      </w:pPr>
      <w:r>
        <w:rPr>
          <w:rFonts w:ascii="Arial" w:cs="Arial" w:eastAsia="Arial" w:hAnsi="Arial"/>
          <w:sz w:val="16"/>
          <w:szCs w:val="16"/>
          <w:color w:val="auto"/>
        </w:rPr>
        <w:t>The table below shows the total value of all option-based and share-based awards previously granted to the named executives that vested in 2025. It also shows the total amount they earned from non-equity incentive plan awards in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00" w:type="dxa"/>
            <w:vAlign w:val="bottom"/>
            <w:tcBorders>
              <w:top w:val="single" w:sz="8" w:color="0D64EF"/>
            </w:tcBorders>
            <w:shd w:val="clear" w:color="auto" w:fill="D1D0CF"/>
          </w:tcPr>
          <w:p>
            <w:pPr>
              <w:spacing w:after="0"/>
              <w:rPr>
                <w:sz w:val="14"/>
                <w:szCs w:val="14"/>
                <w:color w:val="auto"/>
              </w:rPr>
            </w:pPr>
          </w:p>
        </w:tc>
        <w:tc>
          <w:tcPr>
            <w:tcW w:w="3120" w:type="dxa"/>
            <w:vAlign w:val="bottom"/>
            <w:tcBorders>
              <w:top w:val="single" w:sz="8" w:color="0D64EF"/>
            </w:tcBorders>
            <w:shd w:val="clear" w:color="auto" w:fill="D1D0CF"/>
          </w:tcPr>
          <w:p>
            <w:pPr>
              <w:jc w:val="right"/>
              <w:ind w:right="488"/>
              <w:spacing w:after="0"/>
              <w:rPr>
                <w:sz w:val="20"/>
                <w:szCs w:val="20"/>
                <w:color w:val="auto"/>
              </w:rPr>
            </w:pPr>
            <w:r>
              <w:rPr>
                <w:rFonts w:ascii="Arial" w:cs="Arial" w:eastAsia="Arial" w:hAnsi="Arial"/>
                <w:sz w:val="14"/>
                <w:szCs w:val="14"/>
                <w:b w:val="1"/>
                <w:bCs w:val="1"/>
                <w:color w:val="auto"/>
              </w:rPr>
              <w:t>Option-based awards –</w:t>
            </w:r>
          </w:p>
        </w:tc>
        <w:tc>
          <w:tcPr>
            <w:tcW w:w="2440" w:type="dxa"/>
            <w:vAlign w:val="bottom"/>
            <w:tcBorders>
              <w:top w:val="single" w:sz="8" w:color="0D64EF"/>
            </w:tcBorders>
            <w:shd w:val="clear" w:color="auto" w:fill="D1D0CF"/>
          </w:tcPr>
          <w:p>
            <w:pPr>
              <w:jc w:val="right"/>
              <w:ind w:right="348"/>
              <w:spacing w:after="0"/>
              <w:rPr>
                <w:sz w:val="20"/>
                <w:szCs w:val="20"/>
                <w:color w:val="auto"/>
              </w:rPr>
            </w:pPr>
            <w:r>
              <w:rPr>
                <w:rFonts w:ascii="Arial" w:cs="Arial" w:eastAsia="Arial" w:hAnsi="Arial"/>
                <w:sz w:val="14"/>
                <w:szCs w:val="14"/>
                <w:b w:val="1"/>
                <w:bCs w:val="1"/>
                <w:color w:val="auto"/>
              </w:rPr>
              <w:t>Share-based awards –</w:t>
            </w:r>
          </w:p>
        </w:tc>
        <w:tc>
          <w:tcPr>
            <w:tcW w:w="220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Non-equity incentive plan</w:t>
            </w:r>
          </w:p>
        </w:tc>
        <w:tc>
          <w:tcPr>
            <w:tcW w:w="0" w:type="dxa"/>
            <w:vAlign w:val="bottom"/>
          </w:tcPr>
          <w:p>
            <w:pPr>
              <w:spacing w:after="0"/>
              <w:rPr>
                <w:sz w:val="1"/>
                <w:szCs w:val="1"/>
                <w:color w:val="auto"/>
              </w:rPr>
            </w:pPr>
          </w:p>
        </w:tc>
      </w:tr>
      <w:tr>
        <w:trPr>
          <w:trHeight w:val="148"/>
        </w:trPr>
        <w:tc>
          <w:tcPr>
            <w:tcW w:w="2300" w:type="dxa"/>
            <w:vAlign w:val="bottom"/>
            <w:shd w:val="clear" w:color="auto" w:fill="D1D0CF"/>
          </w:tcPr>
          <w:p>
            <w:pPr>
              <w:spacing w:after="0"/>
              <w:rPr>
                <w:sz w:val="12"/>
                <w:szCs w:val="12"/>
                <w:color w:val="auto"/>
              </w:rPr>
            </w:pPr>
          </w:p>
        </w:tc>
        <w:tc>
          <w:tcPr>
            <w:tcW w:w="3120" w:type="dxa"/>
            <w:vAlign w:val="bottom"/>
            <w:shd w:val="clear" w:color="auto" w:fill="D1D0CF"/>
          </w:tcPr>
          <w:p>
            <w:pPr>
              <w:jc w:val="right"/>
              <w:ind w:right="488"/>
              <w:spacing w:after="0" w:line="148" w:lineRule="exact"/>
              <w:rPr>
                <w:sz w:val="20"/>
                <w:szCs w:val="20"/>
                <w:color w:val="auto"/>
              </w:rPr>
            </w:pPr>
            <w:r>
              <w:rPr>
                <w:rFonts w:ascii="Arial" w:cs="Arial" w:eastAsia="Arial" w:hAnsi="Arial"/>
                <w:sz w:val="14"/>
                <w:szCs w:val="14"/>
                <w:b w:val="1"/>
                <w:bCs w:val="1"/>
                <w:color w:val="auto"/>
              </w:rPr>
              <w:t>value vested during</w:t>
            </w:r>
          </w:p>
        </w:tc>
        <w:tc>
          <w:tcPr>
            <w:tcW w:w="2440" w:type="dxa"/>
            <w:vAlign w:val="bottom"/>
            <w:shd w:val="clear" w:color="auto" w:fill="D1D0CF"/>
          </w:tcPr>
          <w:p>
            <w:pPr>
              <w:jc w:val="right"/>
              <w:ind w:right="348"/>
              <w:spacing w:after="0" w:line="148" w:lineRule="exact"/>
              <w:rPr>
                <w:sz w:val="20"/>
                <w:szCs w:val="20"/>
                <w:color w:val="auto"/>
              </w:rPr>
            </w:pPr>
            <w:r>
              <w:rPr>
                <w:rFonts w:ascii="Arial" w:cs="Arial" w:eastAsia="Arial" w:hAnsi="Arial"/>
                <w:sz w:val="14"/>
                <w:szCs w:val="14"/>
                <w:b w:val="1"/>
                <w:bCs w:val="1"/>
                <w:color w:val="auto"/>
              </w:rPr>
              <w:t>value vested during</w:t>
            </w:r>
          </w:p>
        </w:tc>
        <w:tc>
          <w:tcPr>
            <w:tcW w:w="220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compensation – value</w:t>
            </w:r>
          </w:p>
        </w:tc>
        <w:tc>
          <w:tcPr>
            <w:tcW w:w="0" w:type="dxa"/>
            <w:vAlign w:val="bottom"/>
          </w:tcPr>
          <w:p>
            <w:pPr>
              <w:spacing w:after="0"/>
              <w:rPr>
                <w:sz w:val="1"/>
                <w:szCs w:val="1"/>
                <w:color w:val="auto"/>
              </w:rPr>
            </w:pPr>
          </w:p>
        </w:tc>
      </w:tr>
      <w:tr>
        <w:trPr>
          <w:trHeight w:val="144"/>
        </w:trPr>
        <w:tc>
          <w:tcPr>
            <w:tcW w:w="2300" w:type="dxa"/>
            <w:vAlign w:val="bottom"/>
            <w:vMerge w:val="restart"/>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3120" w:type="dxa"/>
            <w:vAlign w:val="bottom"/>
            <w:shd w:val="clear" w:color="auto" w:fill="D1D0CF"/>
          </w:tcPr>
          <w:p>
            <w:pPr>
              <w:jc w:val="right"/>
              <w:ind w:right="488"/>
              <w:spacing w:after="0" w:line="144" w:lineRule="exact"/>
              <w:rPr>
                <w:sz w:val="20"/>
                <w:szCs w:val="20"/>
                <w:color w:val="auto"/>
              </w:rPr>
            </w:pPr>
            <w:r>
              <w:rPr>
                <w:rFonts w:ascii="Arial" w:cs="Arial" w:eastAsia="Arial" w:hAnsi="Arial"/>
                <w:sz w:val="14"/>
                <w:szCs w:val="14"/>
                <w:b w:val="1"/>
                <w:bCs w:val="1"/>
                <w:color w:val="auto"/>
              </w:rPr>
              <w:t>the year</w:t>
            </w:r>
          </w:p>
        </w:tc>
        <w:tc>
          <w:tcPr>
            <w:tcW w:w="2440" w:type="dxa"/>
            <w:vAlign w:val="bottom"/>
            <w:shd w:val="clear" w:color="auto" w:fill="D1D0CF"/>
          </w:tcPr>
          <w:p>
            <w:pPr>
              <w:jc w:val="right"/>
              <w:ind w:right="348"/>
              <w:spacing w:after="0" w:line="144" w:lineRule="exact"/>
              <w:rPr>
                <w:sz w:val="20"/>
                <w:szCs w:val="20"/>
                <w:color w:val="auto"/>
              </w:rPr>
            </w:pPr>
            <w:r>
              <w:rPr>
                <w:rFonts w:ascii="Arial" w:cs="Arial" w:eastAsia="Arial" w:hAnsi="Arial"/>
                <w:sz w:val="14"/>
                <w:szCs w:val="14"/>
                <w:b w:val="1"/>
                <w:bCs w:val="1"/>
                <w:color w:val="auto"/>
              </w:rPr>
              <w:t>the year</w:t>
            </w:r>
          </w:p>
        </w:tc>
        <w:tc>
          <w:tcPr>
            <w:tcW w:w="2200" w:type="dxa"/>
            <w:vAlign w:val="bottom"/>
            <w:shd w:val="clear" w:color="auto" w:fill="D1D0CF"/>
          </w:tcPr>
          <w:p>
            <w:pPr>
              <w:jc w:val="right"/>
              <w:spacing w:after="0" w:line="144" w:lineRule="exact"/>
              <w:rPr>
                <w:sz w:val="20"/>
                <w:szCs w:val="20"/>
                <w:color w:val="auto"/>
              </w:rPr>
            </w:pPr>
            <w:r>
              <w:rPr>
                <w:rFonts w:ascii="Arial" w:cs="Arial" w:eastAsia="Arial" w:hAnsi="Arial"/>
                <w:sz w:val="14"/>
                <w:szCs w:val="14"/>
                <w:b w:val="1"/>
                <w:bCs w:val="1"/>
                <w:color w:val="auto"/>
              </w:rPr>
              <w:t>earned during the year</w:t>
            </w:r>
          </w:p>
        </w:tc>
        <w:tc>
          <w:tcPr>
            <w:tcW w:w="0" w:type="dxa"/>
            <w:vAlign w:val="bottom"/>
          </w:tcPr>
          <w:p>
            <w:pPr>
              <w:spacing w:after="0"/>
              <w:rPr>
                <w:sz w:val="1"/>
                <w:szCs w:val="1"/>
                <w:color w:val="auto"/>
              </w:rPr>
            </w:pPr>
          </w:p>
        </w:tc>
      </w:tr>
      <w:tr>
        <w:trPr>
          <w:trHeight w:val="199"/>
        </w:trPr>
        <w:tc>
          <w:tcPr>
            <w:tcW w:w="2300" w:type="dxa"/>
            <w:vAlign w:val="bottom"/>
            <w:tcBorders>
              <w:bottom w:val="single" w:sz="8" w:color="0D64EF"/>
            </w:tcBorders>
            <w:vMerge w:val="continue"/>
            <w:shd w:val="clear" w:color="auto" w:fill="D1D0CF"/>
          </w:tcPr>
          <w:p>
            <w:pPr>
              <w:spacing w:after="0"/>
              <w:rPr>
                <w:sz w:val="17"/>
                <w:szCs w:val="17"/>
                <w:color w:val="auto"/>
              </w:rPr>
            </w:pPr>
          </w:p>
        </w:tc>
        <w:tc>
          <w:tcPr>
            <w:tcW w:w="3120" w:type="dxa"/>
            <w:vAlign w:val="bottom"/>
            <w:tcBorders>
              <w:bottom w:val="single" w:sz="8" w:color="0D64EF"/>
            </w:tcBorders>
            <w:shd w:val="clear" w:color="auto" w:fill="D1D0CF"/>
          </w:tcPr>
          <w:p>
            <w:pPr>
              <w:jc w:val="right"/>
              <w:ind w:right="448"/>
              <w:spacing w:after="0"/>
              <w:rPr>
                <w:sz w:val="20"/>
                <w:szCs w:val="20"/>
                <w:color w:val="auto"/>
              </w:rPr>
            </w:pPr>
            <w:r>
              <w:rPr>
                <w:rFonts w:ascii="Arial" w:cs="Arial" w:eastAsia="Arial" w:hAnsi="Arial"/>
                <w:sz w:val="14"/>
                <w:szCs w:val="14"/>
                <w:b w:val="1"/>
                <w:bCs w:val="1"/>
                <w:color w:val="auto"/>
              </w:rPr>
              <w:t>($)</w:t>
            </w:r>
          </w:p>
        </w:tc>
        <w:tc>
          <w:tcPr>
            <w:tcW w:w="2440" w:type="dxa"/>
            <w:vAlign w:val="bottom"/>
            <w:tcBorders>
              <w:bottom w:val="single" w:sz="8" w:color="0D64EF"/>
            </w:tcBorders>
            <w:shd w:val="clear" w:color="auto" w:fill="D1D0CF"/>
          </w:tcPr>
          <w:p>
            <w:pPr>
              <w:ind w:left="1880"/>
              <w:spacing w:after="0"/>
              <w:rPr>
                <w:sz w:val="20"/>
                <w:szCs w:val="20"/>
                <w:color w:val="auto"/>
              </w:rPr>
            </w:pPr>
            <w:r>
              <w:rPr>
                <w:rFonts w:ascii="Arial" w:cs="Arial" w:eastAsia="Arial" w:hAnsi="Arial"/>
                <w:sz w:val="14"/>
                <w:szCs w:val="14"/>
                <w:b w:val="1"/>
                <w:bCs w:val="1"/>
                <w:color w:val="auto"/>
              </w:rPr>
              <w:t>($)</w:t>
            </w:r>
          </w:p>
        </w:tc>
        <w:tc>
          <w:tcPr>
            <w:tcW w:w="22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23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François Poirier</w:t>
            </w:r>
          </w:p>
        </w:tc>
        <w:tc>
          <w:tcPr>
            <w:tcW w:w="3120" w:type="dxa"/>
            <w:vAlign w:val="bottom"/>
            <w:tcBorders>
              <w:bottom w:val="single" w:sz="8" w:color="B2B2B2"/>
            </w:tcBorders>
          </w:tcPr>
          <w:p>
            <w:pPr>
              <w:jc w:val="right"/>
              <w:ind w:right="488"/>
              <w:spacing w:after="0"/>
              <w:rPr>
                <w:sz w:val="20"/>
                <w:szCs w:val="20"/>
                <w:color w:val="auto"/>
              </w:rPr>
            </w:pPr>
            <w:r>
              <w:rPr>
                <w:rFonts w:ascii="Arial" w:cs="Arial" w:eastAsia="Arial" w:hAnsi="Arial"/>
                <w:sz w:val="14"/>
                <w:szCs w:val="14"/>
                <w:color w:val="auto"/>
              </w:rPr>
              <w:t>1,725,107</w:t>
            </w:r>
          </w:p>
        </w:tc>
        <w:tc>
          <w:tcPr>
            <w:tcW w:w="2440" w:type="dxa"/>
            <w:vAlign w:val="bottom"/>
            <w:tcBorders>
              <w:bottom w:val="single" w:sz="8" w:color="B2B2B2"/>
            </w:tcBorders>
          </w:tcPr>
          <w:p>
            <w:pPr>
              <w:ind w:left="1860"/>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2,593,944</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Sean O'Donnell</w:t>
            </w:r>
          </w:p>
        </w:tc>
        <w:tc>
          <w:tcPr>
            <w:tcW w:w="3120" w:type="dxa"/>
            <w:vAlign w:val="bottom"/>
            <w:tcBorders>
              <w:bottom w:val="single" w:sz="8" w:color="B2B2B2"/>
            </w:tcBorders>
          </w:tcPr>
          <w:p>
            <w:pPr>
              <w:jc w:val="right"/>
              <w:ind w:right="488"/>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B2B2B2"/>
            </w:tcBorders>
          </w:tcPr>
          <w:p>
            <w:pPr>
              <w:ind w:left="1860"/>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1,226,082</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Tina Faraca</w:t>
            </w:r>
          </w:p>
        </w:tc>
        <w:tc>
          <w:tcPr>
            <w:tcW w:w="3120" w:type="dxa"/>
            <w:vAlign w:val="bottom"/>
            <w:tcBorders>
              <w:bottom w:val="single" w:sz="8" w:color="B2B2B2"/>
            </w:tcBorders>
          </w:tcPr>
          <w:p>
            <w:pPr>
              <w:jc w:val="right"/>
              <w:ind w:right="488"/>
              <w:spacing w:after="0"/>
              <w:rPr>
                <w:sz w:val="20"/>
                <w:szCs w:val="20"/>
                <w:color w:val="auto"/>
              </w:rPr>
            </w:pPr>
            <w:r>
              <w:rPr>
                <w:rFonts w:ascii="Arial" w:cs="Arial" w:eastAsia="Arial" w:hAnsi="Arial"/>
                <w:sz w:val="14"/>
                <w:szCs w:val="14"/>
                <w:color w:val="auto"/>
              </w:rPr>
              <w:t>193,788</w:t>
            </w:r>
          </w:p>
        </w:tc>
        <w:tc>
          <w:tcPr>
            <w:tcW w:w="2440" w:type="dxa"/>
            <w:vAlign w:val="bottom"/>
            <w:tcBorders>
              <w:bottom w:val="single" w:sz="8" w:color="B2B2B2"/>
            </w:tcBorders>
          </w:tcPr>
          <w:p>
            <w:pPr>
              <w:ind w:left="1860"/>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1,222,888</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Anita Dusevic Oliva</w:t>
            </w:r>
          </w:p>
        </w:tc>
        <w:tc>
          <w:tcPr>
            <w:tcW w:w="3120" w:type="dxa"/>
            <w:vAlign w:val="bottom"/>
            <w:tcBorders>
              <w:bottom w:val="single" w:sz="8" w:color="B2B2B2"/>
            </w:tcBorders>
          </w:tcPr>
          <w:p>
            <w:pPr>
              <w:jc w:val="right"/>
              <w:ind w:right="488"/>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B2B2B2"/>
            </w:tcBorders>
          </w:tcPr>
          <w:p>
            <w:pPr>
              <w:ind w:left="1860"/>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565,069</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237CC1"/>
            </w:tcBorders>
          </w:tcPr>
          <w:p>
            <w:pPr>
              <w:ind w:left="20"/>
              <w:spacing w:after="0"/>
              <w:rPr>
                <w:sz w:val="20"/>
                <w:szCs w:val="20"/>
                <w:color w:val="auto"/>
              </w:rPr>
            </w:pPr>
            <w:r>
              <w:rPr>
                <w:rFonts w:ascii="Arial" w:cs="Arial" w:eastAsia="Arial" w:hAnsi="Arial"/>
                <w:sz w:val="14"/>
                <w:szCs w:val="14"/>
                <w:color w:val="auto"/>
              </w:rPr>
              <w:t>Stanley Chapman III</w:t>
            </w:r>
          </w:p>
        </w:tc>
        <w:tc>
          <w:tcPr>
            <w:tcW w:w="3120" w:type="dxa"/>
            <w:vAlign w:val="bottom"/>
            <w:tcBorders>
              <w:bottom w:val="single" w:sz="8" w:color="237CC1"/>
            </w:tcBorders>
          </w:tcPr>
          <w:p>
            <w:pPr>
              <w:jc w:val="right"/>
              <w:ind w:right="488"/>
              <w:spacing w:after="0"/>
              <w:rPr>
                <w:sz w:val="20"/>
                <w:szCs w:val="20"/>
                <w:color w:val="auto"/>
              </w:rPr>
            </w:pPr>
            <w:r>
              <w:rPr>
                <w:rFonts w:ascii="Arial" w:cs="Arial" w:eastAsia="Arial" w:hAnsi="Arial"/>
                <w:sz w:val="14"/>
                <w:szCs w:val="14"/>
                <w:color w:val="auto"/>
              </w:rPr>
              <w:t>886,916</w:t>
            </w:r>
          </w:p>
        </w:tc>
        <w:tc>
          <w:tcPr>
            <w:tcW w:w="2440" w:type="dxa"/>
            <w:vAlign w:val="bottom"/>
            <w:tcBorders>
              <w:bottom w:val="single" w:sz="8" w:color="237CC1"/>
            </w:tcBorders>
          </w:tcPr>
          <w:p>
            <w:pPr>
              <w:ind w:left="1860"/>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801,823</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45" w:lineRule="exact"/>
        <w:rPr>
          <w:sz w:val="20"/>
          <w:szCs w:val="20"/>
          <w:color w:val="auto"/>
        </w:rPr>
      </w:pPr>
    </w:p>
    <w:p>
      <w:pPr>
        <w:ind w:left="140" w:hanging="133"/>
        <w:spacing w:after="0"/>
        <w:tabs>
          <w:tab w:leader="none" w:pos="140" w:val="left"/>
        </w:tabs>
        <w:numPr>
          <w:ilvl w:val="0"/>
          <w:numId w:val="163"/>
        </w:numPr>
        <w:rPr>
          <w:rFonts w:ascii="Arial" w:cs="Arial" w:eastAsia="Arial" w:hAnsi="Arial"/>
          <w:sz w:val="13"/>
          <w:szCs w:val="13"/>
          <w:color w:val="auto"/>
        </w:rPr>
      </w:pPr>
      <w:r>
        <w:rPr>
          <w:rFonts w:ascii="Arial" w:cs="Arial" w:eastAsia="Arial" w:hAnsi="Arial"/>
          <w:sz w:val="13"/>
          <w:szCs w:val="13"/>
          <w:i w:val="1"/>
          <w:iCs w:val="1"/>
          <w:color w:val="auto"/>
        </w:rPr>
        <w:t xml:space="preserve">Option-based awards </w:t>
      </w:r>
      <w:r>
        <w:rPr>
          <w:rFonts w:ascii="Arial" w:cs="Arial" w:eastAsia="Arial" w:hAnsi="Arial"/>
          <w:sz w:val="13"/>
          <w:szCs w:val="13"/>
          <w:color w:val="auto"/>
        </w:rPr>
        <w:t>is the total value the named executives would have realized if they had exercised the Stock Options on the vesting date.</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63"/>
        </w:numPr>
        <w:rPr>
          <w:rFonts w:ascii="Arial" w:cs="Arial" w:eastAsia="Arial" w:hAnsi="Arial"/>
          <w:sz w:val="11"/>
          <w:szCs w:val="11"/>
          <w:color w:val="auto"/>
        </w:rPr>
      </w:pPr>
      <w:r>
        <w:rPr>
          <w:rFonts w:ascii="Arial" w:cs="Arial" w:eastAsia="Arial" w:hAnsi="Arial"/>
          <w:sz w:val="11"/>
          <w:szCs w:val="11"/>
          <w:color w:val="auto"/>
        </w:rPr>
        <w:t xml:space="preserve">No </w:t>
      </w:r>
      <w:r>
        <w:rPr>
          <w:rFonts w:ascii="Arial" w:cs="Arial" w:eastAsia="Arial" w:hAnsi="Arial"/>
          <w:sz w:val="11"/>
          <w:szCs w:val="11"/>
          <w:i w:val="1"/>
          <w:iCs w:val="1"/>
          <w:color w:val="auto"/>
        </w:rPr>
        <w:t>Share-based awards</w:t>
      </w:r>
      <w:r>
        <w:rPr>
          <w:rFonts w:ascii="Arial" w:cs="Arial" w:eastAsia="Arial" w:hAnsi="Arial"/>
          <w:sz w:val="11"/>
          <w:szCs w:val="11"/>
          <w:color w:val="auto"/>
        </w:rPr>
        <w:t xml:space="preserve"> vested during the 2025 reporting year for the named executives. Beginning with 2023 TC Energy PSU and RSU grants, the Board approved a change to amend the grant term</w:t>
      </w:r>
    </w:p>
    <w:p>
      <w:pPr>
        <w:spacing w:after="0" w:line="61" w:lineRule="exact"/>
        <w:rPr>
          <w:rFonts w:ascii="Arial" w:cs="Arial" w:eastAsia="Arial" w:hAnsi="Arial"/>
          <w:sz w:val="11"/>
          <w:szCs w:val="11"/>
          <w:color w:val="auto"/>
        </w:rPr>
      </w:pPr>
    </w:p>
    <w:p>
      <w:pPr>
        <w:ind w:left="160"/>
        <w:spacing w:after="0"/>
        <w:rPr>
          <w:rFonts w:ascii="Arial" w:cs="Arial" w:eastAsia="Arial" w:hAnsi="Arial"/>
          <w:sz w:val="11"/>
          <w:szCs w:val="11"/>
          <w:color w:val="auto"/>
        </w:rPr>
      </w:pPr>
      <w:r>
        <w:rPr>
          <w:rFonts w:ascii="Arial" w:cs="Arial" w:eastAsia="Arial" w:hAnsi="Arial"/>
          <w:sz w:val="13"/>
          <w:szCs w:val="13"/>
          <w:color w:val="auto"/>
        </w:rPr>
        <w:t>and vesting period from a January 1 - December 31 calendar-based schedule to a February grant-date</w:t>
      </w:r>
    </w:p>
    <w:p>
      <w:pPr>
        <w:spacing w:after="0" w:line="25" w:lineRule="exact"/>
        <w:rPr>
          <w:rFonts w:ascii="Arial" w:cs="Arial" w:eastAsia="Arial" w:hAnsi="Arial"/>
          <w:sz w:val="11"/>
          <w:szCs w:val="11"/>
          <w:color w:val="auto"/>
        </w:rPr>
      </w:pPr>
    </w:p>
    <w:p>
      <w:pPr>
        <w:ind w:left="160"/>
        <w:spacing w:after="0"/>
        <w:rPr>
          <w:rFonts w:ascii="Arial" w:cs="Arial" w:eastAsia="Arial" w:hAnsi="Arial"/>
          <w:sz w:val="11"/>
          <w:szCs w:val="11"/>
          <w:color w:val="auto"/>
        </w:rPr>
      </w:pPr>
      <w:r>
        <w:rPr>
          <w:rFonts w:ascii="Arial" w:cs="Arial" w:eastAsia="Arial" w:hAnsi="Arial"/>
          <w:sz w:val="13"/>
          <w:szCs w:val="13"/>
          <w:color w:val="auto"/>
        </w:rPr>
        <w:t>vesting schedule extending through the third anniversary of the grant date, consistent with the timing of Board-approved long-term incentive award</w:t>
      </w:r>
    </w:p>
    <w:p>
      <w:pPr>
        <w:spacing w:after="0" w:line="38" w:lineRule="exact"/>
        <w:rPr>
          <w:rFonts w:ascii="Arial" w:cs="Arial" w:eastAsia="Arial" w:hAnsi="Arial"/>
          <w:sz w:val="11"/>
          <w:szCs w:val="11"/>
          <w:color w:val="auto"/>
        </w:rPr>
      </w:pPr>
    </w:p>
    <w:p>
      <w:pPr>
        <w:ind w:left="160"/>
        <w:spacing w:after="0"/>
        <w:rPr>
          <w:rFonts w:ascii="Arial" w:cs="Arial" w:eastAsia="Arial" w:hAnsi="Arial"/>
          <w:sz w:val="11"/>
          <w:szCs w:val="11"/>
          <w:color w:val="auto"/>
        </w:rPr>
      </w:pPr>
      <w:r>
        <w:rPr>
          <w:rFonts w:ascii="Arial" w:cs="Arial" w:eastAsia="Arial" w:hAnsi="Arial"/>
          <w:sz w:val="13"/>
          <w:szCs w:val="13"/>
          <w:color w:val="auto"/>
        </w:rPr>
        <w:t xml:space="preserve">grants and TC Energy's stock price on the grant date. Refer to the </w:t>
      </w:r>
      <w:r>
        <w:rPr>
          <w:rFonts w:ascii="Arial" w:cs="Arial" w:eastAsia="Arial" w:hAnsi="Arial"/>
          <w:sz w:val="13"/>
          <w:szCs w:val="13"/>
          <w:i w:val="1"/>
          <w:iCs w:val="1"/>
          <w:color w:val="auto"/>
        </w:rPr>
        <w:t>Payout of 2023 PSU Award</w:t>
      </w:r>
      <w:r>
        <w:rPr>
          <w:rFonts w:ascii="Arial" w:cs="Arial" w:eastAsia="Arial" w:hAnsi="Arial"/>
          <w:sz w:val="13"/>
          <w:szCs w:val="13"/>
          <w:color w:val="auto"/>
        </w:rPr>
        <w:t xml:space="preserve"> section on page 104 for more information on 2023 PSU payout values for the named executives.</w:t>
      </w:r>
    </w:p>
    <w:p>
      <w:pPr>
        <w:spacing w:after="0" w:line="25" w:lineRule="exact"/>
        <w:rPr>
          <w:rFonts w:ascii="Arial" w:cs="Arial" w:eastAsia="Arial" w:hAnsi="Arial"/>
          <w:sz w:val="11"/>
          <w:szCs w:val="11"/>
          <w:color w:val="auto"/>
        </w:rPr>
      </w:pPr>
    </w:p>
    <w:p>
      <w:pPr>
        <w:ind w:left="140" w:hanging="133"/>
        <w:spacing w:after="0"/>
        <w:tabs>
          <w:tab w:leader="none" w:pos="140" w:val="left"/>
        </w:tabs>
        <w:numPr>
          <w:ilvl w:val="0"/>
          <w:numId w:val="163"/>
        </w:numPr>
        <w:rPr>
          <w:rFonts w:ascii="Arial" w:cs="Arial" w:eastAsia="Arial" w:hAnsi="Arial"/>
          <w:sz w:val="13"/>
          <w:szCs w:val="13"/>
          <w:color w:val="auto"/>
        </w:rPr>
      </w:pPr>
      <w:r>
        <w:rPr>
          <w:rFonts w:ascii="Arial" w:cs="Arial" w:eastAsia="Arial" w:hAnsi="Arial"/>
          <w:sz w:val="13"/>
          <w:szCs w:val="13"/>
          <w:i w:val="1"/>
          <w:iCs w:val="1"/>
          <w:color w:val="auto"/>
        </w:rPr>
        <w:t xml:space="preserve">Non-equity incentive plan compensation </w:t>
      </w:r>
      <w:r>
        <w:rPr>
          <w:rFonts w:ascii="Arial" w:cs="Arial" w:eastAsia="Arial" w:hAnsi="Arial"/>
          <w:sz w:val="13"/>
          <w:szCs w:val="13"/>
          <w:color w:val="auto"/>
        </w:rPr>
        <w:t>is the short-term incentive award for 2025. This amount is shown under</w:t>
      </w:r>
      <w:r>
        <w:rPr>
          <w:rFonts w:ascii="Arial" w:cs="Arial" w:eastAsia="Arial" w:hAnsi="Arial"/>
          <w:sz w:val="13"/>
          <w:szCs w:val="13"/>
          <w:i w:val="1"/>
          <w:iCs w:val="1"/>
          <w:color w:val="auto"/>
        </w:rPr>
        <w:t xml:space="preserve"> Annual incentive plans </w:t>
      </w:r>
      <w:r>
        <w:rPr>
          <w:rFonts w:ascii="Arial" w:cs="Arial" w:eastAsia="Arial" w:hAnsi="Arial"/>
          <w:sz w:val="13"/>
          <w:szCs w:val="13"/>
          <w:color w:val="auto"/>
        </w:rPr>
        <w:t>in the</w:t>
      </w:r>
    </w:p>
    <w:p>
      <w:pPr>
        <w:spacing w:after="0" w:line="213" w:lineRule="exact"/>
        <w:rPr>
          <w:sz w:val="20"/>
          <w:szCs w:val="20"/>
          <w:color w:val="auto"/>
        </w:rPr>
      </w:pPr>
    </w:p>
    <w:p>
      <w:pPr>
        <w:ind w:left="160" w:right="3240" w:hanging="153"/>
        <w:spacing w:after="0" w:line="430" w:lineRule="auto"/>
        <w:tabs>
          <w:tab w:leader="none" w:pos="137" w:val="left"/>
        </w:tabs>
        <w:numPr>
          <w:ilvl w:val="0"/>
          <w:numId w:val="164"/>
        </w:numPr>
        <w:rPr>
          <w:rFonts w:ascii="Arial" w:cs="Arial" w:eastAsia="Arial" w:hAnsi="Arial"/>
          <w:sz w:val="11"/>
          <w:szCs w:val="11"/>
          <w:color w:val="auto"/>
        </w:rPr>
      </w:pPr>
      <w:r>
        <w:rPr>
          <w:rFonts w:ascii="Arial" w:cs="Arial" w:eastAsia="Arial" w:hAnsi="Arial"/>
          <w:sz w:val="11"/>
          <w:szCs w:val="11"/>
          <w:color w:val="auto"/>
        </w:rPr>
        <w:t xml:space="preserve">Mr. Chapman's amount under </w:t>
      </w:r>
      <w:r>
        <w:rPr>
          <w:rFonts w:ascii="Arial" w:cs="Arial" w:eastAsia="Arial" w:hAnsi="Arial"/>
          <w:sz w:val="11"/>
          <w:szCs w:val="11"/>
          <w:i w:val="1"/>
          <w:iCs w:val="1"/>
          <w:color w:val="auto"/>
        </w:rPr>
        <w:t>non-equity incentive plan compensation</w:t>
      </w:r>
      <w:r>
        <w:rPr>
          <w:rFonts w:ascii="Arial" w:cs="Arial" w:eastAsia="Arial" w:hAnsi="Arial"/>
          <w:sz w:val="11"/>
          <w:szCs w:val="11"/>
          <w:color w:val="auto"/>
        </w:rPr>
        <w:t xml:space="preserve"> reflects his departure date of June 30, 2025 and was prorated pursuant to the terms of his retirement. Please refer to the </w:t>
      </w:r>
      <w:r>
        <w:rPr>
          <w:rFonts w:ascii="Arial" w:cs="Arial" w:eastAsia="Arial" w:hAnsi="Arial"/>
          <w:sz w:val="11"/>
          <w:szCs w:val="11"/>
          <w:i w:val="1"/>
          <w:iCs w:val="1"/>
          <w:color w:val="auto"/>
        </w:rPr>
        <w:t>Departure of Chief Operating Officer</w:t>
      </w:r>
      <w:r>
        <w:rPr>
          <w:rFonts w:ascii="Arial" w:cs="Arial" w:eastAsia="Arial" w:hAnsi="Arial"/>
          <w:sz w:val="11"/>
          <w:szCs w:val="11"/>
          <w:color w:val="auto"/>
        </w:rPr>
        <w:t xml:space="preserve"> section on page 124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117</w:t>
      </w:r>
    </w:p>
    <w:p>
      <w:pPr>
        <w:sectPr>
          <w:pgSz w:w="11900" w:h="16838" w:orient="portrait"/>
          <w:cols w:equalWidth="0" w:num="1">
            <w:col w:w="11240"/>
          </w:cols>
          <w:pgMar w:left="320" w:top="1061" w:right="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b w:val="1"/>
          <w:bCs w:val="1"/>
          <w:color w:val="0D64EF"/>
        </w:rPr>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Securities authorized for issue under equity compensation plans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w:t>
      </w:r>
    </w:p>
    <w:p>
      <w:pPr>
        <w:spacing w:after="0" w:line="152" w:lineRule="exact"/>
        <w:rPr>
          <w:sz w:val="20"/>
          <w:szCs w:val="20"/>
          <w:color w:val="auto"/>
        </w:rPr>
      </w:pPr>
    </w:p>
    <w:p>
      <w:pPr>
        <w:ind w:left="140" w:hanging="133"/>
        <w:spacing w:after="0"/>
        <w:tabs>
          <w:tab w:leader="none" w:pos="1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number of TC Energy shares to be issued under the Stock Option Plan when outstanding Stock Options are exercised,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weighted average exercise price of the outstanding Stock Options, and</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number of TC Energy shares available for future issue under the Existing Stock Option Plan.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0" w:type="dxa"/>
            <w:vAlign w:val="bottom"/>
            <w:tcBorders>
              <w:top w:val="single" w:sz="8" w:color="237CC1"/>
            </w:tcBorders>
            <w:shd w:val="clear" w:color="auto" w:fill="D1D0CF"/>
          </w:tcPr>
          <w:p>
            <w:pPr>
              <w:spacing w:after="0"/>
              <w:rPr>
                <w:sz w:val="14"/>
                <w:szCs w:val="14"/>
                <w:color w:val="auto"/>
              </w:rPr>
            </w:pPr>
          </w:p>
        </w:tc>
        <w:tc>
          <w:tcPr>
            <w:tcW w:w="2980" w:type="dxa"/>
            <w:vAlign w:val="bottom"/>
            <w:tcBorders>
              <w:top w:val="single" w:sz="8" w:color="237CC1"/>
            </w:tcBorders>
            <w:shd w:val="clear" w:color="auto" w:fill="D1D0CF"/>
          </w:tcPr>
          <w:p>
            <w:pPr>
              <w:spacing w:after="0"/>
              <w:rPr>
                <w:sz w:val="14"/>
                <w:szCs w:val="14"/>
                <w:color w:val="auto"/>
              </w:rPr>
            </w:pPr>
          </w:p>
        </w:tc>
        <w:tc>
          <w:tcPr>
            <w:tcW w:w="2300" w:type="dxa"/>
            <w:vAlign w:val="bottom"/>
            <w:tcBorders>
              <w:top w:val="single" w:sz="8" w:color="237CC1"/>
            </w:tcBorders>
            <w:shd w:val="clear" w:color="auto" w:fill="D1D0CF"/>
          </w:tcPr>
          <w:p>
            <w:pPr>
              <w:spacing w:after="0"/>
              <w:rPr>
                <w:sz w:val="14"/>
                <w:szCs w:val="14"/>
                <w:color w:val="auto"/>
              </w:rPr>
            </w:pPr>
          </w:p>
        </w:tc>
        <w:tc>
          <w:tcPr>
            <w:tcW w:w="2960" w:type="dxa"/>
            <w:vAlign w:val="bottom"/>
            <w:tcBorders>
              <w:top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3000" w:type="dxa"/>
            <w:vAlign w:val="bottom"/>
            <w:shd w:val="clear" w:color="auto" w:fill="D1D0CF"/>
          </w:tcPr>
          <w:p>
            <w:pPr>
              <w:spacing w:after="0"/>
              <w:rPr>
                <w:sz w:val="12"/>
                <w:szCs w:val="12"/>
                <w:color w:val="auto"/>
              </w:rPr>
            </w:pPr>
          </w:p>
        </w:tc>
        <w:tc>
          <w:tcPr>
            <w:tcW w:w="2980" w:type="dxa"/>
            <w:vAlign w:val="bottom"/>
            <w:vMerge w:val="restart"/>
            <w:shd w:val="clear" w:color="auto" w:fill="D1D0CF"/>
          </w:tcPr>
          <w:p>
            <w:pPr>
              <w:jc w:val="right"/>
              <w:ind w:right="348"/>
              <w:spacing w:after="0"/>
              <w:rPr>
                <w:sz w:val="20"/>
                <w:szCs w:val="20"/>
                <w:color w:val="auto"/>
              </w:rPr>
            </w:pPr>
            <w:r>
              <w:rPr>
                <w:rFonts w:ascii="Arial" w:cs="Arial" w:eastAsia="Arial" w:hAnsi="Arial"/>
                <w:sz w:val="14"/>
                <w:szCs w:val="14"/>
                <w:b w:val="1"/>
                <w:bCs w:val="1"/>
                <w:color w:val="auto"/>
              </w:rPr>
              <w:t>Number of securities to</w:t>
            </w:r>
          </w:p>
        </w:tc>
        <w:tc>
          <w:tcPr>
            <w:tcW w:w="2300" w:type="dxa"/>
            <w:vAlign w:val="bottom"/>
            <w:vMerge w:val="restart"/>
            <w:shd w:val="clear" w:color="auto" w:fill="D1D0CF"/>
          </w:tcPr>
          <w:p>
            <w:pPr>
              <w:jc w:val="right"/>
              <w:ind w:right="488"/>
              <w:spacing w:after="0"/>
              <w:rPr>
                <w:sz w:val="20"/>
                <w:szCs w:val="20"/>
                <w:color w:val="auto"/>
              </w:rPr>
            </w:pPr>
            <w:r>
              <w:rPr>
                <w:rFonts w:ascii="Arial" w:cs="Arial" w:eastAsia="Arial" w:hAnsi="Arial"/>
                <w:sz w:val="14"/>
                <w:szCs w:val="14"/>
                <w:b w:val="1"/>
                <w:bCs w:val="1"/>
                <w:color w:val="auto"/>
              </w:rPr>
              <w:t>Weighted-average</w:t>
            </w:r>
          </w:p>
        </w:tc>
        <w:tc>
          <w:tcPr>
            <w:tcW w:w="296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4"/>
        </w:trPr>
        <w:tc>
          <w:tcPr>
            <w:tcW w:w="3000" w:type="dxa"/>
            <w:vAlign w:val="bottom"/>
            <w:shd w:val="clear" w:color="auto" w:fill="D1D0CF"/>
          </w:tcPr>
          <w:p>
            <w:pPr>
              <w:spacing w:after="0"/>
              <w:rPr>
                <w:sz w:val="12"/>
                <w:szCs w:val="12"/>
                <w:color w:val="auto"/>
              </w:rPr>
            </w:pPr>
          </w:p>
        </w:tc>
        <w:tc>
          <w:tcPr>
            <w:tcW w:w="2980" w:type="dxa"/>
            <w:vAlign w:val="bottom"/>
            <w:vMerge w:val="continue"/>
            <w:shd w:val="clear" w:color="auto" w:fill="D1D0CF"/>
          </w:tcPr>
          <w:p>
            <w:pPr>
              <w:spacing w:after="0"/>
              <w:rPr>
                <w:sz w:val="12"/>
                <w:szCs w:val="12"/>
                <w:color w:val="auto"/>
              </w:rPr>
            </w:pPr>
          </w:p>
        </w:tc>
        <w:tc>
          <w:tcPr>
            <w:tcW w:w="2300" w:type="dxa"/>
            <w:vAlign w:val="bottom"/>
            <w:vMerge w:val="continue"/>
            <w:shd w:val="clear" w:color="auto" w:fill="D1D0CF"/>
          </w:tcPr>
          <w:p>
            <w:pPr>
              <w:spacing w:after="0"/>
              <w:rPr>
                <w:sz w:val="12"/>
                <w:szCs w:val="12"/>
                <w:color w:val="auto"/>
              </w:rPr>
            </w:pPr>
          </w:p>
        </w:tc>
        <w:tc>
          <w:tcPr>
            <w:tcW w:w="2960" w:type="dxa"/>
            <w:vAlign w:val="bottom"/>
            <w:shd w:val="clear" w:color="auto" w:fill="D1D0CF"/>
          </w:tcPr>
          <w:p>
            <w:pPr>
              <w:jc w:val="right"/>
              <w:spacing w:after="0" w:line="144" w:lineRule="exact"/>
              <w:rPr>
                <w:sz w:val="20"/>
                <w:szCs w:val="20"/>
                <w:color w:val="auto"/>
              </w:rPr>
            </w:pPr>
            <w:r>
              <w:rPr>
                <w:rFonts w:ascii="Arial" w:cs="Arial" w:eastAsia="Arial" w:hAnsi="Arial"/>
                <w:sz w:val="14"/>
                <w:szCs w:val="14"/>
                <w:b w:val="1"/>
                <w:bCs w:val="1"/>
                <w:color w:val="auto"/>
              </w:rPr>
              <w:t>equity compensation plans</w:t>
            </w:r>
          </w:p>
        </w:tc>
        <w:tc>
          <w:tcPr>
            <w:tcW w:w="0" w:type="dxa"/>
            <w:vAlign w:val="bottom"/>
          </w:tcPr>
          <w:p>
            <w:pPr>
              <w:spacing w:after="0"/>
              <w:rPr>
                <w:sz w:val="1"/>
                <w:szCs w:val="1"/>
                <w:color w:val="auto"/>
              </w:rPr>
            </w:pPr>
          </w:p>
        </w:tc>
      </w:tr>
      <w:tr>
        <w:trPr>
          <w:trHeight w:val="139"/>
        </w:trPr>
        <w:tc>
          <w:tcPr>
            <w:tcW w:w="3000" w:type="dxa"/>
            <w:vAlign w:val="bottom"/>
            <w:shd w:val="clear" w:color="auto" w:fill="D1D0CF"/>
          </w:tcPr>
          <w:p>
            <w:pPr>
              <w:spacing w:after="0"/>
              <w:rPr>
                <w:sz w:val="12"/>
                <w:szCs w:val="12"/>
                <w:color w:val="auto"/>
              </w:rPr>
            </w:pPr>
          </w:p>
        </w:tc>
        <w:tc>
          <w:tcPr>
            <w:tcW w:w="2980" w:type="dxa"/>
            <w:vAlign w:val="bottom"/>
            <w:shd w:val="clear" w:color="auto" w:fill="D1D0CF"/>
          </w:tcPr>
          <w:p>
            <w:pPr>
              <w:jc w:val="right"/>
              <w:ind w:right="348"/>
              <w:spacing w:after="0" w:line="139" w:lineRule="exact"/>
              <w:rPr>
                <w:sz w:val="20"/>
                <w:szCs w:val="20"/>
                <w:color w:val="auto"/>
              </w:rPr>
            </w:pPr>
            <w:r>
              <w:rPr>
                <w:rFonts w:ascii="Arial" w:cs="Arial" w:eastAsia="Arial" w:hAnsi="Arial"/>
                <w:sz w:val="14"/>
                <w:szCs w:val="14"/>
                <w:b w:val="1"/>
                <w:bCs w:val="1"/>
                <w:color w:val="auto"/>
              </w:rPr>
              <w:t>be issued upon exercise</w:t>
            </w:r>
          </w:p>
        </w:tc>
        <w:tc>
          <w:tcPr>
            <w:tcW w:w="2300" w:type="dxa"/>
            <w:vAlign w:val="bottom"/>
            <w:shd w:val="clear" w:color="auto" w:fill="D1D0CF"/>
          </w:tcPr>
          <w:p>
            <w:pPr>
              <w:jc w:val="right"/>
              <w:ind w:right="488"/>
              <w:spacing w:after="0" w:line="139" w:lineRule="exact"/>
              <w:rPr>
                <w:sz w:val="20"/>
                <w:szCs w:val="20"/>
                <w:color w:val="auto"/>
              </w:rPr>
            </w:pPr>
            <w:r>
              <w:rPr>
                <w:rFonts w:ascii="Arial" w:cs="Arial" w:eastAsia="Arial" w:hAnsi="Arial"/>
                <w:sz w:val="14"/>
                <w:szCs w:val="14"/>
                <w:b w:val="1"/>
                <w:bCs w:val="1"/>
                <w:color w:val="auto"/>
              </w:rPr>
              <w:t>exercise price of</w:t>
            </w:r>
          </w:p>
        </w:tc>
        <w:tc>
          <w:tcPr>
            <w:tcW w:w="2960" w:type="dxa"/>
            <w:vAlign w:val="bottom"/>
            <w:shd w:val="clear" w:color="auto" w:fill="D1D0CF"/>
          </w:tcPr>
          <w:p>
            <w:pPr>
              <w:jc w:val="right"/>
              <w:spacing w:after="0" w:line="139" w:lineRule="exact"/>
              <w:rPr>
                <w:sz w:val="20"/>
                <w:szCs w:val="20"/>
                <w:color w:val="auto"/>
              </w:rPr>
            </w:pPr>
            <w:r>
              <w:rPr>
                <w:rFonts w:ascii="Arial" w:cs="Arial" w:eastAsia="Arial" w:hAnsi="Arial"/>
                <w:sz w:val="14"/>
                <w:szCs w:val="14"/>
                <w:b w:val="1"/>
                <w:bCs w:val="1"/>
                <w:color w:val="auto"/>
              </w:rPr>
              <w:t>(excluding securities reflected</w:t>
            </w:r>
          </w:p>
        </w:tc>
        <w:tc>
          <w:tcPr>
            <w:tcW w:w="0" w:type="dxa"/>
            <w:vAlign w:val="bottom"/>
          </w:tcPr>
          <w:p>
            <w:pPr>
              <w:spacing w:after="0"/>
              <w:rPr>
                <w:sz w:val="1"/>
                <w:szCs w:val="1"/>
                <w:color w:val="auto"/>
              </w:rPr>
            </w:pPr>
          </w:p>
        </w:tc>
      </w:tr>
      <w:tr>
        <w:trPr>
          <w:trHeight w:val="144"/>
        </w:trPr>
        <w:tc>
          <w:tcPr>
            <w:tcW w:w="3000" w:type="dxa"/>
            <w:vAlign w:val="bottom"/>
            <w:shd w:val="clear" w:color="auto" w:fill="D1D0CF"/>
          </w:tcPr>
          <w:p>
            <w:pPr>
              <w:spacing w:after="0"/>
              <w:rPr>
                <w:sz w:val="12"/>
                <w:szCs w:val="12"/>
                <w:color w:val="auto"/>
              </w:rPr>
            </w:pPr>
          </w:p>
        </w:tc>
        <w:tc>
          <w:tcPr>
            <w:tcW w:w="2980" w:type="dxa"/>
            <w:vAlign w:val="bottom"/>
            <w:shd w:val="clear" w:color="auto" w:fill="D1D0CF"/>
          </w:tcPr>
          <w:p>
            <w:pPr>
              <w:jc w:val="right"/>
              <w:ind w:right="348"/>
              <w:spacing w:after="0" w:line="144" w:lineRule="exact"/>
              <w:rPr>
                <w:sz w:val="20"/>
                <w:szCs w:val="20"/>
                <w:color w:val="auto"/>
              </w:rPr>
            </w:pPr>
            <w:r>
              <w:rPr>
                <w:rFonts w:ascii="Arial" w:cs="Arial" w:eastAsia="Arial" w:hAnsi="Arial"/>
                <w:sz w:val="14"/>
                <w:szCs w:val="14"/>
                <w:b w:val="1"/>
                <w:bCs w:val="1"/>
                <w:color w:val="auto"/>
              </w:rPr>
              <w:t>of outstanding options</w:t>
            </w:r>
          </w:p>
        </w:tc>
        <w:tc>
          <w:tcPr>
            <w:tcW w:w="2300" w:type="dxa"/>
            <w:vAlign w:val="bottom"/>
            <w:shd w:val="clear" w:color="auto" w:fill="D1D0CF"/>
          </w:tcPr>
          <w:p>
            <w:pPr>
              <w:jc w:val="right"/>
              <w:ind w:right="488"/>
              <w:spacing w:after="0" w:line="144" w:lineRule="exact"/>
              <w:rPr>
                <w:sz w:val="20"/>
                <w:szCs w:val="20"/>
                <w:color w:val="auto"/>
              </w:rPr>
            </w:pPr>
            <w:r>
              <w:rPr>
                <w:rFonts w:ascii="Arial" w:cs="Arial" w:eastAsia="Arial" w:hAnsi="Arial"/>
                <w:sz w:val="14"/>
                <w:szCs w:val="14"/>
                <w:b w:val="1"/>
                <w:bCs w:val="1"/>
                <w:color w:val="auto"/>
              </w:rPr>
              <w:t>outstanding options</w:t>
            </w:r>
          </w:p>
        </w:tc>
        <w:tc>
          <w:tcPr>
            <w:tcW w:w="2960" w:type="dxa"/>
            <w:vAlign w:val="bottom"/>
            <w:shd w:val="clear" w:color="auto" w:fill="D1D0CF"/>
          </w:tcPr>
          <w:p>
            <w:pPr>
              <w:jc w:val="right"/>
              <w:spacing w:after="0" w:line="144" w:lineRule="exact"/>
              <w:rPr>
                <w:sz w:val="20"/>
                <w:szCs w:val="20"/>
                <w:color w:val="auto"/>
              </w:rPr>
            </w:pPr>
            <w:r>
              <w:rPr>
                <w:rFonts w:ascii="Arial" w:cs="Arial" w:eastAsia="Arial" w:hAnsi="Arial"/>
                <w:sz w:val="14"/>
                <w:szCs w:val="14"/>
                <w:b w:val="1"/>
                <w:bCs w:val="1"/>
                <w:color w:val="auto"/>
              </w:rPr>
              <w:t>in the first column)</w:t>
            </w:r>
          </w:p>
        </w:tc>
        <w:tc>
          <w:tcPr>
            <w:tcW w:w="0" w:type="dxa"/>
            <w:vAlign w:val="bottom"/>
          </w:tcPr>
          <w:p>
            <w:pPr>
              <w:spacing w:after="0"/>
              <w:rPr>
                <w:sz w:val="1"/>
                <w:szCs w:val="1"/>
                <w:color w:val="auto"/>
              </w:rPr>
            </w:pPr>
          </w:p>
        </w:tc>
      </w:tr>
      <w:tr>
        <w:trPr>
          <w:trHeight w:val="199"/>
        </w:trPr>
        <w:tc>
          <w:tcPr>
            <w:tcW w:w="3000" w:type="dxa"/>
            <w:vAlign w:val="bottom"/>
            <w:tcBorders>
              <w:bottom w:val="single" w:sz="8" w:color="237CC1"/>
            </w:tcBorders>
            <w:shd w:val="clear" w:color="auto" w:fill="D1D0CF"/>
          </w:tcPr>
          <w:p>
            <w:pPr>
              <w:spacing w:after="0"/>
              <w:rPr>
                <w:sz w:val="17"/>
                <w:szCs w:val="17"/>
                <w:color w:val="auto"/>
              </w:rPr>
            </w:pPr>
          </w:p>
        </w:tc>
        <w:tc>
          <w:tcPr>
            <w:tcW w:w="2980" w:type="dxa"/>
            <w:vAlign w:val="bottom"/>
            <w:tcBorders>
              <w:bottom w:val="single" w:sz="8" w:color="237CC1"/>
            </w:tcBorders>
            <w:shd w:val="clear" w:color="auto" w:fill="D1D0CF"/>
          </w:tcPr>
          <w:p>
            <w:pPr>
              <w:jc w:val="right"/>
              <w:ind w:right="308"/>
              <w:spacing w:after="0"/>
              <w:rPr>
                <w:sz w:val="20"/>
                <w:szCs w:val="20"/>
                <w:color w:val="auto"/>
              </w:rPr>
            </w:pPr>
            <w:r>
              <w:rPr>
                <w:rFonts w:ascii="Arial" w:cs="Arial" w:eastAsia="Arial" w:hAnsi="Arial"/>
                <w:sz w:val="14"/>
                <w:szCs w:val="14"/>
                <w:b w:val="1"/>
                <w:bCs w:val="1"/>
                <w:color w:val="auto"/>
              </w:rPr>
              <w:t>(#)</w:t>
            </w:r>
          </w:p>
        </w:tc>
        <w:tc>
          <w:tcPr>
            <w:tcW w:w="2300" w:type="dxa"/>
            <w:vAlign w:val="bottom"/>
            <w:tcBorders>
              <w:bottom w:val="single" w:sz="8" w:color="237CC1"/>
            </w:tcBorders>
            <w:shd w:val="clear" w:color="auto" w:fill="D1D0CF"/>
          </w:tcPr>
          <w:p>
            <w:pPr>
              <w:jc w:val="right"/>
              <w:ind w:right="448"/>
              <w:spacing w:after="0"/>
              <w:rPr>
                <w:sz w:val="20"/>
                <w:szCs w:val="20"/>
                <w:color w:val="auto"/>
              </w:rPr>
            </w:pPr>
            <w:r>
              <w:rPr>
                <w:rFonts w:ascii="Arial" w:cs="Arial" w:eastAsia="Arial" w:hAnsi="Arial"/>
                <w:sz w:val="14"/>
                <w:szCs w:val="14"/>
                <w:b w:val="1"/>
                <w:bCs w:val="1"/>
                <w:color w:val="auto"/>
              </w:rPr>
              <w:t>($)</w:t>
            </w:r>
          </w:p>
        </w:tc>
        <w:tc>
          <w:tcPr>
            <w:tcW w:w="296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Arial" w:cs="Arial" w:eastAsia="Arial" w:hAnsi="Arial"/>
                <w:sz w:val="14"/>
                <w:szCs w:val="14"/>
                <w:color w:val="auto"/>
              </w:rPr>
              <w:t>Equity compensation plans</w:t>
            </w:r>
          </w:p>
        </w:tc>
        <w:tc>
          <w:tcPr>
            <w:tcW w:w="2980" w:type="dxa"/>
            <w:vAlign w:val="bottom"/>
            <w:vMerge w:val="restart"/>
          </w:tcPr>
          <w:p>
            <w:pPr>
              <w:jc w:val="right"/>
              <w:ind w:right="308"/>
              <w:spacing w:after="0"/>
              <w:rPr>
                <w:sz w:val="20"/>
                <w:szCs w:val="20"/>
                <w:color w:val="auto"/>
              </w:rPr>
            </w:pPr>
            <w:r>
              <w:rPr>
                <w:rFonts w:ascii="Arial" w:cs="Arial" w:eastAsia="Arial" w:hAnsi="Arial"/>
                <w:sz w:val="14"/>
                <w:szCs w:val="14"/>
                <w:color w:val="auto"/>
              </w:rPr>
              <w:t>2,361,365</w:t>
            </w:r>
          </w:p>
        </w:tc>
        <w:tc>
          <w:tcPr>
            <w:tcW w:w="2300" w:type="dxa"/>
            <w:vAlign w:val="bottom"/>
            <w:vMerge w:val="restart"/>
          </w:tcPr>
          <w:p>
            <w:pPr>
              <w:jc w:val="right"/>
              <w:ind w:right="508"/>
              <w:spacing w:after="0"/>
              <w:rPr>
                <w:sz w:val="20"/>
                <w:szCs w:val="20"/>
                <w:color w:val="auto"/>
              </w:rPr>
            </w:pPr>
            <w:r>
              <w:rPr>
                <w:rFonts w:ascii="Arial" w:cs="Arial" w:eastAsia="Arial" w:hAnsi="Arial"/>
                <w:sz w:val="14"/>
                <w:szCs w:val="14"/>
                <w:color w:val="auto"/>
              </w:rPr>
              <w:t>61.37</w:t>
            </w:r>
          </w:p>
        </w:tc>
        <w:tc>
          <w:tcPr>
            <w:tcW w:w="2960" w:type="dxa"/>
            <w:vAlign w:val="bottom"/>
            <w:vMerge w:val="restart"/>
          </w:tcPr>
          <w:p>
            <w:pPr>
              <w:jc w:val="right"/>
              <w:spacing w:after="0"/>
              <w:rPr>
                <w:sz w:val="20"/>
                <w:szCs w:val="20"/>
                <w:color w:val="auto"/>
              </w:rPr>
            </w:pPr>
            <w:r>
              <w:rPr>
                <w:rFonts w:ascii="Arial" w:cs="Arial" w:eastAsia="Arial" w:hAnsi="Arial"/>
                <w:sz w:val="14"/>
                <w:szCs w:val="14"/>
                <w:color w:val="auto"/>
              </w:rPr>
              <w:t>3,994,688</w:t>
            </w:r>
          </w:p>
        </w:tc>
        <w:tc>
          <w:tcPr>
            <w:tcW w:w="0" w:type="dxa"/>
            <w:vAlign w:val="bottom"/>
          </w:tcPr>
          <w:p>
            <w:pPr>
              <w:spacing w:after="0"/>
              <w:rPr>
                <w:sz w:val="1"/>
                <w:szCs w:val="1"/>
                <w:color w:val="auto"/>
              </w:rPr>
            </w:pPr>
          </w:p>
        </w:tc>
      </w:tr>
      <w:tr>
        <w:trPr>
          <w:trHeight w:val="109"/>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approved by security holders</w:t>
            </w:r>
          </w:p>
        </w:tc>
        <w:tc>
          <w:tcPr>
            <w:tcW w:w="298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2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00" w:type="dxa"/>
            <w:vAlign w:val="bottom"/>
            <w:vMerge w:val="continue"/>
          </w:tcPr>
          <w:p>
            <w:pPr>
              <w:spacing w:after="0"/>
              <w:rPr>
                <w:sz w:val="7"/>
                <w:szCs w:val="7"/>
                <w:color w:val="auto"/>
              </w:rPr>
            </w:pPr>
          </w:p>
        </w:tc>
        <w:tc>
          <w:tcPr>
            <w:tcW w:w="29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0" w:type="dxa"/>
            <w:vAlign w:val="bottom"/>
            <w:tcBorders>
              <w:bottom w:val="single" w:sz="8" w:color="B2B2B2"/>
            </w:tcBorders>
          </w:tcPr>
          <w:p>
            <w:pPr>
              <w:spacing w:after="0" w:line="20" w:lineRule="exact"/>
              <w:rPr>
                <w:sz w:val="1"/>
                <w:szCs w:val="1"/>
                <w:color w:val="auto"/>
              </w:rPr>
            </w:pPr>
          </w:p>
        </w:tc>
        <w:tc>
          <w:tcPr>
            <w:tcW w:w="2980" w:type="dxa"/>
            <w:vAlign w:val="bottom"/>
            <w:tcBorders>
              <w:bottom w:val="single" w:sz="8" w:color="B2B2B2"/>
            </w:tcBorders>
          </w:tcPr>
          <w:p>
            <w:pPr>
              <w:spacing w:after="0" w:line="20" w:lineRule="exact"/>
              <w:rPr>
                <w:sz w:val="1"/>
                <w:szCs w:val="1"/>
                <w:color w:val="auto"/>
              </w:rPr>
            </w:pPr>
          </w:p>
        </w:tc>
        <w:tc>
          <w:tcPr>
            <w:tcW w:w="2300" w:type="dxa"/>
            <w:vAlign w:val="bottom"/>
            <w:tcBorders>
              <w:bottom w:val="single" w:sz="8" w:color="B2B2B2"/>
            </w:tcBorders>
          </w:tcPr>
          <w:p>
            <w:pPr>
              <w:spacing w:after="0" w:line="20" w:lineRule="exact"/>
              <w:rPr>
                <w:sz w:val="1"/>
                <w:szCs w:val="1"/>
                <w:color w:val="auto"/>
              </w:rPr>
            </w:pPr>
          </w:p>
        </w:tc>
        <w:tc>
          <w:tcPr>
            <w:tcW w:w="29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3000" w:type="dxa"/>
            <w:vAlign w:val="bottom"/>
          </w:tcPr>
          <w:p>
            <w:pPr>
              <w:ind w:left="20"/>
              <w:spacing w:after="0" w:line="159" w:lineRule="exact"/>
              <w:rPr>
                <w:sz w:val="20"/>
                <w:szCs w:val="20"/>
                <w:color w:val="auto"/>
              </w:rPr>
            </w:pPr>
            <w:r>
              <w:rPr>
                <w:rFonts w:ascii="Arial" w:cs="Arial" w:eastAsia="Arial" w:hAnsi="Arial"/>
                <w:sz w:val="14"/>
                <w:szCs w:val="14"/>
                <w:color w:val="auto"/>
              </w:rPr>
              <w:t>Equity compensation plans</w:t>
            </w:r>
          </w:p>
        </w:tc>
        <w:tc>
          <w:tcPr>
            <w:tcW w:w="2980" w:type="dxa"/>
            <w:vAlign w:val="bottom"/>
            <w:vMerge w:val="restart"/>
          </w:tcPr>
          <w:p>
            <w:pPr>
              <w:jc w:val="right"/>
              <w:ind w:right="328"/>
              <w:spacing w:after="0"/>
              <w:rPr>
                <w:sz w:val="20"/>
                <w:szCs w:val="20"/>
                <w:color w:val="auto"/>
              </w:rPr>
            </w:pPr>
            <w:r>
              <w:rPr>
                <w:rFonts w:ascii="Arial" w:cs="Arial" w:eastAsia="Arial" w:hAnsi="Arial"/>
                <w:sz w:val="14"/>
                <w:szCs w:val="14"/>
                <w:color w:val="auto"/>
              </w:rPr>
              <w:t>N/A</w:t>
            </w:r>
          </w:p>
        </w:tc>
        <w:tc>
          <w:tcPr>
            <w:tcW w:w="2300" w:type="dxa"/>
            <w:vAlign w:val="bottom"/>
            <w:vMerge w:val="restart"/>
          </w:tcPr>
          <w:p>
            <w:pPr>
              <w:jc w:val="right"/>
              <w:ind w:right="488"/>
              <w:spacing w:after="0"/>
              <w:rPr>
                <w:sz w:val="20"/>
                <w:szCs w:val="20"/>
                <w:color w:val="auto"/>
              </w:rPr>
            </w:pPr>
            <w:r>
              <w:rPr>
                <w:rFonts w:ascii="Arial" w:cs="Arial" w:eastAsia="Arial" w:hAnsi="Arial"/>
                <w:sz w:val="14"/>
                <w:szCs w:val="14"/>
                <w:color w:val="auto"/>
              </w:rPr>
              <w:t>N/A</w:t>
            </w:r>
          </w:p>
        </w:tc>
        <w:tc>
          <w:tcPr>
            <w:tcW w:w="296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9"/>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not approved by security holders</w:t>
            </w:r>
          </w:p>
        </w:tc>
        <w:tc>
          <w:tcPr>
            <w:tcW w:w="298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2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00" w:type="dxa"/>
            <w:vAlign w:val="bottom"/>
            <w:vMerge w:val="continue"/>
          </w:tcPr>
          <w:p>
            <w:pPr>
              <w:spacing w:after="0"/>
              <w:rPr>
                <w:sz w:val="7"/>
                <w:szCs w:val="7"/>
                <w:color w:val="auto"/>
              </w:rPr>
            </w:pPr>
          </w:p>
        </w:tc>
        <w:tc>
          <w:tcPr>
            <w:tcW w:w="29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3000" w:type="dxa"/>
            <w:vAlign w:val="bottom"/>
            <w:tcBorders>
              <w:bottom w:val="single" w:sz="8" w:color="237CC1"/>
            </w:tcBorders>
          </w:tcPr>
          <w:p>
            <w:pPr>
              <w:ind w:left="20"/>
              <w:spacing w:after="0"/>
              <w:rPr>
                <w:sz w:val="20"/>
                <w:szCs w:val="20"/>
                <w:color w:val="auto"/>
              </w:rPr>
            </w:pPr>
            <w:r>
              <w:rPr>
                <w:rFonts w:ascii="Arial" w:cs="Arial" w:eastAsia="Arial" w:hAnsi="Arial"/>
                <w:sz w:val="14"/>
                <w:szCs w:val="14"/>
                <w:b w:val="1"/>
                <w:bCs w:val="1"/>
                <w:color w:val="237CC1"/>
              </w:rPr>
              <w:t>Total</w:t>
            </w:r>
          </w:p>
        </w:tc>
        <w:tc>
          <w:tcPr>
            <w:tcW w:w="2980" w:type="dxa"/>
            <w:vAlign w:val="bottom"/>
            <w:tcBorders>
              <w:bottom w:val="single" w:sz="8" w:color="237CC1"/>
            </w:tcBorders>
          </w:tcPr>
          <w:p>
            <w:pPr>
              <w:jc w:val="right"/>
              <w:ind w:right="308"/>
              <w:spacing w:after="0"/>
              <w:rPr>
                <w:sz w:val="20"/>
                <w:szCs w:val="20"/>
                <w:color w:val="auto"/>
              </w:rPr>
            </w:pPr>
            <w:r>
              <w:rPr>
                <w:rFonts w:ascii="Arial" w:cs="Arial" w:eastAsia="Arial" w:hAnsi="Arial"/>
                <w:sz w:val="14"/>
                <w:szCs w:val="14"/>
                <w:b w:val="1"/>
                <w:bCs w:val="1"/>
                <w:color w:val="auto"/>
              </w:rPr>
              <w:t>2,361,365</w:t>
            </w:r>
          </w:p>
        </w:tc>
        <w:tc>
          <w:tcPr>
            <w:tcW w:w="2300" w:type="dxa"/>
            <w:vAlign w:val="bottom"/>
            <w:tcBorders>
              <w:bottom w:val="single" w:sz="8" w:color="237CC1"/>
            </w:tcBorders>
          </w:tcPr>
          <w:p>
            <w:pPr>
              <w:jc w:val="right"/>
              <w:ind w:right="508"/>
              <w:spacing w:after="0"/>
              <w:rPr>
                <w:sz w:val="20"/>
                <w:szCs w:val="20"/>
                <w:color w:val="auto"/>
              </w:rPr>
            </w:pPr>
            <w:r>
              <w:rPr>
                <w:rFonts w:ascii="Arial" w:cs="Arial" w:eastAsia="Arial" w:hAnsi="Arial"/>
                <w:sz w:val="14"/>
                <w:szCs w:val="14"/>
                <w:b w:val="1"/>
                <w:bCs w:val="1"/>
                <w:color w:val="auto"/>
              </w:rPr>
              <w:t>61.37</w:t>
            </w:r>
          </w:p>
        </w:tc>
        <w:tc>
          <w:tcPr>
            <w:tcW w:w="2960" w:type="dxa"/>
            <w:vAlign w:val="bottom"/>
            <w:tcBorders>
              <w:bottom w:val="single" w:sz="8" w:color="237CC1"/>
            </w:tcBorders>
          </w:tcPr>
          <w:p>
            <w:pPr>
              <w:jc w:val="right"/>
              <w:spacing w:after="0"/>
              <w:rPr>
                <w:sz w:val="20"/>
                <w:szCs w:val="20"/>
                <w:color w:val="auto"/>
              </w:rPr>
            </w:pPr>
            <w:r>
              <w:rPr>
                <w:rFonts w:ascii="Arial" w:cs="Arial" w:eastAsia="Arial" w:hAnsi="Arial"/>
                <w:sz w:val="14"/>
                <w:szCs w:val="14"/>
                <w:b w:val="1"/>
                <w:bCs w:val="1"/>
                <w:color w:val="auto"/>
              </w:rPr>
              <w:t>3,994,688</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Stock Option grants as a percentage of outstanding shares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40" w:type="dxa"/>
            <w:vAlign w:val="bottom"/>
            <w:tcBorders>
              <w:top w:val="single" w:sz="8" w:color="237CC1"/>
              <w:bottom w:val="single" w:sz="8" w:color="D1D0CF"/>
            </w:tcBorders>
            <w:shd w:val="clear" w:color="auto" w:fill="D1D0CF"/>
          </w:tcPr>
          <w:p>
            <w:pPr>
              <w:spacing w:after="0"/>
              <w:rPr>
                <w:sz w:val="18"/>
                <w:szCs w:val="18"/>
                <w:color w:val="auto"/>
              </w:rPr>
            </w:pPr>
          </w:p>
        </w:tc>
        <w:tc>
          <w:tcPr>
            <w:tcW w:w="1560" w:type="dxa"/>
            <w:vAlign w:val="bottom"/>
            <w:tcBorders>
              <w:top w:val="single" w:sz="8" w:color="237CC1"/>
              <w:bottom w:val="single" w:sz="8" w:color="D1D0CF"/>
            </w:tcBorders>
            <w:shd w:val="clear" w:color="auto" w:fill="D1D0CF"/>
          </w:tcPr>
          <w:p>
            <w:pPr>
              <w:spacing w:after="0"/>
              <w:rPr>
                <w:sz w:val="18"/>
                <w:szCs w:val="18"/>
                <w:color w:val="auto"/>
              </w:rPr>
            </w:pPr>
          </w:p>
        </w:tc>
        <w:tc>
          <w:tcPr>
            <w:tcW w:w="1420" w:type="dxa"/>
            <w:vAlign w:val="bottom"/>
            <w:tcBorders>
              <w:top w:val="single" w:sz="8" w:color="237CC1"/>
              <w:bottom w:val="single" w:sz="8" w:color="D1D0CF"/>
            </w:tcBorders>
            <w:shd w:val="clear" w:color="auto" w:fill="D1D0CF"/>
          </w:tcPr>
          <w:p>
            <w:pPr>
              <w:spacing w:after="0"/>
              <w:rPr>
                <w:sz w:val="18"/>
                <w:szCs w:val="18"/>
                <w:color w:val="auto"/>
              </w:rPr>
            </w:pPr>
          </w:p>
        </w:tc>
        <w:tc>
          <w:tcPr>
            <w:tcW w:w="1200" w:type="dxa"/>
            <w:vAlign w:val="bottom"/>
            <w:tcBorders>
              <w:top w:val="single" w:sz="8" w:color="237CC1"/>
              <w:bottom w:val="single" w:sz="8" w:color="D1D0CF"/>
            </w:tcBorders>
            <w:shd w:val="clear" w:color="auto" w:fill="D1D0CF"/>
          </w:tcPr>
          <w:p>
            <w:pPr>
              <w:spacing w:after="0"/>
              <w:rPr>
                <w:sz w:val="18"/>
                <w:szCs w:val="18"/>
                <w:color w:val="auto"/>
              </w:rPr>
            </w:pPr>
          </w:p>
        </w:tc>
        <w:tc>
          <w:tcPr>
            <w:tcW w:w="1180" w:type="dxa"/>
            <w:vAlign w:val="bottom"/>
            <w:tcBorders>
              <w:top w:val="single" w:sz="8" w:color="237CC1"/>
              <w:bottom w:val="single" w:sz="8" w:color="D1D0CF"/>
            </w:tcBorders>
            <w:shd w:val="clear" w:color="auto" w:fill="D1D0CF"/>
          </w:tcPr>
          <w:p>
            <w:pPr>
              <w:spacing w:after="0"/>
              <w:rPr>
                <w:sz w:val="18"/>
                <w:szCs w:val="18"/>
                <w:color w:val="auto"/>
              </w:rPr>
            </w:pPr>
          </w:p>
        </w:tc>
        <w:tc>
          <w:tcPr>
            <w:tcW w:w="1540" w:type="dxa"/>
            <w:vAlign w:val="bottom"/>
            <w:tcBorders>
              <w:top w:val="single" w:sz="8" w:color="237CC1"/>
              <w:bottom w:val="single" w:sz="8" w:color="237CC1"/>
            </w:tcBorders>
            <w:shd w:val="clear" w:color="auto" w:fill="D1D0CF"/>
          </w:tcPr>
          <w:p>
            <w:pPr>
              <w:jc w:val="right"/>
              <w:ind w:right="248"/>
              <w:spacing w:after="0"/>
              <w:rPr>
                <w:sz w:val="20"/>
                <w:szCs w:val="20"/>
                <w:color w:val="auto"/>
              </w:rPr>
            </w:pPr>
            <w:r>
              <w:rPr>
                <w:rFonts w:ascii="Arial" w:cs="Arial" w:eastAsia="Arial" w:hAnsi="Arial"/>
                <w:sz w:val="14"/>
                <w:szCs w:val="14"/>
                <w:b w:val="1"/>
                <w:bCs w:val="1"/>
                <w:color w:val="auto"/>
              </w:rPr>
              <w:t>Dilution</w:t>
            </w:r>
          </w:p>
        </w:tc>
        <w:tc>
          <w:tcPr>
            <w:tcW w:w="1780" w:type="dxa"/>
            <w:vAlign w:val="bottom"/>
            <w:tcBorders>
              <w:top w:val="single" w:sz="8" w:color="237CC1"/>
              <w:bottom w:val="single" w:sz="8" w:color="237CC1"/>
            </w:tcBorders>
            <w:shd w:val="clear" w:color="auto" w:fill="D1D0CF"/>
          </w:tcPr>
          <w:p>
            <w:pPr>
              <w:jc w:val="right"/>
              <w:ind w:right="148"/>
              <w:spacing w:after="0"/>
              <w:rPr>
                <w:sz w:val="20"/>
                <w:szCs w:val="20"/>
                <w:color w:val="auto"/>
              </w:rPr>
            </w:pPr>
            <w:r>
              <w:rPr>
                <w:rFonts w:ascii="Arial" w:cs="Arial" w:eastAsia="Arial" w:hAnsi="Arial"/>
                <w:sz w:val="14"/>
                <w:szCs w:val="14"/>
                <w:b w:val="1"/>
                <w:bCs w:val="1"/>
                <w:color w:val="auto"/>
              </w:rPr>
              <w:t>Overhang</w:t>
            </w:r>
          </w:p>
        </w:tc>
        <w:tc>
          <w:tcPr>
            <w:tcW w:w="1120" w:type="dxa"/>
            <w:vAlign w:val="bottom"/>
            <w:tcBorders>
              <w:top w:val="single" w:sz="8" w:color="237CC1"/>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Burn rate</w:t>
            </w:r>
          </w:p>
        </w:tc>
        <w:tc>
          <w:tcPr>
            <w:tcW w:w="0" w:type="dxa"/>
            <w:vAlign w:val="bottom"/>
          </w:tcPr>
          <w:p>
            <w:pPr>
              <w:spacing w:after="0"/>
              <w:rPr>
                <w:sz w:val="1"/>
                <w:szCs w:val="1"/>
                <w:color w:val="auto"/>
              </w:rPr>
            </w:pPr>
          </w:p>
        </w:tc>
      </w:tr>
      <w:tr>
        <w:trPr>
          <w:trHeight w:val="142"/>
        </w:trPr>
        <w:tc>
          <w:tcPr>
            <w:tcW w:w="1440" w:type="dxa"/>
            <w:vAlign w:val="bottom"/>
            <w:shd w:val="clear" w:color="auto" w:fill="D1D0CF"/>
          </w:tcPr>
          <w:p>
            <w:pPr>
              <w:spacing w:after="0"/>
              <w:rPr>
                <w:sz w:val="12"/>
                <w:szCs w:val="12"/>
                <w:color w:val="auto"/>
              </w:rPr>
            </w:pPr>
          </w:p>
        </w:tc>
        <w:tc>
          <w:tcPr>
            <w:tcW w:w="1560" w:type="dxa"/>
            <w:vAlign w:val="bottom"/>
            <w:shd w:val="clear" w:color="auto" w:fill="D1D0CF"/>
          </w:tcPr>
          <w:p>
            <w:pPr>
              <w:spacing w:after="0"/>
              <w:rPr>
                <w:sz w:val="12"/>
                <w:szCs w:val="12"/>
                <w:color w:val="auto"/>
              </w:rPr>
            </w:pPr>
          </w:p>
        </w:tc>
        <w:tc>
          <w:tcPr>
            <w:tcW w:w="1420" w:type="dxa"/>
            <w:vAlign w:val="bottom"/>
            <w:shd w:val="clear" w:color="auto" w:fill="D1D0CF"/>
          </w:tcPr>
          <w:p>
            <w:pPr>
              <w:spacing w:after="0"/>
              <w:rPr>
                <w:sz w:val="12"/>
                <w:szCs w:val="12"/>
                <w:color w:val="auto"/>
              </w:rPr>
            </w:pPr>
          </w:p>
        </w:tc>
        <w:tc>
          <w:tcPr>
            <w:tcW w:w="1200" w:type="dxa"/>
            <w:vAlign w:val="bottom"/>
            <w:shd w:val="clear" w:color="auto" w:fill="D1D0CF"/>
          </w:tcPr>
          <w:p>
            <w:pPr>
              <w:spacing w:after="0"/>
              <w:rPr>
                <w:sz w:val="12"/>
                <w:szCs w:val="12"/>
                <w:color w:val="auto"/>
              </w:rPr>
            </w:pPr>
          </w:p>
        </w:tc>
        <w:tc>
          <w:tcPr>
            <w:tcW w:w="1180" w:type="dxa"/>
            <w:vAlign w:val="bottom"/>
            <w:shd w:val="clear" w:color="auto" w:fill="D1D0CF"/>
          </w:tcPr>
          <w:p>
            <w:pPr>
              <w:spacing w:after="0"/>
              <w:rPr>
                <w:sz w:val="12"/>
                <w:szCs w:val="12"/>
                <w:color w:val="auto"/>
              </w:rPr>
            </w:pPr>
          </w:p>
        </w:tc>
        <w:tc>
          <w:tcPr>
            <w:tcW w:w="1540" w:type="dxa"/>
            <w:vAlign w:val="bottom"/>
            <w:shd w:val="clear" w:color="auto" w:fill="D1D0CF"/>
          </w:tcPr>
          <w:p>
            <w:pPr>
              <w:spacing w:after="0"/>
              <w:rPr>
                <w:sz w:val="12"/>
                <w:szCs w:val="12"/>
                <w:color w:val="auto"/>
              </w:rPr>
            </w:pPr>
          </w:p>
        </w:tc>
        <w:tc>
          <w:tcPr>
            <w:tcW w:w="1780" w:type="dxa"/>
            <w:vAlign w:val="bottom"/>
            <w:shd w:val="clear" w:color="auto" w:fill="D1D0CF"/>
          </w:tcPr>
          <w:p>
            <w:pPr>
              <w:jc w:val="right"/>
              <w:ind w:right="188"/>
              <w:spacing w:after="0" w:line="142" w:lineRule="exact"/>
              <w:rPr>
                <w:sz w:val="20"/>
                <w:szCs w:val="20"/>
                <w:color w:val="auto"/>
              </w:rPr>
            </w:pPr>
            <w:r>
              <w:rPr>
                <w:rFonts w:ascii="Arial" w:cs="Arial" w:eastAsia="Arial" w:hAnsi="Arial"/>
                <w:sz w:val="14"/>
                <w:szCs w:val="14"/>
                <w:b w:val="1"/>
                <w:bCs w:val="1"/>
                <w:color w:val="auto"/>
              </w:rPr>
              <w:t>% of</w:t>
            </w:r>
          </w:p>
        </w:tc>
        <w:tc>
          <w:tcPr>
            <w:tcW w:w="1120" w:type="dxa"/>
            <w:vAlign w:val="bottom"/>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D1D0CF"/>
          </w:tcPr>
          <w:p>
            <w:pPr>
              <w:spacing w:after="0"/>
              <w:rPr>
                <w:sz w:val="12"/>
                <w:szCs w:val="12"/>
                <w:color w:val="auto"/>
              </w:rPr>
            </w:pPr>
          </w:p>
        </w:tc>
        <w:tc>
          <w:tcPr>
            <w:tcW w:w="1560" w:type="dxa"/>
            <w:vAlign w:val="bottom"/>
            <w:shd w:val="clear" w:color="auto" w:fill="D1D0CF"/>
          </w:tcPr>
          <w:p>
            <w:pPr>
              <w:spacing w:after="0"/>
              <w:rPr>
                <w:sz w:val="12"/>
                <w:szCs w:val="12"/>
                <w:color w:val="auto"/>
              </w:rPr>
            </w:pPr>
          </w:p>
        </w:tc>
        <w:tc>
          <w:tcPr>
            <w:tcW w:w="1420" w:type="dxa"/>
            <w:vAlign w:val="bottom"/>
            <w:shd w:val="clear" w:color="auto" w:fill="D1D0CF"/>
          </w:tcPr>
          <w:p>
            <w:pPr>
              <w:spacing w:after="0"/>
              <w:rPr>
                <w:sz w:val="12"/>
                <w:szCs w:val="12"/>
                <w:color w:val="auto"/>
              </w:rPr>
            </w:pPr>
          </w:p>
        </w:tc>
        <w:tc>
          <w:tcPr>
            <w:tcW w:w="1200" w:type="dxa"/>
            <w:vAlign w:val="bottom"/>
            <w:shd w:val="clear" w:color="auto" w:fill="D1D0CF"/>
          </w:tcPr>
          <w:p>
            <w:pPr>
              <w:spacing w:after="0"/>
              <w:rPr>
                <w:sz w:val="12"/>
                <w:szCs w:val="12"/>
                <w:color w:val="auto"/>
              </w:rPr>
            </w:pPr>
          </w:p>
        </w:tc>
        <w:tc>
          <w:tcPr>
            <w:tcW w:w="1180" w:type="dxa"/>
            <w:vAlign w:val="bottom"/>
            <w:shd w:val="clear" w:color="auto" w:fill="D1D0CF"/>
          </w:tcPr>
          <w:p>
            <w:pPr>
              <w:spacing w:after="0"/>
              <w:rPr>
                <w:sz w:val="12"/>
                <w:szCs w:val="12"/>
                <w:color w:val="auto"/>
              </w:rPr>
            </w:pPr>
          </w:p>
        </w:tc>
        <w:tc>
          <w:tcPr>
            <w:tcW w:w="1540" w:type="dxa"/>
            <w:vAlign w:val="bottom"/>
            <w:shd w:val="clear" w:color="auto" w:fill="D1D0CF"/>
          </w:tcPr>
          <w:p>
            <w:pPr>
              <w:spacing w:after="0"/>
              <w:rPr>
                <w:sz w:val="12"/>
                <w:szCs w:val="12"/>
                <w:color w:val="auto"/>
              </w:rPr>
            </w:pPr>
          </w:p>
        </w:tc>
        <w:tc>
          <w:tcPr>
            <w:tcW w:w="1780" w:type="dxa"/>
            <w:vAlign w:val="bottom"/>
            <w:shd w:val="clear" w:color="auto" w:fill="D1D0CF"/>
          </w:tcPr>
          <w:p>
            <w:pPr>
              <w:jc w:val="right"/>
              <w:ind w:right="148"/>
              <w:spacing w:after="0" w:line="139" w:lineRule="exact"/>
              <w:rPr>
                <w:sz w:val="20"/>
                <w:szCs w:val="20"/>
                <w:color w:val="auto"/>
              </w:rPr>
            </w:pPr>
            <w:r>
              <w:rPr>
                <w:rFonts w:ascii="Arial" w:cs="Arial" w:eastAsia="Arial" w:hAnsi="Arial"/>
                <w:sz w:val="14"/>
                <w:szCs w:val="14"/>
                <w:b w:val="1"/>
                <w:bCs w:val="1"/>
                <w:color w:val="auto"/>
              </w:rPr>
              <w:t>Stock Options</w:t>
            </w:r>
          </w:p>
        </w:tc>
        <w:tc>
          <w:tcPr>
            <w:tcW w:w="1120" w:type="dxa"/>
            <w:vAlign w:val="bottom"/>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D1D0CF"/>
          </w:tcPr>
          <w:p>
            <w:pPr>
              <w:spacing w:after="0"/>
              <w:rPr>
                <w:sz w:val="13"/>
                <w:szCs w:val="13"/>
                <w:color w:val="auto"/>
              </w:rPr>
            </w:pPr>
          </w:p>
        </w:tc>
        <w:tc>
          <w:tcPr>
            <w:tcW w:w="1560" w:type="dxa"/>
            <w:vAlign w:val="bottom"/>
            <w:shd w:val="clear" w:color="auto" w:fill="D1D0CF"/>
          </w:tcPr>
          <w:p>
            <w:pPr>
              <w:spacing w:after="0"/>
              <w:rPr>
                <w:sz w:val="13"/>
                <w:szCs w:val="13"/>
                <w:color w:val="auto"/>
              </w:rPr>
            </w:pPr>
          </w:p>
        </w:tc>
        <w:tc>
          <w:tcPr>
            <w:tcW w:w="1420" w:type="dxa"/>
            <w:vAlign w:val="bottom"/>
            <w:shd w:val="clear" w:color="auto" w:fill="D1D0CF"/>
          </w:tcPr>
          <w:p>
            <w:pPr>
              <w:spacing w:after="0"/>
              <w:rPr>
                <w:sz w:val="13"/>
                <w:szCs w:val="13"/>
                <w:color w:val="auto"/>
              </w:rPr>
            </w:pPr>
          </w:p>
        </w:tc>
        <w:tc>
          <w:tcPr>
            <w:tcW w:w="1200" w:type="dxa"/>
            <w:vAlign w:val="bottom"/>
            <w:shd w:val="clear" w:color="auto" w:fill="D1D0CF"/>
          </w:tcPr>
          <w:p>
            <w:pPr>
              <w:spacing w:after="0"/>
              <w:rPr>
                <w:sz w:val="13"/>
                <w:szCs w:val="13"/>
                <w:color w:val="auto"/>
              </w:rPr>
            </w:pPr>
          </w:p>
        </w:tc>
        <w:tc>
          <w:tcPr>
            <w:tcW w:w="1180" w:type="dxa"/>
            <w:vAlign w:val="bottom"/>
            <w:shd w:val="clear" w:color="auto" w:fill="D1D0CF"/>
          </w:tcPr>
          <w:p>
            <w:pPr>
              <w:spacing w:after="0"/>
              <w:rPr>
                <w:sz w:val="13"/>
                <w:szCs w:val="13"/>
                <w:color w:val="auto"/>
              </w:rPr>
            </w:pPr>
          </w:p>
        </w:tc>
        <w:tc>
          <w:tcPr>
            <w:tcW w:w="1540" w:type="dxa"/>
            <w:vAlign w:val="bottom"/>
            <w:shd w:val="clear" w:color="auto" w:fill="D1D0CF"/>
          </w:tcPr>
          <w:p>
            <w:pPr>
              <w:jc w:val="right"/>
              <w:ind w:right="288"/>
              <w:spacing w:after="0" w:line="157" w:lineRule="exact"/>
              <w:rPr>
                <w:sz w:val="20"/>
                <w:szCs w:val="20"/>
                <w:color w:val="auto"/>
              </w:rPr>
            </w:pPr>
            <w:r>
              <w:rPr>
                <w:rFonts w:ascii="Arial" w:cs="Arial" w:eastAsia="Arial" w:hAnsi="Arial"/>
                <w:sz w:val="14"/>
                <w:szCs w:val="14"/>
                <w:b w:val="1"/>
                <w:bCs w:val="1"/>
                <w:color w:val="auto"/>
              </w:rPr>
              <w:t>Options</w:t>
            </w:r>
          </w:p>
        </w:tc>
        <w:tc>
          <w:tcPr>
            <w:tcW w:w="1780" w:type="dxa"/>
            <w:vAlign w:val="bottom"/>
            <w:shd w:val="clear" w:color="auto" w:fill="D1D0CF"/>
          </w:tcPr>
          <w:p>
            <w:pPr>
              <w:jc w:val="right"/>
              <w:ind w:right="188"/>
              <w:spacing w:after="0" w:line="157" w:lineRule="exact"/>
              <w:rPr>
                <w:sz w:val="20"/>
                <w:szCs w:val="20"/>
                <w:color w:val="auto"/>
              </w:rPr>
            </w:pPr>
            <w:r>
              <w:rPr>
                <w:rFonts w:ascii="Arial" w:cs="Arial" w:eastAsia="Arial" w:hAnsi="Arial"/>
                <w:sz w:val="14"/>
                <w:szCs w:val="14"/>
                <w:b w:val="1"/>
                <w:bCs w:val="1"/>
                <w:color w:val="auto"/>
              </w:rPr>
              <w:t>outstanding</w:t>
            </w:r>
          </w:p>
        </w:tc>
        <w:tc>
          <w:tcPr>
            <w:tcW w:w="1120" w:type="dxa"/>
            <w:vAlign w:val="bottom"/>
            <w:shd w:val="clear" w:color="auto" w:fill="D1D0C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40" w:type="dxa"/>
            <w:vAlign w:val="bottom"/>
            <w:shd w:val="clear" w:color="auto" w:fill="D1D0CF"/>
          </w:tcPr>
          <w:p>
            <w:pPr>
              <w:spacing w:after="0"/>
              <w:rPr>
                <w:sz w:val="11"/>
                <w:szCs w:val="11"/>
                <w:color w:val="auto"/>
              </w:rPr>
            </w:pPr>
          </w:p>
        </w:tc>
        <w:tc>
          <w:tcPr>
            <w:tcW w:w="1560" w:type="dxa"/>
            <w:vAlign w:val="bottom"/>
            <w:vMerge w:val="restart"/>
            <w:shd w:val="clear" w:color="auto" w:fill="D1D0CF"/>
          </w:tcPr>
          <w:p>
            <w:pPr>
              <w:jc w:val="center"/>
              <w:ind w:left="148"/>
              <w:spacing w:after="0"/>
              <w:rPr>
                <w:sz w:val="20"/>
                <w:szCs w:val="20"/>
                <w:color w:val="auto"/>
              </w:rPr>
            </w:pPr>
            <w:r>
              <w:rPr>
                <w:rFonts w:ascii="Arial" w:cs="Arial" w:eastAsia="Arial" w:hAnsi="Arial"/>
                <w:sz w:val="14"/>
                <w:szCs w:val="14"/>
                <w:b w:val="1"/>
                <w:bCs w:val="1"/>
                <w:color w:val="auto"/>
              </w:rPr>
              <w:t>Total number</w:t>
            </w:r>
          </w:p>
        </w:tc>
        <w:tc>
          <w:tcPr>
            <w:tcW w:w="1420" w:type="dxa"/>
            <w:vAlign w:val="bottom"/>
            <w:vMerge w:val="restart"/>
            <w:shd w:val="clear" w:color="auto" w:fill="D1D0CF"/>
          </w:tcPr>
          <w:p>
            <w:pPr>
              <w:jc w:val="right"/>
              <w:ind w:right="268"/>
              <w:spacing w:after="0"/>
              <w:rPr>
                <w:sz w:val="20"/>
                <w:szCs w:val="20"/>
                <w:color w:val="auto"/>
              </w:rPr>
            </w:pPr>
            <w:r>
              <w:rPr>
                <w:rFonts w:ascii="Arial" w:cs="Arial" w:eastAsia="Arial" w:hAnsi="Arial"/>
                <w:sz w:val="14"/>
                <w:szCs w:val="14"/>
                <w:b w:val="1"/>
                <w:bCs w:val="1"/>
                <w:color w:val="auto"/>
              </w:rPr>
              <w:t>Total number</w:t>
            </w:r>
          </w:p>
        </w:tc>
        <w:tc>
          <w:tcPr>
            <w:tcW w:w="1200" w:type="dxa"/>
            <w:vAlign w:val="bottom"/>
            <w:shd w:val="clear" w:color="auto" w:fill="D1D0CF"/>
          </w:tcPr>
          <w:p>
            <w:pPr>
              <w:spacing w:after="0"/>
              <w:rPr>
                <w:sz w:val="11"/>
                <w:szCs w:val="11"/>
                <w:color w:val="auto"/>
              </w:rPr>
            </w:pPr>
          </w:p>
        </w:tc>
        <w:tc>
          <w:tcPr>
            <w:tcW w:w="118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Total options</w:t>
            </w:r>
          </w:p>
        </w:tc>
        <w:tc>
          <w:tcPr>
            <w:tcW w:w="1540" w:type="dxa"/>
            <w:vAlign w:val="bottom"/>
            <w:shd w:val="clear" w:color="auto" w:fill="D1D0CF"/>
          </w:tcPr>
          <w:p>
            <w:pPr>
              <w:jc w:val="right"/>
              <w:ind w:right="288"/>
              <w:spacing w:after="0" w:line="135" w:lineRule="exact"/>
              <w:rPr>
                <w:sz w:val="20"/>
                <w:szCs w:val="20"/>
                <w:color w:val="auto"/>
              </w:rPr>
            </w:pPr>
            <w:r>
              <w:rPr>
                <w:rFonts w:ascii="Arial" w:cs="Arial" w:eastAsia="Arial" w:hAnsi="Arial"/>
                <w:sz w:val="14"/>
                <w:szCs w:val="14"/>
                <w:b w:val="1"/>
                <w:bCs w:val="1"/>
                <w:color w:val="auto"/>
              </w:rPr>
              <w:t>outstanding</w:t>
            </w:r>
          </w:p>
        </w:tc>
        <w:tc>
          <w:tcPr>
            <w:tcW w:w="1780" w:type="dxa"/>
            <w:vAlign w:val="bottom"/>
            <w:shd w:val="clear" w:color="auto" w:fill="D1D0CF"/>
          </w:tcPr>
          <w:p>
            <w:pPr>
              <w:jc w:val="right"/>
              <w:ind w:right="188"/>
              <w:spacing w:after="0" w:line="135" w:lineRule="exact"/>
              <w:rPr>
                <w:sz w:val="20"/>
                <w:szCs w:val="20"/>
                <w:color w:val="auto"/>
              </w:rPr>
            </w:pPr>
            <w:r>
              <w:rPr>
                <w:rFonts w:ascii="Arial" w:cs="Arial" w:eastAsia="Arial" w:hAnsi="Arial"/>
                <w:sz w:val="14"/>
                <w:szCs w:val="14"/>
                <w:b w:val="1"/>
                <w:bCs w:val="1"/>
                <w:color w:val="auto"/>
              </w:rPr>
              <w:t>plus total reserve</w:t>
            </w:r>
          </w:p>
        </w:tc>
        <w:tc>
          <w:tcPr>
            <w:tcW w:w="112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Grant as a %</w:t>
            </w:r>
          </w:p>
        </w:tc>
        <w:tc>
          <w:tcPr>
            <w:tcW w:w="0" w:type="dxa"/>
            <w:vAlign w:val="bottom"/>
          </w:tcPr>
          <w:p>
            <w:pPr>
              <w:spacing w:after="0"/>
              <w:rPr>
                <w:sz w:val="1"/>
                <w:szCs w:val="1"/>
                <w:color w:val="auto"/>
              </w:rPr>
            </w:pPr>
          </w:p>
        </w:tc>
      </w:tr>
      <w:tr>
        <w:trPr>
          <w:trHeight w:val="148"/>
        </w:trPr>
        <w:tc>
          <w:tcPr>
            <w:tcW w:w="1440" w:type="dxa"/>
            <w:vAlign w:val="bottom"/>
            <w:shd w:val="clear" w:color="auto" w:fill="D1D0CF"/>
          </w:tcPr>
          <w:p>
            <w:pPr>
              <w:spacing w:after="0"/>
              <w:rPr>
                <w:sz w:val="12"/>
                <w:szCs w:val="12"/>
                <w:color w:val="auto"/>
              </w:rPr>
            </w:pPr>
          </w:p>
        </w:tc>
        <w:tc>
          <w:tcPr>
            <w:tcW w:w="1560" w:type="dxa"/>
            <w:vAlign w:val="bottom"/>
            <w:vMerge w:val="continue"/>
            <w:shd w:val="clear" w:color="auto" w:fill="D1D0CF"/>
          </w:tcPr>
          <w:p>
            <w:pPr>
              <w:spacing w:after="0"/>
              <w:rPr>
                <w:sz w:val="12"/>
                <w:szCs w:val="12"/>
                <w:color w:val="auto"/>
              </w:rPr>
            </w:pPr>
          </w:p>
        </w:tc>
        <w:tc>
          <w:tcPr>
            <w:tcW w:w="1420" w:type="dxa"/>
            <w:vAlign w:val="bottom"/>
            <w:vMerge w:val="continue"/>
            <w:shd w:val="clear" w:color="auto" w:fill="D1D0CF"/>
          </w:tcPr>
          <w:p>
            <w:pPr>
              <w:spacing w:after="0"/>
              <w:rPr>
                <w:sz w:val="12"/>
                <w:szCs w:val="12"/>
                <w:color w:val="auto"/>
              </w:rPr>
            </w:pPr>
          </w:p>
        </w:tc>
        <w:tc>
          <w:tcPr>
            <w:tcW w:w="1200" w:type="dxa"/>
            <w:vAlign w:val="bottom"/>
            <w:vMerge w:val="restart"/>
            <w:shd w:val="clear" w:color="auto" w:fill="D1D0CF"/>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180" w:type="dxa"/>
            <w:vAlign w:val="bottom"/>
            <w:vMerge w:val="continue"/>
            <w:shd w:val="clear" w:color="auto" w:fill="D1D0CF"/>
          </w:tcPr>
          <w:p>
            <w:pPr>
              <w:spacing w:after="0"/>
              <w:rPr>
                <w:sz w:val="12"/>
                <w:szCs w:val="12"/>
                <w:color w:val="auto"/>
              </w:rPr>
            </w:pPr>
          </w:p>
        </w:tc>
        <w:tc>
          <w:tcPr>
            <w:tcW w:w="1540" w:type="dxa"/>
            <w:vAlign w:val="bottom"/>
            <w:shd w:val="clear" w:color="auto" w:fill="D1D0CF"/>
          </w:tcPr>
          <w:p>
            <w:pPr>
              <w:jc w:val="right"/>
              <w:ind w:right="288"/>
              <w:spacing w:after="0" w:line="148" w:lineRule="exact"/>
              <w:rPr>
                <w:sz w:val="20"/>
                <w:szCs w:val="20"/>
                <w:color w:val="auto"/>
              </w:rPr>
            </w:pPr>
            <w:r>
              <w:rPr>
                <w:rFonts w:ascii="Arial" w:cs="Arial" w:eastAsia="Arial" w:hAnsi="Arial"/>
                <w:sz w:val="14"/>
                <w:szCs w:val="14"/>
                <w:b w:val="1"/>
                <w:bCs w:val="1"/>
                <w:color w:val="auto"/>
              </w:rPr>
              <w:t>as a %</w:t>
            </w:r>
          </w:p>
        </w:tc>
        <w:tc>
          <w:tcPr>
            <w:tcW w:w="1780" w:type="dxa"/>
            <w:vAlign w:val="bottom"/>
            <w:shd w:val="clear" w:color="auto" w:fill="D1D0CF"/>
          </w:tcPr>
          <w:p>
            <w:pPr>
              <w:jc w:val="right"/>
              <w:ind w:right="188"/>
              <w:spacing w:after="0" w:line="148" w:lineRule="exact"/>
              <w:rPr>
                <w:sz w:val="20"/>
                <w:szCs w:val="20"/>
                <w:color w:val="auto"/>
              </w:rPr>
            </w:pPr>
            <w:r>
              <w:rPr>
                <w:rFonts w:ascii="Arial" w:cs="Arial" w:eastAsia="Arial" w:hAnsi="Arial"/>
                <w:sz w:val="14"/>
                <w:szCs w:val="14"/>
                <w:b w:val="1"/>
                <w:bCs w:val="1"/>
                <w:color w:val="auto"/>
              </w:rPr>
              <w:t>divided by</w:t>
            </w:r>
          </w:p>
        </w:tc>
        <w:tc>
          <w:tcPr>
            <w:tcW w:w="1120" w:type="dxa"/>
            <w:vAlign w:val="bottom"/>
            <w:vMerge w:val="continue"/>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D1D0CF"/>
          </w:tcPr>
          <w:p>
            <w:pPr>
              <w:spacing w:after="0"/>
              <w:rPr>
                <w:sz w:val="12"/>
                <w:szCs w:val="12"/>
                <w:color w:val="auto"/>
              </w:rPr>
            </w:pPr>
          </w:p>
        </w:tc>
        <w:tc>
          <w:tcPr>
            <w:tcW w:w="1560" w:type="dxa"/>
            <w:vAlign w:val="bottom"/>
            <w:shd w:val="clear" w:color="auto" w:fill="D1D0CF"/>
          </w:tcPr>
          <w:p>
            <w:pPr>
              <w:jc w:val="right"/>
              <w:ind w:right="148"/>
              <w:spacing w:after="0" w:line="148" w:lineRule="exact"/>
              <w:rPr>
                <w:sz w:val="20"/>
                <w:szCs w:val="20"/>
                <w:color w:val="auto"/>
              </w:rPr>
            </w:pPr>
            <w:r>
              <w:rPr>
                <w:rFonts w:ascii="Arial" w:cs="Arial" w:eastAsia="Arial" w:hAnsi="Arial"/>
                <w:sz w:val="14"/>
                <w:szCs w:val="14"/>
                <w:b w:val="1"/>
                <w:bCs w:val="1"/>
                <w:color w:val="auto"/>
              </w:rPr>
              <w:t>of shares</w:t>
            </w:r>
          </w:p>
        </w:tc>
        <w:tc>
          <w:tcPr>
            <w:tcW w:w="1420" w:type="dxa"/>
            <w:vAlign w:val="bottom"/>
            <w:shd w:val="clear" w:color="auto" w:fill="D1D0CF"/>
          </w:tcPr>
          <w:p>
            <w:pPr>
              <w:jc w:val="center"/>
              <w:spacing w:after="0" w:line="148" w:lineRule="exact"/>
              <w:rPr>
                <w:sz w:val="20"/>
                <w:szCs w:val="20"/>
                <w:color w:val="auto"/>
              </w:rPr>
            </w:pPr>
            <w:r>
              <w:rPr>
                <w:rFonts w:ascii="Arial" w:cs="Arial" w:eastAsia="Arial" w:hAnsi="Arial"/>
                <w:sz w:val="14"/>
                <w:szCs w:val="14"/>
                <w:b w:val="1"/>
                <w:bCs w:val="1"/>
                <w:color w:val="auto"/>
              </w:rPr>
              <w:t>of options</w:t>
            </w:r>
          </w:p>
        </w:tc>
        <w:tc>
          <w:tcPr>
            <w:tcW w:w="1200" w:type="dxa"/>
            <w:vAlign w:val="bottom"/>
            <w:vMerge w:val="continue"/>
            <w:shd w:val="clear" w:color="auto" w:fill="D1D0CF"/>
          </w:tcPr>
          <w:p>
            <w:pPr>
              <w:spacing w:after="0"/>
              <w:rPr>
                <w:sz w:val="12"/>
                <w:szCs w:val="12"/>
                <w:color w:val="auto"/>
              </w:rPr>
            </w:pPr>
          </w:p>
        </w:tc>
        <w:tc>
          <w:tcPr>
            <w:tcW w:w="118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granted</w:t>
            </w:r>
          </w:p>
        </w:tc>
        <w:tc>
          <w:tcPr>
            <w:tcW w:w="1540" w:type="dxa"/>
            <w:vAlign w:val="bottom"/>
            <w:shd w:val="clear" w:color="auto" w:fill="D1D0CF"/>
          </w:tcPr>
          <w:p>
            <w:pPr>
              <w:jc w:val="right"/>
              <w:ind w:right="288"/>
              <w:spacing w:after="0" w:line="148" w:lineRule="exact"/>
              <w:rPr>
                <w:sz w:val="20"/>
                <w:szCs w:val="20"/>
                <w:color w:val="auto"/>
              </w:rPr>
            </w:pPr>
            <w:r>
              <w:rPr>
                <w:rFonts w:ascii="Arial" w:cs="Arial" w:eastAsia="Arial" w:hAnsi="Arial"/>
                <w:sz w:val="14"/>
                <w:szCs w:val="14"/>
                <w:b w:val="1"/>
                <w:bCs w:val="1"/>
                <w:color w:val="auto"/>
              </w:rPr>
              <w:t>of shares</w:t>
            </w:r>
          </w:p>
        </w:tc>
        <w:tc>
          <w:tcPr>
            <w:tcW w:w="1780" w:type="dxa"/>
            <w:vAlign w:val="bottom"/>
            <w:shd w:val="clear" w:color="auto" w:fill="D1D0CF"/>
          </w:tcPr>
          <w:p>
            <w:pPr>
              <w:jc w:val="right"/>
              <w:ind w:right="188"/>
              <w:spacing w:after="0" w:line="148" w:lineRule="exact"/>
              <w:rPr>
                <w:sz w:val="20"/>
                <w:szCs w:val="20"/>
                <w:color w:val="auto"/>
              </w:rPr>
            </w:pPr>
            <w:r>
              <w:rPr>
                <w:rFonts w:ascii="Arial" w:cs="Arial" w:eastAsia="Arial" w:hAnsi="Arial"/>
                <w:sz w:val="14"/>
                <w:szCs w:val="14"/>
                <w:b w:val="1"/>
                <w:bCs w:val="1"/>
                <w:color w:val="auto"/>
              </w:rPr>
              <w:t>total shares</w:t>
            </w:r>
          </w:p>
        </w:tc>
        <w:tc>
          <w:tcPr>
            <w:tcW w:w="112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134"/>
        </w:trPr>
        <w:tc>
          <w:tcPr>
            <w:tcW w:w="1440" w:type="dxa"/>
            <w:vAlign w:val="bottom"/>
            <w:vMerge w:val="restart"/>
            <w:shd w:val="clear" w:color="auto" w:fill="D1D0CF"/>
          </w:tcPr>
          <w:p>
            <w:pPr>
              <w:ind w:left="20"/>
              <w:spacing w:after="0"/>
              <w:rPr>
                <w:sz w:val="20"/>
                <w:szCs w:val="20"/>
                <w:color w:val="auto"/>
              </w:rPr>
            </w:pPr>
            <w:r>
              <w:rPr>
                <w:rFonts w:ascii="Arial" w:cs="Arial" w:eastAsia="Arial" w:hAnsi="Arial"/>
                <w:sz w:val="14"/>
                <w:szCs w:val="14"/>
                <w:b w:val="1"/>
                <w:bCs w:val="1"/>
                <w:color w:val="auto"/>
              </w:rPr>
              <w:t>Effective date</w:t>
            </w:r>
          </w:p>
        </w:tc>
        <w:tc>
          <w:tcPr>
            <w:tcW w:w="1560" w:type="dxa"/>
            <w:vAlign w:val="bottom"/>
            <w:shd w:val="clear" w:color="auto" w:fill="D1D0CF"/>
          </w:tcPr>
          <w:p>
            <w:pPr>
              <w:jc w:val="right"/>
              <w:ind w:right="148"/>
              <w:spacing w:after="0" w:line="135" w:lineRule="exact"/>
              <w:rPr>
                <w:sz w:val="20"/>
                <w:szCs w:val="20"/>
                <w:color w:val="auto"/>
              </w:rPr>
            </w:pPr>
            <w:r>
              <w:rPr>
                <w:rFonts w:ascii="Arial" w:cs="Arial" w:eastAsia="Arial" w:hAnsi="Arial"/>
                <w:sz w:val="14"/>
                <w:szCs w:val="14"/>
                <w:b w:val="1"/>
                <w:bCs w:val="1"/>
                <w:color w:val="auto"/>
              </w:rPr>
              <w:t>outstanding</w:t>
            </w:r>
          </w:p>
        </w:tc>
        <w:tc>
          <w:tcPr>
            <w:tcW w:w="1420" w:type="dxa"/>
            <w:vAlign w:val="bottom"/>
            <w:shd w:val="clear" w:color="auto" w:fill="D1D0CF"/>
          </w:tcPr>
          <w:p>
            <w:pPr>
              <w:jc w:val="right"/>
              <w:ind w:right="268"/>
              <w:spacing w:after="0" w:line="135" w:lineRule="exact"/>
              <w:rPr>
                <w:sz w:val="20"/>
                <w:szCs w:val="20"/>
                <w:color w:val="auto"/>
              </w:rPr>
            </w:pPr>
            <w:r>
              <w:rPr>
                <w:rFonts w:ascii="Arial" w:cs="Arial" w:eastAsia="Arial" w:hAnsi="Arial"/>
                <w:sz w:val="14"/>
                <w:szCs w:val="14"/>
                <w:b w:val="1"/>
                <w:bCs w:val="1"/>
                <w:color w:val="auto"/>
              </w:rPr>
              <w:t>outstanding</w:t>
            </w:r>
          </w:p>
        </w:tc>
        <w:tc>
          <w:tcPr>
            <w:tcW w:w="1200" w:type="dxa"/>
            <w:vAlign w:val="bottom"/>
            <w:shd w:val="clear" w:color="auto" w:fill="D1D0CF"/>
          </w:tcPr>
          <w:p>
            <w:pPr>
              <w:jc w:val="right"/>
              <w:ind w:right="208"/>
              <w:spacing w:after="0" w:line="135" w:lineRule="exact"/>
              <w:rPr>
                <w:sz w:val="20"/>
                <w:szCs w:val="20"/>
                <w:color w:val="auto"/>
              </w:rPr>
            </w:pPr>
            <w:r>
              <w:rPr>
                <w:rFonts w:ascii="Arial" w:cs="Arial" w:eastAsia="Arial" w:hAnsi="Arial"/>
                <w:sz w:val="14"/>
                <w:szCs w:val="14"/>
                <w:b w:val="1"/>
                <w:bCs w:val="1"/>
                <w:color w:val="auto"/>
              </w:rPr>
              <w:t>reserve</w:t>
            </w:r>
          </w:p>
        </w:tc>
        <w:tc>
          <w:tcPr>
            <w:tcW w:w="1180" w:type="dxa"/>
            <w:vAlign w:val="bottom"/>
            <w:shd w:val="clear" w:color="auto" w:fill="D1D0CF"/>
          </w:tcPr>
          <w:p>
            <w:pPr>
              <w:jc w:val="right"/>
              <w:spacing w:after="0" w:line="135" w:lineRule="exact"/>
              <w:rPr>
                <w:sz w:val="20"/>
                <w:szCs w:val="20"/>
                <w:color w:val="auto"/>
              </w:rPr>
            </w:pPr>
            <w:r>
              <w:rPr>
                <w:rFonts w:ascii="Arial" w:cs="Arial" w:eastAsia="Arial" w:hAnsi="Arial"/>
                <w:sz w:val="14"/>
                <w:szCs w:val="14"/>
                <w:b w:val="1"/>
                <w:bCs w:val="1"/>
                <w:color w:val="auto"/>
              </w:rPr>
              <w:t>during year</w:t>
            </w:r>
          </w:p>
        </w:tc>
        <w:tc>
          <w:tcPr>
            <w:tcW w:w="1540" w:type="dxa"/>
            <w:vAlign w:val="bottom"/>
            <w:shd w:val="clear" w:color="auto" w:fill="D1D0CF"/>
          </w:tcPr>
          <w:p>
            <w:pPr>
              <w:jc w:val="right"/>
              <w:ind w:right="288"/>
              <w:spacing w:after="0" w:line="135" w:lineRule="exact"/>
              <w:rPr>
                <w:sz w:val="20"/>
                <w:szCs w:val="20"/>
                <w:color w:val="auto"/>
              </w:rPr>
            </w:pPr>
            <w:r>
              <w:rPr>
                <w:rFonts w:ascii="Arial" w:cs="Arial" w:eastAsia="Arial" w:hAnsi="Arial"/>
                <w:sz w:val="14"/>
                <w:szCs w:val="14"/>
                <w:b w:val="1"/>
                <w:bCs w:val="1"/>
                <w:color w:val="auto"/>
              </w:rPr>
              <w:t>outstanding</w:t>
            </w:r>
          </w:p>
        </w:tc>
        <w:tc>
          <w:tcPr>
            <w:tcW w:w="1780" w:type="dxa"/>
            <w:vAlign w:val="bottom"/>
            <w:shd w:val="clear" w:color="auto" w:fill="D1D0CF"/>
          </w:tcPr>
          <w:p>
            <w:pPr>
              <w:jc w:val="right"/>
              <w:ind w:right="188"/>
              <w:spacing w:after="0" w:line="135" w:lineRule="exact"/>
              <w:rPr>
                <w:sz w:val="20"/>
                <w:szCs w:val="20"/>
                <w:color w:val="auto"/>
              </w:rPr>
            </w:pPr>
            <w:r>
              <w:rPr>
                <w:rFonts w:ascii="Arial" w:cs="Arial" w:eastAsia="Arial" w:hAnsi="Arial"/>
                <w:sz w:val="14"/>
                <w:szCs w:val="14"/>
                <w:b w:val="1"/>
                <w:bCs w:val="1"/>
                <w:color w:val="auto"/>
              </w:rPr>
              <w:t>outstanding</w:t>
            </w:r>
          </w:p>
        </w:tc>
        <w:tc>
          <w:tcPr>
            <w:tcW w:w="1120" w:type="dxa"/>
            <w:vAlign w:val="bottom"/>
            <w:shd w:val="clear" w:color="auto" w:fill="D1D0CF"/>
          </w:tcPr>
          <w:p>
            <w:pPr>
              <w:jc w:val="right"/>
              <w:spacing w:after="0" w:line="135"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8"/>
        </w:trPr>
        <w:tc>
          <w:tcPr>
            <w:tcW w:w="1440" w:type="dxa"/>
            <w:vAlign w:val="bottom"/>
            <w:tcBorders>
              <w:bottom w:val="single" w:sz="8" w:color="B2B2B2"/>
            </w:tcBorders>
            <w:vMerge w:val="continue"/>
            <w:shd w:val="clear" w:color="auto" w:fill="D1D0CF"/>
          </w:tcPr>
          <w:p>
            <w:pPr>
              <w:spacing w:after="0"/>
              <w:rPr>
                <w:sz w:val="18"/>
                <w:szCs w:val="18"/>
                <w:color w:val="auto"/>
              </w:rPr>
            </w:pPr>
          </w:p>
        </w:tc>
        <w:tc>
          <w:tcPr>
            <w:tcW w:w="1560" w:type="dxa"/>
            <w:vAlign w:val="bottom"/>
            <w:tcBorders>
              <w:bottom w:val="single" w:sz="8" w:color="B2B2B2"/>
            </w:tcBorders>
            <w:shd w:val="clear" w:color="auto" w:fill="D1D0CF"/>
          </w:tcPr>
          <w:p>
            <w:pPr>
              <w:jc w:val="right"/>
              <w:ind w:right="108"/>
              <w:spacing w:after="0"/>
              <w:rPr>
                <w:sz w:val="20"/>
                <w:szCs w:val="20"/>
                <w:color w:val="auto"/>
              </w:rPr>
            </w:pPr>
            <w:r>
              <w:rPr>
                <w:rFonts w:ascii="Arial" w:cs="Arial" w:eastAsia="Arial" w:hAnsi="Arial"/>
                <w:sz w:val="14"/>
                <w:szCs w:val="14"/>
                <w:b w:val="1"/>
                <w:bCs w:val="1"/>
                <w:color w:val="auto"/>
              </w:rPr>
              <w:t>(A)</w:t>
            </w:r>
          </w:p>
        </w:tc>
        <w:tc>
          <w:tcPr>
            <w:tcW w:w="1420" w:type="dxa"/>
            <w:vAlign w:val="bottom"/>
            <w:tcBorders>
              <w:bottom w:val="single" w:sz="8" w:color="B2B2B2"/>
            </w:tcBorders>
            <w:shd w:val="clear" w:color="auto" w:fill="D1D0CF"/>
          </w:tcPr>
          <w:p>
            <w:pPr>
              <w:jc w:val="right"/>
              <w:ind w:right="228"/>
              <w:spacing w:after="0"/>
              <w:rPr>
                <w:sz w:val="20"/>
                <w:szCs w:val="20"/>
                <w:color w:val="auto"/>
              </w:rPr>
            </w:pPr>
            <w:r>
              <w:rPr>
                <w:rFonts w:ascii="Arial" w:cs="Arial" w:eastAsia="Arial" w:hAnsi="Arial"/>
                <w:sz w:val="14"/>
                <w:szCs w:val="14"/>
                <w:b w:val="1"/>
                <w:bCs w:val="1"/>
                <w:color w:val="auto"/>
              </w:rPr>
              <w:t>(B)</w:t>
            </w:r>
          </w:p>
        </w:tc>
        <w:tc>
          <w:tcPr>
            <w:tcW w:w="1200" w:type="dxa"/>
            <w:vAlign w:val="bottom"/>
            <w:tcBorders>
              <w:bottom w:val="single" w:sz="8" w:color="B2B2B2"/>
            </w:tcBorders>
            <w:shd w:val="clear" w:color="auto" w:fill="D1D0CF"/>
          </w:tcPr>
          <w:p>
            <w:pPr>
              <w:jc w:val="right"/>
              <w:ind w:right="168"/>
              <w:spacing w:after="0"/>
              <w:rPr>
                <w:sz w:val="20"/>
                <w:szCs w:val="20"/>
                <w:color w:val="auto"/>
              </w:rPr>
            </w:pPr>
            <w:r>
              <w:rPr>
                <w:rFonts w:ascii="Arial" w:cs="Arial" w:eastAsia="Arial" w:hAnsi="Arial"/>
                <w:sz w:val="14"/>
                <w:szCs w:val="14"/>
                <w:b w:val="1"/>
                <w:bCs w:val="1"/>
                <w:color w:val="auto"/>
              </w:rPr>
              <w:t>(C)</w:t>
            </w:r>
          </w:p>
        </w:tc>
        <w:tc>
          <w:tcPr>
            <w:tcW w:w="1180" w:type="dxa"/>
            <w:vAlign w:val="bottom"/>
            <w:tcBorders>
              <w:bottom w:val="single" w:sz="8" w:color="B2B2B2"/>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(D)</w:t>
            </w:r>
          </w:p>
        </w:tc>
        <w:tc>
          <w:tcPr>
            <w:tcW w:w="1540" w:type="dxa"/>
            <w:vAlign w:val="bottom"/>
            <w:tcBorders>
              <w:bottom w:val="single" w:sz="8" w:color="B2B2B2"/>
            </w:tcBorders>
            <w:shd w:val="clear" w:color="auto" w:fill="D1D0CF"/>
          </w:tcPr>
          <w:p>
            <w:pPr>
              <w:jc w:val="right"/>
              <w:ind w:right="248"/>
              <w:spacing w:after="0"/>
              <w:rPr>
                <w:sz w:val="20"/>
                <w:szCs w:val="20"/>
                <w:color w:val="auto"/>
              </w:rPr>
            </w:pPr>
            <w:r>
              <w:rPr>
                <w:rFonts w:ascii="Arial" w:cs="Arial" w:eastAsia="Arial" w:hAnsi="Arial"/>
                <w:sz w:val="14"/>
                <w:szCs w:val="14"/>
                <w:b w:val="1"/>
                <w:bCs w:val="1"/>
                <w:color w:val="auto"/>
              </w:rPr>
              <w:t>(B / A)</w:t>
            </w:r>
          </w:p>
        </w:tc>
        <w:tc>
          <w:tcPr>
            <w:tcW w:w="1780" w:type="dxa"/>
            <w:vAlign w:val="bottom"/>
            <w:tcBorders>
              <w:bottom w:val="single" w:sz="8" w:color="B2B2B2"/>
            </w:tcBorders>
            <w:shd w:val="clear" w:color="auto" w:fill="D1D0CF"/>
          </w:tcPr>
          <w:p>
            <w:pPr>
              <w:jc w:val="right"/>
              <w:ind w:right="148"/>
              <w:spacing w:after="0"/>
              <w:rPr>
                <w:sz w:val="20"/>
                <w:szCs w:val="20"/>
                <w:color w:val="auto"/>
              </w:rPr>
            </w:pPr>
            <w:r>
              <w:rPr>
                <w:rFonts w:ascii="Arial" w:cs="Arial" w:eastAsia="Arial" w:hAnsi="Arial"/>
                <w:sz w:val="14"/>
                <w:szCs w:val="14"/>
                <w:b w:val="1"/>
                <w:bCs w:val="1"/>
                <w:color w:val="auto"/>
              </w:rPr>
              <w:t>((B + C) / A)</w:t>
            </w:r>
          </w:p>
        </w:tc>
        <w:tc>
          <w:tcPr>
            <w:tcW w:w="1120" w:type="dxa"/>
            <w:vAlign w:val="bottom"/>
            <w:tcBorders>
              <w:bottom w:val="single" w:sz="8" w:color="B2B2B2"/>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(D / A)</w:t>
            </w:r>
          </w:p>
        </w:tc>
        <w:tc>
          <w:tcPr>
            <w:tcW w:w="0" w:type="dxa"/>
            <w:vAlign w:val="bottom"/>
          </w:tcPr>
          <w:p>
            <w:pPr>
              <w:spacing w:after="0"/>
              <w:rPr>
                <w:sz w:val="1"/>
                <w:szCs w:val="1"/>
                <w:color w:val="auto"/>
              </w:rPr>
            </w:pPr>
          </w:p>
        </w:tc>
      </w:tr>
      <w:tr>
        <w:trPr>
          <w:trHeight w:val="198"/>
        </w:trPr>
        <w:tc>
          <w:tcPr>
            <w:tcW w:w="14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Dec 31, 2023</w:t>
            </w:r>
          </w:p>
        </w:tc>
        <w:tc>
          <w:tcPr>
            <w:tcW w:w="1560" w:type="dxa"/>
            <w:vAlign w:val="bottom"/>
            <w:tcBorders>
              <w:bottom w:val="single" w:sz="8" w:color="B2B2B2"/>
            </w:tcBorders>
          </w:tcPr>
          <w:p>
            <w:pPr>
              <w:jc w:val="center"/>
              <w:ind w:left="88"/>
              <w:spacing w:after="0"/>
              <w:rPr>
                <w:sz w:val="20"/>
                <w:szCs w:val="20"/>
                <w:color w:val="auto"/>
              </w:rPr>
            </w:pPr>
            <w:r>
              <w:rPr>
                <w:rFonts w:ascii="Arial" w:cs="Arial" w:eastAsia="Arial" w:hAnsi="Arial"/>
                <w:sz w:val="14"/>
                <w:szCs w:val="14"/>
                <w:color w:val="auto"/>
              </w:rPr>
              <w:t>1,037,487,829</w:t>
            </w:r>
          </w:p>
        </w:tc>
        <w:tc>
          <w:tcPr>
            <w:tcW w:w="1420" w:type="dxa"/>
            <w:vAlign w:val="bottom"/>
            <w:tcBorders>
              <w:bottom w:val="single" w:sz="8" w:color="B2B2B2"/>
            </w:tcBorders>
          </w:tcPr>
          <w:p>
            <w:pPr>
              <w:jc w:val="center"/>
              <w:ind w:left="28"/>
              <w:spacing w:after="0"/>
              <w:rPr>
                <w:sz w:val="20"/>
                <w:szCs w:val="20"/>
                <w:color w:val="auto"/>
              </w:rPr>
            </w:pPr>
            <w:r>
              <w:rPr>
                <w:rFonts w:ascii="Arial" w:cs="Arial" w:eastAsia="Arial" w:hAnsi="Arial"/>
                <w:sz w:val="14"/>
                <w:szCs w:val="14"/>
                <w:color w:val="auto"/>
              </w:rPr>
              <w:t>7,435,521</w:t>
            </w:r>
          </w:p>
        </w:tc>
        <w:tc>
          <w:tcPr>
            <w:tcW w:w="1200" w:type="dxa"/>
            <w:vAlign w:val="bottom"/>
            <w:tcBorders>
              <w:bottom w:val="single" w:sz="8" w:color="B2B2B2"/>
            </w:tcBorders>
          </w:tcPr>
          <w:p>
            <w:pPr>
              <w:jc w:val="right"/>
              <w:ind w:right="228"/>
              <w:spacing w:after="0"/>
              <w:rPr>
                <w:sz w:val="20"/>
                <w:szCs w:val="20"/>
                <w:color w:val="auto"/>
              </w:rPr>
            </w:pPr>
            <w:r>
              <w:rPr>
                <w:rFonts w:ascii="Arial" w:cs="Arial" w:eastAsia="Arial" w:hAnsi="Arial"/>
                <w:sz w:val="14"/>
                <w:szCs w:val="14"/>
                <w:color w:val="auto"/>
              </w:rPr>
              <w:t>2,267,871</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1,932,549</w:t>
            </w:r>
          </w:p>
        </w:tc>
        <w:tc>
          <w:tcPr>
            <w:tcW w:w="1540" w:type="dxa"/>
            <w:vAlign w:val="bottom"/>
            <w:tcBorders>
              <w:bottom w:val="single" w:sz="8" w:color="B2B2B2"/>
            </w:tcBorders>
          </w:tcPr>
          <w:p>
            <w:pPr>
              <w:jc w:val="right"/>
              <w:ind w:right="248"/>
              <w:spacing w:after="0"/>
              <w:rPr>
                <w:sz w:val="20"/>
                <w:szCs w:val="20"/>
                <w:color w:val="auto"/>
              </w:rPr>
            </w:pPr>
            <w:r>
              <w:rPr>
                <w:rFonts w:ascii="Arial" w:cs="Arial" w:eastAsia="Arial" w:hAnsi="Arial"/>
                <w:sz w:val="14"/>
                <w:szCs w:val="14"/>
                <w:color w:val="auto"/>
              </w:rPr>
              <w:t>0.72</w:t>
            </w:r>
          </w:p>
        </w:tc>
        <w:tc>
          <w:tcPr>
            <w:tcW w:w="17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0.94</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95"/>
        </w:trPr>
        <w:tc>
          <w:tcPr>
            <w:tcW w:w="14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Dec 31, 2024</w:t>
            </w:r>
          </w:p>
        </w:tc>
        <w:tc>
          <w:tcPr>
            <w:tcW w:w="1560" w:type="dxa"/>
            <w:vAlign w:val="bottom"/>
            <w:tcBorders>
              <w:bottom w:val="single" w:sz="8" w:color="B2B2B2"/>
            </w:tcBorders>
          </w:tcPr>
          <w:p>
            <w:pPr>
              <w:jc w:val="center"/>
              <w:ind w:left="88"/>
              <w:spacing w:after="0"/>
              <w:rPr>
                <w:sz w:val="20"/>
                <w:szCs w:val="20"/>
                <w:color w:val="auto"/>
              </w:rPr>
            </w:pPr>
            <w:r>
              <w:rPr>
                <w:rFonts w:ascii="Arial" w:cs="Arial" w:eastAsia="Arial" w:hAnsi="Arial"/>
                <w:sz w:val="14"/>
                <w:szCs w:val="14"/>
                <w:color w:val="auto"/>
              </w:rPr>
              <w:t>1,039,095,489</w:t>
            </w:r>
          </w:p>
        </w:tc>
        <w:tc>
          <w:tcPr>
            <w:tcW w:w="1420" w:type="dxa"/>
            <w:vAlign w:val="bottom"/>
            <w:tcBorders>
              <w:bottom w:val="single" w:sz="8" w:color="B2B2B2"/>
            </w:tcBorders>
          </w:tcPr>
          <w:p>
            <w:pPr>
              <w:jc w:val="center"/>
              <w:ind w:left="28"/>
              <w:spacing w:after="0"/>
              <w:rPr>
                <w:sz w:val="20"/>
                <w:szCs w:val="20"/>
                <w:color w:val="auto"/>
              </w:rPr>
            </w:pPr>
            <w:r>
              <w:rPr>
                <w:rFonts w:ascii="Arial" w:cs="Arial" w:eastAsia="Arial" w:hAnsi="Arial"/>
                <w:sz w:val="14"/>
                <w:szCs w:val="14"/>
                <w:color w:val="auto"/>
              </w:rPr>
              <w:t>4,474,389</w:t>
            </w:r>
          </w:p>
        </w:tc>
        <w:tc>
          <w:tcPr>
            <w:tcW w:w="1200" w:type="dxa"/>
            <w:vAlign w:val="bottom"/>
            <w:tcBorders>
              <w:bottom w:val="single" w:sz="8" w:color="B2B2B2"/>
            </w:tcBorders>
          </w:tcPr>
          <w:p>
            <w:pPr>
              <w:jc w:val="right"/>
              <w:ind w:right="228"/>
              <w:spacing w:after="0"/>
              <w:rPr>
                <w:sz w:val="20"/>
                <w:szCs w:val="20"/>
                <w:color w:val="auto"/>
              </w:rPr>
            </w:pPr>
            <w:r>
              <w:rPr>
                <w:rFonts w:ascii="Arial" w:cs="Arial" w:eastAsia="Arial" w:hAnsi="Arial"/>
                <w:sz w:val="14"/>
                <w:szCs w:val="14"/>
                <w:color w:val="auto"/>
              </w:rPr>
              <w:t>3,621,343</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B2B2B2"/>
            </w:tcBorders>
          </w:tcPr>
          <w:p>
            <w:pPr>
              <w:jc w:val="right"/>
              <w:ind w:right="308"/>
              <w:spacing w:after="0"/>
              <w:rPr>
                <w:sz w:val="20"/>
                <w:szCs w:val="20"/>
                <w:color w:val="auto"/>
              </w:rPr>
            </w:pPr>
            <w:r>
              <w:rPr>
                <w:rFonts w:ascii="Arial" w:cs="Arial" w:eastAsia="Arial" w:hAnsi="Arial"/>
                <w:sz w:val="14"/>
                <w:szCs w:val="14"/>
                <w:color w:val="auto"/>
              </w:rPr>
              <w:t>0.43</w:t>
            </w:r>
          </w:p>
        </w:tc>
        <w:tc>
          <w:tcPr>
            <w:tcW w:w="1780" w:type="dxa"/>
            <w:vAlign w:val="bottom"/>
            <w:tcBorders>
              <w:bottom w:val="single" w:sz="8" w:color="B2B2B2"/>
            </w:tcBorders>
          </w:tcPr>
          <w:p>
            <w:pPr>
              <w:jc w:val="right"/>
              <w:ind w:right="188"/>
              <w:spacing w:after="0"/>
              <w:rPr>
                <w:sz w:val="20"/>
                <w:szCs w:val="20"/>
                <w:color w:val="auto"/>
              </w:rPr>
            </w:pPr>
            <w:r>
              <w:rPr>
                <w:rFonts w:ascii="Arial" w:cs="Arial" w:eastAsia="Arial" w:hAnsi="Arial"/>
                <w:sz w:val="14"/>
                <w:szCs w:val="14"/>
                <w:color w:val="auto"/>
              </w:rPr>
              <w:t>0.78</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1440" w:type="dxa"/>
            <w:vAlign w:val="bottom"/>
            <w:tcBorders>
              <w:bottom w:val="single" w:sz="8" w:color="237CC1"/>
            </w:tcBorders>
          </w:tcPr>
          <w:p>
            <w:pPr>
              <w:ind w:left="20"/>
              <w:spacing w:after="0"/>
              <w:rPr>
                <w:sz w:val="20"/>
                <w:szCs w:val="20"/>
                <w:color w:val="auto"/>
              </w:rPr>
            </w:pPr>
            <w:r>
              <w:rPr>
                <w:rFonts w:ascii="Arial" w:cs="Arial" w:eastAsia="Arial" w:hAnsi="Arial"/>
                <w:sz w:val="14"/>
                <w:szCs w:val="14"/>
                <w:color w:val="auto"/>
              </w:rPr>
              <w:t>Dec 31, 2025</w:t>
            </w:r>
          </w:p>
        </w:tc>
        <w:tc>
          <w:tcPr>
            <w:tcW w:w="1560" w:type="dxa"/>
            <w:vAlign w:val="bottom"/>
            <w:tcBorders>
              <w:bottom w:val="single" w:sz="8" w:color="237CC1"/>
            </w:tcBorders>
          </w:tcPr>
          <w:p>
            <w:pPr>
              <w:jc w:val="center"/>
              <w:ind w:left="88"/>
              <w:spacing w:after="0"/>
              <w:rPr>
                <w:sz w:val="20"/>
                <w:szCs w:val="20"/>
                <w:color w:val="auto"/>
              </w:rPr>
            </w:pPr>
            <w:r>
              <w:rPr>
                <w:rFonts w:ascii="Arial" w:cs="Arial" w:eastAsia="Arial" w:hAnsi="Arial"/>
                <w:sz w:val="14"/>
                <w:szCs w:val="14"/>
                <w:color w:val="auto"/>
              </w:rPr>
              <w:t>1,040,835,168</w:t>
            </w:r>
          </w:p>
        </w:tc>
        <w:tc>
          <w:tcPr>
            <w:tcW w:w="1420" w:type="dxa"/>
            <w:vAlign w:val="bottom"/>
            <w:tcBorders>
              <w:bottom w:val="single" w:sz="8" w:color="237CC1"/>
            </w:tcBorders>
          </w:tcPr>
          <w:p>
            <w:pPr>
              <w:jc w:val="center"/>
              <w:ind w:left="28"/>
              <w:spacing w:after="0"/>
              <w:rPr>
                <w:sz w:val="20"/>
                <w:szCs w:val="20"/>
                <w:color w:val="auto"/>
              </w:rPr>
            </w:pPr>
            <w:r>
              <w:rPr>
                <w:rFonts w:ascii="Arial" w:cs="Arial" w:eastAsia="Arial" w:hAnsi="Arial"/>
                <w:sz w:val="14"/>
                <w:szCs w:val="14"/>
                <w:color w:val="auto"/>
              </w:rPr>
              <w:t>2,361,365</w:t>
            </w:r>
          </w:p>
        </w:tc>
        <w:tc>
          <w:tcPr>
            <w:tcW w:w="1200" w:type="dxa"/>
            <w:vAlign w:val="bottom"/>
            <w:tcBorders>
              <w:bottom w:val="single" w:sz="8" w:color="237CC1"/>
            </w:tcBorders>
          </w:tcPr>
          <w:p>
            <w:pPr>
              <w:jc w:val="right"/>
              <w:ind w:right="228"/>
              <w:spacing w:after="0"/>
              <w:rPr>
                <w:sz w:val="20"/>
                <w:szCs w:val="20"/>
                <w:color w:val="auto"/>
              </w:rPr>
            </w:pPr>
            <w:r>
              <w:rPr>
                <w:rFonts w:ascii="Arial" w:cs="Arial" w:eastAsia="Arial" w:hAnsi="Arial"/>
                <w:sz w:val="14"/>
                <w:szCs w:val="14"/>
                <w:color w:val="auto"/>
              </w:rPr>
              <w:t>3,994,688</w:t>
            </w:r>
          </w:p>
        </w:tc>
        <w:tc>
          <w:tcPr>
            <w:tcW w:w="118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237CC1"/>
            </w:tcBorders>
          </w:tcPr>
          <w:p>
            <w:pPr>
              <w:jc w:val="right"/>
              <w:ind w:right="308"/>
              <w:spacing w:after="0"/>
              <w:rPr>
                <w:sz w:val="20"/>
                <w:szCs w:val="20"/>
                <w:color w:val="auto"/>
              </w:rPr>
            </w:pPr>
            <w:r>
              <w:rPr>
                <w:rFonts w:ascii="Arial" w:cs="Arial" w:eastAsia="Arial" w:hAnsi="Arial"/>
                <w:sz w:val="14"/>
                <w:szCs w:val="14"/>
                <w:color w:val="auto"/>
              </w:rPr>
              <w:t>0.23</w:t>
            </w:r>
          </w:p>
        </w:tc>
        <w:tc>
          <w:tcPr>
            <w:tcW w:w="1780" w:type="dxa"/>
            <w:vAlign w:val="bottom"/>
            <w:tcBorders>
              <w:bottom w:val="single" w:sz="8" w:color="237CC1"/>
            </w:tcBorders>
          </w:tcPr>
          <w:p>
            <w:pPr>
              <w:jc w:val="right"/>
              <w:ind w:right="188"/>
              <w:spacing w:after="0"/>
              <w:rPr>
                <w:sz w:val="20"/>
                <w:szCs w:val="20"/>
                <w:color w:val="auto"/>
              </w:rPr>
            </w:pPr>
            <w:r>
              <w:rPr>
                <w:rFonts w:ascii="Arial" w:cs="Arial" w:eastAsia="Arial" w:hAnsi="Arial"/>
                <w:sz w:val="14"/>
                <w:szCs w:val="14"/>
                <w:color w:val="auto"/>
              </w:rPr>
              <w:t>0.61</w:t>
            </w:r>
          </w:p>
        </w:tc>
        <w:tc>
          <w:tcPr>
            <w:tcW w:w="112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Starting in 2024, Stock Options were no longer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97" w:right="33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b w:val="1"/>
          <w:bCs w:val="1"/>
          <w:color w:val="0D64EF"/>
        </w:rPr>
        <w:t>RETIREMENT BENEFITS</w:t>
      </w:r>
    </w:p>
    <w:p>
      <w:pPr>
        <w:spacing w:after="0" w:line="48" w:lineRule="exact"/>
        <w:rPr>
          <w:sz w:val="20"/>
          <w:szCs w:val="20"/>
          <w:color w:val="auto"/>
        </w:rPr>
      </w:pPr>
    </w:p>
    <w:p>
      <w:pPr>
        <w:ind w:right="120"/>
        <w:spacing w:after="0" w:line="337" w:lineRule="auto"/>
        <w:rPr>
          <w:sz w:val="20"/>
          <w:szCs w:val="20"/>
          <w:color w:val="auto"/>
        </w:rPr>
      </w:pPr>
      <w:r>
        <w:rPr>
          <w:rFonts w:ascii="Arial" w:cs="Arial" w:eastAsia="Arial" w:hAnsi="Arial"/>
          <w:sz w:val="16"/>
          <w:szCs w:val="16"/>
          <w:color w:val="auto"/>
        </w:rPr>
        <w:t>Mr. Poirier participates in our DB Plan and Supplemental DB Plan. Ms. Dusevic Oliva participates in our DC Plan and Supplemental DC Plan. Mr. O'Donnell, Ms. Faraca, and Mr. Chapman participate in the 401(k) Plan and the Non-Qualified Plan. The tables below show their benefits under the respective plans.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Defined benefit pension plan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00" w:type="dxa"/>
            <w:vAlign w:val="bottom"/>
            <w:tcBorders>
              <w:top w:val="single" w:sz="8" w:color="237CC1"/>
              <w:bottom w:val="single" w:sz="8" w:color="D1D0CF"/>
            </w:tcBorders>
            <w:shd w:val="clear" w:color="auto" w:fill="D1D0CF"/>
          </w:tcPr>
          <w:p>
            <w:pPr>
              <w:ind w:left="20"/>
              <w:spacing w:after="0"/>
              <w:rPr>
                <w:sz w:val="20"/>
                <w:szCs w:val="20"/>
                <w:color w:val="auto"/>
              </w:rPr>
            </w:pPr>
            <w:r>
              <w:rPr>
                <w:rFonts w:ascii="Arial" w:cs="Arial" w:eastAsia="Arial" w:hAnsi="Arial"/>
                <w:sz w:val="14"/>
                <w:szCs w:val="14"/>
                <w:color w:val="auto"/>
              </w:rPr>
              <w:t>at December 31, 2025</w:t>
            </w:r>
          </w:p>
        </w:tc>
        <w:tc>
          <w:tcPr>
            <w:tcW w:w="1240" w:type="dxa"/>
            <w:vAlign w:val="bottom"/>
            <w:tcBorders>
              <w:top w:val="single" w:sz="8" w:color="237CC1"/>
              <w:bottom w:val="single" w:sz="8" w:color="D1D0CF"/>
            </w:tcBorders>
            <w:shd w:val="clear" w:color="auto" w:fill="D1D0CF"/>
          </w:tcPr>
          <w:p>
            <w:pPr>
              <w:spacing w:after="0"/>
              <w:rPr>
                <w:sz w:val="19"/>
                <w:szCs w:val="19"/>
                <w:color w:val="auto"/>
              </w:rPr>
            </w:pPr>
          </w:p>
        </w:tc>
        <w:tc>
          <w:tcPr>
            <w:tcW w:w="2140" w:type="dxa"/>
            <w:vAlign w:val="bottom"/>
            <w:tcBorders>
              <w:top w:val="single" w:sz="8" w:color="237CC1"/>
              <w:bottom w:val="single" w:sz="8" w:color="237CC1"/>
            </w:tcBorders>
            <w:gridSpan w:val="2"/>
            <w:shd w:val="clear" w:color="auto" w:fill="D1D0CF"/>
          </w:tcPr>
          <w:p>
            <w:pPr>
              <w:jc w:val="right"/>
              <w:ind w:right="168"/>
              <w:spacing w:after="0"/>
              <w:rPr>
                <w:sz w:val="20"/>
                <w:szCs w:val="20"/>
                <w:color w:val="auto"/>
              </w:rPr>
            </w:pPr>
            <w:r>
              <w:rPr>
                <w:rFonts w:ascii="Arial" w:cs="Arial" w:eastAsia="Arial" w:hAnsi="Arial"/>
                <w:sz w:val="14"/>
                <w:szCs w:val="14"/>
                <w:b w:val="1"/>
                <w:bCs w:val="1"/>
                <w:color w:val="auto"/>
              </w:rPr>
              <w:t>Annual benefits payable</w:t>
            </w:r>
          </w:p>
        </w:tc>
        <w:tc>
          <w:tcPr>
            <w:tcW w:w="1720" w:type="dxa"/>
            <w:vAlign w:val="bottom"/>
            <w:tcBorders>
              <w:top w:val="single" w:sz="8" w:color="237CC1"/>
              <w:bottom w:val="single" w:sz="8" w:color="D1D0CF"/>
            </w:tcBorders>
            <w:shd w:val="clear" w:color="auto" w:fill="D1D0CF"/>
          </w:tcPr>
          <w:p>
            <w:pPr>
              <w:spacing w:after="0"/>
              <w:rPr>
                <w:sz w:val="19"/>
                <w:szCs w:val="19"/>
                <w:color w:val="auto"/>
              </w:rPr>
            </w:pPr>
          </w:p>
        </w:tc>
        <w:tc>
          <w:tcPr>
            <w:tcW w:w="1440" w:type="dxa"/>
            <w:vAlign w:val="bottom"/>
            <w:tcBorders>
              <w:top w:val="single" w:sz="8" w:color="237CC1"/>
              <w:bottom w:val="single" w:sz="8" w:color="D1D0CF"/>
            </w:tcBorders>
            <w:shd w:val="clear" w:color="auto" w:fill="D1D0CF"/>
          </w:tcPr>
          <w:p>
            <w:pPr>
              <w:spacing w:after="0"/>
              <w:rPr>
                <w:sz w:val="19"/>
                <w:szCs w:val="19"/>
                <w:color w:val="auto"/>
              </w:rPr>
            </w:pPr>
          </w:p>
        </w:tc>
        <w:tc>
          <w:tcPr>
            <w:tcW w:w="1440" w:type="dxa"/>
            <w:vAlign w:val="bottom"/>
            <w:tcBorders>
              <w:top w:val="single" w:sz="8" w:color="237CC1"/>
              <w:bottom w:val="single" w:sz="8" w:color="D1D0CF"/>
            </w:tcBorders>
            <w:shd w:val="clear" w:color="auto" w:fill="D1D0CF"/>
          </w:tcPr>
          <w:p>
            <w:pPr>
              <w:spacing w:after="0"/>
              <w:rPr>
                <w:sz w:val="19"/>
                <w:szCs w:val="19"/>
                <w:color w:val="auto"/>
              </w:rPr>
            </w:pPr>
          </w:p>
        </w:tc>
        <w:tc>
          <w:tcPr>
            <w:tcW w:w="1360" w:type="dxa"/>
            <w:vAlign w:val="bottom"/>
            <w:tcBorders>
              <w:top w:val="single" w:sz="8" w:color="237CC1"/>
              <w:bottom w:val="single" w:sz="8" w:color="D1D0CF"/>
            </w:tcBorders>
            <w:shd w:val="clear" w:color="auto" w:fill="D1D0CF"/>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900" w:type="dxa"/>
            <w:vAlign w:val="bottom"/>
            <w:shd w:val="clear" w:color="auto" w:fill="D1D0CF"/>
          </w:tcPr>
          <w:p>
            <w:pPr>
              <w:spacing w:after="0"/>
              <w:rPr>
                <w:sz w:val="12"/>
                <w:szCs w:val="12"/>
                <w:color w:val="auto"/>
              </w:rPr>
            </w:pPr>
          </w:p>
        </w:tc>
        <w:tc>
          <w:tcPr>
            <w:tcW w:w="124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Number of</w:t>
            </w:r>
          </w:p>
        </w:tc>
        <w:tc>
          <w:tcPr>
            <w:tcW w:w="1260" w:type="dxa"/>
            <w:vAlign w:val="bottom"/>
            <w:shd w:val="clear" w:color="auto" w:fill="D1D0CF"/>
          </w:tcPr>
          <w:p>
            <w:pPr>
              <w:spacing w:after="0"/>
              <w:rPr>
                <w:sz w:val="12"/>
                <w:szCs w:val="12"/>
                <w:color w:val="auto"/>
              </w:rPr>
            </w:pPr>
          </w:p>
        </w:tc>
        <w:tc>
          <w:tcPr>
            <w:tcW w:w="880" w:type="dxa"/>
            <w:vAlign w:val="bottom"/>
            <w:shd w:val="clear" w:color="auto" w:fill="D1D0CF"/>
          </w:tcPr>
          <w:p>
            <w:pPr>
              <w:spacing w:after="0"/>
              <w:rPr>
                <w:sz w:val="12"/>
                <w:szCs w:val="12"/>
                <w:color w:val="auto"/>
              </w:rPr>
            </w:pPr>
          </w:p>
        </w:tc>
        <w:tc>
          <w:tcPr>
            <w:tcW w:w="1720" w:type="dxa"/>
            <w:vAlign w:val="bottom"/>
            <w:shd w:val="clear" w:color="auto" w:fill="D1D0CF"/>
          </w:tcPr>
          <w:p>
            <w:pPr>
              <w:jc w:val="right"/>
              <w:ind w:right="148"/>
              <w:spacing w:after="0" w:line="139" w:lineRule="exact"/>
              <w:rPr>
                <w:sz w:val="20"/>
                <w:szCs w:val="20"/>
                <w:color w:val="auto"/>
              </w:rPr>
            </w:pPr>
            <w:r>
              <w:rPr>
                <w:rFonts w:ascii="Arial" w:cs="Arial" w:eastAsia="Arial" w:hAnsi="Arial"/>
                <w:sz w:val="14"/>
                <w:szCs w:val="14"/>
                <w:b w:val="1"/>
                <w:bCs w:val="1"/>
                <w:color w:val="auto"/>
              </w:rPr>
              <w:t>Opening</w:t>
            </w:r>
          </w:p>
        </w:tc>
        <w:tc>
          <w:tcPr>
            <w:tcW w:w="1440" w:type="dxa"/>
            <w:vAlign w:val="bottom"/>
            <w:shd w:val="clear" w:color="auto" w:fill="D1D0CF"/>
          </w:tcPr>
          <w:p>
            <w:pPr>
              <w:spacing w:after="0"/>
              <w:rPr>
                <w:sz w:val="12"/>
                <w:szCs w:val="12"/>
                <w:color w:val="auto"/>
              </w:rPr>
            </w:pPr>
          </w:p>
        </w:tc>
        <w:tc>
          <w:tcPr>
            <w:tcW w:w="1440" w:type="dxa"/>
            <w:vAlign w:val="bottom"/>
            <w:vMerge w:val="restart"/>
            <w:shd w:val="clear" w:color="auto" w:fill="D1D0CF"/>
          </w:tcPr>
          <w:p>
            <w:pPr>
              <w:jc w:val="right"/>
              <w:ind w:right="188"/>
              <w:spacing w:after="0"/>
              <w:rPr>
                <w:sz w:val="20"/>
                <w:szCs w:val="20"/>
                <w:color w:val="auto"/>
              </w:rPr>
            </w:pPr>
            <w:r>
              <w:rPr>
                <w:rFonts w:ascii="Arial" w:cs="Arial" w:eastAsia="Arial" w:hAnsi="Arial"/>
                <w:sz w:val="14"/>
                <w:szCs w:val="14"/>
                <w:b w:val="1"/>
                <w:bCs w:val="1"/>
                <w:color w:val="auto"/>
              </w:rPr>
              <w:t>Non-</w:t>
            </w:r>
          </w:p>
        </w:tc>
        <w:tc>
          <w:tcPr>
            <w:tcW w:w="1360" w:type="dxa"/>
            <w:vAlign w:val="bottom"/>
            <w:shd w:val="clear" w:color="auto" w:fill="D1D0CF"/>
          </w:tcPr>
          <w:p>
            <w:pPr>
              <w:jc w:val="right"/>
              <w:spacing w:after="0" w:line="139" w:lineRule="exact"/>
              <w:rPr>
                <w:sz w:val="20"/>
                <w:szCs w:val="20"/>
                <w:color w:val="auto"/>
              </w:rPr>
            </w:pPr>
            <w:r>
              <w:rPr>
                <w:rFonts w:ascii="Arial" w:cs="Arial" w:eastAsia="Arial" w:hAnsi="Arial"/>
                <w:sz w:val="14"/>
                <w:szCs w:val="14"/>
                <w:b w:val="1"/>
                <w:bCs w:val="1"/>
                <w:color w:val="auto"/>
              </w:rPr>
              <w:t>Closing</w:t>
            </w:r>
          </w:p>
        </w:tc>
        <w:tc>
          <w:tcPr>
            <w:tcW w:w="0" w:type="dxa"/>
            <w:vAlign w:val="bottom"/>
          </w:tcPr>
          <w:p>
            <w:pPr>
              <w:spacing w:after="0"/>
              <w:rPr>
                <w:sz w:val="1"/>
                <w:szCs w:val="1"/>
                <w:color w:val="auto"/>
              </w:rPr>
            </w:pPr>
          </w:p>
        </w:tc>
      </w:tr>
      <w:tr>
        <w:trPr>
          <w:trHeight w:val="144"/>
        </w:trPr>
        <w:tc>
          <w:tcPr>
            <w:tcW w:w="1900" w:type="dxa"/>
            <w:vAlign w:val="bottom"/>
            <w:shd w:val="clear" w:color="auto" w:fill="D1D0CF"/>
          </w:tcPr>
          <w:p>
            <w:pPr>
              <w:spacing w:after="0"/>
              <w:rPr>
                <w:sz w:val="12"/>
                <w:szCs w:val="12"/>
                <w:color w:val="auto"/>
              </w:rPr>
            </w:pPr>
          </w:p>
        </w:tc>
        <w:tc>
          <w:tcPr>
            <w:tcW w:w="1240" w:type="dxa"/>
            <w:vAlign w:val="bottom"/>
            <w:vMerge w:val="continue"/>
            <w:shd w:val="clear" w:color="auto" w:fill="D1D0CF"/>
          </w:tcPr>
          <w:p>
            <w:pPr>
              <w:spacing w:after="0"/>
              <w:rPr>
                <w:sz w:val="12"/>
                <w:szCs w:val="12"/>
                <w:color w:val="auto"/>
              </w:rPr>
            </w:pPr>
          </w:p>
        </w:tc>
        <w:tc>
          <w:tcPr>
            <w:tcW w:w="1260" w:type="dxa"/>
            <w:vAlign w:val="bottom"/>
            <w:vMerge w:val="restart"/>
            <w:shd w:val="clear" w:color="auto" w:fill="D1D0CF"/>
          </w:tcPr>
          <w:p>
            <w:pPr>
              <w:jc w:val="right"/>
              <w:ind w:right="248"/>
              <w:spacing w:after="0"/>
              <w:rPr>
                <w:sz w:val="20"/>
                <w:szCs w:val="20"/>
                <w:color w:val="auto"/>
              </w:rPr>
            </w:pPr>
            <w:r>
              <w:rPr>
                <w:rFonts w:ascii="Arial" w:cs="Arial" w:eastAsia="Arial" w:hAnsi="Arial"/>
                <w:sz w:val="14"/>
                <w:szCs w:val="14"/>
                <w:b w:val="1"/>
                <w:bCs w:val="1"/>
                <w:color w:val="auto"/>
              </w:rPr>
              <w:t>At</w:t>
            </w:r>
          </w:p>
        </w:tc>
        <w:tc>
          <w:tcPr>
            <w:tcW w:w="88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At</w:t>
            </w:r>
          </w:p>
        </w:tc>
        <w:tc>
          <w:tcPr>
            <w:tcW w:w="1720" w:type="dxa"/>
            <w:vAlign w:val="bottom"/>
            <w:shd w:val="clear" w:color="auto" w:fill="D1D0CF"/>
          </w:tcPr>
          <w:p>
            <w:pPr>
              <w:jc w:val="right"/>
              <w:ind w:right="148"/>
              <w:spacing w:after="0" w:line="144" w:lineRule="exact"/>
              <w:rPr>
                <w:sz w:val="20"/>
                <w:szCs w:val="20"/>
                <w:color w:val="auto"/>
              </w:rPr>
            </w:pPr>
            <w:r>
              <w:rPr>
                <w:rFonts w:ascii="Arial" w:cs="Arial" w:eastAsia="Arial" w:hAnsi="Arial"/>
                <w:sz w:val="14"/>
                <w:szCs w:val="14"/>
                <w:b w:val="1"/>
                <w:bCs w:val="1"/>
                <w:color w:val="auto"/>
              </w:rPr>
              <w:t>present value of</w:t>
            </w:r>
          </w:p>
        </w:tc>
        <w:tc>
          <w:tcPr>
            <w:tcW w:w="1440" w:type="dxa"/>
            <w:vAlign w:val="bottom"/>
            <w:vMerge w:val="restart"/>
            <w:shd w:val="clear" w:color="auto" w:fill="D1D0CF"/>
          </w:tcPr>
          <w:p>
            <w:pPr>
              <w:jc w:val="right"/>
              <w:ind w:right="168"/>
              <w:spacing w:after="0"/>
              <w:rPr>
                <w:sz w:val="20"/>
                <w:szCs w:val="20"/>
                <w:color w:val="auto"/>
              </w:rPr>
            </w:pPr>
            <w:r>
              <w:rPr>
                <w:rFonts w:ascii="Arial" w:cs="Arial" w:eastAsia="Arial" w:hAnsi="Arial"/>
                <w:sz w:val="14"/>
                <w:szCs w:val="14"/>
                <w:b w:val="1"/>
                <w:bCs w:val="1"/>
                <w:color w:val="auto"/>
              </w:rPr>
              <w:t>Compensatory</w:t>
            </w:r>
          </w:p>
        </w:tc>
        <w:tc>
          <w:tcPr>
            <w:tcW w:w="1440" w:type="dxa"/>
            <w:vAlign w:val="bottom"/>
            <w:vMerge w:val="continue"/>
            <w:shd w:val="clear" w:color="auto" w:fill="D1D0CF"/>
          </w:tcPr>
          <w:p>
            <w:pPr>
              <w:spacing w:after="0"/>
              <w:rPr>
                <w:sz w:val="12"/>
                <w:szCs w:val="12"/>
                <w:color w:val="auto"/>
              </w:rPr>
            </w:pPr>
          </w:p>
        </w:tc>
        <w:tc>
          <w:tcPr>
            <w:tcW w:w="1360" w:type="dxa"/>
            <w:vAlign w:val="bottom"/>
            <w:shd w:val="clear" w:color="auto" w:fill="D1D0CF"/>
          </w:tcPr>
          <w:p>
            <w:pPr>
              <w:jc w:val="right"/>
              <w:spacing w:after="0" w:line="144" w:lineRule="exact"/>
              <w:rPr>
                <w:sz w:val="20"/>
                <w:szCs w:val="20"/>
                <w:color w:val="auto"/>
              </w:rPr>
            </w:pPr>
            <w:r>
              <w:rPr>
                <w:rFonts w:ascii="Arial" w:cs="Arial" w:eastAsia="Arial" w:hAnsi="Arial"/>
                <w:sz w:val="14"/>
                <w:szCs w:val="14"/>
                <w:b w:val="1"/>
                <w:bCs w:val="1"/>
                <w:color w:val="auto"/>
              </w:rPr>
              <w:t>present value of</w:t>
            </w:r>
          </w:p>
        </w:tc>
        <w:tc>
          <w:tcPr>
            <w:tcW w:w="0" w:type="dxa"/>
            <w:vAlign w:val="bottom"/>
          </w:tcPr>
          <w:p>
            <w:pPr>
              <w:spacing w:after="0"/>
              <w:rPr>
                <w:sz w:val="1"/>
                <w:szCs w:val="1"/>
                <w:color w:val="auto"/>
              </w:rPr>
            </w:pPr>
          </w:p>
        </w:tc>
      </w:tr>
      <w:tr>
        <w:trPr>
          <w:trHeight w:val="148"/>
        </w:trPr>
        <w:tc>
          <w:tcPr>
            <w:tcW w:w="1900" w:type="dxa"/>
            <w:vAlign w:val="bottom"/>
            <w:shd w:val="clear" w:color="auto" w:fill="D1D0CF"/>
          </w:tcPr>
          <w:p>
            <w:pPr>
              <w:spacing w:after="0"/>
              <w:rPr>
                <w:sz w:val="12"/>
                <w:szCs w:val="12"/>
                <w:color w:val="auto"/>
              </w:rPr>
            </w:pPr>
          </w:p>
        </w:tc>
        <w:tc>
          <w:tcPr>
            <w:tcW w:w="124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years of</w:t>
            </w:r>
          </w:p>
        </w:tc>
        <w:tc>
          <w:tcPr>
            <w:tcW w:w="1260" w:type="dxa"/>
            <w:vAlign w:val="bottom"/>
            <w:vMerge w:val="continue"/>
            <w:shd w:val="clear" w:color="auto" w:fill="D1D0CF"/>
          </w:tcPr>
          <w:p>
            <w:pPr>
              <w:spacing w:after="0"/>
              <w:rPr>
                <w:sz w:val="12"/>
                <w:szCs w:val="12"/>
                <w:color w:val="auto"/>
              </w:rPr>
            </w:pPr>
          </w:p>
        </w:tc>
        <w:tc>
          <w:tcPr>
            <w:tcW w:w="880" w:type="dxa"/>
            <w:vAlign w:val="bottom"/>
            <w:vMerge w:val="continue"/>
            <w:shd w:val="clear" w:color="auto" w:fill="D1D0CF"/>
          </w:tcPr>
          <w:p>
            <w:pPr>
              <w:spacing w:after="0"/>
              <w:rPr>
                <w:sz w:val="12"/>
                <w:szCs w:val="12"/>
                <w:color w:val="auto"/>
              </w:rPr>
            </w:pPr>
          </w:p>
        </w:tc>
        <w:tc>
          <w:tcPr>
            <w:tcW w:w="1720" w:type="dxa"/>
            <w:vAlign w:val="bottom"/>
            <w:shd w:val="clear" w:color="auto" w:fill="D1D0CF"/>
          </w:tcPr>
          <w:p>
            <w:pPr>
              <w:jc w:val="right"/>
              <w:ind w:right="148"/>
              <w:spacing w:after="0" w:line="148" w:lineRule="exact"/>
              <w:rPr>
                <w:sz w:val="20"/>
                <w:szCs w:val="20"/>
                <w:color w:val="auto"/>
              </w:rPr>
            </w:pPr>
            <w:r>
              <w:rPr>
                <w:rFonts w:ascii="Arial" w:cs="Arial" w:eastAsia="Arial" w:hAnsi="Arial"/>
                <w:sz w:val="14"/>
                <w:szCs w:val="14"/>
                <w:b w:val="1"/>
                <w:bCs w:val="1"/>
                <w:color w:val="auto"/>
              </w:rPr>
              <w:t>defined benefit</w:t>
            </w:r>
          </w:p>
        </w:tc>
        <w:tc>
          <w:tcPr>
            <w:tcW w:w="1440" w:type="dxa"/>
            <w:vAlign w:val="bottom"/>
            <w:vMerge w:val="continue"/>
            <w:shd w:val="clear" w:color="auto" w:fill="D1D0CF"/>
          </w:tcPr>
          <w:p>
            <w:pPr>
              <w:spacing w:after="0"/>
              <w:rPr>
                <w:sz w:val="12"/>
                <w:szCs w:val="12"/>
                <w:color w:val="auto"/>
              </w:rPr>
            </w:pPr>
          </w:p>
        </w:tc>
        <w:tc>
          <w:tcPr>
            <w:tcW w:w="1440" w:type="dxa"/>
            <w:vAlign w:val="bottom"/>
            <w:shd w:val="clear" w:color="auto" w:fill="D1D0CF"/>
          </w:tcPr>
          <w:p>
            <w:pPr>
              <w:jc w:val="right"/>
              <w:ind w:right="188"/>
              <w:spacing w:after="0" w:line="148" w:lineRule="exact"/>
              <w:rPr>
                <w:sz w:val="20"/>
                <w:szCs w:val="20"/>
                <w:color w:val="auto"/>
              </w:rPr>
            </w:pPr>
            <w:r>
              <w:rPr>
                <w:rFonts w:ascii="Arial" w:cs="Arial" w:eastAsia="Arial" w:hAnsi="Arial"/>
                <w:sz w:val="14"/>
                <w:szCs w:val="14"/>
                <w:b w:val="1"/>
                <w:bCs w:val="1"/>
                <w:color w:val="auto"/>
              </w:rPr>
              <w:t>compensatory</w:t>
            </w:r>
          </w:p>
        </w:tc>
        <w:tc>
          <w:tcPr>
            <w:tcW w:w="136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defined benefit</w:t>
            </w:r>
          </w:p>
        </w:tc>
        <w:tc>
          <w:tcPr>
            <w:tcW w:w="0" w:type="dxa"/>
            <w:vAlign w:val="bottom"/>
          </w:tcPr>
          <w:p>
            <w:pPr>
              <w:spacing w:after="0"/>
              <w:rPr>
                <w:sz w:val="1"/>
                <w:szCs w:val="1"/>
                <w:color w:val="auto"/>
              </w:rPr>
            </w:pPr>
          </w:p>
        </w:tc>
      </w:tr>
      <w:tr>
        <w:trPr>
          <w:trHeight w:val="148"/>
        </w:trPr>
        <w:tc>
          <w:tcPr>
            <w:tcW w:w="1900" w:type="dxa"/>
            <w:vAlign w:val="bottom"/>
            <w:vMerge w:val="restart"/>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124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credited</w:t>
            </w:r>
          </w:p>
        </w:tc>
        <w:tc>
          <w:tcPr>
            <w:tcW w:w="1260" w:type="dxa"/>
            <w:vAlign w:val="bottom"/>
            <w:shd w:val="clear" w:color="auto" w:fill="D1D0CF"/>
          </w:tcPr>
          <w:p>
            <w:pPr>
              <w:jc w:val="right"/>
              <w:ind w:right="248"/>
              <w:spacing w:after="0" w:line="148" w:lineRule="exact"/>
              <w:rPr>
                <w:sz w:val="20"/>
                <w:szCs w:val="20"/>
                <w:color w:val="auto"/>
              </w:rPr>
            </w:pPr>
            <w:r>
              <w:rPr>
                <w:rFonts w:ascii="Arial" w:cs="Arial" w:eastAsia="Arial" w:hAnsi="Arial"/>
                <w:sz w:val="14"/>
                <w:szCs w:val="14"/>
                <w:b w:val="1"/>
                <w:bCs w:val="1"/>
                <w:color w:val="auto"/>
              </w:rPr>
              <w:t>year end</w:t>
            </w:r>
          </w:p>
        </w:tc>
        <w:tc>
          <w:tcPr>
            <w:tcW w:w="88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age 65</w:t>
            </w:r>
          </w:p>
        </w:tc>
        <w:tc>
          <w:tcPr>
            <w:tcW w:w="1720" w:type="dxa"/>
            <w:vAlign w:val="bottom"/>
            <w:shd w:val="clear" w:color="auto" w:fill="D1D0CF"/>
          </w:tcPr>
          <w:p>
            <w:pPr>
              <w:jc w:val="right"/>
              <w:ind w:right="148"/>
              <w:spacing w:after="0" w:line="148" w:lineRule="exact"/>
              <w:rPr>
                <w:sz w:val="20"/>
                <w:szCs w:val="20"/>
                <w:color w:val="auto"/>
              </w:rPr>
            </w:pPr>
            <w:r>
              <w:rPr>
                <w:rFonts w:ascii="Arial" w:cs="Arial" w:eastAsia="Arial" w:hAnsi="Arial"/>
                <w:sz w:val="14"/>
                <w:szCs w:val="14"/>
                <w:b w:val="1"/>
                <w:bCs w:val="1"/>
                <w:color w:val="auto"/>
              </w:rPr>
              <w:t>obligation</w:t>
            </w:r>
          </w:p>
        </w:tc>
        <w:tc>
          <w:tcPr>
            <w:tcW w:w="1440" w:type="dxa"/>
            <w:vAlign w:val="bottom"/>
            <w:shd w:val="clear" w:color="auto" w:fill="D1D0CF"/>
          </w:tcPr>
          <w:p>
            <w:pPr>
              <w:jc w:val="right"/>
              <w:ind w:right="168"/>
              <w:spacing w:after="0" w:line="148" w:lineRule="exact"/>
              <w:rPr>
                <w:sz w:val="20"/>
                <w:szCs w:val="20"/>
                <w:color w:val="auto"/>
              </w:rPr>
            </w:pPr>
            <w:r>
              <w:rPr>
                <w:rFonts w:ascii="Arial" w:cs="Arial" w:eastAsia="Arial" w:hAnsi="Arial"/>
                <w:sz w:val="14"/>
                <w:szCs w:val="14"/>
                <w:b w:val="1"/>
                <w:bCs w:val="1"/>
                <w:color w:val="auto"/>
              </w:rPr>
              <w:t>change</w:t>
            </w:r>
          </w:p>
        </w:tc>
        <w:tc>
          <w:tcPr>
            <w:tcW w:w="1440" w:type="dxa"/>
            <w:vAlign w:val="bottom"/>
            <w:shd w:val="clear" w:color="auto" w:fill="D1D0CF"/>
          </w:tcPr>
          <w:p>
            <w:pPr>
              <w:jc w:val="right"/>
              <w:ind w:right="188"/>
              <w:spacing w:after="0" w:line="148" w:lineRule="exact"/>
              <w:rPr>
                <w:sz w:val="20"/>
                <w:szCs w:val="20"/>
                <w:color w:val="auto"/>
              </w:rPr>
            </w:pPr>
            <w:r>
              <w:rPr>
                <w:rFonts w:ascii="Arial" w:cs="Arial" w:eastAsia="Arial" w:hAnsi="Arial"/>
                <w:sz w:val="14"/>
                <w:szCs w:val="14"/>
                <w:b w:val="1"/>
                <w:bCs w:val="1"/>
                <w:color w:val="auto"/>
              </w:rPr>
              <w:t>change</w:t>
            </w:r>
          </w:p>
        </w:tc>
        <w:tc>
          <w:tcPr>
            <w:tcW w:w="1360" w:type="dxa"/>
            <w:vAlign w:val="bottom"/>
            <w:shd w:val="clear" w:color="auto" w:fill="D1D0CF"/>
          </w:tcPr>
          <w:p>
            <w:pPr>
              <w:jc w:val="right"/>
              <w:spacing w:after="0" w:line="148" w:lineRule="exact"/>
              <w:rPr>
                <w:sz w:val="20"/>
                <w:szCs w:val="20"/>
                <w:color w:val="auto"/>
              </w:rPr>
            </w:pPr>
            <w:r>
              <w:rPr>
                <w:rFonts w:ascii="Arial" w:cs="Arial" w:eastAsia="Arial" w:hAnsi="Arial"/>
                <w:sz w:val="14"/>
                <w:szCs w:val="14"/>
                <w:b w:val="1"/>
                <w:bCs w:val="1"/>
                <w:color w:val="auto"/>
              </w:rPr>
              <w:t>obligation</w:t>
            </w:r>
          </w:p>
        </w:tc>
        <w:tc>
          <w:tcPr>
            <w:tcW w:w="0" w:type="dxa"/>
            <w:vAlign w:val="bottom"/>
          </w:tcPr>
          <w:p>
            <w:pPr>
              <w:spacing w:after="0"/>
              <w:rPr>
                <w:sz w:val="1"/>
                <w:szCs w:val="1"/>
                <w:color w:val="auto"/>
              </w:rPr>
            </w:pPr>
          </w:p>
        </w:tc>
      </w:tr>
      <w:tr>
        <w:trPr>
          <w:trHeight w:val="199"/>
        </w:trPr>
        <w:tc>
          <w:tcPr>
            <w:tcW w:w="1900" w:type="dxa"/>
            <w:vAlign w:val="bottom"/>
            <w:tcBorders>
              <w:bottom w:val="single" w:sz="8" w:color="237CC1"/>
            </w:tcBorders>
            <w:vMerge w:val="continue"/>
            <w:shd w:val="clear" w:color="auto" w:fill="D1D0CF"/>
          </w:tcPr>
          <w:p>
            <w:pPr>
              <w:spacing w:after="0"/>
              <w:rPr>
                <w:sz w:val="17"/>
                <w:szCs w:val="17"/>
                <w:color w:val="auto"/>
              </w:rPr>
            </w:pPr>
          </w:p>
        </w:tc>
        <w:tc>
          <w:tcPr>
            <w:tcW w:w="124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service</w:t>
            </w:r>
          </w:p>
        </w:tc>
        <w:tc>
          <w:tcPr>
            <w:tcW w:w="1260" w:type="dxa"/>
            <w:vAlign w:val="bottom"/>
            <w:tcBorders>
              <w:bottom w:val="single" w:sz="8" w:color="237CC1"/>
            </w:tcBorders>
            <w:shd w:val="clear" w:color="auto" w:fill="D1D0CF"/>
          </w:tcPr>
          <w:p>
            <w:pPr>
              <w:jc w:val="right"/>
              <w:ind w:right="20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237CC1"/>
            </w:tcBorders>
            <w:shd w:val="clear" w:color="auto" w:fill="D1D0C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237CC1"/>
            </w:tcBorders>
            <w:shd w:val="clear" w:color="auto" w:fill="D1D0C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237CC1"/>
            </w:tcBorders>
            <w:shd w:val="clear" w:color="auto" w:fill="D1D0CF"/>
          </w:tcPr>
          <w:p>
            <w:pPr>
              <w:jc w:val="right"/>
              <w:ind w:right="14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1900" w:type="dxa"/>
            <w:vAlign w:val="bottom"/>
            <w:tcBorders>
              <w:bottom w:val="single" w:sz="8" w:color="237CC1"/>
            </w:tcBorders>
          </w:tcPr>
          <w:p>
            <w:pPr>
              <w:ind w:left="20"/>
              <w:spacing w:after="0"/>
              <w:rPr>
                <w:sz w:val="20"/>
                <w:szCs w:val="20"/>
                <w:color w:val="auto"/>
              </w:rPr>
            </w:pPr>
            <w:r>
              <w:rPr>
                <w:rFonts w:ascii="Arial" w:cs="Arial" w:eastAsia="Arial" w:hAnsi="Arial"/>
                <w:sz w:val="14"/>
                <w:szCs w:val="14"/>
                <w:color w:val="auto"/>
              </w:rPr>
              <w:t>François Poirier</w:t>
            </w:r>
          </w:p>
        </w:tc>
        <w:tc>
          <w:tcPr>
            <w:tcW w:w="124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11.67</w:t>
            </w:r>
          </w:p>
        </w:tc>
        <w:tc>
          <w:tcPr>
            <w:tcW w:w="1260" w:type="dxa"/>
            <w:vAlign w:val="bottom"/>
            <w:tcBorders>
              <w:bottom w:val="single" w:sz="8" w:color="237CC1"/>
            </w:tcBorders>
          </w:tcPr>
          <w:p>
            <w:pPr>
              <w:jc w:val="right"/>
              <w:ind w:right="248"/>
              <w:spacing w:after="0"/>
              <w:rPr>
                <w:sz w:val="20"/>
                <w:szCs w:val="20"/>
                <w:color w:val="auto"/>
              </w:rPr>
            </w:pPr>
            <w:r>
              <w:rPr>
                <w:rFonts w:ascii="Arial" w:cs="Arial" w:eastAsia="Arial" w:hAnsi="Arial"/>
                <w:sz w:val="14"/>
                <w:szCs w:val="14"/>
                <w:color w:val="auto"/>
              </w:rPr>
              <w:t>480,000</w:t>
            </w:r>
          </w:p>
        </w:tc>
        <w:tc>
          <w:tcPr>
            <w:tcW w:w="880" w:type="dxa"/>
            <w:vAlign w:val="bottom"/>
            <w:tcBorders>
              <w:bottom w:val="single" w:sz="8" w:color="237CC1"/>
            </w:tcBorders>
          </w:tcPr>
          <w:p>
            <w:pPr>
              <w:jc w:val="right"/>
              <w:ind w:right="8"/>
              <w:spacing w:after="0"/>
              <w:rPr>
                <w:sz w:val="20"/>
                <w:szCs w:val="20"/>
                <w:color w:val="auto"/>
              </w:rPr>
            </w:pPr>
            <w:r>
              <w:rPr>
                <w:rFonts w:ascii="Arial" w:cs="Arial" w:eastAsia="Arial" w:hAnsi="Arial"/>
                <w:sz w:val="14"/>
                <w:szCs w:val="14"/>
                <w:color w:val="auto"/>
              </w:rPr>
              <w:t>709,000</w:t>
            </w:r>
          </w:p>
        </w:tc>
        <w:tc>
          <w:tcPr>
            <w:tcW w:w="1720" w:type="dxa"/>
            <w:vAlign w:val="bottom"/>
            <w:tcBorders>
              <w:bottom w:val="single" w:sz="8" w:color="237CC1"/>
            </w:tcBorders>
          </w:tcPr>
          <w:p>
            <w:pPr>
              <w:jc w:val="right"/>
              <w:ind w:right="168"/>
              <w:spacing w:after="0"/>
              <w:rPr>
                <w:sz w:val="20"/>
                <w:szCs w:val="20"/>
                <w:color w:val="auto"/>
              </w:rPr>
            </w:pPr>
            <w:r>
              <w:rPr>
                <w:rFonts w:ascii="Arial" w:cs="Arial" w:eastAsia="Arial" w:hAnsi="Arial"/>
                <w:sz w:val="14"/>
                <w:szCs w:val="14"/>
                <w:color w:val="auto"/>
              </w:rPr>
              <w:t>6,721,000</w:t>
            </w:r>
          </w:p>
        </w:tc>
        <w:tc>
          <w:tcPr>
            <w:tcW w:w="1440" w:type="dxa"/>
            <w:vAlign w:val="bottom"/>
            <w:tcBorders>
              <w:bottom w:val="single" w:sz="8" w:color="237CC1"/>
            </w:tcBorders>
          </w:tcPr>
          <w:p>
            <w:pPr>
              <w:jc w:val="right"/>
              <w:ind w:right="168"/>
              <w:spacing w:after="0"/>
              <w:rPr>
                <w:sz w:val="20"/>
                <w:szCs w:val="20"/>
                <w:color w:val="auto"/>
              </w:rPr>
            </w:pPr>
            <w:r>
              <w:rPr>
                <w:rFonts w:ascii="Arial" w:cs="Arial" w:eastAsia="Arial" w:hAnsi="Arial"/>
                <w:sz w:val="14"/>
                <w:szCs w:val="14"/>
                <w:color w:val="auto"/>
              </w:rPr>
              <w:t>594,000</w:t>
            </w:r>
          </w:p>
        </w:tc>
        <w:tc>
          <w:tcPr>
            <w:tcW w:w="1440" w:type="dxa"/>
            <w:vAlign w:val="bottom"/>
            <w:tcBorders>
              <w:bottom w:val="single" w:sz="8" w:color="237CC1"/>
            </w:tcBorders>
          </w:tcPr>
          <w:p>
            <w:pPr>
              <w:jc w:val="right"/>
              <w:ind w:right="188"/>
              <w:spacing w:after="0"/>
              <w:rPr>
                <w:sz w:val="20"/>
                <w:szCs w:val="20"/>
                <w:color w:val="auto"/>
              </w:rPr>
            </w:pPr>
            <w:r>
              <w:rPr>
                <w:rFonts w:ascii="Arial" w:cs="Arial" w:eastAsia="Arial" w:hAnsi="Arial"/>
                <w:sz w:val="14"/>
                <w:szCs w:val="14"/>
                <w:color w:val="auto"/>
              </w:rPr>
              <w:t>328,000</w:t>
            </w:r>
          </w:p>
        </w:tc>
        <w:tc>
          <w:tcPr>
            <w:tcW w:w="136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7,643,000</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40" w:hanging="133"/>
        <w:spacing w:after="0"/>
        <w:tabs>
          <w:tab w:leader="none" w:pos="140" w:val="left"/>
        </w:tabs>
        <w:numPr>
          <w:ilvl w:val="0"/>
          <w:numId w:val="166"/>
        </w:numPr>
        <w:rPr>
          <w:rFonts w:ascii="Arial" w:cs="Arial" w:eastAsia="Arial" w:hAnsi="Arial"/>
          <w:sz w:val="11"/>
          <w:szCs w:val="11"/>
          <w:color w:val="auto"/>
        </w:rPr>
      </w:pPr>
      <w:r>
        <w:rPr>
          <w:rFonts w:ascii="Arial" w:cs="Arial" w:eastAsia="Arial" w:hAnsi="Arial"/>
          <w:sz w:val="11"/>
          <w:szCs w:val="11"/>
          <w:i w:val="1"/>
          <w:iCs w:val="1"/>
          <w:color w:val="auto"/>
        </w:rPr>
        <w:t xml:space="preserve">Annual benefits payable at year end </w:t>
      </w:r>
      <w:r>
        <w:rPr>
          <w:rFonts w:ascii="Arial" w:cs="Arial" w:eastAsia="Arial" w:hAnsi="Arial"/>
          <w:sz w:val="11"/>
          <w:szCs w:val="11"/>
          <w:color w:val="auto"/>
        </w:rPr>
        <w:t>is the annual lifetime benefit payable at age 60, based on the years of credited service and the actual pensionable earnings history, as of December 31, 2025.</w:t>
      </w:r>
    </w:p>
    <w:p>
      <w:pPr>
        <w:spacing w:after="0" w:line="61" w:lineRule="exact"/>
        <w:rPr>
          <w:rFonts w:ascii="Arial" w:cs="Arial" w:eastAsia="Arial" w:hAnsi="Arial"/>
          <w:sz w:val="11"/>
          <w:szCs w:val="11"/>
          <w:color w:val="auto"/>
        </w:rPr>
      </w:pPr>
    </w:p>
    <w:p>
      <w:pPr>
        <w:ind w:left="160" w:right="220" w:hanging="153"/>
        <w:spacing w:after="0" w:line="291" w:lineRule="auto"/>
        <w:tabs>
          <w:tab w:leader="none" w:pos="137" w:val="left"/>
        </w:tabs>
        <w:numPr>
          <w:ilvl w:val="0"/>
          <w:numId w:val="166"/>
        </w:numPr>
        <w:rPr>
          <w:rFonts w:ascii="Arial" w:cs="Arial" w:eastAsia="Arial" w:hAnsi="Arial"/>
          <w:sz w:val="13"/>
          <w:szCs w:val="13"/>
          <w:color w:val="auto"/>
        </w:rPr>
      </w:pPr>
      <w:r>
        <w:rPr>
          <w:rFonts w:ascii="Arial" w:cs="Arial" w:eastAsia="Arial" w:hAnsi="Arial"/>
          <w:sz w:val="13"/>
          <w:szCs w:val="13"/>
          <w:i w:val="1"/>
          <w:iCs w:val="1"/>
          <w:color w:val="auto"/>
        </w:rPr>
        <w:t xml:space="preserve">Annual benefits payable at age 65 </w:t>
      </w:r>
      <w:r>
        <w:rPr>
          <w:rFonts w:ascii="Arial" w:cs="Arial" w:eastAsia="Arial" w:hAnsi="Arial"/>
          <w:sz w:val="13"/>
          <w:szCs w:val="13"/>
          <w:color w:val="auto"/>
        </w:rPr>
        <w:t>is the annual lifetime benefit payable at age 65, based on the years of credited service at age 65 and the actual pensionable earnings history, as of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2025.</w:t>
      </w:r>
    </w:p>
    <w:p>
      <w:pPr>
        <w:ind w:left="160" w:right="100" w:hanging="153"/>
        <w:spacing w:after="0" w:line="294" w:lineRule="auto"/>
        <w:tabs>
          <w:tab w:leader="none" w:pos="137" w:val="left"/>
        </w:tabs>
        <w:numPr>
          <w:ilvl w:val="0"/>
          <w:numId w:val="166"/>
        </w:numPr>
        <w:rPr>
          <w:rFonts w:ascii="Arial" w:cs="Arial" w:eastAsia="Arial" w:hAnsi="Arial"/>
          <w:sz w:val="13"/>
          <w:szCs w:val="13"/>
          <w:color w:val="auto"/>
        </w:rPr>
      </w:pPr>
      <w:r>
        <w:rPr>
          <w:rFonts w:ascii="Arial" w:cs="Arial" w:eastAsia="Arial" w:hAnsi="Arial"/>
          <w:sz w:val="13"/>
          <w:szCs w:val="13"/>
          <w:i w:val="1"/>
          <w:iCs w:val="1"/>
          <w:color w:val="auto"/>
        </w:rPr>
        <w:t xml:space="preserve">Opening and closing present value of defined benefit obligation </w:t>
      </w:r>
      <w:r>
        <w:rPr>
          <w:rFonts w:ascii="Arial" w:cs="Arial" w:eastAsia="Arial" w:hAnsi="Arial"/>
          <w:sz w:val="13"/>
          <w:szCs w:val="13"/>
          <w:color w:val="auto"/>
        </w:rPr>
        <w:t>is at December 31, 2024 and December 31, 2025, respectively. It represents actuarial assumptions and methods that are consistent</w:t>
      </w:r>
      <w:r>
        <w:rPr>
          <w:rFonts w:ascii="Arial" w:cs="Arial" w:eastAsia="Arial" w:hAnsi="Arial"/>
          <w:sz w:val="13"/>
          <w:szCs w:val="13"/>
          <w:i w:val="1"/>
          <w:iCs w:val="1"/>
          <w:color w:val="auto"/>
        </w:rPr>
        <w:t xml:space="preserve"> </w:t>
      </w:r>
      <w:r>
        <w:rPr>
          <w:rFonts w:ascii="Arial" w:cs="Arial" w:eastAsia="Arial" w:hAnsi="Arial"/>
          <w:sz w:val="13"/>
          <w:szCs w:val="13"/>
          <w:color w:val="auto"/>
        </w:rPr>
        <w:t>with those used for calculating the pension obligations disclosed in our 2024 and 2025 consolidated financial statements. These assumptions reflect our best estimate of future events, and the values in the above table may not be directly comparable to similar estimates of pension obligations that may be disclosed by other corporations.</w:t>
      </w:r>
    </w:p>
    <w:p>
      <w:pPr>
        <w:spacing w:after="0" w:line="1" w:lineRule="exact"/>
        <w:rPr>
          <w:rFonts w:ascii="Arial" w:cs="Arial" w:eastAsia="Arial" w:hAnsi="Arial"/>
          <w:sz w:val="13"/>
          <w:szCs w:val="13"/>
          <w:color w:val="auto"/>
        </w:rPr>
      </w:pPr>
    </w:p>
    <w:p>
      <w:pPr>
        <w:ind w:left="140" w:hanging="133"/>
        <w:spacing w:after="0"/>
        <w:tabs>
          <w:tab w:leader="none" w:pos="140" w:val="left"/>
        </w:tabs>
        <w:numPr>
          <w:ilvl w:val="0"/>
          <w:numId w:val="166"/>
        </w:numPr>
        <w:rPr>
          <w:rFonts w:ascii="Arial" w:cs="Arial" w:eastAsia="Arial" w:hAnsi="Arial"/>
          <w:sz w:val="13"/>
          <w:szCs w:val="13"/>
          <w:color w:val="auto"/>
        </w:rPr>
      </w:pPr>
      <w:r>
        <w:rPr>
          <w:rFonts w:ascii="Arial" w:cs="Arial" w:eastAsia="Arial" w:hAnsi="Arial"/>
          <w:sz w:val="13"/>
          <w:szCs w:val="13"/>
          <w:i w:val="1"/>
          <w:iCs w:val="1"/>
          <w:color w:val="auto"/>
        </w:rPr>
        <w:t xml:space="preserve">Compensatory change </w:t>
      </w:r>
      <w:r>
        <w:rPr>
          <w:rFonts w:ascii="Arial" w:cs="Arial" w:eastAsia="Arial" w:hAnsi="Arial"/>
          <w:sz w:val="13"/>
          <w:szCs w:val="13"/>
          <w:color w:val="auto"/>
        </w:rPr>
        <w:t>includes the service cost to TC Energy in 2025, plus the impact on the obligation due to actual compensation changes that were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higher or lower than assumed, and plan changes.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Non-compensatory change</w:t>
      </w:r>
      <w:r>
        <w:rPr>
          <w:rFonts w:ascii="Arial" w:cs="Arial" w:eastAsia="Arial" w:hAnsi="Arial"/>
          <w:sz w:val="13"/>
          <w:szCs w:val="13"/>
          <w:color w:val="auto"/>
        </w:rPr>
        <w:t xml:space="preserve"> includes the interest on the accrued obligation at the start of the year and changes in assumptions in the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DC Plan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top w:val="single" w:sz="8" w:color="237CC1"/>
            </w:tcBorders>
            <w:shd w:val="clear" w:color="auto" w:fill="D1D0CF"/>
          </w:tcPr>
          <w:p>
            <w:pPr>
              <w:ind w:left="20"/>
              <w:spacing w:after="0"/>
              <w:rPr>
                <w:sz w:val="20"/>
                <w:szCs w:val="20"/>
                <w:color w:val="auto"/>
              </w:rPr>
            </w:pPr>
            <w:r>
              <w:rPr>
                <w:rFonts w:ascii="Arial" w:cs="Arial" w:eastAsia="Arial" w:hAnsi="Arial"/>
                <w:sz w:val="14"/>
                <w:szCs w:val="14"/>
                <w:color w:val="auto"/>
              </w:rPr>
              <w:t>at December 31, 2025</w:t>
            </w:r>
          </w:p>
        </w:tc>
        <w:tc>
          <w:tcPr>
            <w:tcW w:w="3240" w:type="dxa"/>
            <w:vAlign w:val="bottom"/>
            <w:tcBorders>
              <w:top w:val="single" w:sz="8" w:color="237CC1"/>
            </w:tcBorders>
            <w:shd w:val="clear" w:color="auto" w:fill="D1D0CF"/>
          </w:tcPr>
          <w:p>
            <w:pPr>
              <w:spacing w:after="0"/>
              <w:rPr>
                <w:sz w:val="18"/>
                <w:szCs w:val="18"/>
                <w:color w:val="auto"/>
              </w:rPr>
            </w:pPr>
          </w:p>
        </w:tc>
        <w:tc>
          <w:tcPr>
            <w:tcW w:w="1740" w:type="dxa"/>
            <w:vAlign w:val="bottom"/>
            <w:tcBorders>
              <w:top w:val="single" w:sz="8" w:color="237CC1"/>
            </w:tcBorders>
            <w:shd w:val="clear" w:color="auto" w:fill="D1D0CF"/>
          </w:tcPr>
          <w:p>
            <w:pPr>
              <w:spacing w:after="0"/>
              <w:rPr>
                <w:sz w:val="18"/>
                <w:szCs w:val="18"/>
                <w:color w:val="auto"/>
              </w:rPr>
            </w:pPr>
          </w:p>
        </w:tc>
        <w:tc>
          <w:tcPr>
            <w:tcW w:w="2220" w:type="dxa"/>
            <w:vAlign w:val="bottom"/>
            <w:tcBorders>
              <w:top w:val="single" w:sz="8" w:color="237CC1"/>
            </w:tcBorders>
            <w:shd w:val="clear" w:color="auto" w:fill="D1D0C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20" w:type="dxa"/>
            <w:vAlign w:val="bottom"/>
            <w:shd w:val="clear" w:color="auto" w:fill="D1D0CF"/>
          </w:tcPr>
          <w:p>
            <w:pPr>
              <w:spacing w:after="0"/>
              <w:rPr>
                <w:sz w:val="16"/>
                <w:szCs w:val="16"/>
                <w:color w:val="auto"/>
              </w:rPr>
            </w:pPr>
          </w:p>
        </w:tc>
        <w:tc>
          <w:tcPr>
            <w:tcW w:w="3240" w:type="dxa"/>
            <w:vAlign w:val="bottom"/>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Accumulated value at start of</w:t>
            </w:r>
          </w:p>
        </w:tc>
        <w:tc>
          <w:tcPr>
            <w:tcW w:w="1740" w:type="dxa"/>
            <w:vAlign w:val="bottom"/>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Compensatory</w:t>
            </w:r>
          </w:p>
        </w:tc>
        <w:tc>
          <w:tcPr>
            <w:tcW w:w="222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Accumulated value at year end</w:t>
            </w:r>
          </w:p>
        </w:tc>
        <w:tc>
          <w:tcPr>
            <w:tcW w:w="0" w:type="dxa"/>
            <w:vAlign w:val="bottom"/>
          </w:tcPr>
          <w:p>
            <w:pPr>
              <w:spacing w:after="0"/>
              <w:rPr>
                <w:sz w:val="1"/>
                <w:szCs w:val="1"/>
                <w:color w:val="auto"/>
              </w:rPr>
            </w:pPr>
          </w:p>
        </w:tc>
      </w:tr>
      <w:tr>
        <w:trPr>
          <w:trHeight w:val="161"/>
        </w:trPr>
        <w:tc>
          <w:tcPr>
            <w:tcW w:w="2020" w:type="dxa"/>
            <w:vAlign w:val="bottom"/>
            <w:shd w:val="clear" w:color="auto" w:fill="D1D0CF"/>
          </w:tcPr>
          <w:p>
            <w:pPr>
              <w:spacing w:after="0"/>
              <w:rPr>
                <w:sz w:val="14"/>
                <w:szCs w:val="14"/>
                <w:color w:val="auto"/>
              </w:rPr>
            </w:pPr>
          </w:p>
        </w:tc>
        <w:tc>
          <w:tcPr>
            <w:tcW w:w="3240" w:type="dxa"/>
            <w:vAlign w:val="bottom"/>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year</w:t>
            </w:r>
          </w:p>
        </w:tc>
        <w:tc>
          <w:tcPr>
            <w:tcW w:w="1740" w:type="dxa"/>
            <w:vAlign w:val="bottom"/>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2220" w:type="dxa"/>
            <w:vAlign w:val="bottom"/>
            <w:vMerge w:val="continue"/>
            <w:shd w:val="clear" w:color="auto" w:fill="D1D0C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20" w:type="dxa"/>
            <w:vAlign w:val="bottom"/>
            <w:tcBorders>
              <w:bottom w:val="single" w:sz="8" w:color="237CC1"/>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3240" w:type="dxa"/>
            <w:vAlign w:val="bottom"/>
            <w:tcBorders>
              <w:bottom w:val="single" w:sz="8" w:color="237CC1"/>
            </w:tcBorders>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237CC1"/>
            </w:tcBorders>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w:t>
            </w:r>
          </w:p>
        </w:tc>
        <w:tc>
          <w:tcPr>
            <w:tcW w:w="222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2020" w:type="dxa"/>
            <w:vAlign w:val="bottom"/>
            <w:tcBorders>
              <w:bottom w:val="single" w:sz="8" w:color="237CC1"/>
            </w:tcBorders>
          </w:tcPr>
          <w:p>
            <w:pPr>
              <w:ind w:left="20"/>
              <w:spacing w:after="0"/>
              <w:rPr>
                <w:sz w:val="20"/>
                <w:szCs w:val="20"/>
                <w:color w:val="auto"/>
              </w:rPr>
            </w:pPr>
            <w:r>
              <w:rPr>
                <w:rFonts w:ascii="Arial" w:cs="Arial" w:eastAsia="Arial" w:hAnsi="Arial"/>
                <w:sz w:val="14"/>
                <w:szCs w:val="14"/>
                <w:color w:val="auto"/>
              </w:rPr>
              <w:t>Anita Dusevic Oliva</w:t>
            </w:r>
          </w:p>
        </w:tc>
        <w:tc>
          <w:tcPr>
            <w:tcW w:w="3240" w:type="dxa"/>
            <w:vAlign w:val="bottom"/>
            <w:tcBorders>
              <w:bottom w:val="single" w:sz="8" w:color="237CC1"/>
            </w:tcBorders>
          </w:tcPr>
          <w:p>
            <w:pPr>
              <w:jc w:val="right"/>
              <w:ind w:right="6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237CC1"/>
            </w:tcBorders>
          </w:tcPr>
          <w:p>
            <w:pPr>
              <w:jc w:val="right"/>
              <w:ind w:right="68"/>
              <w:spacing w:after="0"/>
              <w:rPr>
                <w:sz w:val="20"/>
                <w:szCs w:val="20"/>
                <w:color w:val="auto"/>
              </w:rPr>
            </w:pPr>
            <w:r>
              <w:rPr>
                <w:rFonts w:ascii="Arial" w:cs="Arial" w:eastAsia="Arial" w:hAnsi="Arial"/>
                <w:sz w:val="14"/>
                <w:szCs w:val="14"/>
                <w:color w:val="auto"/>
              </w:rPr>
              <w:t>33,810</w:t>
            </w:r>
          </w:p>
        </w:tc>
        <w:tc>
          <w:tcPr>
            <w:tcW w:w="222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37,108</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40" w:hanging="133"/>
        <w:spacing w:after="0"/>
        <w:tabs>
          <w:tab w:leader="none" w:pos="140" w:val="left"/>
        </w:tabs>
        <w:numPr>
          <w:ilvl w:val="0"/>
          <w:numId w:val="167"/>
        </w:numPr>
        <w:rPr>
          <w:rFonts w:ascii="Arial" w:cs="Arial" w:eastAsia="Arial" w:hAnsi="Arial"/>
          <w:sz w:val="13"/>
          <w:szCs w:val="13"/>
          <w:color w:val="auto"/>
        </w:rPr>
      </w:pPr>
      <w:r>
        <w:rPr>
          <w:rFonts w:ascii="Arial" w:cs="Arial" w:eastAsia="Arial" w:hAnsi="Arial"/>
          <w:sz w:val="13"/>
          <w:szCs w:val="13"/>
          <w:i w:val="1"/>
          <w:iCs w:val="1"/>
          <w:color w:val="auto"/>
        </w:rPr>
        <w:t xml:space="preserve">Accumulated value at start of year </w:t>
      </w:r>
      <w:r>
        <w:rPr>
          <w:rFonts w:ascii="Arial" w:cs="Arial" w:eastAsia="Arial" w:hAnsi="Arial"/>
          <w:sz w:val="13"/>
          <w:szCs w:val="13"/>
          <w:color w:val="auto"/>
        </w:rPr>
        <w:t>is the beginning of year value of the DC Plan funded by employer contributions.</w:t>
      </w:r>
    </w:p>
    <w:p>
      <w:pPr>
        <w:spacing w:after="0" w:line="38" w:lineRule="exact"/>
        <w:rPr>
          <w:rFonts w:ascii="Arial" w:cs="Arial" w:eastAsia="Arial" w:hAnsi="Arial"/>
          <w:sz w:val="13"/>
          <w:szCs w:val="13"/>
          <w:color w:val="auto"/>
        </w:rPr>
      </w:pPr>
    </w:p>
    <w:p>
      <w:pPr>
        <w:ind w:left="140" w:hanging="133"/>
        <w:spacing w:after="0"/>
        <w:tabs>
          <w:tab w:leader="none" w:pos="140" w:val="left"/>
        </w:tabs>
        <w:numPr>
          <w:ilvl w:val="0"/>
          <w:numId w:val="167"/>
        </w:numPr>
        <w:rPr>
          <w:rFonts w:ascii="Arial" w:cs="Arial" w:eastAsia="Arial" w:hAnsi="Arial"/>
          <w:sz w:val="13"/>
          <w:szCs w:val="13"/>
          <w:color w:val="auto"/>
        </w:rPr>
      </w:pPr>
      <w:r>
        <w:rPr>
          <w:rFonts w:ascii="Arial" w:cs="Arial" w:eastAsia="Arial" w:hAnsi="Arial"/>
          <w:sz w:val="13"/>
          <w:szCs w:val="13"/>
          <w:i w:val="1"/>
          <w:iCs w:val="1"/>
          <w:color w:val="auto"/>
        </w:rPr>
        <w:t xml:space="preserve">Compensatory value </w:t>
      </w:r>
      <w:r>
        <w:rPr>
          <w:rFonts w:ascii="Arial" w:cs="Arial" w:eastAsia="Arial" w:hAnsi="Arial"/>
          <w:sz w:val="13"/>
          <w:szCs w:val="13"/>
          <w:color w:val="auto"/>
        </w:rPr>
        <w:t>is the annual employer contribution to the DC Plan.</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67"/>
        </w:numPr>
        <w:rPr>
          <w:rFonts w:ascii="Arial" w:cs="Arial" w:eastAsia="Arial" w:hAnsi="Arial"/>
          <w:sz w:val="13"/>
          <w:szCs w:val="13"/>
          <w:color w:val="auto"/>
        </w:rPr>
      </w:pPr>
      <w:r>
        <w:rPr>
          <w:rFonts w:ascii="Arial" w:cs="Arial" w:eastAsia="Arial" w:hAnsi="Arial"/>
          <w:sz w:val="13"/>
          <w:szCs w:val="13"/>
          <w:i w:val="1"/>
          <w:iCs w:val="1"/>
          <w:color w:val="auto"/>
        </w:rPr>
        <w:t xml:space="preserve">Accumulated value at year end </w:t>
      </w:r>
      <w:r>
        <w:rPr>
          <w:rFonts w:ascii="Arial" w:cs="Arial" w:eastAsia="Arial" w:hAnsi="Arial"/>
          <w:sz w:val="13"/>
          <w:szCs w:val="13"/>
          <w:color w:val="auto"/>
        </w:rPr>
        <w:t>is the end of year value of the Plan funded by employer contributions and includes investment earnings.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Supplemental DC Plan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top w:val="single" w:sz="8" w:color="237CC1"/>
            </w:tcBorders>
            <w:shd w:val="clear" w:color="auto" w:fill="D1D0CF"/>
          </w:tcPr>
          <w:p>
            <w:pPr>
              <w:ind w:left="20"/>
              <w:spacing w:after="0"/>
              <w:rPr>
                <w:sz w:val="20"/>
                <w:szCs w:val="20"/>
                <w:color w:val="auto"/>
              </w:rPr>
            </w:pPr>
            <w:r>
              <w:rPr>
                <w:rFonts w:ascii="Arial" w:cs="Arial" w:eastAsia="Arial" w:hAnsi="Arial"/>
                <w:sz w:val="14"/>
                <w:szCs w:val="14"/>
                <w:color w:val="auto"/>
              </w:rPr>
              <w:t>at December 31, 2025</w:t>
            </w:r>
          </w:p>
        </w:tc>
        <w:tc>
          <w:tcPr>
            <w:tcW w:w="3240" w:type="dxa"/>
            <w:vAlign w:val="bottom"/>
            <w:tcBorders>
              <w:top w:val="single" w:sz="8" w:color="237CC1"/>
            </w:tcBorders>
            <w:shd w:val="clear" w:color="auto" w:fill="D1D0CF"/>
          </w:tcPr>
          <w:p>
            <w:pPr>
              <w:spacing w:after="0"/>
              <w:rPr>
                <w:sz w:val="18"/>
                <w:szCs w:val="18"/>
                <w:color w:val="auto"/>
              </w:rPr>
            </w:pPr>
          </w:p>
        </w:tc>
        <w:tc>
          <w:tcPr>
            <w:tcW w:w="1740" w:type="dxa"/>
            <w:vAlign w:val="bottom"/>
            <w:tcBorders>
              <w:top w:val="single" w:sz="8" w:color="237CC1"/>
            </w:tcBorders>
            <w:shd w:val="clear" w:color="auto" w:fill="D1D0CF"/>
          </w:tcPr>
          <w:p>
            <w:pPr>
              <w:spacing w:after="0"/>
              <w:rPr>
                <w:sz w:val="18"/>
                <w:szCs w:val="18"/>
                <w:color w:val="auto"/>
              </w:rPr>
            </w:pPr>
          </w:p>
        </w:tc>
        <w:tc>
          <w:tcPr>
            <w:tcW w:w="2220" w:type="dxa"/>
            <w:vAlign w:val="bottom"/>
            <w:tcBorders>
              <w:top w:val="single" w:sz="8" w:color="237CC1"/>
            </w:tcBorders>
            <w:shd w:val="clear" w:color="auto" w:fill="D1D0C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20" w:type="dxa"/>
            <w:vAlign w:val="bottom"/>
            <w:shd w:val="clear" w:color="auto" w:fill="D1D0CF"/>
          </w:tcPr>
          <w:p>
            <w:pPr>
              <w:spacing w:after="0"/>
              <w:rPr>
                <w:sz w:val="16"/>
                <w:szCs w:val="16"/>
                <w:color w:val="auto"/>
              </w:rPr>
            </w:pPr>
          </w:p>
        </w:tc>
        <w:tc>
          <w:tcPr>
            <w:tcW w:w="3240" w:type="dxa"/>
            <w:vAlign w:val="bottom"/>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Accumulated value at start of</w:t>
            </w:r>
          </w:p>
        </w:tc>
        <w:tc>
          <w:tcPr>
            <w:tcW w:w="1740" w:type="dxa"/>
            <w:vAlign w:val="bottom"/>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Compensatory</w:t>
            </w:r>
          </w:p>
        </w:tc>
        <w:tc>
          <w:tcPr>
            <w:tcW w:w="222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Accumulated value at year end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20" w:type="dxa"/>
            <w:vAlign w:val="bottom"/>
            <w:shd w:val="clear" w:color="auto" w:fill="D1D0CF"/>
          </w:tcPr>
          <w:p>
            <w:pPr>
              <w:spacing w:after="0"/>
              <w:rPr>
                <w:sz w:val="14"/>
                <w:szCs w:val="14"/>
                <w:color w:val="auto"/>
              </w:rPr>
            </w:pPr>
          </w:p>
        </w:tc>
        <w:tc>
          <w:tcPr>
            <w:tcW w:w="3240" w:type="dxa"/>
            <w:vAlign w:val="bottom"/>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year</w:t>
            </w:r>
          </w:p>
        </w:tc>
        <w:tc>
          <w:tcPr>
            <w:tcW w:w="1740" w:type="dxa"/>
            <w:vAlign w:val="bottom"/>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2220" w:type="dxa"/>
            <w:vAlign w:val="bottom"/>
            <w:vMerge w:val="continue"/>
            <w:shd w:val="clear" w:color="auto" w:fill="D1D0C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20" w:type="dxa"/>
            <w:vAlign w:val="bottom"/>
            <w:tcBorders>
              <w:bottom w:val="single" w:sz="8" w:color="237CC1"/>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3240" w:type="dxa"/>
            <w:vAlign w:val="bottom"/>
            <w:tcBorders>
              <w:bottom w:val="single" w:sz="8" w:color="237CC1"/>
            </w:tcBorders>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237CC1"/>
            </w:tcBorders>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w:t>
            </w:r>
          </w:p>
        </w:tc>
        <w:tc>
          <w:tcPr>
            <w:tcW w:w="222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237CC1"/>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20" w:type="dxa"/>
            <w:vAlign w:val="bottom"/>
            <w:tcBorders>
              <w:bottom w:val="single" w:sz="8" w:color="237CC1"/>
            </w:tcBorders>
          </w:tcPr>
          <w:p>
            <w:pPr>
              <w:ind w:left="40"/>
              <w:spacing w:after="0"/>
              <w:rPr>
                <w:sz w:val="20"/>
                <w:szCs w:val="20"/>
                <w:color w:val="auto"/>
              </w:rPr>
            </w:pPr>
            <w:r>
              <w:rPr>
                <w:rFonts w:ascii="Arial" w:cs="Arial" w:eastAsia="Arial" w:hAnsi="Arial"/>
                <w:sz w:val="14"/>
                <w:szCs w:val="14"/>
                <w:color w:val="auto"/>
              </w:rPr>
              <w:t>Anita Dusevic Oliva</w:t>
            </w:r>
          </w:p>
        </w:tc>
        <w:tc>
          <w:tcPr>
            <w:tcW w:w="3240" w:type="dxa"/>
            <w:vAlign w:val="bottom"/>
            <w:tcBorders>
              <w:bottom w:val="single" w:sz="8" w:color="237CC1"/>
            </w:tcBorders>
          </w:tcPr>
          <w:p>
            <w:pPr>
              <w:jc w:val="right"/>
              <w:ind w:right="6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237CC1"/>
            </w:tcBorders>
          </w:tcPr>
          <w:p>
            <w:pPr>
              <w:jc w:val="right"/>
              <w:ind w:right="68"/>
              <w:spacing w:after="0"/>
              <w:rPr>
                <w:sz w:val="20"/>
                <w:szCs w:val="20"/>
                <w:color w:val="auto"/>
              </w:rPr>
            </w:pPr>
            <w:r>
              <w:rPr>
                <w:rFonts w:ascii="Arial" w:cs="Arial" w:eastAsia="Arial" w:hAnsi="Arial"/>
                <w:sz w:val="14"/>
                <w:szCs w:val="14"/>
                <w:color w:val="auto"/>
              </w:rPr>
              <w:t>8,378</w:t>
            </w:r>
          </w:p>
        </w:tc>
        <w:tc>
          <w:tcPr>
            <w:tcW w:w="222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8,396</w:t>
            </w:r>
          </w:p>
        </w:tc>
        <w:tc>
          <w:tcPr>
            <w:tcW w:w="20" w:type="dxa"/>
            <w:vAlign w:val="bottom"/>
            <w:tcBorders>
              <w:bottom w:val="single" w:sz="8" w:color="237CC1"/>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-144145</wp:posOffset>
            </wp:positionV>
            <wp:extent cx="8255" cy="1447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-144145</wp:posOffset>
            </wp:positionV>
            <wp:extent cx="8255" cy="1447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-144145</wp:posOffset>
            </wp:positionV>
            <wp:extent cx="8255" cy="1447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-144145</wp:posOffset>
            </wp:positionV>
            <wp:extent cx="8255" cy="1447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144780"/>
                    </a:xfrm>
                    <a:prstGeom prst="rect">
                      <a:avLst/>
                    </a:prstGeom>
                    <a:noFill/>
                  </pic:spPr>
                </pic:pic>
              </a:graphicData>
            </a:graphic>
          </wp:anchor>
        </w:drawing>
        <w:drawing>
          <wp:anchor simplePos="0" relativeHeight="251657728" behindDoc="1" locked="0" layoutInCell="0" allowOverlap="1">
            <wp:simplePos x="0" y="0"/>
            <wp:positionH relativeFrom="column">
              <wp:posOffset>1480820</wp:posOffset>
            </wp:positionH>
            <wp:positionV relativeFrom="paragraph">
              <wp:posOffset>-144145</wp:posOffset>
            </wp:positionV>
            <wp:extent cx="8255" cy="1447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14478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40" w:hanging="133"/>
        <w:spacing w:after="0"/>
        <w:tabs>
          <w:tab w:leader="none" w:pos="140" w:val="left"/>
        </w:tabs>
        <w:numPr>
          <w:ilvl w:val="0"/>
          <w:numId w:val="168"/>
        </w:numPr>
        <w:rPr>
          <w:rFonts w:ascii="Arial" w:cs="Arial" w:eastAsia="Arial" w:hAnsi="Arial"/>
          <w:sz w:val="13"/>
          <w:szCs w:val="13"/>
          <w:color w:val="auto"/>
        </w:rPr>
      </w:pPr>
      <w:r>
        <w:rPr>
          <w:rFonts w:ascii="Arial" w:cs="Arial" w:eastAsia="Arial" w:hAnsi="Arial"/>
          <w:sz w:val="13"/>
          <w:szCs w:val="13"/>
          <w:i w:val="1"/>
          <w:iCs w:val="1"/>
          <w:color w:val="auto"/>
        </w:rPr>
        <w:t xml:space="preserve">Accumulated value at start of year </w:t>
      </w:r>
      <w:r>
        <w:rPr>
          <w:rFonts w:ascii="Arial" w:cs="Arial" w:eastAsia="Arial" w:hAnsi="Arial"/>
          <w:sz w:val="13"/>
          <w:szCs w:val="13"/>
          <w:color w:val="auto"/>
        </w:rPr>
        <w:t>is the beginning of year value of the Supplemental DC Plan funded by notional employer contributions.</w:t>
      </w:r>
    </w:p>
    <w:p>
      <w:pPr>
        <w:spacing w:after="0" w:line="38" w:lineRule="exact"/>
        <w:rPr>
          <w:rFonts w:ascii="Arial" w:cs="Arial" w:eastAsia="Arial" w:hAnsi="Arial"/>
          <w:sz w:val="13"/>
          <w:szCs w:val="13"/>
          <w:color w:val="auto"/>
        </w:rPr>
      </w:pPr>
    </w:p>
    <w:p>
      <w:pPr>
        <w:ind w:left="140" w:hanging="133"/>
        <w:spacing w:after="0"/>
        <w:tabs>
          <w:tab w:leader="none" w:pos="140" w:val="left"/>
        </w:tabs>
        <w:numPr>
          <w:ilvl w:val="0"/>
          <w:numId w:val="168"/>
        </w:numPr>
        <w:rPr>
          <w:rFonts w:ascii="Arial" w:cs="Arial" w:eastAsia="Arial" w:hAnsi="Arial"/>
          <w:sz w:val="13"/>
          <w:szCs w:val="13"/>
          <w:color w:val="auto"/>
        </w:rPr>
      </w:pPr>
      <w:r>
        <w:rPr>
          <w:rFonts w:ascii="Arial" w:cs="Arial" w:eastAsia="Arial" w:hAnsi="Arial"/>
          <w:sz w:val="13"/>
          <w:szCs w:val="13"/>
          <w:i w:val="1"/>
          <w:iCs w:val="1"/>
          <w:color w:val="auto"/>
        </w:rPr>
        <w:t xml:space="preserve">Compensatory value </w:t>
      </w:r>
      <w:r>
        <w:rPr>
          <w:rFonts w:ascii="Arial" w:cs="Arial" w:eastAsia="Arial" w:hAnsi="Arial"/>
          <w:sz w:val="13"/>
          <w:szCs w:val="13"/>
          <w:color w:val="auto"/>
        </w:rPr>
        <w:t>is the annual notional employer contribution to the Supplemental DC Plan.</w:t>
      </w:r>
    </w:p>
    <w:p>
      <w:pPr>
        <w:spacing w:after="0" w:line="25" w:lineRule="exact"/>
        <w:rPr>
          <w:rFonts w:ascii="Arial" w:cs="Arial" w:eastAsia="Arial" w:hAnsi="Arial"/>
          <w:sz w:val="13"/>
          <w:szCs w:val="13"/>
          <w:color w:val="auto"/>
        </w:rPr>
      </w:pPr>
    </w:p>
    <w:p>
      <w:pPr>
        <w:ind w:left="160" w:right="3300" w:hanging="153"/>
        <w:spacing w:after="0" w:line="327" w:lineRule="auto"/>
        <w:tabs>
          <w:tab w:leader="none" w:pos="137" w:val="left"/>
        </w:tabs>
        <w:numPr>
          <w:ilvl w:val="0"/>
          <w:numId w:val="168"/>
        </w:numPr>
        <w:rPr>
          <w:rFonts w:ascii="Arial" w:cs="Arial" w:eastAsia="Arial" w:hAnsi="Arial"/>
          <w:sz w:val="13"/>
          <w:szCs w:val="13"/>
          <w:color w:val="auto"/>
        </w:rPr>
      </w:pPr>
      <w:r>
        <w:rPr>
          <w:rFonts w:ascii="Arial" w:cs="Arial" w:eastAsia="Arial" w:hAnsi="Arial"/>
          <w:sz w:val="13"/>
          <w:szCs w:val="13"/>
          <w:i w:val="1"/>
          <w:iCs w:val="1"/>
          <w:color w:val="auto"/>
        </w:rPr>
        <w:t xml:space="preserve">Accumulated value at year end </w:t>
      </w:r>
      <w:r>
        <w:rPr>
          <w:rFonts w:ascii="Arial" w:cs="Arial" w:eastAsia="Arial" w:hAnsi="Arial"/>
          <w:sz w:val="13"/>
          <w:szCs w:val="13"/>
          <w:color w:val="auto"/>
        </w:rPr>
        <w:t>is the end of year value of the Supplemental DC Plan funded by notional employer contributions and includes</w:t>
      </w:r>
      <w:r>
        <w:rPr>
          <w:rFonts w:ascii="Arial" w:cs="Arial" w:eastAsia="Arial" w:hAnsi="Arial"/>
          <w:sz w:val="13"/>
          <w:szCs w:val="13"/>
          <w:i w:val="1"/>
          <w:iCs w:val="1"/>
          <w:color w:val="auto"/>
        </w:rPr>
        <w:t xml:space="preserve"> </w:t>
      </w:r>
      <w:r>
        <w:rPr>
          <w:rFonts w:ascii="Arial" w:cs="Arial" w:eastAsia="Arial" w:hAnsi="Arial"/>
          <w:sz w:val="13"/>
          <w:szCs w:val="13"/>
          <w:color w:val="auto"/>
        </w:rPr>
        <w:t>notional investment earnings.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119</w:t>
      </w:r>
    </w:p>
    <w:p>
      <w:pPr>
        <w:sectPr>
          <w:pgSz w:w="11900" w:h="16838" w:orient="portrait"/>
          <w:cols w:equalWidth="0" w:num="1">
            <w:col w:w="11240"/>
          </w:cols>
          <w:pgMar w:left="320" w:top="1097"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b w:val="1"/>
          <w:bCs w:val="1"/>
          <w:color w:val="0D64EF"/>
        </w:rPr>
        <w:t>401(k) Plan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top w:val="single" w:sz="8" w:color="237CC1"/>
            </w:tcBorders>
            <w:shd w:val="clear" w:color="auto" w:fill="D1D0CF"/>
          </w:tcPr>
          <w:p>
            <w:pPr>
              <w:ind w:left="20"/>
              <w:spacing w:after="0"/>
              <w:rPr>
                <w:sz w:val="20"/>
                <w:szCs w:val="20"/>
                <w:color w:val="auto"/>
              </w:rPr>
            </w:pPr>
            <w:r>
              <w:rPr>
                <w:rFonts w:ascii="Arial" w:cs="Arial" w:eastAsia="Arial" w:hAnsi="Arial"/>
                <w:sz w:val="14"/>
                <w:szCs w:val="14"/>
                <w:color w:val="auto"/>
              </w:rPr>
              <w:t>at December 31, 2025</w:t>
            </w:r>
          </w:p>
        </w:tc>
        <w:tc>
          <w:tcPr>
            <w:tcW w:w="3240" w:type="dxa"/>
            <w:vAlign w:val="bottom"/>
            <w:tcBorders>
              <w:top w:val="single" w:sz="8" w:color="237CC1"/>
            </w:tcBorders>
            <w:shd w:val="clear" w:color="auto" w:fill="D1D0CF"/>
          </w:tcPr>
          <w:p>
            <w:pPr>
              <w:spacing w:after="0"/>
              <w:rPr>
                <w:sz w:val="18"/>
                <w:szCs w:val="18"/>
                <w:color w:val="auto"/>
              </w:rPr>
            </w:pPr>
          </w:p>
        </w:tc>
        <w:tc>
          <w:tcPr>
            <w:tcW w:w="1740" w:type="dxa"/>
            <w:vAlign w:val="bottom"/>
            <w:tcBorders>
              <w:top w:val="single" w:sz="8" w:color="237CC1"/>
            </w:tcBorders>
            <w:shd w:val="clear" w:color="auto" w:fill="D1D0CF"/>
          </w:tcPr>
          <w:p>
            <w:pPr>
              <w:spacing w:after="0"/>
              <w:rPr>
                <w:sz w:val="18"/>
                <w:szCs w:val="18"/>
                <w:color w:val="auto"/>
              </w:rPr>
            </w:pPr>
          </w:p>
        </w:tc>
        <w:tc>
          <w:tcPr>
            <w:tcW w:w="2220" w:type="dxa"/>
            <w:vAlign w:val="bottom"/>
            <w:tcBorders>
              <w:top w:val="single" w:sz="8" w:color="237CC1"/>
            </w:tcBorders>
            <w:shd w:val="clear" w:color="auto" w:fill="D1D0C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20" w:type="dxa"/>
            <w:vAlign w:val="bottom"/>
            <w:shd w:val="clear" w:color="auto" w:fill="D1D0CF"/>
          </w:tcPr>
          <w:p>
            <w:pPr>
              <w:spacing w:after="0"/>
              <w:rPr>
                <w:sz w:val="16"/>
                <w:szCs w:val="16"/>
                <w:color w:val="auto"/>
              </w:rPr>
            </w:pPr>
          </w:p>
        </w:tc>
        <w:tc>
          <w:tcPr>
            <w:tcW w:w="3240" w:type="dxa"/>
            <w:vAlign w:val="bottom"/>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Accumulated value at start of</w:t>
            </w:r>
          </w:p>
        </w:tc>
        <w:tc>
          <w:tcPr>
            <w:tcW w:w="1740" w:type="dxa"/>
            <w:vAlign w:val="bottom"/>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Compensatory</w:t>
            </w:r>
          </w:p>
        </w:tc>
        <w:tc>
          <w:tcPr>
            <w:tcW w:w="222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Accumulated value at year end</w:t>
            </w:r>
          </w:p>
        </w:tc>
        <w:tc>
          <w:tcPr>
            <w:tcW w:w="0" w:type="dxa"/>
            <w:vAlign w:val="bottom"/>
          </w:tcPr>
          <w:p>
            <w:pPr>
              <w:spacing w:after="0"/>
              <w:rPr>
                <w:sz w:val="1"/>
                <w:szCs w:val="1"/>
                <w:color w:val="auto"/>
              </w:rPr>
            </w:pPr>
          </w:p>
        </w:tc>
      </w:tr>
      <w:tr>
        <w:trPr>
          <w:trHeight w:val="161"/>
        </w:trPr>
        <w:tc>
          <w:tcPr>
            <w:tcW w:w="2020" w:type="dxa"/>
            <w:vAlign w:val="bottom"/>
            <w:shd w:val="clear" w:color="auto" w:fill="D1D0CF"/>
          </w:tcPr>
          <w:p>
            <w:pPr>
              <w:spacing w:after="0"/>
              <w:rPr>
                <w:sz w:val="14"/>
                <w:szCs w:val="14"/>
                <w:color w:val="auto"/>
              </w:rPr>
            </w:pPr>
          </w:p>
        </w:tc>
        <w:tc>
          <w:tcPr>
            <w:tcW w:w="3240" w:type="dxa"/>
            <w:vAlign w:val="bottom"/>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year</w:t>
            </w:r>
          </w:p>
        </w:tc>
        <w:tc>
          <w:tcPr>
            <w:tcW w:w="1740" w:type="dxa"/>
            <w:vAlign w:val="bottom"/>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2220" w:type="dxa"/>
            <w:vAlign w:val="bottom"/>
            <w:vMerge w:val="continue"/>
            <w:shd w:val="clear" w:color="auto" w:fill="D1D0C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20" w:type="dxa"/>
            <w:vAlign w:val="bottom"/>
            <w:tcBorders>
              <w:bottom w:val="single" w:sz="8" w:color="237CC1"/>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3240" w:type="dxa"/>
            <w:vAlign w:val="bottom"/>
            <w:tcBorders>
              <w:bottom w:val="single" w:sz="8" w:color="237CC1"/>
            </w:tcBorders>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237CC1"/>
            </w:tcBorders>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w:t>
            </w:r>
          </w:p>
        </w:tc>
        <w:tc>
          <w:tcPr>
            <w:tcW w:w="222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20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Sean O'Donnell</w:t>
            </w:r>
          </w:p>
        </w:tc>
        <w:tc>
          <w:tcPr>
            <w:tcW w:w="3240" w:type="dxa"/>
            <w:vAlign w:val="bottom"/>
            <w:tcBorders>
              <w:bottom w:val="single" w:sz="8" w:color="B2B2B2"/>
            </w:tcBorders>
          </w:tcPr>
          <w:p>
            <w:pPr>
              <w:jc w:val="right"/>
              <w:ind w:right="628"/>
              <w:spacing w:after="0"/>
              <w:rPr>
                <w:sz w:val="20"/>
                <w:szCs w:val="20"/>
                <w:color w:val="auto"/>
              </w:rPr>
            </w:pPr>
            <w:r>
              <w:rPr>
                <w:rFonts w:ascii="Arial" w:cs="Arial" w:eastAsia="Arial" w:hAnsi="Arial"/>
                <w:sz w:val="14"/>
                <w:szCs w:val="14"/>
                <w:color w:val="auto"/>
              </w:rPr>
              <w:t>58,204</w:t>
            </w:r>
          </w:p>
        </w:tc>
        <w:tc>
          <w:tcPr>
            <w:tcW w:w="17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50,549</w:t>
            </w:r>
          </w:p>
        </w:tc>
        <w:tc>
          <w:tcPr>
            <w:tcW w:w="22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125,248</w:t>
            </w:r>
          </w:p>
        </w:tc>
        <w:tc>
          <w:tcPr>
            <w:tcW w:w="0" w:type="dxa"/>
            <w:vAlign w:val="bottom"/>
          </w:tcPr>
          <w:p>
            <w:pPr>
              <w:spacing w:after="0"/>
              <w:rPr>
                <w:sz w:val="1"/>
                <w:szCs w:val="1"/>
                <w:color w:val="auto"/>
              </w:rPr>
            </w:pPr>
          </w:p>
        </w:tc>
      </w:tr>
      <w:tr>
        <w:trPr>
          <w:trHeight w:val="195"/>
        </w:trPr>
        <w:tc>
          <w:tcPr>
            <w:tcW w:w="20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Tina Faraca</w:t>
            </w:r>
          </w:p>
        </w:tc>
        <w:tc>
          <w:tcPr>
            <w:tcW w:w="3240" w:type="dxa"/>
            <w:vAlign w:val="bottom"/>
            <w:tcBorders>
              <w:bottom w:val="single" w:sz="8" w:color="B2B2B2"/>
            </w:tcBorders>
          </w:tcPr>
          <w:p>
            <w:pPr>
              <w:jc w:val="right"/>
              <w:ind w:right="628"/>
              <w:spacing w:after="0"/>
              <w:rPr>
                <w:sz w:val="20"/>
                <w:szCs w:val="20"/>
                <w:color w:val="auto"/>
              </w:rPr>
            </w:pPr>
            <w:r>
              <w:rPr>
                <w:rFonts w:ascii="Arial" w:cs="Arial" w:eastAsia="Arial" w:hAnsi="Arial"/>
                <w:sz w:val="14"/>
                <w:szCs w:val="14"/>
                <w:color w:val="auto"/>
              </w:rPr>
              <w:t>319,519</w:t>
            </w:r>
          </w:p>
        </w:tc>
        <w:tc>
          <w:tcPr>
            <w:tcW w:w="17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58,708</w:t>
            </w:r>
          </w:p>
        </w:tc>
        <w:tc>
          <w:tcPr>
            <w:tcW w:w="22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448,194</w:t>
            </w:r>
          </w:p>
        </w:tc>
        <w:tc>
          <w:tcPr>
            <w:tcW w:w="0" w:type="dxa"/>
            <w:vAlign w:val="bottom"/>
          </w:tcPr>
          <w:p>
            <w:pPr>
              <w:spacing w:after="0"/>
              <w:rPr>
                <w:sz w:val="1"/>
                <w:szCs w:val="1"/>
                <w:color w:val="auto"/>
              </w:rPr>
            </w:pPr>
          </w:p>
        </w:tc>
      </w:tr>
      <w:tr>
        <w:trPr>
          <w:trHeight w:val="195"/>
        </w:trPr>
        <w:tc>
          <w:tcPr>
            <w:tcW w:w="202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Stanley Chapman III</w:t>
            </w:r>
          </w:p>
        </w:tc>
        <w:tc>
          <w:tcPr>
            <w:tcW w:w="3240" w:type="dxa"/>
            <w:vAlign w:val="bottom"/>
            <w:tcBorders>
              <w:bottom w:val="single" w:sz="8" w:color="0D64EF"/>
            </w:tcBorders>
          </w:tcPr>
          <w:p>
            <w:pPr>
              <w:jc w:val="right"/>
              <w:ind w:right="628"/>
              <w:spacing w:after="0"/>
              <w:rPr>
                <w:sz w:val="20"/>
                <w:szCs w:val="20"/>
                <w:color w:val="auto"/>
              </w:rPr>
            </w:pPr>
            <w:r>
              <w:rPr>
                <w:rFonts w:ascii="Arial" w:cs="Arial" w:eastAsia="Arial" w:hAnsi="Arial"/>
                <w:sz w:val="14"/>
                <w:szCs w:val="14"/>
                <w:color w:val="auto"/>
              </w:rPr>
              <w:t>1,766,726</w:t>
            </w:r>
          </w:p>
        </w:tc>
        <w:tc>
          <w:tcPr>
            <w:tcW w:w="1740" w:type="dxa"/>
            <w:vAlign w:val="bottom"/>
            <w:tcBorders>
              <w:bottom w:val="single" w:sz="8" w:color="0D64EF"/>
            </w:tcBorders>
          </w:tcPr>
          <w:p>
            <w:pPr>
              <w:jc w:val="right"/>
              <w:ind w:right="68"/>
              <w:spacing w:after="0"/>
              <w:rPr>
                <w:sz w:val="20"/>
                <w:szCs w:val="20"/>
                <w:color w:val="auto"/>
              </w:rPr>
            </w:pPr>
            <w:r>
              <w:rPr>
                <w:rFonts w:ascii="Arial" w:cs="Arial" w:eastAsia="Arial" w:hAnsi="Arial"/>
                <w:sz w:val="14"/>
                <w:szCs w:val="14"/>
                <w:color w:val="auto"/>
              </w:rPr>
              <w:t>58,708</w:t>
            </w:r>
          </w:p>
        </w:tc>
        <w:tc>
          <w:tcPr>
            <w:tcW w:w="222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45" w:lineRule="exact"/>
        <w:rPr>
          <w:sz w:val="20"/>
          <w:szCs w:val="20"/>
          <w:color w:val="auto"/>
        </w:rPr>
      </w:pPr>
    </w:p>
    <w:p>
      <w:pPr>
        <w:ind w:left="140" w:hanging="133"/>
        <w:spacing w:after="0"/>
        <w:tabs>
          <w:tab w:leader="none" w:pos="140" w:val="left"/>
        </w:tabs>
        <w:numPr>
          <w:ilvl w:val="0"/>
          <w:numId w:val="169"/>
        </w:numPr>
        <w:rPr>
          <w:rFonts w:ascii="Arial" w:cs="Arial" w:eastAsia="Arial" w:hAnsi="Arial"/>
          <w:sz w:val="13"/>
          <w:szCs w:val="13"/>
          <w:color w:val="auto"/>
        </w:rPr>
      </w:pPr>
      <w:r>
        <w:rPr>
          <w:rFonts w:ascii="Arial" w:cs="Arial" w:eastAsia="Arial" w:hAnsi="Arial"/>
          <w:sz w:val="13"/>
          <w:szCs w:val="13"/>
          <w:i w:val="1"/>
          <w:iCs w:val="1"/>
          <w:color w:val="auto"/>
        </w:rPr>
        <w:t xml:space="preserve">Accumulated value at start of year </w:t>
      </w:r>
      <w:r>
        <w:rPr>
          <w:rFonts w:ascii="Arial" w:cs="Arial" w:eastAsia="Arial" w:hAnsi="Arial"/>
          <w:sz w:val="13"/>
          <w:szCs w:val="13"/>
          <w:color w:val="auto"/>
        </w:rPr>
        <w:t>is the beginning of year value of the 401(k) account funded by employer contributions.</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69"/>
        </w:numPr>
        <w:rPr>
          <w:rFonts w:ascii="Arial" w:cs="Arial" w:eastAsia="Arial" w:hAnsi="Arial"/>
          <w:sz w:val="13"/>
          <w:szCs w:val="13"/>
          <w:color w:val="auto"/>
        </w:rPr>
      </w:pPr>
      <w:r>
        <w:rPr>
          <w:rFonts w:ascii="Arial" w:cs="Arial" w:eastAsia="Arial" w:hAnsi="Arial"/>
          <w:sz w:val="13"/>
          <w:szCs w:val="13"/>
          <w:i w:val="1"/>
          <w:iCs w:val="1"/>
          <w:color w:val="auto"/>
        </w:rPr>
        <w:t xml:space="preserve">Compensatory value </w:t>
      </w:r>
      <w:r>
        <w:rPr>
          <w:rFonts w:ascii="Arial" w:cs="Arial" w:eastAsia="Arial" w:hAnsi="Arial"/>
          <w:sz w:val="13"/>
          <w:szCs w:val="13"/>
          <w:color w:val="auto"/>
        </w:rPr>
        <w:t>is the annual employer contribution to the 401(k) Plan.</w:t>
      </w:r>
    </w:p>
    <w:p>
      <w:pPr>
        <w:spacing w:after="0" w:line="38" w:lineRule="exact"/>
        <w:rPr>
          <w:rFonts w:ascii="Arial" w:cs="Arial" w:eastAsia="Arial" w:hAnsi="Arial"/>
          <w:sz w:val="13"/>
          <w:szCs w:val="13"/>
          <w:color w:val="auto"/>
        </w:rPr>
      </w:pPr>
    </w:p>
    <w:p>
      <w:pPr>
        <w:ind w:left="140" w:hanging="133"/>
        <w:spacing w:after="0"/>
        <w:tabs>
          <w:tab w:leader="none" w:pos="140" w:val="left"/>
        </w:tabs>
        <w:numPr>
          <w:ilvl w:val="0"/>
          <w:numId w:val="169"/>
        </w:numPr>
        <w:rPr>
          <w:rFonts w:ascii="Arial" w:cs="Arial" w:eastAsia="Arial" w:hAnsi="Arial"/>
          <w:sz w:val="13"/>
          <w:szCs w:val="13"/>
          <w:color w:val="auto"/>
        </w:rPr>
      </w:pPr>
      <w:r>
        <w:rPr>
          <w:rFonts w:ascii="Arial" w:cs="Arial" w:eastAsia="Arial" w:hAnsi="Arial"/>
          <w:sz w:val="13"/>
          <w:szCs w:val="13"/>
          <w:i w:val="1"/>
          <w:iCs w:val="1"/>
          <w:color w:val="auto"/>
        </w:rPr>
        <w:t xml:space="preserve">Accumulated value at year end </w:t>
      </w:r>
      <w:r>
        <w:rPr>
          <w:rFonts w:ascii="Arial" w:cs="Arial" w:eastAsia="Arial" w:hAnsi="Arial"/>
          <w:sz w:val="13"/>
          <w:szCs w:val="13"/>
          <w:color w:val="auto"/>
        </w:rPr>
        <w:t>is the end of year value of the 401(k) account funded by employer contributions and includes investment earnings.</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Values reflect a U.S./Canada foreign exchange rate of 1.3978 for 2025.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Non-Qualified Plan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top w:val="single" w:sz="8" w:color="237CC1"/>
            </w:tcBorders>
            <w:shd w:val="clear" w:color="auto" w:fill="D1D0CF"/>
          </w:tcPr>
          <w:p>
            <w:pPr>
              <w:ind w:left="20"/>
              <w:spacing w:after="0"/>
              <w:rPr>
                <w:sz w:val="20"/>
                <w:szCs w:val="20"/>
                <w:color w:val="auto"/>
              </w:rPr>
            </w:pPr>
            <w:r>
              <w:rPr>
                <w:rFonts w:ascii="Arial" w:cs="Arial" w:eastAsia="Arial" w:hAnsi="Arial"/>
                <w:sz w:val="14"/>
                <w:szCs w:val="14"/>
                <w:color w:val="auto"/>
              </w:rPr>
              <w:t>at December 31, 2025</w:t>
            </w:r>
          </w:p>
        </w:tc>
        <w:tc>
          <w:tcPr>
            <w:tcW w:w="3240" w:type="dxa"/>
            <w:vAlign w:val="bottom"/>
            <w:tcBorders>
              <w:top w:val="single" w:sz="8" w:color="237CC1"/>
            </w:tcBorders>
            <w:shd w:val="clear" w:color="auto" w:fill="D1D0CF"/>
          </w:tcPr>
          <w:p>
            <w:pPr>
              <w:spacing w:after="0"/>
              <w:rPr>
                <w:sz w:val="18"/>
                <w:szCs w:val="18"/>
                <w:color w:val="auto"/>
              </w:rPr>
            </w:pPr>
          </w:p>
        </w:tc>
        <w:tc>
          <w:tcPr>
            <w:tcW w:w="1740" w:type="dxa"/>
            <w:vAlign w:val="bottom"/>
            <w:tcBorders>
              <w:top w:val="single" w:sz="8" w:color="237CC1"/>
            </w:tcBorders>
            <w:shd w:val="clear" w:color="auto" w:fill="D1D0CF"/>
          </w:tcPr>
          <w:p>
            <w:pPr>
              <w:spacing w:after="0"/>
              <w:rPr>
                <w:sz w:val="18"/>
                <w:szCs w:val="18"/>
                <w:color w:val="auto"/>
              </w:rPr>
            </w:pPr>
          </w:p>
        </w:tc>
        <w:tc>
          <w:tcPr>
            <w:tcW w:w="2220" w:type="dxa"/>
            <w:vAlign w:val="bottom"/>
            <w:tcBorders>
              <w:top w:val="single" w:sz="8" w:color="237CC1"/>
            </w:tcBorders>
            <w:shd w:val="clear" w:color="auto" w:fill="D1D0C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20" w:type="dxa"/>
            <w:vAlign w:val="bottom"/>
            <w:shd w:val="clear" w:color="auto" w:fill="D1D0CF"/>
          </w:tcPr>
          <w:p>
            <w:pPr>
              <w:spacing w:after="0"/>
              <w:rPr>
                <w:sz w:val="15"/>
                <w:szCs w:val="15"/>
                <w:color w:val="auto"/>
              </w:rPr>
            </w:pPr>
          </w:p>
        </w:tc>
        <w:tc>
          <w:tcPr>
            <w:tcW w:w="3240" w:type="dxa"/>
            <w:vAlign w:val="bottom"/>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Accumulated value at start of</w:t>
            </w:r>
          </w:p>
        </w:tc>
        <w:tc>
          <w:tcPr>
            <w:tcW w:w="1740" w:type="dxa"/>
            <w:vAlign w:val="bottom"/>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Compensatory</w:t>
            </w:r>
          </w:p>
        </w:tc>
        <w:tc>
          <w:tcPr>
            <w:tcW w:w="2220" w:type="dxa"/>
            <w:vAlign w:val="bottom"/>
            <w:vMerge w:val="restart"/>
            <w:shd w:val="clear" w:color="auto" w:fill="D1D0CF"/>
          </w:tcPr>
          <w:p>
            <w:pPr>
              <w:jc w:val="right"/>
              <w:spacing w:after="0"/>
              <w:rPr>
                <w:sz w:val="20"/>
                <w:szCs w:val="20"/>
                <w:color w:val="auto"/>
              </w:rPr>
            </w:pPr>
            <w:r>
              <w:rPr>
                <w:rFonts w:ascii="Arial" w:cs="Arial" w:eastAsia="Arial" w:hAnsi="Arial"/>
                <w:sz w:val="14"/>
                <w:szCs w:val="14"/>
                <w:b w:val="1"/>
                <w:bCs w:val="1"/>
                <w:color w:val="auto"/>
              </w:rPr>
              <w:t>Accumulated value at year end</w:t>
            </w:r>
          </w:p>
        </w:tc>
        <w:tc>
          <w:tcPr>
            <w:tcW w:w="0" w:type="dxa"/>
            <w:vAlign w:val="bottom"/>
          </w:tcPr>
          <w:p>
            <w:pPr>
              <w:spacing w:after="0"/>
              <w:rPr>
                <w:sz w:val="1"/>
                <w:szCs w:val="1"/>
                <w:color w:val="auto"/>
              </w:rPr>
            </w:pPr>
          </w:p>
        </w:tc>
      </w:tr>
      <w:tr>
        <w:trPr>
          <w:trHeight w:val="152"/>
        </w:trPr>
        <w:tc>
          <w:tcPr>
            <w:tcW w:w="2020" w:type="dxa"/>
            <w:vAlign w:val="bottom"/>
            <w:shd w:val="clear" w:color="auto" w:fill="D1D0CF"/>
          </w:tcPr>
          <w:p>
            <w:pPr>
              <w:spacing w:after="0"/>
              <w:rPr>
                <w:sz w:val="13"/>
                <w:szCs w:val="13"/>
                <w:color w:val="auto"/>
              </w:rPr>
            </w:pPr>
          </w:p>
        </w:tc>
        <w:tc>
          <w:tcPr>
            <w:tcW w:w="3240" w:type="dxa"/>
            <w:vAlign w:val="bottom"/>
            <w:shd w:val="clear" w:color="auto" w:fill="D1D0CF"/>
          </w:tcPr>
          <w:p>
            <w:pPr>
              <w:jc w:val="right"/>
              <w:ind w:right="568"/>
              <w:spacing w:after="0" w:line="152" w:lineRule="exact"/>
              <w:rPr>
                <w:sz w:val="20"/>
                <w:szCs w:val="20"/>
                <w:color w:val="auto"/>
              </w:rPr>
            </w:pPr>
            <w:r>
              <w:rPr>
                <w:rFonts w:ascii="Arial" w:cs="Arial" w:eastAsia="Arial" w:hAnsi="Arial"/>
                <w:sz w:val="14"/>
                <w:szCs w:val="14"/>
                <w:b w:val="1"/>
                <w:bCs w:val="1"/>
                <w:color w:val="auto"/>
              </w:rPr>
              <w:t>year</w:t>
            </w:r>
          </w:p>
        </w:tc>
        <w:tc>
          <w:tcPr>
            <w:tcW w:w="1740" w:type="dxa"/>
            <w:vAlign w:val="bottom"/>
            <w:shd w:val="clear" w:color="auto" w:fill="D1D0CF"/>
          </w:tcPr>
          <w:p>
            <w:pPr>
              <w:jc w:val="right"/>
              <w:ind w:right="28"/>
              <w:spacing w:after="0" w:line="152" w:lineRule="exact"/>
              <w:rPr>
                <w:sz w:val="20"/>
                <w:szCs w:val="20"/>
                <w:color w:val="auto"/>
              </w:rPr>
            </w:pPr>
            <w:r>
              <w:rPr>
                <w:rFonts w:ascii="Arial" w:cs="Arial" w:eastAsia="Arial" w:hAnsi="Arial"/>
                <w:sz w:val="14"/>
                <w:szCs w:val="14"/>
                <w:b w:val="1"/>
                <w:bCs w:val="1"/>
                <w:color w:val="auto"/>
              </w:rPr>
              <w:t>value</w:t>
            </w:r>
          </w:p>
        </w:tc>
        <w:tc>
          <w:tcPr>
            <w:tcW w:w="2220" w:type="dxa"/>
            <w:vAlign w:val="bottom"/>
            <w:vMerge w:val="continue"/>
            <w:shd w:val="clear" w:color="auto" w:fill="D1D0C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20" w:type="dxa"/>
            <w:vAlign w:val="bottom"/>
            <w:tcBorders>
              <w:bottom w:val="single" w:sz="8" w:color="237CC1"/>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3240" w:type="dxa"/>
            <w:vAlign w:val="bottom"/>
            <w:tcBorders>
              <w:bottom w:val="single" w:sz="8" w:color="237CC1"/>
            </w:tcBorders>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237CC1"/>
            </w:tcBorders>
            <w:shd w:val="clear" w:color="auto" w:fill="D1D0CF"/>
          </w:tcPr>
          <w:p>
            <w:pPr>
              <w:jc w:val="right"/>
              <w:ind w:right="28"/>
              <w:spacing w:after="0"/>
              <w:rPr>
                <w:sz w:val="20"/>
                <w:szCs w:val="20"/>
                <w:color w:val="auto"/>
              </w:rPr>
            </w:pPr>
            <w:r>
              <w:rPr>
                <w:rFonts w:ascii="Arial" w:cs="Arial" w:eastAsia="Arial" w:hAnsi="Arial"/>
                <w:sz w:val="14"/>
                <w:szCs w:val="14"/>
                <w:b w:val="1"/>
                <w:bCs w:val="1"/>
                <w:color w:val="auto"/>
              </w:rPr>
              <w:t>($)</w:t>
            </w:r>
          </w:p>
        </w:tc>
        <w:tc>
          <w:tcPr>
            <w:tcW w:w="222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20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Sean O'Donnell</w:t>
            </w:r>
          </w:p>
        </w:tc>
        <w:tc>
          <w:tcPr>
            <w:tcW w:w="3240" w:type="dxa"/>
            <w:vAlign w:val="bottom"/>
            <w:tcBorders>
              <w:bottom w:val="single" w:sz="8" w:color="B2B2B2"/>
            </w:tcBorders>
          </w:tcPr>
          <w:p>
            <w:pPr>
              <w:jc w:val="right"/>
              <w:ind w:right="6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81,554</w:t>
            </w:r>
          </w:p>
        </w:tc>
        <w:tc>
          <w:tcPr>
            <w:tcW w:w="22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94,694</w:t>
            </w:r>
          </w:p>
        </w:tc>
        <w:tc>
          <w:tcPr>
            <w:tcW w:w="0" w:type="dxa"/>
            <w:vAlign w:val="bottom"/>
          </w:tcPr>
          <w:p>
            <w:pPr>
              <w:spacing w:after="0"/>
              <w:rPr>
                <w:sz w:val="1"/>
                <w:szCs w:val="1"/>
                <w:color w:val="auto"/>
              </w:rPr>
            </w:pPr>
          </w:p>
        </w:tc>
      </w:tr>
      <w:tr>
        <w:trPr>
          <w:trHeight w:val="195"/>
        </w:trPr>
        <w:tc>
          <w:tcPr>
            <w:tcW w:w="20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Tina Faraca</w:t>
            </w:r>
          </w:p>
        </w:tc>
        <w:tc>
          <w:tcPr>
            <w:tcW w:w="3240" w:type="dxa"/>
            <w:vAlign w:val="bottom"/>
            <w:tcBorders>
              <w:bottom w:val="single" w:sz="8" w:color="B2B2B2"/>
            </w:tcBorders>
          </w:tcPr>
          <w:p>
            <w:pPr>
              <w:jc w:val="right"/>
              <w:ind w:right="628"/>
              <w:spacing w:after="0"/>
              <w:rPr>
                <w:sz w:val="20"/>
                <w:szCs w:val="20"/>
                <w:color w:val="auto"/>
              </w:rPr>
            </w:pPr>
            <w:r>
              <w:rPr>
                <w:rFonts w:ascii="Arial" w:cs="Arial" w:eastAsia="Arial" w:hAnsi="Arial"/>
                <w:sz w:val="14"/>
                <w:szCs w:val="14"/>
                <w:color w:val="auto"/>
              </w:rPr>
              <w:t>138,851</w:t>
            </w:r>
          </w:p>
        </w:tc>
        <w:tc>
          <w:tcPr>
            <w:tcW w:w="17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103,981</w:t>
            </w:r>
          </w:p>
        </w:tc>
        <w:tc>
          <w:tcPr>
            <w:tcW w:w="22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283,714</w:t>
            </w:r>
          </w:p>
        </w:tc>
        <w:tc>
          <w:tcPr>
            <w:tcW w:w="0" w:type="dxa"/>
            <w:vAlign w:val="bottom"/>
          </w:tcPr>
          <w:p>
            <w:pPr>
              <w:spacing w:after="0"/>
              <w:rPr>
                <w:sz w:val="1"/>
                <w:szCs w:val="1"/>
                <w:color w:val="auto"/>
              </w:rPr>
            </w:pPr>
          </w:p>
        </w:tc>
      </w:tr>
      <w:tr>
        <w:trPr>
          <w:trHeight w:val="195"/>
        </w:trPr>
        <w:tc>
          <w:tcPr>
            <w:tcW w:w="202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Stanley Chapman III</w:t>
            </w:r>
          </w:p>
        </w:tc>
        <w:tc>
          <w:tcPr>
            <w:tcW w:w="3240" w:type="dxa"/>
            <w:vAlign w:val="bottom"/>
            <w:tcBorders>
              <w:bottom w:val="single" w:sz="8" w:color="0D64EF"/>
            </w:tcBorders>
          </w:tcPr>
          <w:p>
            <w:pPr>
              <w:jc w:val="right"/>
              <w:ind w:right="628"/>
              <w:spacing w:after="0"/>
              <w:rPr>
                <w:sz w:val="20"/>
                <w:szCs w:val="20"/>
                <w:color w:val="auto"/>
              </w:rPr>
            </w:pPr>
            <w:r>
              <w:rPr>
                <w:rFonts w:ascii="Arial" w:cs="Arial" w:eastAsia="Arial" w:hAnsi="Arial"/>
                <w:sz w:val="14"/>
                <w:szCs w:val="14"/>
                <w:color w:val="auto"/>
              </w:rPr>
              <w:t>322,630</w:t>
            </w:r>
          </w:p>
        </w:tc>
        <w:tc>
          <w:tcPr>
            <w:tcW w:w="1740" w:type="dxa"/>
            <w:vAlign w:val="bottom"/>
            <w:tcBorders>
              <w:bottom w:val="single" w:sz="8" w:color="0D64EF"/>
            </w:tcBorders>
          </w:tcPr>
          <w:p>
            <w:pPr>
              <w:jc w:val="right"/>
              <w:ind w:right="68"/>
              <w:spacing w:after="0"/>
              <w:rPr>
                <w:sz w:val="20"/>
                <w:szCs w:val="20"/>
                <w:color w:val="auto"/>
              </w:rPr>
            </w:pPr>
            <w:r>
              <w:rPr>
                <w:rFonts w:ascii="Arial" w:cs="Arial" w:eastAsia="Arial" w:hAnsi="Arial"/>
                <w:sz w:val="14"/>
                <w:szCs w:val="14"/>
                <w:color w:val="auto"/>
              </w:rPr>
              <w:t>65,242</w:t>
            </w:r>
          </w:p>
        </w:tc>
        <w:tc>
          <w:tcPr>
            <w:tcW w:w="2220" w:type="dxa"/>
            <w:vAlign w:val="bottom"/>
            <w:tcBorders>
              <w:bottom w:val="single" w:sz="8" w:color="0D64E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40" w:hanging="133"/>
        <w:spacing w:after="0"/>
        <w:tabs>
          <w:tab w:leader="none" w:pos="140" w:val="left"/>
        </w:tabs>
        <w:numPr>
          <w:ilvl w:val="0"/>
          <w:numId w:val="170"/>
        </w:numPr>
        <w:rPr>
          <w:rFonts w:ascii="Arial" w:cs="Arial" w:eastAsia="Arial" w:hAnsi="Arial"/>
          <w:sz w:val="13"/>
          <w:szCs w:val="13"/>
          <w:color w:val="auto"/>
        </w:rPr>
      </w:pPr>
      <w:r>
        <w:rPr>
          <w:rFonts w:ascii="Arial" w:cs="Arial" w:eastAsia="Arial" w:hAnsi="Arial"/>
          <w:sz w:val="13"/>
          <w:szCs w:val="13"/>
          <w:i w:val="1"/>
          <w:iCs w:val="1"/>
          <w:color w:val="auto"/>
        </w:rPr>
        <w:t xml:space="preserve">Accumulated value at start of year </w:t>
      </w:r>
      <w:r>
        <w:rPr>
          <w:rFonts w:ascii="Arial" w:cs="Arial" w:eastAsia="Arial" w:hAnsi="Arial"/>
          <w:sz w:val="13"/>
          <w:szCs w:val="13"/>
          <w:color w:val="auto"/>
        </w:rPr>
        <w:t>is the beginning of year value of the Non-Qualified account funded by employer contributions.</w:t>
      </w:r>
    </w:p>
    <w:p>
      <w:pPr>
        <w:spacing w:after="0" w:line="38" w:lineRule="exact"/>
        <w:rPr>
          <w:rFonts w:ascii="Arial" w:cs="Arial" w:eastAsia="Arial" w:hAnsi="Arial"/>
          <w:sz w:val="13"/>
          <w:szCs w:val="13"/>
          <w:color w:val="auto"/>
        </w:rPr>
      </w:pPr>
    </w:p>
    <w:p>
      <w:pPr>
        <w:ind w:left="140" w:hanging="133"/>
        <w:spacing w:after="0"/>
        <w:tabs>
          <w:tab w:leader="none" w:pos="140" w:val="left"/>
        </w:tabs>
        <w:numPr>
          <w:ilvl w:val="0"/>
          <w:numId w:val="170"/>
        </w:numPr>
        <w:rPr>
          <w:rFonts w:ascii="Arial" w:cs="Arial" w:eastAsia="Arial" w:hAnsi="Arial"/>
          <w:sz w:val="13"/>
          <w:szCs w:val="13"/>
          <w:color w:val="auto"/>
        </w:rPr>
      </w:pPr>
      <w:r>
        <w:rPr>
          <w:rFonts w:ascii="Arial" w:cs="Arial" w:eastAsia="Arial" w:hAnsi="Arial"/>
          <w:sz w:val="13"/>
          <w:szCs w:val="13"/>
          <w:i w:val="1"/>
          <w:iCs w:val="1"/>
          <w:color w:val="auto"/>
        </w:rPr>
        <w:t xml:space="preserve">Compensatory value </w:t>
      </w:r>
      <w:r>
        <w:rPr>
          <w:rFonts w:ascii="Arial" w:cs="Arial" w:eastAsia="Arial" w:hAnsi="Arial"/>
          <w:sz w:val="13"/>
          <w:szCs w:val="13"/>
          <w:color w:val="auto"/>
        </w:rPr>
        <w:t>is the annual employer contribution to the Non-Qualified account.</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70"/>
        </w:numPr>
        <w:rPr>
          <w:rFonts w:ascii="Arial" w:cs="Arial" w:eastAsia="Arial" w:hAnsi="Arial"/>
          <w:sz w:val="13"/>
          <w:szCs w:val="13"/>
          <w:color w:val="auto"/>
        </w:rPr>
      </w:pPr>
      <w:r>
        <w:rPr>
          <w:rFonts w:ascii="Arial" w:cs="Arial" w:eastAsia="Arial" w:hAnsi="Arial"/>
          <w:sz w:val="13"/>
          <w:szCs w:val="13"/>
          <w:i w:val="1"/>
          <w:iCs w:val="1"/>
          <w:color w:val="auto"/>
        </w:rPr>
        <w:t xml:space="preserve">Accumulated value at year end </w:t>
      </w:r>
      <w:r>
        <w:rPr>
          <w:rFonts w:ascii="Arial" w:cs="Arial" w:eastAsia="Arial" w:hAnsi="Arial"/>
          <w:sz w:val="13"/>
          <w:szCs w:val="13"/>
          <w:color w:val="auto"/>
        </w:rPr>
        <w:t>is the end of year value of the Non-Qualified account funded by employer contributions and includes investment earnings.</w:t>
      </w:r>
    </w:p>
    <w:p>
      <w:pPr>
        <w:spacing w:after="0" w:line="38" w:lineRule="exact"/>
        <w:rPr>
          <w:rFonts w:ascii="Arial" w:cs="Arial" w:eastAsia="Arial" w:hAnsi="Arial"/>
          <w:sz w:val="13"/>
          <w:szCs w:val="13"/>
          <w:color w:val="auto"/>
        </w:rPr>
      </w:pPr>
    </w:p>
    <w:p>
      <w:pPr>
        <w:ind w:left="140" w:hanging="133"/>
        <w:spacing w:after="0"/>
        <w:tabs>
          <w:tab w:leader="none" w:pos="14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Values reflect a U.S./Canada foreign exchange rate of 1.3978 for 2025.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0139"/>
          </w:cols>
          <w:pgMar w:left="320" w:top="1061" w:right="1440"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b w:val="1"/>
          <w:bCs w:val="1"/>
          <w:color w:val="0D64EF"/>
        </w:rPr>
        <w:t>TERMINATION AND CHANGE OF CONTROL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Termination</w:t>
      </w:r>
    </w:p>
    <w:p>
      <w:pPr>
        <w:spacing w:after="0" w:line="40" w:lineRule="exact"/>
        <w:rPr>
          <w:sz w:val="20"/>
          <w:szCs w:val="20"/>
          <w:color w:val="auto"/>
        </w:rPr>
      </w:pPr>
    </w:p>
    <w:p>
      <w:pPr>
        <w:spacing w:after="0" w:line="326" w:lineRule="auto"/>
        <w:rPr>
          <w:sz w:val="20"/>
          <w:szCs w:val="20"/>
          <w:color w:val="auto"/>
        </w:rPr>
      </w:pPr>
      <w:r>
        <w:rPr>
          <w:rFonts w:ascii="Arial" w:cs="Arial" w:eastAsia="Arial" w:hAnsi="Arial"/>
          <w:sz w:val="16"/>
          <w:szCs w:val="16"/>
          <w:color w:val="auto"/>
        </w:rPr>
        <w:t>We have an executive employment agreement with each named executive that outlines the terms and conditions that apply if the executive leaves TC Energy. The table on the following page is a summary of the material terms and provisions if the executive resigns, is terminated, retires or dies. These do not apply when there is a change of control.</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general terms and provisions of PSUs and RSUs are discussed under each event, however, pursuant to the provisions</w:t>
      </w:r>
    </w:p>
    <w:p>
      <w:pPr>
        <w:spacing w:after="0" w:line="44" w:lineRule="exact"/>
        <w:rPr>
          <w:sz w:val="20"/>
          <w:szCs w:val="20"/>
          <w:color w:val="auto"/>
        </w:rPr>
      </w:pPr>
    </w:p>
    <w:p>
      <w:pPr>
        <w:ind w:right="80"/>
        <w:spacing w:after="0" w:line="326" w:lineRule="auto"/>
        <w:rPr>
          <w:sz w:val="20"/>
          <w:szCs w:val="20"/>
          <w:color w:val="auto"/>
        </w:rPr>
      </w:pPr>
      <w:r>
        <w:rPr>
          <w:rFonts w:ascii="Arial" w:cs="Arial" w:eastAsia="Arial" w:hAnsi="Arial"/>
          <w:sz w:val="16"/>
          <w:szCs w:val="16"/>
          <w:color w:val="auto"/>
        </w:rPr>
        <w:t>of the PSU Plan and the RSU Plan, the Human Resources Committee can use its discretion to decide how to treat unvested PSUs and RSUs upon termination for executives who have an executive employment agreement. Each executive employment agreement includes a non-competition provision that applies for 12 months following the executive's separation date.</w:t>
      </w:r>
    </w:p>
    <w:p>
      <w:pPr>
        <w:spacing w:after="0" w:line="43" w:lineRule="exact"/>
        <w:rPr>
          <w:sz w:val="20"/>
          <w:szCs w:val="20"/>
          <w:color w:val="auto"/>
        </w:rPr>
      </w:pPr>
    </w:p>
    <w:p>
      <w:pPr>
        <w:ind w:right="3060"/>
        <w:spacing w:after="0" w:line="354" w:lineRule="auto"/>
        <w:rPr>
          <w:sz w:val="20"/>
          <w:szCs w:val="20"/>
          <w:color w:val="auto"/>
        </w:rPr>
      </w:pPr>
      <w:r>
        <w:rPr>
          <w:rFonts w:ascii="Arial" w:cs="Arial" w:eastAsia="Arial" w:hAnsi="Arial"/>
          <w:sz w:val="16"/>
          <w:szCs w:val="16"/>
          <w:color w:val="auto"/>
        </w:rPr>
        <w:t>Like all other Canadian employees, all of the Canadian named executives are eligible for retiree benefits if they are 55 or older with ten or more years of continuous service on the separation date. Retiree benefits include:</w:t>
      </w:r>
    </w:p>
    <w:p>
      <w:pPr>
        <w:spacing w:after="0" w:line="22" w:lineRule="exact"/>
        <w:rPr>
          <w:sz w:val="20"/>
          <w:szCs w:val="20"/>
          <w:color w:val="auto"/>
        </w:rPr>
      </w:pPr>
    </w:p>
    <w:p>
      <w:pPr>
        <w:ind w:right="560" w:firstLine="7"/>
        <w:spacing w:after="0" w:line="429" w:lineRule="auto"/>
        <w:tabs>
          <w:tab w:leader="none" w:pos="13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 health spending account that can be used to pay for eligible health and dental expenses and/or to purchase private health insurance up to age 65. Mr. Chapman is eligible for retiree benefits under the U.S. retiree benefit program including:</w:t>
      </w:r>
    </w:p>
    <w:p>
      <w:pPr>
        <w:ind w:left="140" w:hanging="133"/>
        <w:spacing w:after="0"/>
        <w:tabs>
          <w:tab w:leader="none" w:pos="1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access to medical plans that provide a wide range of coverage, and</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life insurance that provides a death benefit of $10,000 to a designated beneficiary.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Mr. O'Donnell and Ms. Faraca are not eligible for retiree benefits.</w:t>
      </w:r>
    </w:p>
    <w:p>
      <w:pPr>
        <w:spacing w:after="0" w:line="152" w:lineRule="exact"/>
        <w:rPr>
          <w:sz w:val="20"/>
          <w:szCs w:val="20"/>
          <w:color w:val="auto"/>
        </w:rPr>
      </w:pPr>
    </w:p>
    <w:p>
      <w:pPr>
        <w:ind w:right="200"/>
        <w:spacing w:after="0" w:line="326" w:lineRule="auto"/>
        <w:rPr>
          <w:sz w:val="20"/>
          <w:szCs w:val="20"/>
          <w:color w:val="auto"/>
        </w:rPr>
      </w:pPr>
      <w:r>
        <w:rPr>
          <w:rFonts w:ascii="Arial" w:cs="Arial" w:eastAsia="Arial" w:hAnsi="Arial"/>
          <w:sz w:val="16"/>
          <w:szCs w:val="16"/>
          <w:color w:val="auto"/>
        </w:rPr>
        <w:t>The Canadian employee stock purchase plan, the U.S. employee stock purchase plan, Canadian DC Plan, Canadian Supplemental DC Plan, Canadian Savings Plan, 401(k) Plan, the Non-Qualified Plan, spousal and dependent life insurance, accident insurance and disability insurance end at the separation date.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121</w:t>
      </w:r>
    </w:p>
    <w:p>
      <w:pPr>
        <w:sectPr>
          <w:pgSz w:w="11900" w:h="16838" w:orient="portrait"/>
          <w:cols w:equalWidth="0" w:num="1">
            <w:col w:w="11240"/>
          </w:cols>
          <w:pgMar w:left="320" w:top="1097"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t>Compensation on termination</w:t>
      </w:r>
    </w:p>
    <w:p>
      <w:pPr>
        <w:spacing w:after="0" w:line="44" w:lineRule="exact"/>
        <w:rPr>
          <w:sz w:val="20"/>
          <w:szCs w:val="20"/>
          <w:color w:val="auto"/>
        </w:rPr>
      </w:pPr>
    </w:p>
    <w:p>
      <w:pPr>
        <w:ind w:right="3600"/>
        <w:spacing w:after="0" w:line="354" w:lineRule="auto"/>
        <w:rPr>
          <w:sz w:val="20"/>
          <w:szCs w:val="20"/>
          <w:color w:val="auto"/>
        </w:rPr>
      </w:pPr>
      <w:r>
        <w:rPr>
          <w:rFonts w:ascii="Arial" w:cs="Arial" w:eastAsia="Arial" w:hAnsi="Arial"/>
          <w:sz w:val="16"/>
          <w:szCs w:val="16"/>
          <w:color w:val="auto"/>
        </w:rPr>
        <w:t>The table below shows how each named executive’s compensation is treated if they leave TC Energy as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71329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Short-term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 Options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Resignation</w:t>
            </w:r>
          </w:p>
        </w:tc>
        <w:tc>
          <w:tcPr>
            <w:tcW w:w="722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Payments end.</w:t>
            </w:r>
          </w:p>
        </w:tc>
        <w:tc>
          <w:tcPr>
            <w:tcW w:w="0" w:type="dxa"/>
            <w:vAlign w:val="bottom"/>
          </w:tcPr>
          <w:p>
            <w:pPr>
              <w:spacing w:after="0"/>
              <w:rPr>
                <w:sz w:val="1"/>
                <w:szCs w:val="1"/>
                <w:color w:val="auto"/>
              </w:rPr>
            </w:pPr>
          </w:p>
        </w:tc>
      </w:tr>
      <w:tr>
        <w:trPr>
          <w:trHeight w:val="148"/>
        </w:trPr>
        <w:tc>
          <w:tcPr>
            <w:tcW w:w="2300" w:type="dxa"/>
            <w:vAlign w:val="bottom"/>
            <w:tcBorders>
              <w:right w:val="single" w:sz="8" w:color="237CC1"/>
            </w:tcBorders>
          </w:tcPr>
          <w:p>
            <w:pPr>
              <w:ind w:left="20"/>
              <w:spacing w:after="0" w:line="148" w:lineRule="exact"/>
              <w:rPr>
                <w:sz w:val="20"/>
                <w:szCs w:val="20"/>
                <w:color w:val="auto"/>
              </w:rPr>
            </w:pPr>
            <w:r>
              <w:rPr>
                <w:rFonts w:ascii="Arial" w:cs="Arial" w:eastAsia="Arial" w:hAnsi="Arial"/>
                <w:sz w:val="14"/>
                <w:szCs w:val="14"/>
                <w:color w:val="auto"/>
              </w:rPr>
              <w:t>Termination without cause</w:t>
            </w:r>
          </w:p>
        </w:tc>
        <w:tc>
          <w:tcPr>
            <w:tcW w:w="7220" w:type="dxa"/>
            <w:vAlign w:val="bottom"/>
          </w:tcPr>
          <w:p>
            <w:pPr>
              <w:ind w:left="140"/>
              <w:spacing w:after="0" w:line="148" w:lineRule="exact"/>
              <w:rPr>
                <w:sz w:val="20"/>
                <w:szCs w:val="20"/>
                <w:color w:val="auto"/>
              </w:rPr>
            </w:pPr>
            <w:r>
              <w:rPr>
                <w:rFonts w:ascii="Arial" w:cs="Arial" w:eastAsia="Arial" w:hAnsi="Arial"/>
                <w:sz w:val="14"/>
                <w:szCs w:val="14"/>
                <w:color w:val="auto"/>
              </w:rPr>
              <w:t>Severance allowance includes a lump-sum payment equal to 24 months of their annual base salary as of the</w:t>
            </w:r>
          </w:p>
        </w:tc>
        <w:tc>
          <w:tcPr>
            <w:tcW w:w="0" w:type="dxa"/>
            <w:vAlign w:val="bottom"/>
          </w:tcPr>
          <w:p>
            <w:pPr>
              <w:spacing w:after="0"/>
              <w:rPr>
                <w:sz w:val="1"/>
                <w:szCs w:val="1"/>
                <w:color w:val="auto"/>
              </w:rPr>
            </w:pPr>
          </w:p>
        </w:tc>
      </w:tr>
      <w:tr>
        <w:trPr>
          <w:trHeight w:val="190"/>
        </w:trPr>
        <w:tc>
          <w:tcPr>
            <w:tcW w:w="2300" w:type="dxa"/>
            <w:vAlign w:val="bottom"/>
            <w:tcBorders>
              <w:right w:val="single" w:sz="8" w:color="237CC1"/>
            </w:tcBorders>
          </w:tcPr>
          <w:p>
            <w:pPr>
              <w:spacing w:after="0"/>
              <w:rPr>
                <w:sz w:val="16"/>
                <w:szCs w:val="16"/>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separation date.</w:t>
            </w:r>
          </w:p>
        </w:tc>
        <w:tc>
          <w:tcPr>
            <w:tcW w:w="0" w:type="dxa"/>
            <w:vAlign w:val="bottom"/>
          </w:tcPr>
          <w:p>
            <w:pPr>
              <w:spacing w:after="0"/>
              <w:rPr>
                <w:sz w:val="1"/>
                <w:szCs w:val="1"/>
                <w:color w:val="auto"/>
              </w:rPr>
            </w:pPr>
          </w:p>
        </w:tc>
      </w:tr>
      <w:tr>
        <w:trPr>
          <w:trHeight w:val="75"/>
        </w:trPr>
        <w:tc>
          <w:tcPr>
            <w:tcW w:w="2300" w:type="dxa"/>
            <w:vAlign w:val="bottom"/>
            <w:tcBorders>
              <w:bottom w:val="single" w:sz="8" w:color="B2B2B2"/>
              <w:right w:val="single" w:sz="8" w:color="237CC1"/>
            </w:tcBorders>
          </w:tcPr>
          <w:p>
            <w:pPr>
              <w:spacing w:after="0"/>
              <w:rPr>
                <w:sz w:val="6"/>
                <w:szCs w:val="6"/>
                <w:color w:val="auto"/>
              </w:rPr>
            </w:pPr>
          </w:p>
        </w:tc>
        <w:tc>
          <w:tcPr>
            <w:tcW w:w="722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Termination with cause</w:t>
            </w:r>
          </w:p>
        </w:tc>
        <w:tc>
          <w:tcPr>
            <w:tcW w:w="7220" w:type="dxa"/>
            <w:vAlign w:val="bottom"/>
          </w:tcPr>
          <w:p>
            <w:pPr>
              <w:ind w:left="140"/>
              <w:spacing w:after="0"/>
              <w:rPr>
                <w:sz w:val="20"/>
                <w:szCs w:val="20"/>
                <w:color w:val="auto"/>
              </w:rPr>
            </w:pPr>
            <w:r>
              <w:rPr>
                <w:rFonts w:ascii="Arial" w:cs="Arial" w:eastAsia="Arial" w:hAnsi="Arial"/>
                <w:sz w:val="14"/>
                <w:szCs w:val="14"/>
                <w:color w:val="auto"/>
              </w:rPr>
              <w:t>Payments end.</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Retirement</w:t>
            </w:r>
          </w:p>
        </w:tc>
        <w:tc>
          <w:tcPr>
            <w:tcW w:w="7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Death</w:t>
            </w:r>
          </w:p>
        </w:tc>
        <w:tc>
          <w:tcPr>
            <w:tcW w:w="722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tcBorders>
              <w:right w:val="single" w:sz="8" w:color="237CC1"/>
            </w:tcBorders>
          </w:tcPr>
          <w:p>
            <w:pPr>
              <w:ind w:left="20"/>
              <w:spacing w:after="0"/>
              <w:rPr>
                <w:sz w:val="20"/>
                <w:szCs w:val="20"/>
                <w:color w:val="auto"/>
              </w:rPr>
            </w:pPr>
            <w:r>
              <w:rPr>
                <w:rFonts w:ascii="Arial" w:cs="Arial" w:eastAsia="Arial" w:hAnsi="Arial"/>
                <w:sz w:val="14"/>
                <w:szCs w:val="14"/>
                <w:color w:val="auto"/>
              </w:rPr>
              <w:t>Resignation</w:t>
            </w:r>
          </w:p>
        </w:tc>
        <w:tc>
          <w:tcPr>
            <w:tcW w:w="7220" w:type="dxa"/>
            <w:vAlign w:val="bottom"/>
          </w:tcPr>
          <w:p>
            <w:pPr>
              <w:ind w:left="140"/>
              <w:spacing w:after="0"/>
              <w:rPr>
                <w:sz w:val="20"/>
                <w:szCs w:val="20"/>
                <w:color w:val="auto"/>
              </w:rPr>
            </w:pPr>
            <w:r>
              <w:rPr>
                <w:rFonts w:ascii="Arial" w:cs="Arial" w:eastAsia="Arial" w:hAnsi="Arial"/>
                <w:sz w:val="14"/>
                <w:szCs w:val="14"/>
                <w:color w:val="auto"/>
              </w:rPr>
              <w:t>Board discretion.</w:t>
            </w:r>
          </w:p>
        </w:tc>
        <w:tc>
          <w:tcPr>
            <w:tcW w:w="0" w:type="dxa"/>
            <w:vAlign w:val="bottom"/>
          </w:tcPr>
          <w:p>
            <w:pPr>
              <w:spacing w:after="0"/>
              <w:rPr>
                <w:sz w:val="1"/>
                <w:szCs w:val="1"/>
                <w:color w:val="auto"/>
              </w:rPr>
            </w:pPr>
          </w:p>
        </w:tc>
      </w:tr>
      <w:tr>
        <w:trPr>
          <w:trHeight w:val="102"/>
        </w:trPr>
        <w:tc>
          <w:tcPr>
            <w:tcW w:w="2300" w:type="dxa"/>
            <w:vAlign w:val="bottom"/>
            <w:tcBorders>
              <w:bottom w:val="single" w:sz="8" w:color="B2B2B2"/>
              <w:right w:val="single" w:sz="8" w:color="237CC1"/>
            </w:tcBorders>
          </w:tcPr>
          <w:p>
            <w:pPr>
              <w:spacing w:after="0"/>
              <w:rPr>
                <w:sz w:val="8"/>
                <w:szCs w:val="8"/>
                <w:color w:val="auto"/>
              </w:rPr>
            </w:pPr>
          </w:p>
        </w:tc>
        <w:tc>
          <w:tcPr>
            <w:tcW w:w="7220" w:type="dxa"/>
            <w:vAlign w:val="bottom"/>
            <w:tcBorders>
              <w:bottom w:val="single" w:sz="8" w:color="B2B2B2"/>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300" w:type="dxa"/>
            <w:vAlign w:val="bottom"/>
            <w:tcBorders>
              <w:right w:val="single" w:sz="8" w:color="237CC1"/>
            </w:tcBorders>
          </w:tcPr>
          <w:p>
            <w:pPr>
              <w:ind w:left="20"/>
              <w:spacing w:after="0" w:line="145" w:lineRule="exact"/>
              <w:rPr>
                <w:sz w:val="20"/>
                <w:szCs w:val="20"/>
                <w:color w:val="auto"/>
              </w:rPr>
            </w:pPr>
            <w:r>
              <w:rPr>
                <w:rFonts w:ascii="Arial" w:cs="Arial" w:eastAsia="Arial" w:hAnsi="Arial"/>
                <w:sz w:val="14"/>
                <w:szCs w:val="14"/>
                <w:color w:val="auto"/>
              </w:rPr>
              <w:t>Termination without cause</w:t>
            </w:r>
          </w:p>
        </w:tc>
        <w:tc>
          <w:tcPr>
            <w:tcW w:w="7220" w:type="dxa"/>
            <w:vAlign w:val="bottom"/>
          </w:tcPr>
          <w:p>
            <w:pPr>
              <w:ind w:left="140"/>
              <w:spacing w:after="0" w:line="145" w:lineRule="exact"/>
              <w:rPr>
                <w:sz w:val="20"/>
                <w:szCs w:val="20"/>
                <w:color w:val="auto"/>
              </w:rPr>
            </w:pPr>
            <w:r>
              <w:rPr>
                <w:rFonts w:ascii="Arial" w:cs="Arial" w:eastAsia="Arial" w:hAnsi="Arial"/>
                <w:sz w:val="14"/>
                <w:szCs w:val="14"/>
                <w:color w:val="auto"/>
              </w:rPr>
              <w:t>Equals the average short-term incentive award paid to the named executive for the three years, or such lesser</w:t>
            </w:r>
          </w:p>
        </w:tc>
        <w:tc>
          <w:tcPr>
            <w:tcW w:w="0" w:type="dxa"/>
            <w:vAlign w:val="bottom"/>
          </w:tcPr>
          <w:p>
            <w:pPr>
              <w:spacing w:after="0"/>
              <w:rPr>
                <w:sz w:val="1"/>
                <w:szCs w:val="1"/>
                <w:color w:val="auto"/>
              </w:rPr>
            </w:pPr>
          </w:p>
        </w:tc>
      </w:tr>
      <w:tr>
        <w:trPr>
          <w:trHeight w:val="190"/>
        </w:trPr>
        <w:tc>
          <w:tcPr>
            <w:tcW w:w="2300" w:type="dxa"/>
            <w:vAlign w:val="bottom"/>
            <w:tcBorders>
              <w:right w:val="single" w:sz="8" w:color="237CC1"/>
            </w:tcBorders>
          </w:tcPr>
          <w:p>
            <w:pPr>
              <w:spacing w:after="0"/>
              <w:rPr>
                <w:sz w:val="16"/>
                <w:szCs w:val="16"/>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time, as applicable, preceding the separation date.</w:t>
            </w:r>
          </w:p>
        </w:tc>
        <w:tc>
          <w:tcPr>
            <w:tcW w:w="0" w:type="dxa"/>
            <w:vAlign w:val="bottom"/>
          </w:tcPr>
          <w:p>
            <w:pPr>
              <w:spacing w:after="0"/>
              <w:rPr>
                <w:sz w:val="1"/>
                <w:szCs w:val="1"/>
                <w:color w:val="auto"/>
              </w:rPr>
            </w:pPr>
          </w:p>
        </w:tc>
      </w:tr>
      <w:tr>
        <w:trPr>
          <w:trHeight w:val="102"/>
        </w:trPr>
        <w:tc>
          <w:tcPr>
            <w:tcW w:w="2300" w:type="dxa"/>
            <w:vAlign w:val="bottom"/>
            <w:tcBorders>
              <w:bottom w:val="single" w:sz="8" w:color="B2B2B2"/>
              <w:right w:val="single" w:sz="8" w:color="237CC1"/>
            </w:tcBorders>
          </w:tcPr>
          <w:p>
            <w:pPr>
              <w:spacing w:after="0"/>
              <w:rPr>
                <w:sz w:val="8"/>
                <w:szCs w:val="8"/>
                <w:color w:val="auto"/>
              </w:rPr>
            </w:pPr>
          </w:p>
        </w:tc>
        <w:tc>
          <w:tcPr>
            <w:tcW w:w="7220" w:type="dxa"/>
            <w:vAlign w:val="bottom"/>
            <w:tcBorders>
              <w:bottom w:val="single" w:sz="8" w:color="B2B2B2"/>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30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Termination with cause</w:t>
            </w:r>
          </w:p>
        </w:tc>
        <w:tc>
          <w:tcPr>
            <w:tcW w:w="722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Not paid.</w:t>
            </w:r>
          </w:p>
        </w:tc>
        <w:tc>
          <w:tcPr>
            <w:tcW w:w="0" w:type="dxa"/>
            <w:vAlign w:val="bottom"/>
          </w:tcPr>
          <w:p>
            <w:pPr>
              <w:spacing w:after="0"/>
              <w:rPr>
                <w:sz w:val="1"/>
                <w:szCs w:val="1"/>
                <w:color w:val="auto"/>
              </w:rPr>
            </w:pPr>
          </w:p>
        </w:tc>
      </w:tr>
      <w:tr>
        <w:trPr>
          <w:trHeight w:val="149"/>
        </w:trPr>
        <w:tc>
          <w:tcPr>
            <w:tcW w:w="2300" w:type="dxa"/>
            <w:vAlign w:val="bottom"/>
            <w:tcBorders>
              <w:right w:val="single" w:sz="8" w:color="237CC1"/>
            </w:tcBorders>
          </w:tcPr>
          <w:p>
            <w:pPr>
              <w:ind w:left="20"/>
              <w:spacing w:after="0" w:line="149" w:lineRule="exact"/>
              <w:rPr>
                <w:sz w:val="20"/>
                <w:szCs w:val="20"/>
                <w:color w:val="auto"/>
              </w:rPr>
            </w:pPr>
            <w:r>
              <w:rPr>
                <w:rFonts w:ascii="Arial" w:cs="Arial" w:eastAsia="Arial" w:hAnsi="Arial"/>
                <w:sz w:val="14"/>
                <w:szCs w:val="14"/>
                <w:color w:val="auto"/>
              </w:rPr>
              <w:t>Retirement</w:t>
            </w:r>
          </w:p>
        </w:tc>
        <w:tc>
          <w:tcPr>
            <w:tcW w:w="7220" w:type="dxa"/>
            <w:vAlign w:val="bottom"/>
          </w:tcPr>
          <w:p>
            <w:pPr>
              <w:ind w:left="140"/>
              <w:spacing w:after="0" w:line="149" w:lineRule="exact"/>
              <w:rPr>
                <w:sz w:val="20"/>
                <w:szCs w:val="20"/>
                <w:color w:val="auto"/>
              </w:rPr>
            </w:pPr>
            <w:r>
              <w:rPr>
                <w:rFonts w:ascii="Arial" w:cs="Arial" w:eastAsia="Arial" w:hAnsi="Arial"/>
                <w:sz w:val="14"/>
                <w:szCs w:val="14"/>
                <w:color w:val="auto"/>
              </w:rPr>
              <w:t>Equals the average short-term incentive award paid to the named executive for the three years, or such lesser</w:t>
            </w:r>
          </w:p>
        </w:tc>
        <w:tc>
          <w:tcPr>
            <w:tcW w:w="0" w:type="dxa"/>
            <w:vAlign w:val="bottom"/>
          </w:tcPr>
          <w:p>
            <w:pPr>
              <w:spacing w:after="0"/>
              <w:rPr>
                <w:sz w:val="1"/>
                <w:szCs w:val="1"/>
                <w:color w:val="auto"/>
              </w:rPr>
            </w:pPr>
          </w:p>
        </w:tc>
      </w:tr>
      <w:tr>
        <w:trPr>
          <w:trHeight w:val="50"/>
        </w:trPr>
        <w:tc>
          <w:tcPr>
            <w:tcW w:w="2300" w:type="dxa"/>
            <w:vAlign w:val="bottom"/>
            <w:tcBorders>
              <w:bottom w:val="single" w:sz="8" w:color="B2B2B2"/>
              <w:right w:val="single" w:sz="8" w:color="237CC1"/>
            </w:tcBorders>
          </w:tcPr>
          <w:p>
            <w:pPr>
              <w:spacing w:after="0"/>
              <w:rPr>
                <w:sz w:val="4"/>
                <w:szCs w:val="4"/>
                <w:color w:val="auto"/>
              </w:rPr>
            </w:pPr>
          </w:p>
        </w:tc>
        <w:tc>
          <w:tcPr>
            <w:tcW w:w="7220" w:type="dxa"/>
            <w:vAlign w:val="bottom"/>
            <w:vMerge w:val="restart"/>
          </w:tcPr>
          <w:p>
            <w:pPr>
              <w:ind w:left="140"/>
              <w:spacing w:after="0"/>
              <w:rPr>
                <w:sz w:val="20"/>
                <w:szCs w:val="20"/>
                <w:color w:val="auto"/>
              </w:rPr>
            </w:pPr>
            <w:r>
              <w:rPr>
                <w:rFonts w:ascii="Arial" w:cs="Arial" w:eastAsia="Arial" w:hAnsi="Arial"/>
                <w:sz w:val="14"/>
                <w:szCs w:val="14"/>
                <w:color w:val="auto"/>
              </w:rPr>
              <w:t>time, as applicable, preceding the separation date.</w:t>
            </w:r>
          </w:p>
        </w:tc>
        <w:tc>
          <w:tcPr>
            <w:tcW w:w="0" w:type="dxa"/>
            <w:vAlign w:val="bottom"/>
          </w:tcPr>
          <w:p>
            <w:pPr>
              <w:spacing w:after="0"/>
              <w:rPr>
                <w:sz w:val="1"/>
                <w:szCs w:val="1"/>
                <w:color w:val="auto"/>
              </w:rPr>
            </w:pPr>
          </w:p>
        </w:tc>
      </w:tr>
      <w:tr>
        <w:trPr>
          <w:trHeight w:val="120"/>
        </w:trPr>
        <w:tc>
          <w:tcPr>
            <w:tcW w:w="2300" w:type="dxa"/>
            <w:vAlign w:val="bottom"/>
            <w:tcBorders>
              <w:right w:val="single" w:sz="8" w:color="237CC1"/>
            </w:tcBorders>
            <w:vMerge w:val="restart"/>
          </w:tcPr>
          <w:p>
            <w:pPr>
              <w:ind w:left="20"/>
              <w:spacing w:after="0"/>
              <w:rPr>
                <w:sz w:val="20"/>
                <w:szCs w:val="20"/>
                <w:color w:val="auto"/>
              </w:rPr>
            </w:pPr>
            <w:r>
              <w:rPr>
                <w:rFonts w:ascii="Arial" w:cs="Arial" w:eastAsia="Arial" w:hAnsi="Arial"/>
                <w:sz w:val="14"/>
                <w:szCs w:val="14"/>
                <w:color w:val="auto"/>
              </w:rPr>
              <w:t>Death</w:t>
            </w:r>
          </w:p>
        </w:tc>
        <w:tc>
          <w:tcPr>
            <w:tcW w:w="7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300" w:type="dxa"/>
            <w:vAlign w:val="bottom"/>
            <w:tcBorders>
              <w:bottom w:val="single" w:sz="8" w:color="B2B2B2"/>
              <w:right w:val="single" w:sz="8" w:color="237CC1"/>
            </w:tcBorders>
            <w:vMerge w:val="continue"/>
          </w:tcPr>
          <w:p>
            <w:pPr>
              <w:spacing w:after="0"/>
              <w:rPr>
                <w:sz w:val="6"/>
                <w:szCs w:val="6"/>
                <w:color w:val="auto"/>
              </w:rPr>
            </w:pPr>
          </w:p>
        </w:tc>
        <w:tc>
          <w:tcPr>
            <w:tcW w:w="722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30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Resignation</w:t>
            </w:r>
          </w:p>
        </w:tc>
        <w:tc>
          <w:tcPr>
            <w:tcW w:w="722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Vested units are paid out; unvested units are forfeited.</w:t>
            </w:r>
          </w:p>
        </w:tc>
        <w:tc>
          <w:tcPr>
            <w:tcW w:w="0" w:type="dxa"/>
            <w:vAlign w:val="bottom"/>
          </w:tcPr>
          <w:p>
            <w:pPr>
              <w:spacing w:after="0"/>
              <w:rPr>
                <w:sz w:val="1"/>
                <w:szCs w:val="1"/>
                <w:color w:val="auto"/>
              </w:rPr>
            </w:pPr>
          </w:p>
        </w:tc>
      </w:tr>
      <w:tr>
        <w:trPr>
          <w:trHeight w:val="191"/>
        </w:trPr>
        <w:tc>
          <w:tcPr>
            <w:tcW w:w="2300" w:type="dxa"/>
            <w:vAlign w:val="bottom"/>
            <w:tcBorders>
              <w:right w:val="single" w:sz="8" w:color="237CC1"/>
            </w:tcBorders>
          </w:tcPr>
          <w:p>
            <w:pPr>
              <w:ind w:left="20"/>
              <w:spacing w:after="0"/>
              <w:rPr>
                <w:sz w:val="20"/>
                <w:szCs w:val="20"/>
                <w:color w:val="auto"/>
              </w:rPr>
            </w:pPr>
            <w:r>
              <w:rPr>
                <w:rFonts w:ascii="Arial" w:cs="Arial" w:eastAsia="Arial" w:hAnsi="Arial"/>
                <w:sz w:val="14"/>
                <w:szCs w:val="14"/>
                <w:color w:val="auto"/>
              </w:rPr>
              <w:t>Termination without cause</w:t>
            </w:r>
          </w:p>
        </w:tc>
        <w:tc>
          <w:tcPr>
            <w:tcW w:w="7220" w:type="dxa"/>
            <w:vAlign w:val="bottom"/>
          </w:tcPr>
          <w:p>
            <w:pPr>
              <w:ind w:left="140"/>
              <w:spacing w:after="0"/>
              <w:rPr>
                <w:sz w:val="20"/>
                <w:szCs w:val="20"/>
                <w:color w:val="auto"/>
              </w:rPr>
            </w:pPr>
            <w:r>
              <w:rPr>
                <w:rFonts w:ascii="Arial" w:cs="Arial" w:eastAsia="Arial" w:hAnsi="Arial"/>
                <w:sz w:val="14"/>
                <w:szCs w:val="14"/>
                <w:color w:val="auto"/>
              </w:rPr>
              <w:t>Vested units are paid out.</w:t>
            </w:r>
          </w:p>
        </w:tc>
        <w:tc>
          <w:tcPr>
            <w:tcW w:w="0" w:type="dxa"/>
            <w:vAlign w:val="bottom"/>
          </w:tcPr>
          <w:p>
            <w:pPr>
              <w:spacing w:after="0"/>
              <w:rPr>
                <w:sz w:val="1"/>
                <w:szCs w:val="1"/>
                <w:color w:val="auto"/>
              </w:rPr>
            </w:pPr>
          </w:p>
        </w:tc>
      </w:tr>
      <w:tr>
        <w:trPr>
          <w:trHeight w:val="242"/>
        </w:trPr>
        <w:tc>
          <w:tcPr>
            <w:tcW w:w="2300" w:type="dxa"/>
            <w:vAlign w:val="bottom"/>
            <w:tcBorders>
              <w:right w:val="single" w:sz="8" w:color="237CC1"/>
            </w:tcBorders>
          </w:tcPr>
          <w:p>
            <w:pPr>
              <w:spacing w:after="0"/>
              <w:rPr>
                <w:sz w:val="21"/>
                <w:szCs w:val="21"/>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Unvested units are forfeited, however the original grant value is generally paid out on a pro rata basis.</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B2B2B2"/>
              <w:right w:val="single" w:sz="8" w:color="237CC1"/>
            </w:tcBorders>
          </w:tcPr>
          <w:p>
            <w:pPr>
              <w:spacing w:after="0"/>
              <w:rPr>
                <w:sz w:val="17"/>
                <w:szCs w:val="17"/>
                <w:color w:val="auto"/>
              </w:rPr>
            </w:pPr>
          </w:p>
        </w:tc>
        <w:tc>
          <w:tcPr>
            <w:tcW w:w="722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0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Termination with cause</w:t>
            </w:r>
          </w:p>
        </w:tc>
        <w:tc>
          <w:tcPr>
            <w:tcW w:w="722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Vested units are paid out, unvested units are forfeited.</w:t>
            </w:r>
          </w:p>
        </w:tc>
        <w:tc>
          <w:tcPr>
            <w:tcW w:w="0" w:type="dxa"/>
            <w:vAlign w:val="bottom"/>
          </w:tcPr>
          <w:p>
            <w:pPr>
              <w:spacing w:after="0"/>
              <w:rPr>
                <w:sz w:val="1"/>
                <w:szCs w:val="1"/>
                <w:color w:val="auto"/>
              </w:rPr>
            </w:pPr>
          </w:p>
        </w:tc>
      </w:tr>
      <w:tr>
        <w:trPr>
          <w:trHeight w:val="149"/>
        </w:trPr>
        <w:tc>
          <w:tcPr>
            <w:tcW w:w="2300" w:type="dxa"/>
            <w:vAlign w:val="bottom"/>
            <w:tcBorders>
              <w:right w:val="single" w:sz="8" w:color="237CC1"/>
            </w:tcBorders>
          </w:tcPr>
          <w:p>
            <w:pPr>
              <w:ind w:left="20"/>
              <w:spacing w:after="0" w:line="149" w:lineRule="exact"/>
              <w:rPr>
                <w:sz w:val="20"/>
                <w:szCs w:val="20"/>
                <w:color w:val="auto"/>
              </w:rPr>
            </w:pPr>
            <w:r>
              <w:rPr>
                <w:rFonts w:ascii="Arial" w:cs="Arial" w:eastAsia="Arial" w:hAnsi="Arial"/>
                <w:sz w:val="14"/>
                <w:szCs w:val="14"/>
                <w:color w:val="auto"/>
              </w:rPr>
              <w:t>Retirement</w:t>
            </w:r>
          </w:p>
        </w:tc>
        <w:tc>
          <w:tcPr>
            <w:tcW w:w="7220" w:type="dxa"/>
            <w:vAlign w:val="bottom"/>
          </w:tcPr>
          <w:p>
            <w:pPr>
              <w:ind w:left="140"/>
              <w:spacing w:after="0" w:line="149" w:lineRule="exact"/>
              <w:rPr>
                <w:sz w:val="20"/>
                <w:szCs w:val="20"/>
                <w:color w:val="auto"/>
              </w:rPr>
            </w:pPr>
            <w:r>
              <w:rPr>
                <w:rFonts w:ascii="Arial" w:cs="Arial" w:eastAsia="Arial" w:hAnsi="Arial"/>
                <w:sz w:val="14"/>
                <w:szCs w:val="14"/>
                <w:color w:val="auto"/>
              </w:rPr>
              <w:t>Vested units are paid out. Unvested units continue to vest and the value is assessed at the end of the term. The</w:t>
            </w:r>
          </w:p>
        </w:tc>
        <w:tc>
          <w:tcPr>
            <w:tcW w:w="0" w:type="dxa"/>
            <w:vAlign w:val="bottom"/>
          </w:tcPr>
          <w:p>
            <w:pPr>
              <w:spacing w:after="0"/>
              <w:rPr>
                <w:sz w:val="1"/>
                <w:szCs w:val="1"/>
                <w:color w:val="auto"/>
              </w:rPr>
            </w:pPr>
          </w:p>
        </w:tc>
      </w:tr>
      <w:tr>
        <w:trPr>
          <w:trHeight w:val="190"/>
        </w:trPr>
        <w:tc>
          <w:tcPr>
            <w:tcW w:w="2300" w:type="dxa"/>
            <w:vAlign w:val="bottom"/>
            <w:tcBorders>
              <w:right w:val="single" w:sz="8" w:color="237CC1"/>
            </w:tcBorders>
          </w:tcPr>
          <w:p>
            <w:pPr>
              <w:spacing w:after="0"/>
              <w:rPr>
                <w:sz w:val="16"/>
                <w:szCs w:val="16"/>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award is generally pro-rated for the period of employment up to the retirement date.</w:t>
            </w:r>
          </w:p>
        </w:tc>
        <w:tc>
          <w:tcPr>
            <w:tcW w:w="0" w:type="dxa"/>
            <w:vAlign w:val="bottom"/>
          </w:tcPr>
          <w:p>
            <w:pPr>
              <w:spacing w:after="0"/>
              <w:rPr>
                <w:sz w:val="1"/>
                <w:szCs w:val="1"/>
                <w:color w:val="auto"/>
              </w:rPr>
            </w:pPr>
          </w:p>
        </w:tc>
      </w:tr>
      <w:tr>
        <w:trPr>
          <w:trHeight w:val="169"/>
        </w:trPr>
        <w:tc>
          <w:tcPr>
            <w:tcW w:w="2300" w:type="dxa"/>
            <w:vAlign w:val="bottom"/>
            <w:tcBorders>
              <w:bottom w:val="single" w:sz="8" w:color="B2B2B2"/>
              <w:right w:val="single" w:sz="8" w:color="237CC1"/>
            </w:tcBorders>
          </w:tcPr>
          <w:p>
            <w:pPr>
              <w:spacing w:after="0"/>
              <w:rPr>
                <w:sz w:val="14"/>
                <w:szCs w:val="14"/>
                <w:color w:val="auto"/>
              </w:rPr>
            </w:pPr>
          </w:p>
        </w:tc>
        <w:tc>
          <w:tcPr>
            <w:tcW w:w="7220" w:type="dxa"/>
            <w:vAlign w:val="bottom"/>
            <w:tcBorders>
              <w:bottom w:val="single" w:sz="8" w:color="B2B2B2"/>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300" w:type="dxa"/>
            <w:vAlign w:val="bottom"/>
            <w:tcBorders>
              <w:right w:val="single" w:sz="8" w:color="237CC1"/>
            </w:tcBorders>
          </w:tcPr>
          <w:p>
            <w:pPr>
              <w:ind w:left="20"/>
              <w:spacing w:after="0"/>
              <w:rPr>
                <w:sz w:val="20"/>
                <w:szCs w:val="20"/>
                <w:color w:val="auto"/>
              </w:rPr>
            </w:pPr>
            <w:r>
              <w:rPr>
                <w:rFonts w:ascii="Arial" w:cs="Arial" w:eastAsia="Arial" w:hAnsi="Arial"/>
                <w:sz w:val="14"/>
                <w:szCs w:val="14"/>
                <w:color w:val="auto"/>
              </w:rPr>
              <w:t>Death</w:t>
            </w:r>
          </w:p>
        </w:tc>
        <w:tc>
          <w:tcPr>
            <w:tcW w:w="7220" w:type="dxa"/>
            <w:vAlign w:val="bottom"/>
          </w:tcPr>
          <w:p>
            <w:pPr>
              <w:ind w:left="140"/>
              <w:spacing w:after="0"/>
              <w:rPr>
                <w:sz w:val="20"/>
                <w:szCs w:val="20"/>
                <w:color w:val="auto"/>
              </w:rPr>
            </w:pPr>
            <w:r>
              <w:rPr>
                <w:rFonts w:ascii="Arial" w:cs="Arial" w:eastAsia="Arial" w:hAnsi="Arial"/>
                <w:sz w:val="14"/>
                <w:szCs w:val="14"/>
                <w:color w:val="auto"/>
              </w:rPr>
              <w:t>Vested units are paid out.</w:t>
            </w:r>
          </w:p>
        </w:tc>
        <w:tc>
          <w:tcPr>
            <w:tcW w:w="0" w:type="dxa"/>
            <w:vAlign w:val="bottom"/>
          </w:tcPr>
          <w:p>
            <w:pPr>
              <w:spacing w:after="0"/>
              <w:rPr>
                <w:sz w:val="1"/>
                <w:szCs w:val="1"/>
                <w:color w:val="auto"/>
              </w:rPr>
            </w:pPr>
          </w:p>
        </w:tc>
      </w:tr>
      <w:tr>
        <w:trPr>
          <w:trHeight w:val="242"/>
        </w:trPr>
        <w:tc>
          <w:tcPr>
            <w:tcW w:w="2300" w:type="dxa"/>
            <w:vAlign w:val="bottom"/>
            <w:tcBorders>
              <w:right w:val="single" w:sz="8" w:color="237CC1"/>
            </w:tcBorders>
          </w:tcPr>
          <w:p>
            <w:pPr>
              <w:spacing w:after="0"/>
              <w:rPr>
                <w:sz w:val="21"/>
                <w:szCs w:val="21"/>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Unvested units are forfeited, however, the original grant value is generally paid out on a pro rata basis.</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B2B2B2"/>
              <w:right w:val="single" w:sz="8" w:color="237CC1"/>
            </w:tcBorders>
          </w:tcPr>
          <w:p>
            <w:pPr>
              <w:spacing w:after="0"/>
              <w:rPr>
                <w:sz w:val="12"/>
                <w:szCs w:val="12"/>
                <w:color w:val="auto"/>
              </w:rPr>
            </w:pPr>
          </w:p>
        </w:tc>
        <w:tc>
          <w:tcPr>
            <w:tcW w:w="7220" w:type="dxa"/>
            <w:vAlign w:val="bottom"/>
            <w:tcBorders>
              <w:bottom w:val="single" w:sz="8" w:color="B2B2B2"/>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30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Resignation</w:t>
            </w:r>
          </w:p>
        </w:tc>
        <w:tc>
          <w:tcPr>
            <w:tcW w:w="722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Vested units are paid out; unvested units are forfeited.</w:t>
            </w:r>
          </w:p>
        </w:tc>
        <w:tc>
          <w:tcPr>
            <w:tcW w:w="0" w:type="dxa"/>
            <w:vAlign w:val="bottom"/>
          </w:tcPr>
          <w:p>
            <w:pPr>
              <w:spacing w:after="0"/>
              <w:rPr>
                <w:sz w:val="1"/>
                <w:szCs w:val="1"/>
                <w:color w:val="auto"/>
              </w:rPr>
            </w:pPr>
          </w:p>
        </w:tc>
      </w:tr>
      <w:tr>
        <w:trPr>
          <w:trHeight w:val="191"/>
        </w:trPr>
        <w:tc>
          <w:tcPr>
            <w:tcW w:w="2300" w:type="dxa"/>
            <w:vAlign w:val="bottom"/>
            <w:tcBorders>
              <w:right w:val="single" w:sz="8" w:color="237CC1"/>
            </w:tcBorders>
          </w:tcPr>
          <w:p>
            <w:pPr>
              <w:ind w:left="20"/>
              <w:spacing w:after="0"/>
              <w:rPr>
                <w:sz w:val="20"/>
                <w:szCs w:val="20"/>
                <w:color w:val="auto"/>
              </w:rPr>
            </w:pPr>
            <w:r>
              <w:rPr>
                <w:rFonts w:ascii="Arial" w:cs="Arial" w:eastAsia="Arial" w:hAnsi="Arial"/>
                <w:sz w:val="14"/>
                <w:szCs w:val="14"/>
                <w:color w:val="auto"/>
              </w:rPr>
              <w:t>Termination without cause</w:t>
            </w:r>
          </w:p>
        </w:tc>
        <w:tc>
          <w:tcPr>
            <w:tcW w:w="7220" w:type="dxa"/>
            <w:vAlign w:val="bottom"/>
          </w:tcPr>
          <w:p>
            <w:pPr>
              <w:ind w:left="140"/>
              <w:spacing w:after="0"/>
              <w:rPr>
                <w:sz w:val="20"/>
                <w:szCs w:val="20"/>
                <w:color w:val="auto"/>
              </w:rPr>
            </w:pPr>
            <w:r>
              <w:rPr>
                <w:rFonts w:ascii="Arial" w:cs="Arial" w:eastAsia="Arial" w:hAnsi="Arial"/>
                <w:sz w:val="14"/>
                <w:szCs w:val="14"/>
                <w:color w:val="auto"/>
              </w:rPr>
              <w:t>Vested units are paid out.</w:t>
            </w:r>
          </w:p>
        </w:tc>
        <w:tc>
          <w:tcPr>
            <w:tcW w:w="0" w:type="dxa"/>
            <w:vAlign w:val="bottom"/>
          </w:tcPr>
          <w:p>
            <w:pPr>
              <w:spacing w:after="0"/>
              <w:rPr>
                <w:sz w:val="1"/>
                <w:szCs w:val="1"/>
                <w:color w:val="auto"/>
              </w:rPr>
            </w:pPr>
          </w:p>
        </w:tc>
      </w:tr>
      <w:tr>
        <w:trPr>
          <w:trHeight w:val="242"/>
        </w:trPr>
        <w:tc>
          <w:tcPr>
            <w:tcW w:w="2300" w:type="dxa"/>
            <w:vAlign w:val="bottom"/>
            <w:tcBorders>
              <w:right w:val="single" w:sz="8" w:color="237CC1"/>
            </w:tcBorders>
          </w:tcPr>
          <w:p>
            <w:pPr>
              <w:spacing w:after="0"/>
              <w:rPr>
                <w:sz w:val="21"/>
                <w:szCs w:val="21"/>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Unvested units are forfeited, however the original grant value is generally paid out on a pro rata basis.</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B2B2B2"/>
              <w:right w:val="single" w:sz="8" w:color="237CC1"/>
            </w:tcBorders>
          </w:tcPr>
          <w:p>
            <w:pPr>
              <w:spacing w:after="0"/>
              <w:rPr>
                <w:sz w:val="12"/>
                <w:szCs w:val="12"/>
                <w:color w:val="auto"/>
              </w:rPr>
            </w:pPr>
          </w:p>
        </w:tc>
        <w:tc>
          <w:tcPr>
            <w:tcW w:w="7220" w:type="dxa"/>
            <w:vAlign w:val="bottom"/>
            <w:tcBorders>
              <w:bottom w:val="single" w:sz="8" w:color="B2B2B2"/>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30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Termination with cause</w:t>
            </w:r>
          </w:p>
        </w:tc>
        <w:tc>
          <w:tcPr>
            <w:tcW w:w="722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Vested units are paid out, unvested units are forfeited.</w:t>
            </w:r>
          </w:p>
        </w:tc>
        <w:tc>
          <w:tcPr>
            <w:tcW w:w="0" w:type="dxa"/>
            <w:vAlign w:val="bottom"/>
          </w:tcPr>
          <w:p>
            <w:pPr>
              <w:spacing w:after="0"/>
              <w:rPr>
                <w:sz w:val="1"/>
                <w:szCs w:val="1"/>
                <w:color w:val="auto"/>
              </w:rPr>
            </w:pPr>
          </w:p>
        </w:tc>
      </w:tr>
      <w:tr>
        <w:trPr>
          <w:trHeight w:val="149"/>
        </w:trPr>
        <w:tc>
          <w:tcPr>
            <w:tcW w:w="2300" w:type="dxa"/>
            <w:vAlign w:val="bottom"/>
            <w:tcBorders>
              <w:right w:val="single" w:sz="8" w:color="237CC1"/>
            </w:tcBorders>
          </w:tcPr>
          <w:p>
            <w:pPr>
              <w:ind w:left="20"/>
              <w:spacing w:after="0" w:line="149" w:lineRule="exact"/>
              <w:rPr>
                <w:sz w:val="20"/>
                <w:szCs w:val="20"/>
                <w:color w:val="auto"/>
              </w:rPr>
            </w:pPr>
            <w:r>
              <w:rPr>
                <w:rFonts w:ascii="Arial" w:cs="Arial" w:eastAsia="Arial" w:hAnsi="Arial"/>
                <w:sz w:val="14"/>
                <w:szCs w:val="14"/>
                <w:color w:val="auto"/>
              </w:rPr>
              <w:t>Retirement</w:t>
            </w:r>
          </w:p>
        </w:tc>
        <w:tc>
          <w:tcPr>
            <w:tcW w:w="7220" w:type="dxa"/>
            <w:vAlign w:val="bottom"/>
          </w:tcPr>
          <w:p>
            <w:pPr>
              <w:ind w:left="140"/>
              <w:spacing w:after="0" w:line="149" w:lineRule="exact"/>
              <w:rPr>
                <w:sz w:val="20"/>
                <w:szCs w:val="20"/>
                <w:color w:val="auto"/>
              </w:rPr>
            </w:pPr>
            <w:r>
              <w:rPr>
                <w:rFonts w:ascii="Arial" w:cs="Arial" w:eastAsia="Arial" w:hAnsi="Arial"/>
                <w:sz w:val="14"/>
                <w:szCs w:val="14"/>
                <w:color w:val="auto"/>
              </w:rPr>
              <w:t>Vested units are paid out. Unvested units continue to vest and the value is assessed at the end of the term. The</w:t>
            </w:r>
          </w:p>
        </w:tc>
        <w:tc>
          <w:tcPr>
            <w:tcW w:w="0" w:type="dxa"/>
            <w:vAlign w:val="bottom"/>
          </w:tcPr>
          <w:p>
            <w:pPr>
              <w:spacing w:after="0"/>
              <w:rPr>
                <w:sz w:val="1"/>
                <w:szCs w:val="1"/>
                <w:color w:val="auto"/>
              </w:rPr>
            </w:pPr>
          </w:p>
        </w:tc>
      </w:tr>
      <w:tr>
        <w:trPr>
          <w:trHeight w:val="190"/>
        </w:trPr>
        <w:tc>
          <w:tcPr>
            <w:tcW w:w="2300" w:type="dxa"/>
            <w:vAlign w:val="bottom"/>
            <w:tcBorders>
              <w:right w:val="single" w:sz="8" w:color="237CC1"/>
            </w:tcBorders>
          </w:tcPr>
          <w:p>
            <w:pPr>
              <w:spacing w:after="0"/>
              <w:rPr>
                <w:sz w:val="16"/>
                <w:szCs w:val="16"/>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award is generally pro-rated for the period of employment up to the retirement date.</w:t>
            </w:r>
          </w:p>
        </w:tc>
        <w:tc>
          <w:tcPr>
            <w:tcW w:w="0" w:type="dxa"/>
            <w:vAlign w:val="bottom"/>
          </w:tcPr>
          <w:p>
            <w:pPr>
              <w:spacing w:after="0"/>
              <w:rPr>
                <w:sz w:val="1"/>
                <w:szCs w:val="1"/>
                <w:color w:val="auto"/>
              </w:rPr>
            </w:pPr>
          </w:p>
        </w:tc>
      </w:tr>
      <w:tr>
        <w:trPr>
          <w:trHeight w:val="169"/>
        </w:trPr>
        <w:tc>
          <w:tcPr>
            <w:tcW w:w="2300" w:type="dxa"/>
            <w:vAlign w:val="bottom"/>
            <w:tcBorders>
              <w:bottom w:val="single" w:sz="8" w:color="B2B2B2"/>
              <w:right w:val="single" w:sz="8" w:color="237CC1"/>
            </w:tcBorders>
          </w:tcPr>
          <w:p>
            <w:pPr>
              <w:spacing w:after="0"/>
              <w:rPr>
                <w:sz w:val="14"/>
                <w:szCs w:val="14"/>
                <w:color w:val="auto"/>
              </w:rPr>
            </w:pPr>
          </w:p>
        </w:tc>
        <w:tc>
          <w:tcPr>
            <w:tcW w:w="7220" w:type="dxa"/>
            <w:vAlign w:val="bottom"/>
            <w:tcBorders>
              <w:bottom w:val="single" w:sz="8" w:color="B2B2B2"/>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300" w:type="dxa"/>
            <w:vAlign w:val="bottom"/>
            <w:tcBorders>
              <w:right w:val="single" w:sz="8" w:color="237CC1"/>
            </w:tcBorders>
          </w:tcPr>
          <w:p>
            <w:pPr>
              <w:ind w:left="20"/>
              <w:spacing w:after="0"/>
              <w:rPr>
                <w:sz w:val="20"/>
                <w:szCs w:val="20"/>
                <w:color w:val="auto"/>
              </w:rPr>
            </w:pPr>
            <w:r>
              <w:rPr>
                <w:rFonts w:ascii="Arial" w:cs="Arial" w:eastAsia="Arial" w:hAnsi="Arial"/>
                <w:sz w:val="14"/>
                <w:szCs w:val="14"/>
                <w:color w:val="auto"/>
              </w:rPr>
              <w:t>Death</w:t>
            </w:r>
          </w:p>
        </w:tc>
        <w:tc>
          <w:tcPr>
            <w:tcW w:w="7220" w:type="dxa"/>
            <w:vAlign w:val="bottom"/>
          </w:tcPr>
          <w:p>
            <w:pPr>
              <w:ind w:left="140"/>
              <w:spacing w:after="0"/>
              <w:rPr>
                <w:sz w:val="20"/>
                <w:szCs w:val="20"/>
                <w:color w:val="auto"/>
              </w:rPr>
            </w:pPr>
            <w:r>
              <w:rPr>
                <w:rFonts w:ascii="Arial" w:cs="Arial" w:eastAsia="Arial" w:hAnsi="Arial"/>
                <w:sz w:val="14"/>
                <w:szCs w:val="14"/>
                <w:color w:val="auto"/>
              </w:rPr>
              <w:t>Vested units are paid out.</w:t>
            </w:r>
          </w:p>
        </w:tc>
        <w:tc>
          <w:tcPr>
            <w:tcW w:w="0" w:type="dxa"/>
            <w:vAlign w:val="bottom"/>
          </w:tcPr>
          <w:p>
            <w:pPr>
              <w:spacing w:after="0"/>
              <w:rPr>
                <w:sz w:val="1"/>
                <w:szCs w:val="1"/>
                <w:color w:val="auto"/>
              </w:rPr>
            </w:pPr>
          </w:p>
        </w:tc>
      </w:tr>
      <w:tr>
        <w:trPr>
          <w:trHeight w:val="242"/>
        </w:trPr>
        <w:tc>
          <w:tcPr>
            <w:tcW w:w="2300" w:type="dxa"/>
            <w:vAlign w:val="bottom"/>
            <w:tcBorders>
              <w:right w:val="single" w:sz="8" w:color="237CC1"/>
            </w:tcBorders>
          </w:tcPr>
          <w:p>
            <w:pPr>
              <w:spacing w:after="0"/>
              <w:rPr>
                <w:sz w:val="21"/>
                <w:szCs w:val="21"/>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Unvested units are forfeited, however, the original grant value is generally paid out on a pro rata basis.</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B2B2B2"/>
              <w:right w:val="single" w:sz="8" w:color="237CC1"/>
            </w:tcBorders>
          </w:tcPr>
          <w:p>
            <w:pPr>
              <w:spacing w:after="0"/>
              <w:rPr>
                <w:sz w:val="12"/>
                <w:szCs w:val="12"/>
                <w:color w:val="auto"/>
              </w:rPr>
            </w:pPr>
          </w:p>
        </w:tc>
        <w:tc>
          <w:tcPr>
            <w:tcW w:w="7220" w:type="dxa"/>
            <w:vAlign w:val="bottom"/>
            <w:tcBorders>
              <w:bottom w:val="single" w:sz="8" w:color="B2B2B2"/>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tcBorders>
              <w:right w:val="single" w:sz="8" w:color="237CC1"/>
            </w:tcBorders>
          </w:tcPr>
          <w:p>
            <w:pPr>
              <w:ind w:left="20"/>
              <w:spacing w:after="0" w:line="145" w:lineRule="exact"/>
              <w:rPr>
                <w:sz w:val="20"/>
                <w:szCs w:val="20"/>
                <w:color w:val="auto"/>
              </w:rPr>
            </w:pPr>
            <w:r>
              <w:rPr>
                <w:rFonts w:ascii="Arial" w:cs="Arial" w:eastAsia="Arial" w:hAnsi="Arial"/>
                <w:sz w:val="14"/>
                <w:szCs w:val="14"/>
                <w:color w:val="auto"/>
              </w:rPr>
              <w:t>Resignation</w:t>
            </w:r>
          </w:p>
        </w:tc>
        <w:tc>
          <w:tcPr>
            <w:tcW w:w="7220" w:type="dxa"/>
            <w:vAlign w:val="bottom"/>
          </w:tcPr>
          <w:p>
            <w:pPr>
              <w:ind w:left="140"/>
              <w:spacing w:after="0" w:line="145" w:lineRule="exact"/>
              <w:rPr>
                <w:sz w:val="20"/>
                <w:szCs w:val="20"/>
                <w:color w:val="auto"/>
              </w:rPr>
            </w:pPr>
            <w:r>
              <w:rPr>
                <w:rFonts w:ascii="Arial" w:cs="Arial" w:eastAsia="Arial" w:hAnsi="Arial"/>
                <w:sz w:val="14"/>
                <w:szCs w:val="14"/>
                <w:color w:val="auto"/>
              </w:rPr>
              <w:t>Vested Stock Options must be exercised by their expiry date or six months from the separation date (whichever</w:t>
            </w:r>
          </w:p>
        </w:tc>
        <w:tc>
          <w:tcPr>
            <w:tcW w:w="0" w:type="dxa"/>
            <w:vAlign w:val="bottom"/>
          </w:tcPr>
          <w:p>
            <w:pPr>
              <w:spacing w:after="0"/>
              <w:rPr>
                <w:sz w:val="1"/>
                <w:szCs w:val="1"/>
                <w:color w:val="auto"/>
              </w:rPr>
            </w:pPr>
          </w:p>
        </w:tc>
      </w:tr>
      <w:tr>
        <w:trPr>
          <w:trHeight w:val="190"/>
        </w:trPr>
        <w:tc>
          <w:tcPr>
            <w:tcW w:w="2300" w:type="dxa"/>
            <w:vAlign w:val="bottom"/>
            <w:tcBorders>
              <w:right w:val="single" w:sz="8" w:color="237CC1"/>
            </w:tcBorders>
          </w:tcPr>
          <w:p>
            <w:pPr>
              <w:spacing w:after="0"/>
              <w:rPr>
                <w:sz w:val="16"/>
                <w:szCs w:val="16"/>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is earlier).</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B2B2B2"/>
              <w:right w:val="single" w:sz="8" w:color="237CC1"/>
            </w:tcBorders>
          </w:tcPr>
          <w:p>
            <w:pPr>
              <w:spacing w:after="0"/>
              <w:rPr>
                <w:sz w:val="20"/>
                <w:szCs w:val="20"/>
                <w:color w:val="auto"/>
              </w:rPr>
            </w:pPr>
          </w:p>
        </w:tc>
        <w:tc>
          <w:tcPr>
            <w:tcW w:w="722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No Stock Options vest after the last day of employment.</w:t>
            </w:r>
          </w:p>
        </w:tc>
        <w:tc>
          <w:tcPr>
            <w:tcW w:w="0" w:type="dxa"/>
            <w:vAlign w:val="bottom"/>
          </w:tcPr>
          <w:p>
            <w:pPr>
              <w:spacing w:after="0"/>
              <w:rPr>
                <w:sz w:val="1"/>
                <w:szCs w:val="1"/>
                <w:color w:val="auto"/>
              </w:rPr>
            </w:pPr>
          </w:p>
        </w:tc>
      </w:tr>
      <w:tr>
        <w:trPr>
          <w:trHeight w:val="145"/>
        </w:trPr>
        <w:tc>
          <w:tcPr>
            <w:tcW w:w="2300" w:type="dxa"/>
            <w:vAlign w:val="bottom"/>
            <w:tcBorders>
              <w:right w:val="single" w:sz="8" w:color="237CC1"/>
            </w:tcBorders>
          </w:tcPr>
          <w:p>
            <w:pPr>
              <w:ind w:left="20"/>
              <w:spacing w:after="0" w:line="145" w:lineRule="exact"/>
              <w:rPr>
                <w:sz w:val="20"/>
                <w:szCs w:val="20"/>
                <w:color w:val="auto"/>
              </w:rPr>
            </w:pPr>
            <w:r>
              <w:rPr>
                <w:rFonts w:ascii="Arial" w:cs="Arial" w:eastAsia="Arial" w:hAnsi="Arial"/>
                <w:sz w:val="14"/>
                <w:szCs w:val="14"/>
                <w:color w:val="auto"/>
              </w:rPr>
              <w:t>Termination without cause</w:t>
            </w:r>
          </w:p>
        </w:tc>
        <w:tc>
          <w:tcPr>
            <w:tcW w:w="7220" w:type="dxa"/>
            <w:vAlign w:val="bottom"/>
          </w:tcPr>
          <w:p>
            <w:pPr>
              <w:ind w:left="140"/>
              <w:spacing w:after="0" w:line="145" w:lineRule="exact"/>
              <w:rPr>
                <w:sz w:val="20"/>
                <w:szCs w:val="20"/>
                <w:color w:val="auto"/>
              </w:rPr>
            </w:pPr>
            <w:r>
              <w:rPr>
                <w:rFonts w:ascii="Arial" w:cs="Arial" w:eastAsia="Arial" w:hAnsi="Arial"/>
                <w:sz w:val="14"/>
                <w:szCs w:val="14"/>
                <w:color w:val="auto"/>
              </w:rPr>
              <w:t>Vested Stock Options must be exercised by the earlier of i) their expiry date or ii) the later of a) the end of the</w:t>
            </w:r>
          </w:p>
        </w:tc>
        <w:tc>
          <w:tcPr>
            <w:tcW w:w="0" w:type="dxa"/>
            <w:vAlign w:val="bottom"/>
          </w:tcPr>
          <w:p>
            <w:pPr>
              <w:spacing w:after="0"/>
              <w:rPr>
                <w:sz w:val="1"/>
                <w:szCs w:val="1"/>
                <w:color w:val="auto"/>
              </w:rPr>
            </w:pPr>
          </w:p>
        </w:tc>
      </w:tr>
      <w:tr>
        <w:trPr>
          <w:trHeight w:val="190"/>
        </w:trPr>
        <w:tc>
          <w:tcPr>
            <w:tcW w:w="2300" w:type="dxa"/>
            <w:vAlign w:val="bottom"/>
            <w:tcBorders>
              <w:right w:val="single" w:sz="8" w:color="237CC1"/>
            </w:tcBorders>
          </w:tcPr>
          <w:p>
            <w:pPr>
              <w:spacing w:after="0"/>
              <w:rPr>
                <w:sz w:val="16"/>
                <w:szCs w:val="16"/>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notice period, and b) six months following the separation date.</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B2B2B2"/>
              <w:right w:val="single" w:sz="8" w:color="237CC1"/>
            </w:tcBorders>
          </w:tcPr>
          <w:p>
            <w:pPr>
              <w:spacing w:after="0"/>
              <w:rPr>
                <w:sz w:val="20"/>
                <w:szCs w:val="20"/>
                <w:color w:val="auto"/>
              </w:rPr>
            </w:pPr>
          </w:p>
        </w:tc>
        <w:tc>
          <w:tcPr>
            <w:tcW w:w="722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No Stock Options vest after the separation date.</w:t>
            </w:r>
          </w:p>
        </w:tc>
        <w:tc>
          <w:tcPr>
            <w:tcW w:w="0" w:type="dxa"/>
            <w:vAlign w:val="bottom"/>
          </w:tcPr>
          <w:p>
            <w:pPr>
              <w:spacing w:after="0"/>
              <w:rPr>
                <w:sz w:val="1"/>
                <w:szCs w:val="1"/>
                <w:color w:val="auto"/>
              </w:rPr>
            </w:pPr>
          </w:p>
        </w:tc>
      </w:tr>
      <w:tr>
        <w:trPr>
          <w:trHeight w:val="145"/>
        </w:trPr>
        <w:tc>
          <w:tcPr>
            <w:tcW w:w="2300" w:type="dxa"/>
            <w:vAlign w:val="bottom"/>
            <w:tcBorders>
              <w:right w:val="single" w:sz="8" w:color="237CC1"/>
            </w:tcBorders>
          </w:tcPr>
          <w:p>
            <w:pPr>
              <w:ind w:left="20"/>
              <w:spacing w:after="0" w:line="145" w:lineRule="exact"/>
              <w:rPr>
                <w:sz w:val="20"/>
                <w:szCs w:val="20"/>
                <w:color w:val="auto"/>
              </w:rPr>
            </w:pPr>
            <w:r>
              <w:rPr>
                <w:rFonts w:ascii="Arial" w:cs="Arial" w:eastAsia="Arial" w:hAnsi="Arial"/>
                <w:sz w:val="14"/>
                <w:szCs w:val="14"/>
                <w:color w:val="auto"/>
              </w:rPr>
              <w:t>Termination with cause</w:t>
            </w:r>
          </w:p>
        </w:tc>
        <w:tc>
          <w:tcPr>
            <w:tcW w:w="7220" w:type="dxa"/>
            <w:vAlign w:val="bottom"/>
          </w:tcPr>
          <w:p>
            <w:pPr>
              <w:ind w:left="140"/>
              <w:spacing w:after="0" w:line="145" w:lineRule="exact"/>
              <w:rPr>
                <w:sz w:val="20"/>
                <w:szCs w:val="20"/>
                <w:color w:val="auto"/>
              </w:rPr>
            </w:pPr>
            <w:r>
              <w:rPr>
                <w:rFonts w:ascii="Arial" w:cs="Arial" w:eastAsia="Arial" w:hAnsi="Arial"/>
                <w:sz w:val="14"/>
                <w:szCs w:val="14"/>
                <w:color w:val="auto"/>
              </w:rPr>
              <w:t>Vested Stock Options must be exercised by their expiry date or six months from the separation date (whichever</w:t>
            </w:r>
          </w:p>
        </w:tc>
        <w:tc>
          <w:tcPr>
            <w:tcW w:w="0" w:type="dxa"/>
            <w:vAlign w:val="bottom"/>
          </w:tcPr>
          <w:p>
            <w:pPr>
              <w:spacing w:after="0"/>
              <w:rPr>
                <w:sz w:val="1"/>
                <w:szCs w:val="1"/>
                <w:color w:val="auto"/>
              </w:rPr>
            </w:pPr>
          </w:p>
        </w:tc>
      </w:tr>
      <w:tr>
        <w:trPr>
          <w:trHeight w:val="190"/>
        </w:trPr>
        <w:tc>
          <w:tcPr>
            <w:tcW w:w="2300" w:type="dxa"/>
            <w:vAlign w:val="bottom"/>
            <w:tcBorders>
              <w:right w:val="single" w:sz="8" w:color="237CC1"/>
            </w:tcBorders>
          </w:tcPr>
          <w:p>
            <w:pPr>
              <w:spacing w:after="0"/>
              <w:rPr>
                <w:sz w:val="16"/>
                <w:szCs w:val="16"/>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is earlier).</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B2B2B2"/>
              <w:right w:val="single" w:sz="8" w:color="237CC1"/>
            </w:tcBorders>
          </w:tcPr>
          <w:p>
            <w:pPr>
              <w:spacing w:after="0"/>
              <w:rPr>
                <w:sz w:val="20"/>
                <w:szCs w:val="20"/>
                <w:color w:val="auto"/>
              </w:rPr>
            </w:pPr>
          </w:p>
        </w:tc>
        <w:tc>
          <w:tcPr>
            <w:tcW w:w="722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No Stock Options vest after the last day of employment.</w:t>
            </w:r>
          </w:p>
        </w:tc>
        <w:tc>
          <w:tcPr>
            <w:tcW w:w="0" w:type="dxa"/>
            <w:vAlign w:val="bottom"/>
          </w:tcPr>
          <w:p>
            <w:pPr>
              <w:spacing w:after="0"/>
              <w:rPr>
                <w:sz w:val="1"/>
                <w:szCs w:val="1"/>
                <w:color w:val="auto"/>
              </w:rPr>
            </w:pPr>
          </w:p>
        </w:tc>
      </w:tr>
      <w:tr>
        <w:trPr>
          <w:trHeight w:val="145"/>
        </w:trPr>
        <w:tc>
          <w:tcPr>
            <w:tcW w:w="2300" w:type="dxa"/>
            <w:vAlign w:val="bottom"/>
            <w:tcBorders>
              <w:right w:val="single" w:sz="8" w:color="237CC1"/>
            </w:tcBorders>
          </w:tcPr>
          <w:p>
            <w:pPr>
              <w:ind w:left="20"/>
              <w:spacing w:after="0" w:line="145" w:lineRule="exact"/>
              <w:rPr>
                <w:sz w:val="20"/>
                <w:szCs w:val="20"/>
                <w:color w:val="auto"/>
              </w:rPr>
            </w:pPr>
            <w:r>
              <w:rPr>
                <w:rFonts w:ascii="Arial" w:cs="Arial" w:eastAsia="Arial" w:hAnsi="Arial"/>
                <w:sz w:val="14"/>
                <w:szCs w:val="14"/>
                <w:color w:val="auto"/>
              </w:rPr>
              <w:t>Retirement</w:t>
            </w:r>
          </w:p>
        </w:tc>
        <w:tc>
          <w:tcPr>
            <w:tcW w:w="7220" w:type="dxa"/>
            <w:vAlign w:val="bottom"/>
          </w:tcPr>
          <w:p>
            <w:pPr>
              <w:ind w:left="140"/>
              <w:spacing w:after="0" w:line="145" w:lineRule="exact"/>
              <w:rPr>
                <w:sz w:val="20"/>
                <w:szCs w:val="20"/>
                <w:color w:val="auto"/>
              </w:rPr>
            </w:pPr>
            <w:r>
              <w:rPr>
                <w:rFonts w:ascii="Arial" w:cs="Arial" w:eastAsia="Arial" w:hAnsi="Arial"/>
                <w:sz w:val="14"/>
                <w:szCs w:val="14"/>
                <w:color w:val="auto"/>
              </w:rPr>
              <w:t>Outstanding Stock Options continue to vest and must be exercised by their expiry date or three years from the</w:t>
            </w:r>
          </w:p>
        </w:tc>
        <w:tc>
          <w:tcPr>
            <w:tcW w:w="0" w:type="dxa"/>
            <w:vAlign w:val="bottom"/>
          </w:tcPr>
          <w:p>
            <w:pPr>
              <w:spacing w:after="0"/>
              <w:rPr>
                <w:sz w:val="1"/>
                <w:szCs w:val="1"/>
                <w:color w:val="auto"/>
              </w:rPr>
            </w:pPr>
          </w:p>
        </w:tc>
      </w:tr>
      <w:tr>
        <w:trPr>
          <w:trHeight w:val="148"/>
        </w:trPr>
        <w:tc>
          <w:tcPr>
            <w:tcW w:w="2300" w:type="dxa"/>
            <w:vAlign w:val="bottom"/>
            <w:tcBorders>
              <w:right w:val="single" w:sz="8" w:color="237CC1"/>
            </w:tcBorders>
          </w:tcPr>
          <w:p>
            <w:pPr>
              <w:spacing w:after="0"/>
              <w:rPr>
                <w:sz w:val="12"/>
                <w:szCs w:val="12"/>
                <w:color w:val="auto"/>
              </w:rPr>
            </w:pPr>
          </w:p>
        </w:tc>
        <w:tc>
          <w:tcPr>
            <w:tcW w:w="7220" w:type="dxa"/>
            <w:vAlign w:val="bottom"/>
          </w:tcPr>
          <w:p>
            <w:pPr>
              <w:ind w:left="140"/>
              <w:spacing w:after="0" w:line="148" w:lineRule="exact"/>
              <w:rPr>
                <w:sz w:val="20"/>
                <w:szCs w:val="20"/>
                <w:color w:val="auto"/>
              </w:rPr>
            </w:pPr>
            <w:r>
              <w:rPr>
                <w:rFonts w:ascii="Arial" w:cs="Arial" w:eastAsia="Arial" w:hAnsi="Arial"/>
                <w:sz w:val="14"/>
                <w:szCs w:val="14"/>
                <w:color w:val="auto"/>
              </w:rPr>
              <w:t>separation date (whichever is earlier). If there is less than six months between the vesting date and the expiry</w:t>
            </w:r>
          </w:p>
        </w:tc>
        <w:tc>
          <w:tcPr>
            <w:tcW w:w="0" w:type="dxa"/>
            <w:vAlign w:val="bottom"/>
          </w:tcPr>
          <w:p>
            <w:pPr>
              <w:spacing w:after="0"/>
              <w:rPr>
                <w:sz w:val="1"/>
                <w:szCs w:val="1"/>
                <w:color w:val="auto"/>
              </w:rPr>
            </w:pPr>
          </w:p>
        </w:tc>
      </w:tr>
      <w:tr>
        <w:trPr>
          <w:trHeight w:val="190"/>
        </w:trPr>
        <w:tc>
          <w:tcPr>
            <w:tcW w:w="2300" w:type="dxa"/>
            <w:vAlign w:val="bottom"/>
            <w:tcBorders>
              <w:right w:val="single" w:sz="8" w:color="237CC1"/>
            </w:tcBorders>
          </w:tcPr>
          <w:p>
            <w:pPr>
              <w:spacing w:after="0"/>
              <w:rPr>
                <w:sz w:val="16"/>
                <w:szCs w:val="16"/>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date, the expiry date is extended for six months from the final vesting date of the Stock Options.</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B2B2B2"/>
              <w:right w:val="single" w:sz="8" w:color="237CC1"/>
            </w:tcBorders>
          </w:tcPr>
          <w:p>
            <w:pPr>
              <w:spacing w:after="0"/>
              <w:rPr>
                <w:sz w:val="12"/>
                <w:szCs w:val="12"/>
                <w:color w:val="auto"/>
              </w:rPr>
            </w:pPr>
          </w:p>
        </w:tc>
        <w:tc>
          <w:tcPr>
            <w:tcW w:w="7220" w:type="dxa"/>
            <w:vAlign w:val="bottom"/>
            <w:tcBorders>
              <w:bottom w:val="single" w:sz="8" w:color="B2B2B2"/>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tcBorders>
              <w:right w:val="single" w:sz="8" w:color="237CC1"/>
            </w:tcBorders>
          </w:tcPr>
          <w:p>
            <w:pPr>
              <w:ind w:left="20"/>
              <w:spacing w:after="0" w:line="145" w:lineRule="exact"/>
              <w:rPr>
                <w:sz w:val="20"/>
                <w:szCs w:val="20"/>
                <w:color w:val="auto"/>
              </w:rPr>
            </w:pPr>
            <w:r>
              <w:rPr>
                <w:rFonts w:ascii="Arial" w:cs="Arial" w:eastAsia="Arial" w:hAnsi="Arial"/>
                <w:sz w:val="14"/>
                <w:szCs w:val="14"/>
                <w:color w:val="auto"/>
              </w:rPr>
              <w:t>Death</w:t>
            </w:r>
          </w:p>
        </w:tc>
        <w:tc>
          <w:tcPr>
            <w:tcW w:w="7220" w:type="dxa"/>
            <w:vAlign w:val="bottom"/>
          </w:tcPr>
          <w:p>
            <w:pPr>
              <w:ind w:left="140"/>
              <w:spacing w:after="0" w:line="145" w:lineRule="exact"/>
              <w:rPr>
                <w:sz w:val="20"/>
                <w:szCs w:val="20"/>
                <w:color w:val="auto"/>
              </w:rPr>
            </w:pPr>
            <w:r>
              <w:rPr>
                <w:rFonts w:ascii="Arial" w:cs="Arial" w:eastAsia="Arial" w:hAnsi="Arial"/>
                <w:sz w:val="14"/>
                <w:szCs w:val="14"/>
                <w:color w:val="auto"/>
              </w:rPr>
              <w:t>Outstanding Stock Options vest immediately and must be exercised by their expiry date or the first anniversary</w:t>
            </w:r>
          </w:p>
        </w:tc>
        <w:tc>
          <w:tcPr>
            <w:tcW w:w="0" w:type="dxa"/>
            <w:vAlign w:val="bottom"/>
          </w:tcPr>
          <w:p>
            <w:pPr>
              <w:spacing w:after="0"/>
              <w:rPr>
                <w:sz w:val="1"/>
                <w:szCs w:val="1"/>
                <w:color w:val="auto"/>
              </w:rPr>
            </w:pPr>
          </w:p>
        </w:tc>
      </w:tr>
      <w:tr>
        <w:trPr>
          <w:trHeight w:val="190"/>
        </w:trPr>
        <w:tc>
          <w:tcPr>
            <w:tcW w:w="2300" w:type="dxa"/>
            <w:vAlign w:val="bottom"/>
            <w:tcBorders>
              <w:right w:val="single" w:sz="8" w:color="237CC1"/>
            </w:tcBorders>
          </w:tcPr>
          <w:p>
            <w:pPr>
              <w:spacing w:after="0"/>
              <w:rPr>
                <w:sz w:val="16"/>
                <w:szCs w:val="16"/>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auto"/>
              </w:rPr>
              <w:t>of death (whichever is earlier).</w:t>
            </w:r>
          </w:p>
        </w:tc>
        <w:tc>
          <w:tcPr>
            <w:tcW w:w="0" w:type="dxa"/>
            <w:vAlign w:val="bottom"/>
          </w:tcPr>
          <w:p>
            <w:pPr>
              <w:spacing w:after="0"/>
              <w:rPr>
                <w:sz w:val="1"/>
                <w:szCs w:val="1"/>
                <w:color w:val="auto"/>
              </w:rPr>
            </w:pPr>
          </w:p>
        </w:tc>
      </w:tr>
      <w:tr>
        <w:trPr>
          <w:trHeight w:val="21"/>
        </w:trPr>
        <w:tc>
          <w:tcPr>
            <w:tcW w:w="2300" w:type="dxa"/>
            <w:vAlign w:val="bottom"/>
            <w:tcBorders>
              <w:right w:val="single" w:sz="8" w:color="237CC1"/>
            </w:tcBorders>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-7620</wp:posOffset>
            </wp:positionV>
            <wp:extent cx="71329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20" w:space="300"/>
            <w:col w:w="9520"/>
          </w:cols>
          <w:pgMar w:left="320" w:top="10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52" w:right="339" w:bottom="1440" w:gutter="0" w:footer="0" w:header="0"/>
          <w:type w:val="continuous"/>
        </w:sectPr>
      </w:pPr>
    </w:p>
    <w:bookmarkStart w:id="128" w:name="page129"/>
    <w:bookmarkEnd w:id="128"/>
    <w:p>
      <w:pPr>
        <w:spacing w:after="0" w:line="128" w:lineRule="exact"/>
        <w:rPr>
          <w:sz w:val="20"/>
          <w:szCs w:val="20"/>
          <w:color w:val="auto"/>
        </w:rPr>
      </w:pPr>
    </w:p>
    <w:p>
      <w:pPr>
        <w:ind w:left="20" w:right="40"/>
        <w:spacing w:after="0" w:line="271" w:lineRule="auto"/>
        <w:rPr>
          <w:sz w:val="20"/>
          <w:szCs w:val="20"/>
          <w:color w:val="auto"/>
        </w:rPr>
      </w:pPr>
      <w:r>
        <w:rPr>
          <w:rFonts w:ascii="Arial" w:cs="Arial" w:eastAsia="Arial" w:hAnsi="Arial"/>
          <w:sz w:val="14"/>
          <w:szCs w:val="14"/>
          <w:b w:val="1"/>
          <w:bCs w:val="1"/>
          <w:color w:val="auto"/>
        </w:rPr>
        <w:t>Canadian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Non-Qualified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Perquisites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2040" w:type="dxa"/>
            <w:vAlign w:val="bottom"/>
            <w:tcBorders>
              <w:right w:val="single" w:sz="8" w:color="237CC1"/>
            </w:tcBorders>
          </w:tcPr>
          <w:p>
            <w:pPr>
              <w:ind w:left="20"/>
              <w:spacing w:after="0"/>
              <w:rPr>
                <w:sz w:val="20"/>
                <w:szCs w:val="20"/>
                <w:color w:val="auto"/>
              </w:rPr>
            </w:pPr>
            <w:r>
              <w:rPr>
                <w:rFonts w:ascii="Arial" w:cs="Arial" w:eastAsia="Arial" w:hAnsi="Arial"/>
                <w:sz w:val="14"/>
                <w:szCs w:val="14"/>
                <w:color w:val="auto"/>
              </w:rPr>
              <w:t>Resignation</w:t>
            </w:r>
          </w:p>
        </w:tc>
        <w:tc>
          <w:tcPr>
            <w:tcW w:w="6400" w:type="dxa"/>
            <w:vAlign w:val="bottom"/>
          </w:tcPr>
          <w:p>
            <w:pPr>
              <w:ind w:left="100"/>
              <w:spacing w:after="0"/>
              <w:rPr>
                <w:sz w:val="20"/>
                <w:szCs w:val="20"/>
                <w:color w:val="auto"/>
              </w:rPr>
            </w:pPr>
            <w:r>
              <w:rPr>
                <w:rFonts w:ascii="Arial" w:cs="Arial" w:eastAsia="Arial" w:hAnsi="Arial"/>
                <w:sz w:val="14"/>
                <w:szCs w:val="14"/>
                <w:color w:val="auto"/>
              </w:rPr>
              <w:t>Paid as a commuted value or monthly benefit according to the applicable DB Plan and</w:t>
            </w:r>
          </w:p>
        </w:tc>
        <w:tc>
          <w:tcPr>
            <w:tcW w:w="0" w:type="dxa"/>
            <w:vAlign w:val="bottom"/>
          </w:tcPr>
          <w:p>
            <w:pPr>
              <w:spacing w:after="0"/>
              <w:rPr>
                <w:sz w:val="1"/>
                <w:szCs w:val="1"/>
                <w:color w:val="auto"/>
              </w:rPr>
            </w:pPr>
          </w:p>
        </w:tc>
      </w:tr>
      <w:tr>
        <w:trPr>
          <w:trHeight w:val="50"/>
        </w:trPr>
        <w:tc>
          <w:tcPr>
            <w:tcW w:w="2040" w:type="dxa"/>
            <w:vAlign w:val="bottom"/>
            <w:tcBorders>
              <w:bottom w:val="single" w:sz="8" w:color="B2B2B2"/>
              <w:right w:val="single" w:sz="8" w:color="237CC1"/>
            </w:tcBorders>
          </w:tcPr>
          <w:p>
            <w:pPr>
              <w:spacing w:after="0"/>
              <w:rPr>
                <w:sz w:val="4"/>
                <w:szCs w:val="4"/>
                <w:color w:val="auto"/>
              </w:rPr>
            </w:pPr>
          </w:p>
        </w:tc>
        <w:tc>
          <w:tcPr>
            <w:tcW w:w="6400" w:type="dxa"/>
            <w:vAlign w:val="bottom"/>
            <w:vMerge w:val="restart"/>
          </w:tcPr>
          <w:p>
            <w:pPr>
              <w:ind w:left="100"/>
              <w:spacing w:after="0"/>
              <w:rPr>
                <w:sz w:val="20"/>
                <w:szCs w:val="20"/>
                <w:color w:val="auto"/>
              </w:rPr>
            </w:pPr>
            <w:r>
              <w:rPr>
                <w:rFonts w:ascii="Arial" w:cs="Arial" w:eastAsia="Arial" w:hAnsi="Arial"/>
                <w:sz w:val="14"/>
                <w:szCs w:val="14"/>
                <w:color w:val="auto"/>
              </w:rPr>
              <w:t>Supplemental DB Plan provisions.</w:t>
            </w:r>
          </w:p>
        </w:tc>
        <w:tc>
          <w:tcPr>
            <w:tcW w:w="0" w:type="dxa"/>
            <w:vAlign w:val="bottom"/>
          </w:tcPr>
          <w:p>
            <w:pPr>
              <w:spacing w:after="0"/>
              <w:rPr>
                <w:sz w:val="1"/>
                <w:szCs w:val="1"/>
                <w:color w:val="auto"/>
              </w:rPr>
            </w:pPr>
          </w:p>
        </w:tc>
      </w:tr>
      <w:tr>
        <w:trPr>
          <w:trHeight w:val="120"/>
        </w:trPr>
        <w:tc>
          <w:tcPr>
            <w:tcW w:w="2040" w:type="dxa"/>
            <w:vAlign w:val="bottom"/>
            <w:tcBorders>
              <w:right w:val="single" w:sz="8" w:color="237CC1"/>
            </w:tcBorders>
            <w:vMerge w:val="restart"/>
          </w:tcPr>
          <w:p>
            <w:pPr>
              <w:ind w:left="20"/>
              <w:spacing w:after="0"/>
              <w:rPr>
                <w:sz w:val="20"/>
                <w:szCs w:val="20"/>
                <w:color w:val="auto"/>
              </w:rPr>
            </w:pPr>
            <w:r>
              <w:rPr>
                <w:rFonts w:ascii="Arial" w:cs="Arial" w:eastAsia="Arial" w:hAnsi="Arial"/>
                <w:sz w:val="14"/>
                <w:szCs w:val="14"/>
                <w:color w:val="auto"/>
              </w:rPr>
              <w:t>Termination without cause</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40" w:type="dxa"/>
            <w:vAlign w:val="bottom"/>
            <w:tcBorders>
              <w:bottom w:val="single" w:sz="8" w:color="B2B2B2"/>
              <w:right w:val="single" w:sz="8" w:color="237CC1"/>
            </w:tcBorders>
            <w:vMerge w:val="continue"/>
          </w:tcPr>
          <w:p>
            <w:pPr>
              <w:spacing w:after="0"/>
              <w:rPr>
                <w:sz w:val="6"/>
                <w:szCs w:val="6"/>
                <w:color w:val="auto"/>
              </w:rPr>
            </w:pPr>
          </w:p>
        </w:tc>
        <w:tc>
          <w:tcPr>
            <w:tcW w:w="6400" w:type="dxa"/>
            <w:vAlign w:val="bottom"/>
            <w:vMerge w:val="restart"/>
          </w:tcPr>
          <w:p>
            <w:pPr>
              <w:ind w:left="100"/>
              <w:spacing w:after="0"/>
              <w:rPr>
                <w:sz w:val="20"/>
                <w:szCs w:val="20"/>
                <w:color w:val="auto"/>
              </w:rPr>
            </w:pPr>
            <w:r>
              <w:rPr>
                <w:rFonts w:ascii="Arial" w:cs="Arial" w:eastAsia="Arial" w:hAnsi="Arial"/>
                <w:sz w:val="14"/>
                <w:szCs w:val="14"/>
                <w:color w:val="auto"/>
              </w:rPr>
              <w:t>Annuity purchase or locked-in transfer for the DC Plan and a lump sum payment for the</w:t>
            </w:r>
          </w:p>
        </w:tc>
        <w:tc>
          <w:tcPr>
            <w:tcW w:w="0" w:type="dxa"/>
            <w:vAlign w:val="bottom"/>
          </w:tcPr>
          <w:p>
            <w:pPr>
              <w:spacing w:after="0"/>
              <w:rPr>
                <w:sz w:val="1"/>
                <w:szCs w:val="1"/>
                <w:color w:val="auto"/>
              </w:rPr>
            </w:pPr>
          </w:p>
        </w:tc>
      </w:tr>
      <w:tr>
        <w:trPr>
          <w:trHeight w:val="145"/>
        </w:trPr>
        <w:tc>
          <w:tcPr>
            <w:tcW w:w="2040" w:type="dxa"/>
            <w:vAlign w:val="bottom"/>
            <w:tcBorders>
              <w:right w:val="single" w:sz="8" w:color="237CC1"/>
            </w:tcBorders>
          </w:tcPr>
          <w:p>
            <w:pPr>
              <w:ind w:left="20"/>
              <w:spacing w:after="0" w:line="145" w:lineRule="exact"/>
              <w:rPr>
                <w:sz w:val="20"/>
                <w:szCs w:val="20"/>
                <w:color w:val="auto"/>
              </w:rPr>
            </w:pPr>
            <w:r>
              <w:rPr>
                <w:rFonts w:ascii="Arial" w:cs="Arial" w:eastAsia="Arial" w:hAnsi="Arial"/>
                <w:sz w:val="14"/>
                <w:szCs w:val="14"/>
                <w:color w:val="auto"/>
              </w:rPr>
              <w:t>Termination with cause</w:t>
            </w:r>
          </w:p>
        </w:tc>
        <w:tc>
          <w:tcPr>
            <w:tcW w:w="6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40" w:type="dxa"/>
            <w:vAlign w:val="bottom"/>
            <w:tcBorders>
              <w:bottom w:val="single" w:sz="8" w:color="B2B2B2"/>
              <w:right w:val="single" w:sz="8" w:color="237CC1"/>
            </w:tcBorders>
          </w:tcPr>
          <w:p>
            <w:pPr>
              <w:spacing w:after="0"/>
              <w:rPr>
                <w:sz w:val="4"/>
                <w:szCs w:val="4"/>
                <w:color w:val="auto"/>
              </w:rPr>
            </w:pPr>
          </w:p>
        </w:tc>
        <w:tc>
          <w:tcPr>
            <w:tcW w:w="6400" w:type="dxa"/>
            <w:vAlign w:val="bottom"/>
            <w:vMerge w:val="restart"/>
          </w:tcPr>
          <w:p>
            <w:pPr>
              <w:ind w:left="100"/>
              <w:spacing w:after="0"/>
              <w:rPr>
                <w:sz w:val="20"/>
                <w:szCs w:val="20"/>
                <w:color w:val="auto"/>
              </w:rPr>
            </w:pPr>
            <w:r>
              <w:rPr>
                <w:rFonts w:ascii="Arial" w:cs="Arial" w:eastAsia="Arial" w:hAnsi="Arial"/>
                <w:sz w:val="14"/>
                <w:szCs w:val="14"/>
                <w:color w:val="auto"/>
              </w:rPr>
              <w:t>Supplemental DC Plan.</w:t>
            </w:r>
          </w:p>
        </w:tc>
        <w:tc>
          <w:tcPr>
            <w:tcW w:w="0" w:type="dxa"/>
            <w:vAlign w:val="bottom"/>
          </w:tcPr>
          <w:p>
            <w:pPr>
              <w:spacing w:after="0"/>
              <w:rPr>
                <w:sz w:val="1"/>
                <w:szCs w:val="1"/>
                <w:color w:val="auto"/>
              </w:rPr>
            </w:pPr>
          </w:p>
        </w:tc>
      </w:tr>
      <w:tr>
        <w:trPr>
          <w:trHeight w:val="116"/>
        </w:trPr>
        <w:tc>
          <w:tcPr>
            <w:tcW w:w="2040" w:type="dxa"/>
            <w:vAlign w:val="bottom"/>
            <w:tcBorders>
              <w:right w:val="single" w:sz="8" w:color="237CC1"/>
            </w:tcBorders>
            <w:vMerge w:val="restart"/>
          </w:tcPr>
          <w:p>
            <w:pPr>
              <w:ind w:left="20"/>
              <w:spacing w:after="0"/>
              <w:rPr>
                <w:sz w:val="20"/>
                <w:szCs w:val="20"/>
                <w:color w:val="auto"/>
              </w:rPr>
            </w:pPr>
            <w:r>
              <w:rPr>
                <w:rFonts w:ascii="Arial" w:cs="Arial" w:eastAsia="Arial" w:hAnsi="Arial"/>
                <w:sz w:val="14"/>
                <w:szCs w:val="14"/>
                <w:color w:val="auto"/>
              </w:rPr>
              <w:t>Retirement</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40" w:type="dxa"/>
            <w:vAlign w:val="bottom"/>
            <w:tcBorders>
              <w:right w:val="single" w:sz="8" w:color="237CC1"/>
            </w:tcBorders>
            <w:vMerge w:val="continue"/>
          </w:tcPr>
          <w:p>
            <w:pPr>
              <w:spacing w:after="0"/>
              <w:rPr>
                <w:sz w:val="6"/>
                <w:szCs w:val="6"/>
                <w:color w:val="auto"/>
              </w:rPr>
            </w:pPr>
          </w:p>
        </w:tc>
        <w:tc>
          <w:tcPr>
            <w:tcW w:w="6400" w:type="dxa"/>
            <w:vAlign w:val="bottom"/>
            <w:vMerge w:val="restart"/>
          </w:tcPr>
          <w:p>
            <w:pPr>
              <w:ind w:left="100"/>
              <w:spacing w:after="0" w:line="119" w:lineRule="exact"/>
              <w:rPr>
                <w:sz w:val="20"/>
                <w:szCs w:val="20"/>
                <w:color w:val="auto"/>
              </w:rPr>
            </w:pPr>
            <w:r>
              <w:rPr>
                <w:rFonts w:ascii="Arial" w:cs="Arial" w:eastAsia="Arial" w:hAnsi="Arial"/>
                <w:sz w:val="13"/>
                <w:szCs w:val="13"/>
                <w:color w:val="auto"/>
              </w:rPr>
              <w:t xml:space="preserve">For </w:t>
            </w:r>
            <w:r>
              <w:rPr>
                <w:rFonts w:ascii="Arial" w:cs="Arial" w:eastAsia="Arial" w:hAnsi="Arial"/>
                <w:sz w:val="13"/>
                <w:szCs w:val="13"/>
                <w:i w:val="1"/>
                <w:iCs w:val="1"/>
                <w:color w:val="auto"/>
              </w:rPr>
              <w:t>termination without cause</w:t>
            </w:r>
            <w:r>
              <w:rPr>
                <w:rFonts w:ascii="Arial" w:cs="Arial" w:eastAsia="Arial" w:hAnsi="Arial"/>
                <w:sz w:val="13"/>
                <w:szCs w:val="13"/>
                <w:color w:val="auto"/>
              </w:rPr>
              <w:t>, credited service is provided for the notice period in the DB Plan and</w:t>
            </w:r>
          </w:p>
        </w:tc>
        <w:tc>
          <w:tcPr>
            <w:tcW w:w="0" w:type="dxa"/>
            <w:vAlign w:val="bottom"/>
          </w:tcPr>
          <w:p>
            <w:pPr>
              <w:spacing w:after="0"/>
              <w:rPr>
                <w:sz w:val="1"/>
                <w:szCs w:val="1"/>
                <w:color w:val="auto"/>
              </w:rPr>
            </w:pPr>
          </w:p>
        </w:tc>
      </w:tr>
      <w:tr>
        <w:trPr>
          <w:trHeight w:val="48"/>
        </w:trPr>
        <w:tc>
          <w:tcPr>
            <w:tcW w:w="2040" w:type="dxa"/>
            <w:vAlign w:val="bottom"/>
            <w:tcBorders>
              <w:bottom w:val="single" w:sz="8" w:color="B2B2B2"/>
              <w:right w:val="single" w:sz="8" w:color="237CC1"/>
            </w:tcBorders>
          </w:tcPr>
          <w:p>
            <w:pPr>
              <w:spacing w:after="0"/>
              <w:rPr>
                <w:sz w:val="4"/>
                <w:szCs w:val="4"/>
                <w:color w:val="auto"/>
              </w:rPr>
            </w:pPr>
          </w:p>
        </w:tc>
        <w:tc>
          <w:tcPr>
            <w:tcW w:w="6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40" w:type="dxa"/>
            <w:vAlign w:val="bottom"/>
            <w:tcBorders>
              <w:right w:val="single" w:sz="8" w:color="237CC1"/>
            </w:tcBorders>
          </w:tcPr>
          <w:p>
            <w:pPr>
              <w:ind w:left="20"/>
              <w:spacing w:after="0"/>
              <w:rPr>
                <w:sz w:val="20"/>
                <w:szCs w:val="20"/>
                <w:color w:val="auto"/>
              </w:rPr>
            </w:pPr>
            <w:r>
              <w:rPr>
                <w:rFonts w:ascii="Arial" w:cs="Arial" w:eastAsia="Arial" w:hAnsi="Arial"/>
                <w:sz w:val="14"/>
                <w:szCs w:val="14"/>
                <w:color w:val="auto"/>
              </w:rPr>
              <w:t>Death</w:t>
            </w:r>
          </w:p>
        </w:tc>
        <w:tc>
          <w:tcPr>
            <w:tcW w:w="6400" w:type="dxa"/>
            <w:vAlign w:val="bottom"/>
          </w:tcPr>
          <w:p>
            <w:pPr>
              <w:ind w:left="100"/>
              <w:spacing w:after="0"/>
              <w:rPr>
                <w:sz w:val="20"/>
                <w:szCs w:val="20"/>
                <w:color w:val="auto"/>
              </w:rPr>
            </w:pPr>
            <w:r>
              <w:rPr>
                <w:rFonts w:ascii="Arial" w:cs="Arial" w:eastAsia="Arial" w:hAnsi="Arial"/>
                <w:sz w:val="14"/>
                <w:szCs w:val="14"/>
                <w:color w:val="auto"/>
              </w:rPr>
              <w:t>a lump sum payment equal to 9 per cent of base salary over the notice period for the DC Plan.</w:t>
            </w:r>
          </w:p>
        </w:tc>
        <w:tc>
          <w:tcPr>
            <w:tcW w:w="0" w:type="dxa"/>
            <w:vAlign w:val="bottom"/>
          </w:tcPr>
          <w:p>
            <w:pPr>
              <w:spacing w:after="0"/>
              <w:rPr>
                <w:sz w:val="1"/>
                <w:szCs w:val="1"/>
                <w:color w:val="auto"/>
              </w:rPr>
            </w:pPr>
          </w:p>
        </w:tc>
      </w:tr>
      <w:tr>
        <w:trPr>
          <w:trHeight w:val="102"/>
        </w:trPr>
        <w:tc>
          <w:tcPr>
            <w:tcW w:w="2040" w:type="dxa"/>
            <w:vAlign w:val="bottom"/>
            <w:tcBorders>
              <w:bottom w:val="single" w:sz="8" w:color="B2B2B2"/>
              <w:right w:val="single" w:sz="8" w:color="237CC1"/>
            </w:tcBorders>
          </w:tcPr>
          <w:p>
            <w:pPr>
              <w:spacing w:after="0"/>
              <w:rPr>
                <w:sz w:val="8"/>
                <w:szCs w:val="8"/>
                <w:color w:val="auto"/>
              </w:rPr>
            </w:pPr>
          </w:p>
        </w:tc>
        <w:tc>
          <w:tcPr>
            <w:tcW w:w="6400" w:type="dxa"/>
            <w:vAlign w:val="bottom"/>
            <w:tcBorders>
              <w:bottom w:val="single" w:sz="8" w:color="B2B2B2"/>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Resignation</w:t>
            </w:r>
          </w:p>
        </w:tc>
        <w:tc>
          <w:tcPr>
            <w:tcW w:w="6400" w:type="dxa"/>
            <w:vAlign w:val="bottom"/>
          </w:tcPr>
          <w:p>
            <w:pPr>
              <w:ind w:left="100"/>
              <w:spacing w:after="0"/>
              <w:rPr>
                <w:sz w:val="20"/>
                <w:szCs w:val="20"/>
                <w:color w:val="auto"/>
              </w:rPr>
            </w:pPr>
            <w:r>
              <w:rPr>
                <w:rFonts w:ascii="Arial" w:cs="Arial" w:eastAsia="Arial" w:hAnsi="Arial"/>
                <w:sz w:val="14"/>
                <w:szCs w:val="14"/>
                <w:color w:val="auto"/>
              </w:rPr>
              <w:t>Account balance is available to take as a lump sum, partial, or periodic distribution.</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Termination without cause</w:t>
            </w:r>
          </w:p>
        </w:tc>
        <w:tc>
          <w:tcPr>
            <w:tcW w:w="6400" w:type="dxa"/>
            <w:vAlign w:val="bottom"/>
            <w:vMerge w:val="restart"/>
          </w:tcPr>
          <w:p>
            <w:pPr>
              <w:ind w:left="100"/>
              <w:spacing w:after="0"/>
              <w:rPr>
                <w:sz w:val="20"/>
                <w:szCs w:val="20"/>
                <w:color w:val="auto"/>
              </w:rPr>
            </w:pPr>
            <w:r>
              <w:rPr>
                <w:rFonts w:ascii="Arial" w:cs="Arial" w:eastAsia="Arial" w:hAnsi="Arial"/>
                <w:sz w:val="14"/>
                <w:szCs w:val="14"/>
                <w:color w:val="auto"/>
              </w:rPr>
              <w:t xml:space="preserve">For </w:t>
            </w:r>
            <w:r>
              <w:rPr>
                <w:rFonts w:ascii="Arial" w:cs="Arial" w:eastAsia="Arial" w:hAnsi="Arial"/>
                <w:sz w:val="14"/>
                <w:szCs w:val="14"/>
                <w:i w:val="1"/>
                <w:iCs w:val="1"/>
                <w:color w:val="auto"/>
              </w:rPr>
              <w:t>termination without cause</w:t>
            </w:r>
            <w:r>
              <w:rPr>
                <w:rFonts w:ascii="Arial" w:cs="Arial" w:eastAsia="Arial" w:hAnsi="Arial"/>
                <w:sz w:val="14"/>
                <w:szCs w:val="14"/>
                <w:color w:val="auto"/>
              </w:rPr>
              <w:t>, a non-elective contribution to the Non-Qualified Plan equal to 7 per</w:t>
            </w:r>
          </w:p>
        </w:tc>
        <w:tc>
          <w:tcPr>
            <w:tcW w:w="0" w:type="dxa"/>
            <w:vAlign w:val="bottom"/>
          </w:tcPr>
          <w:p>
            <w:pPr>
              <w:spacing w:after="0"/>
              <w:rPr>
                <w:sz w:val="1"/>
                <w:szCs w:val="1"/>
                <w:color w:val="auto"/>
              </w:rPr>
            </w:pPr>
          </w:p>
        </w:tc>
      </w:tr>
      <w:tr>
        <w:trPr>
          <w:trHeight w:val="145"/>
        </w:trPr>
        <w:tc>
          <w:tcPr>
            <w:tcW w:w="2040" w:type="dxa"/>
            <w:vAlign w:val="bottom"/>
            <w:tcBorders>
              <w:right w:val="single" w:sz="8" w:color="237CC1"/>
            </w:tcBorders>
          </w:tcPr>
          <w:p>
            <w:pPr>
              <w:ind w:left="20"/>
              <w:spacing w:after="0" w:line="145" w:lineRule="exact"/>
              <w:rPr>
                <w:sz w:val="20"/>
                <w:szCs w:val="20"/>
                <w:color w:val="auto"/>
              </w:rPr>
            </w:pPr>
            <w:r>
              <w:rPr>
                <w:rFonts w:ascii="Arial" w:cs="Arial" w:eastAsia="Arial" w:hAnsi="Arial"/>
                <w:sz w:val="14"/>
                <w:szCs w:val="14"/>
                <w:color w:val="auto"/>
              </w:rPr>
              <w:t>Termination with cause</w:t>
            </w:r>
          </w:p>
        </w:tc>
        <w:tc>
          <w:tcPr>
            <w:tcW w:w="6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40" w:type="dxa"/>
            <w:vAlign w:val="bottom"/>
            <w:tcBorders>
              <w:bottom w:val="single" w:sz="8" w:color="B2B2B2"/>
              <w:right w:val="single" w:sz="8" w:color="237CC1"/>
            </w:tcBorders>
          </w:tcPr>
          <w:p>
            <w:pPr>
              <w:spacing w:after="0"/>
              <w:rPr>
                <w:sz w:val="4"/>
                <w:szCs w:val="4"/>
                <w:color w:val="auto"/>
              </w:rPr>
            </w:pPr>
          </w:p>
        </w:tc>
        <w:tc>
          <w:tcPr>
            <w:tcW w:w="6400" w:type="dxa"/>
            <w:vAlign w:val="bottom"/>
            <w:vMerge w:val="restart"/>
          </w:tcPr>
          <w:p>
            <w:pPr>
              <w:ind w:left="100"/>
              <w:spacing w:after="0"/>
              <w:rPr>
                <w:sz w:val="20"/>
                <w:szCs w:val="20"/>
                <w:color w:val="auto"/>
              </w:rPr>
            </w:pPr>
            <w:r>
              <w:rPr>
                <w:rFonts w:ascii="Arial" w:cs="Arial" w:eastAsia="Arial" w:hAnsi="Arial"/>
                <w:sz w:val="14"/>
                <w:szCs w:val="14"/>
                <w:color w:val="auto"/>
              </w:rPr>
              <w:t>cent of base salary over the notice period.</w:t>
            </w:r>
          </w:p>
        </w:tc>
        <w:tc>
          <w:tcPr>
            <w:tcW w:w="0" w:type="dxa"/>
            <w:vAlign w:val="bottom"/>
          </w:tcPr>
          <w:p>
            <w:pPr>
              <w:spacing w:after="0"/>
              <w:rPr>
                <w:sz w:val="1"/>
                <w:szCs w:val="1"/>
                <w:color w:val="auto"/>
              </w:rPr>
            </w:pPr>
          </w:p>
        </w:tc>
      </w:tr>
      <w:tr>
        <w:trPr>
          <w:trHeight w:val="116"/>
        </w:trPr>
        <w:tc>
          <w:tcPr>
            <w:tcW w:w="2040" w:type="dxa"/>
            <w:vAlign w:val="bottom"/>
            <w:tcBorders>
              <w:right w:val="single" w:sz="8" w:color="237CC1"/>
            </w:tcBorders>
            <w:vMerge w:val="restart"/>
          </w:tcPr>
          <w:p>
            <w:pPr>
              <w:ind w:left="20"/>
              <w:spacing w:after="0"/>
              <w:rPr>
                <w:sz w:val="20"/>
                <w:szCs w:val="20"/>
                <w:color w:val="auto"/>
              </w:rPr>
            </w:pPr>
            <w:r>
              <w:rPr>
                <w:rFonts w:ascii="Arial" w:cs="Arial" w:eastAsia="Arial" w:hAnsi="Arial"/>
                <w:sz w:val="14"/>
                <w:szCs w:val="14"/>
                <w:color w:val="auto"/>
              </w:rPr>
              <w:t>Retirement</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tcBorders>
              <w:bottom w:val="single" w:sz="8" w:color="B2B2B2"/>
              <w:right w:val="single" w:sz="8" w:color="237CC1"/>
            </w:tcBorders>
            <w:vMerge w:val="continue"/>
          </w:tcPr>
          <w:p>
            <w:pPr>
              <w:spacing w:after="0"/>
              <w:rPr>
                <w:sz w:val="6"/>
                <w:szCs w:val="6"/>
                <w:color w:val="auto"/>
              </w:rPr>
            </w:pPr>
          </w:p>
        </w:tc>
        <w:tc>
          <w:tcPr>
            <w:tcW w:w="640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Death</w:t>
            </w:r>
          </w:p>
        </w:tc>
        <w:tc>
          <w:tcPr>
            <w:tcW w:w="6400" w:type="dxa"/>
            <w:vAlign w:val="bottom"/>
            <w:tcBorders>
              <w:bottom w:val="single" w:sz="8" w:color="B2B2B2"/>
            </w:tcBorders>
          </w:tcPr>
          <w:p>
            <w:pPr>
              <w:ind w:left="100"/>
              <w:spacing w:after="0"/>
              <w:rPr>
                <w:sz w:val="20"/>
                <w:szCs w:val="20"/>
                <w:color w:val="auto"/>
              </w:rPr>
            </w:pPr>
            <w:r>
              <w:rPr>
                <w:rFonts w:ascii="Arial" w:cs="Arial" w:eastAsia="Arial" w:hAnsi="Arial"/>
                <w:sz w:val="14"/>
                <w:szCs w:val="14"/>
                <w:color w:val="auto"/>
              </w:rPr>
              <w:t>Account balance is transferred to an account in the name of the participant's beneficiary.</w:t>
            </w:r>
          </w:p>
        </w:tc>
        <w:tc>
          <w:tcPr>
            <w:tcW w:w="0" w:type="dxa"/>
            <w:vAlign w:val="bottom"/>
          </w:tcPr>
          <w:p>
            <w:pPr>
              <w:spacing w:after="0"/>
              <w:rPr>
                <w:sz w:val="1"/>
                <w:szCs w:val="1"/>
                <w:color w:val="auto"/>
              </w:rPr>
            </w:pPr>
          </w:p>
        </w:tc>
      </w:tr>
      <w:tr>
        <w:trPr>
          <w:trHeight w:val="149"/>
        </w:trPr>
        <w:tc>
          <w:tcPr>
            <w:tcW w:w="2040" w:type="dxa"/>
            <w:vAlign w:val="bottom"/>
            <w:tcBorders>
              <w:right w:val="single" w:sz="8" w:color="237CC1"/>
            </w:tcBorders>
          </w:tcPr>
          <w:p>
            <w:pPr>
              <w:ind w:left="20"/>
              <w:spacing w:after="0" w:line="149" w:lineRule="exact"/>
              <w:rPr>
                <w:sz w:val="20"/>
                <w:szCs w:val="20"/>
                <w:color w:val="auto"/>
              </w:rPr>
            </w:pPr>
            <w:r>
              <w:rPr>
                <w:rFonts w:ascii="Arial" w:cs="Arial" w:eastAsia="Arial" w:hAnsi="Arial"/>
                <w:sz w:val="14"/>
                <w:szCs w:val="14"/>
                <w:color w:val="auto"/>
              </w:rPr>
              <w:t>Resignation</w:t>
            </w:r>
          </w:p>
        </w:tc>
        <w:tc>
          <w:tcPr>
            <w:tcW w:w="6400" w:type="dxa"/>
            <w:vAlign w:val="bottom"/>
          </w:tcPr>
          <w:p>
            <w:pPr>
              <w:ind w:left="100"/>
              <w:spacing w:after="0" w:line="149" w:lineRule="exact"/>
              <w:rPr>
                <w:sz w:val="20"/>
                <w:szCs w:val="20"/>
                <w:color w:val="auto"/>
              </w:rPr>
            </w:pPr>
            <w:r>
              <w:rPr>
                <w:rFonts w:ascii="Arial" w:cs="Arial" w:eastAsia="Arial" w:hAnsi="Arial"/>
                <w:sz w:val="14"/>
                <w:szCs w:val="14"/>
                <w:color w:val="auto"/>
              </w:rPr>
              <w:t>Account balance is available to take in accordance with employee distribution elections after a six</w:t>
            </w:r>
          </w:p>
        </w:tc>
        <w:tc>
          <w:tcPr>
            <w:tcW w:w="0" w:type="dxa"/>
            <w:vAlign w:val="bottom"/>
          </w:tcPr>
          <w:p>
            <w:pPr>
              <w:spacing w:after="0"/>
              <w:rPr>
                <w:sz w:val="1"/>
                <w:szCs w:val="1"/>
                <w:color w:val="auto"/>
              </w:rPr>
            </w:pPr>
          </w:p>
        </w:tc>
      </w:tr>
      <w:tr>
        <w:trPr>
          <w:trHeight w:val="50"/>
        </w:trPr>
        <w:tc>
          <w:tcPr>
            <w:tcW w:w="2040" w:type="dxa"/>
            <w:vAlign w:val="bottom"/>
            <w:tcBorders>
              <w:bottom w:val="single" w:sz="8" w:color="B2B2B2"/>
              <w:right w:val="single" w:sz="8" w:color="237CC1"/>
            </w:tcBorders>
          </w:tcPr>
          <w:p>
            <w:pPr>
              <w:spacing w:after="0"/>
              <w:rPr>
                <w:sz w:val="4"/>
                <w:szCs w:val="4"/>
                <w:color w:val="auto"/>
              </w:rPr>
            </w:pPr>
          </w:p>
        </w:tc>
        <w:tc>
          <w:tcPr>
            <w:tcW w:w="6400" w:type="dxa"/>
            <w:vAlign w:val="bottom"/>
            <w:vMerge w:val="restart"/>
          </w:tcPr>
          <w:p>
            <w:pPr>
              <w:ind w:left="100"/>
              <w:spacing w:after="0"/>
              <w:rPr>
                <w:sz w:val="20"/>
                <w:szCs w:val="20"/>
                <w:color w:val="auto"/>
              </w:rPr>
            </w:pPr>
            <w:r>
              <w:rPr>
                <w:rFonts w:ascii="Arial" w:cs="Arial" w:eastAsia="Arial" w:hAnsi="Arial"/>
                <w:sz w:val="14"/>
                <w:szCs w:val="14"/>
                <w:color w:val="auto"/>
              </w:rPr>
              <w:t>month delay. Participant can choose a lump sum or annual installations from two to ten years.</w:t>
            </w:r>
          </w:p>
        </w:tc>
        <w:tc>
          <w:tcPr>
            <w:tcW w:w="0" w:type="dxa"/>
            <w:vAlign w:val="bottom"/>
          </w:tcPr>
          <w:p>
            <w:pPr>
              <w:spacing w:after="0"/>
              <w:rPr>
                <w:sz w:val="1"/>
                <w:szCs w:val="1"/>
                <w:color w:val="auto"/>
              </w:rPr>
            </w:pPr>
          </w:p>
        </w:tc>
      </w:tr>
      <w:tr>
        <w:trPr>
          <w:trHeight w:val="120"/>
        </w:trPr>
        <w:tc>
          <w:tcPr>
            <w:tcW w:w="2040" w:type="dxa"/>
            <w:vAlign w:val="bottom"/>
            <w:tcBorders>
              <w:right w:val="single" w:sz="8" w:color="237CC1"/>
            </w:tcBorders>
            <w:vMerge w:val="restart"/>
          </w:tcPr>
          <w:p>
            <w:pPr>
              <w:ind w:left="20"/>
              <w:spacing w:after="0"/>
              <w:rPr>
                <w:sz w:val="20"/>
                <w:szCs w:val="20"/>
                <w:color w:val="auto"/>
              </w:rPr>
            </w:pPr>
            <w:r>
              <w:rPr>
                <w:rFonts w:ascii="Arial" w:cs="Arial" w:eastAsia="Arial" w:hAnsi="Arial"/>
                <w:sz w:val="14"/>
                <w:szCs w:val="14"/>
                <w:color w:val="auto"/>
              </w:rPr>
              <w:t>Termination without cause</w:t>
            </w: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40" w:type="dxa"/>
            <w:vAlign w:val="bottom"/>
            <w:tcBorders>
              <w:bottom w:val="single" w:sz="8" w:color="B2B2B2"/>
              <w:right w:val="single" w:sz="8" w:color="237CC1"/>
            </w:tcBorders>
            <w:vMerge w:val="continue"/>
          </w:tcPr>
          <w:p>
            <w:pPr>
              <w:spacing w:after="0"/>
              <w:rPr>
                <w:sz w:val="6"/>
                <w:szCs w:val="6"/>
                <w:color w:val="auto"/>
              </w:rPr>
            </w:pPr>
          </w:p>
        </w:tc>
        <w:tc>
          <w:tcPr>
            <w:tcW w:w="6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Termination with cause</w:t>
            </w:r>
          </w:p>
        </w:tc>
        <w:tc>
          <w:tcPr>
            <w:tcW w:w="6400" w:type="dxa"/>
            <w:vAlign w:val="bottom"/>
            <w:vMerge w:val="restart"/>
          </w:tcPr>
          <w:p>
            <w:pPr>
              <w:ind w:left="100"/>
              <w:spacing w:after="0"/>
              <w:rPr>
                <w:sz w:val="20"/>
                <w:szCs w:val="20"/>
                <w:color w:val="auto"/>
              </w:rPr>
            </w:pPr>
            <w:r>
              <w:rPr>
                <w:rFonts w:ascii="Arial" w:cs="Arial" w:eastAsia="Arial" w:hAnsi="Arial"/>
                <w:sz w:val="14"/>
                <w:szCs w:val="14"/>
                <w:color w:val="auto"/>
              </w:rPr>
              <w:t xml:space="preserve">For </w:t>
            </w:r>
            <w:r>
              <w:rPr>
                <w:rFonts w:ascii="Arial" w:cs="Arial" w:eastAsia="Arial" w:hAnsi="Arial"/>
                <w:sz w:val="14"/>
                <w:szCs w:val="14"/>
                <w:i w:val="1"/>
                <w:iCs w:val="1"/>
                <w:color w:val="auto"/>
              </w:rPr>
              <w:t>termination without cause</w:t>
            </w:r>
            <w:r>
              <w:rPr>
                <w:rFonts w:ascii="Arial" w:cs="Arial" w:eastAsia="Arial" w:hAnsi="Arial"/>
                <w:sz w:val="14"/>
                <w:szCs w:val="14"/>
                <w:color w:val="auto"/>
              </w:rPr>
              <w:t>, a non-elective contribution to the Non-Qualified Plan equal to 7 per</w:t>
            </w:r>
          </w:p>
        </w:tc>
        <w:tc>
          <w:tcPr>
            <w:tcW w:w="0" w:type="dxa"/>
            <w:vAlign w:val="bottom"/>
          </w:tcPr>
          <w:p>
            <w:pPr>
              <w:spacing w:after="0"/>
              <w:rPr>
                <w:sz w:val="1"/>
                <w:szCs w:val="1"/>
                <w:color w:val="auto"/>
              </w:rPr>
            </w:pPr>
          </w:p>
        </w:tc>
      </w:tr>
      <w:tr>
        <w:trPr>
          <w:trHeight w:val="28"/>
        </w:trPr>
        <w:tc>
          <w:tcPr>
            <w:tcW w:w="2040" w:type="dxa"/>
            <w:vAlign w:val="bottom"/>
            <w:tcBorders>
              <w:right w:val="single" w:sz="8" w:color="237CC1"/>
            </w:tcBorders>
            <w:vMerge w:val="restart"/>
          </w:tcPr>
          <w:p>
            <w:pPr>
              <w:ind w:left="20"/>
              <w:spacing w:after="0"/>
              <w:rPr>
                <w:sz w:val="20"/>
                <w:szCs w:val="20"/>
                <w:color w:val="auto"/>
              </w:rPr>
            </w:pPr>
            <w:r>
              <w:rPr>
                <w:rFonts w:ascii="Arial" w:cs="Arial" w:eastAsia="Arial" w:hAnsi="Arial"/>
                <w:sz w:val="14"/>
                <w:szCs w:val="14"/>
                <w:color w:val="auto"/>
              </w:rPr>
              <w:t>Retirement</w:t>
            </w:r>
          </w:p>
        </w:tc>
        <w:tc>
          <w:tcPr>
            <w:tcW w:w="6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40" w:type="dxa"/>
            <w:vAlign w:val="bottom"/>
            <w:tcBorders>
              <w:right w:val="single" w:sz="8" w:color="237CC1"/>
            </w:tcBorders>
            <w:vMerge w:val="continue"/>
          </w:tcPr>
          <w:p>
            <w:pPr>
              <w:spacing w:after="0"/>
              <w:rPr>
                <w:sz w:val="16"/>
                <w:szCs w:val="16"/>
                <w:color w:val="auto"/>
              </w:rPr>
            </w:pPr>
          </w:p>
        </w:tc>
        <w:tc>
          <w:tcPr>
            <w:tcW w:w="6400" w:type="dxa"/>
            <w:vAlign w:val="bottom"/>
          </w:tcPr>
          <w:p>
            <w:pPr>
              <w:ind w:left="100"/>
              <w:spacing w:after="0"/>
              <w:rPr>
                <w:sz w:val="20"/>
                <w:szCs w:val="20"/>
                <w:color w:val="auto"/>
              </w:rPr>
            </w:pPr>
            <w:r>
              <w:rPr>
                <w:rFonts w:ascii="Arial" w:cs="Arial" w:eastAsia="Arial" w:hAnsi="Arial"/>
                <w:sz w:val="14"/>
                <w:szCs w:val="14"/>
                <w:color w:val="auto"/>
              </w:rPr>
              <w:t>cent of base salary over the notice period.</w:t>
            </w:r>
          </w:p>
        </w:tc>
        <w:tc>
          <w:tcPr>
            <w:tcW w:w="0" w:type="dxa"/>
            <w:vAlign w:val="bottom"/>
          </w:tcPr>
          <w:p>
            <w:pPr>
              <w:spacing w:after="0"/>
              <w:rPr>
                <w:sz w:val="1"/>
                <w:szCs w:val="1"/>
                <w:color w:val="auto"/>
              </w:rPr>
            </w:pPr>
          </w:p>
        </w:tc>
      </w:tr>
      <w:tr>
        <w:trPr>
          <w:trHeight w:val="35"/>
        </w:trPr>
        <w:tc>
          <w:tcPr>
            <w:tcW w:w="2040" w:type="dxa"/>
            <w:vAlign w:val="bottom"/>
            <w:tcBorders>
              <w:bottom w:val="single" w:sz="8" w:color="B2B2B2"/>
              <w:right w:val="single" w:sz="8" w:color="237CC1"/>
            </w:tcBorders>
          </w:tcPr>
          <w:p>
            <w:pPr>
              <w:spacing w:after="0"/>
              <w:rPr>
                <w:sz w:val="3"/>
                <w:szCs w:val="3"/>
                <w:color w:val="auto"/>
              </w:rPr>
            </w:pPr>
          </w:p>
        </w:tc>
        <w:tc>
          <w:tcPr>
            <w:tcW w:w="640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040" w:type="dxa"/>
            <w:vAlign w:val="bottom"/>
            <w:tcBorders>
              <w:right w:val="single" w:sz="8" w:color="237CC1"/>
            </w:tcBorders>
          </w:tcPr>
          <w:p>
            <w:pPr>
              <w:ind w:left="20"/>
              <w:spacing w:after="0" w:line="145" w:lineRule="exact"/>
              <w:rPr>
                <w:sz w:val="20"/>
                <w:szCs w:val="20"/>
                <w:color w:val="auto"/>
              </w:rPr>
            </w:pPr>
            <w:r>
              <w:rPr>
                <w:rFonts w:ascii="Arial" w:cs="Arial" w:eastAsia="Arial" w:hAnsi="Arial"/>
                <w:sz w:val="14"/>
                <w:szCs w:val="14"/>
                <w:color w:val="auto"/>
              </w:rPr>
              <w:t>Death</w:t>
            </w:r>
          </w:p>
        </w:tc>
        <w:tc>
          <w:tcPr>
            <w:tcW w:w="6400" w:type="dxa"/>
            <w:vAlign w:val="bottom"/>
          </w:tcPr>
          <w:p>
            <w:pPr>
              <w:ind w:left="100"/>
              <w:spacing w:after="0" w:line="145" w:lineRule="exact"/>
              <w:rPr>
                <w:sz w:val="20"/>
                <w:szCs w:val="20"/>
                <w:color w:val="auto"/>
              </w:rPr>
            </w:pPr>
            <w:r>
              <w:rPr>
                <w:rFonts w:ascii="Arial" w:cs="Arial" w:eastAsia="Arial" w:hAnsi="Arial"/>
                <w:sz w:val="14"/>
                <w:szCs w:val="14"/>
                <w:color w:val="auto"/>
              </w:rPr>
              <w:t>Account balance is transferred to an account in the name of the participant's beneficiary and</w:t>
            </w:r>
          </w:p>
        </w:tc>
        <w:tc>
          <w:tcPr>
            <w:tcW w:w="0" w:type="dxa"/>
            <w:vAlign w:val="bottom"/>
          </w:tcPr>
          <w:p>
            <w:pPr>
              <w:spacing w:after="0"/>
              <w:rPr>
                <w:sz w:val="1"/>
                <w:szCs w:val="1"/>
                <w:color w:val="auto"/>
              </w:rPr>
            </w:pPr>
          </w:p>
        </w:tc>
      </w:tr>
      <w:tr>
        <w:trPr>
          <w:trHeight w:val="193"/>
        </w:trPr>
        <w:tc>
          <w:tcPr>
            <w:tcW w:w="2040" w:type="dxa"/>
            <w:vAlign w:val="bottom"/>
            <w:tcBorders>
              <w:bottom w:val="single" w:sz="8" w:color="B2B2B2"/>
              <w:right w:val="single" w:sz="8" w:color="237CC1"/>
            </w:tcBorders>
          </w:tcPr>
          <w:p>
            <w:pPr>
              <w:spacing w:after="0"/>
              <w:rPr>
                <w:sz w:val="16"/>
                <w:szCs w:val="16"/>
                <w:color w:val="auto"/>
              </w:rPr>
            </w:pPr>
          </w:p>
        </w:tc>
        <w:tc>
          <w:tcPr>
            <w:tcW w:w="6400" w:type="dxa"/>
            <w:vAlign w:val="bottom"/>
            <w:tcBorders>
              <w:bottom w:val="single" w:sz="8" w:color="B2B2B2"/>
            </w:tcBorders>
          </w:tcPr>
          <w:p>
            <w:pPr>
              <w:ind w:left="100"/>
              <w:spacing w:after="0"/>
              <w:rPr>
                <w:sz w:val="20"/>
                <w:szCs w:val="20"/>
                <w:color w:val="auto"/>
              </w:rPr>
            </w:pPr>
            <w:r>
              <w:rPr>
                <w:rFonts w:ascii="Arial" w:cs="Arial" w:eastAsia="Arial" w:hAnsi="Arial"/>
                <w:sz w:val="14"/>
                <w:szCs w:val="14"/>
                <w:color w:val="auto"/>
              </w:rPr>
              <w:t>distributed immediately as a lump sum payment.</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Resignation</w:t>
            </w:r>
          </w:p>
        </w:tc>
        <w:tc>
          <w:tcPr>
            <w:tcW w:w="6400" w:type="dxa"/>
            <w:vAlign w:val="bottom"/>
            <w:tcBorders>
              <w:bottom w:val="single" w:sz="8" w:color="B2B2B2"/>
            </w:tcBorders>
          </w:tcPr>
          <w:p>
            <w:pPr>
              <w:ind w:left="100"/>
              <w:spacing w:after="0"/>
              <w:rPr>
                <w:sz w:val="20"/>
                <w:szCs w:val="20"/>
                <w:color w:val="auto"/>
              </w:rPr>
            </w:pPr>
            <w:r>
              <w:rPr>
                <w:rFonts w:ascii="Arial" w:cs="Arial" w:eastAsia="Arial" w:hAnsi="Arial"/>
                <w:sz w:val="14"/>
                <w:szCs w:val="14"/>
                <w:color w:val="auto"/>
              </w:rPr>
              <w:t>Coverage ends, or retiree benefits begin if eligible.</w:t>
            </w:r>
          </w:p>
        </w:tc>
        <w:tc>
          <w:tcPr>
            <w:tcW w:w="0" w:type="dxa"/>
            <w:vAlign w:val="bottom"/>
          </w:tcPr>
          <w:p>
            <w:pPr>
              <w:spacing w:after="0"/>
              <w:rPr>
                <w:sz w:val="1"/>
                <w:szCs w:val="1"/>
                <w:color w:val="auto"/>
              </w:rPr>
            </w:pPr>
          </w:p>
        </w:tc>
      </w:tr>
      <w:tr>
        <w:trPr>
          <w:trHeight w:val="149"/>
        </w:trPr>
        <w:tc>
          <w:tcPr>
            <w:tcW w:w="2040" w:type="dxa"/>
            <w:vAlign w:val="bottom"/>
            <w:tcBorders>
              <w:right w:val="single" w:sz="8" w:color="237CC1"/>
            </w:tcBorders>
          </w:tcPr>
          <w:p>
            <w:pPr>
              <w:ind w:left="20"/>
              <w:spacing w:after="0" w:line="149" w:lineRule="exact"/>
              <w:rPr>
                <w:sz w:val="20"/>
                <w:szCs w:val="20"/>
                <w:color w:val="auto"/>
              </w:rPr>
            </w:pPr>
            <w:r>
              <w:rPr>
                <w:rFonts w:ascii="Arial" w:cs="Arial" w:eastAsia="Arial" w:hAnsi="Arial"/>
                <w:sz w:val="14"/>
                <w:szCs w:val="14"/>
                <w:color w:val="auto"/>
              </w:rPr>
              <w:t>Termination without cause</w:t>
            </w:r>
          </w:p>
        </w:tc>
        <w:tc>
          <w:tcPr>
            <w:tcW w:w="6400" w:type="dxa"/>
            <w:vAlign w:val="bottom"/>
          </w:tcPr>
          <w:p>
            <w:pPr>
              <w:ind w:left="100"/>
              <w:spacing w:after="0" w:line="149" w:lineRule="exact"/>
              <w:rPr>
                <w:sz w:val="20"/>
                <w:szCs w:val="20"/>
                <w:color w:val="auto"/>
              </w:rPr>
            </w:pPr>
            <w:r>
              <w:rPr>
                <w:rFonts w:ascii="Arial" w:cs="Arial" w:eastAsia="Arial" w:hAnsi="Arial"/>
                <w:sz w:val="14"/>
                <w:szCs w:val="14"/>
                <w:color w:val="auto"/>
              </w:rPr>
              <w:t>Coverage ends. Severance allowance includes a lump sum cash payment equal to 15 per cent of</w:t>
            </w:r>
          </w:p>
        </w:tc>
        <w:tc>
          <w:tcPr>
            <w:tcW w:w="0" w:type="dxa"/>
            <w:vAlign w:val="bottom"/>
          </w:tcPr>
          <w:p>
            <w:pPr>
              <w:spacing w:after="0"/>
              <w:rPr>
                <w:sz w:val="1"/>
                <w:szCs w:val="1"/>
                <w:color w:val="auto"/>
              </w:rPr>
            </w:pPr>
          </w:p>
        </w:tc>
      </w:tr>
      <w:tr>
        <w:trPr>
          <w:trHeight w:val="193"/>
        </w:trPr>
        <w:tc>
          <w:tcPr>
            <w:tcW w:w="2040" w:type="dxa"/>
            <w:vAlign w:val="bottom"/>
            <w:tcBorders>
              <w:bottom w:val="single" w:sz="8" w:color="B2B2B2"/>
              <w:right w:val="single" w:sz="8" w:color="237CC1"/>
            </w:tcBorders>
          </w:tcPr>
          <w:p>
            <w:pPr>
              <w:spacing w:after="0"/>
              <w:rPr>
                <w:sz w:val="16"/>
                <w:szCs w:val="16"/>
                <w:color w:val="auto"/>
              </w:rPr>
            </w:pPr>
          </w:p>
        </w:tc>
        <w:tc>
          <w:tcPr>
            <w:tcW w:w="6400" w:type="dxa"/>
            <w:vAlign w:val="bottom"/>
            <w:tcBorders>
              <w:bottom w:val="single" w:sz="8" w:color="B2B2B2"/>
            </w:tcBorders>
          </w:tcPr>
          <w:p>
            <w:pPr>
              <w:ind w:left="100"/>
              <w:spacing w:after="0"/>
              <w:rPr>
                <w:sz w:val="20"/>
                <w:szCs w:val="20"/>
                <w:color w:val="auto"/>
              </w:rPr>
            </w:pPr>
            <w:r>
              <w:rPr>
                <w:rFonts w:ascii="Arial" w:cs="Arial" w:eastAsia="Arial" w:hAnsi="Arial"/>
                <w:sz w:val="14"/>
                <w:szCs w:val="14"/>
                <w:color w:val="auto"/>
              </w:rPr>
              <w:t>base salary over the notice period in recognition of loss of benefits and perquisites.</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Termination with cause</w:t>
            </w:r>
          </w:p>
        </w:tc>
        <w:tc>
          <w:tcPr>
            <w:tcW w:w="6400" w:type="dxa"/>
            <w:vAlign w:val="bottom"/>
            <w:tcBorders>
              <w:bottom w:val="single" w:sz="8" w:color="B2B2B2"/>
            </w:tcBorders>
          </w:tcPr>
          <w:p>
            <w:pPr>
              <w:ind w:left="100"/>
              <w:spacing w:after="0"/>
              <w:rPr>
                <w:sz w:val="20"/>
                <w:szCs w:val="20"/>
                <w:color w:val="auto"/>
              </w:rPr>
            </w:pPr>
            <w:r>
              <w:rPr>
                <w:rFonts w:ascii="Arial" w:cs="Arial" w:eastAsia="Arial" w:hAnsi="Arial"/>
                <w:sz w:val="14"/>
                <w:szCs w:val="14"/>
                <w:color w:val="auto"/>
              </w:rPr>
              <w:t>Coverage ends, or retiree benefits begin if eligible.</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Retirement</w:t>
            </w:r>
          </w:p>
        </w:tc>
        <w:tc>
          <w:tcPr>
            <w:tcW w:w="6400" w:type="dxa"/>
            <w:vAlign w:val="bottom"/>
            <w:tcBorders>
              <w:bottom w:val="single" w:sz="8" w:color="B2B2B2"/>
            </w:tcBorders>
          </w:tcPr>
          <w:p>
            <w:pPr>
              <w:ind w:left="100"/>
              <w:spacing w:after="0"/>
              <w:rPr>
                <w:sz w:val="20"/>
                <w:szCs w:val="20"/>
                <w:color w:val="auto"/>
              </w:rPr>
            </w:pPr>
            <w:r>
              <w:rPr>
                <w:rFonts w:ascii="Arial" w:cs="Arial" w:eastAsia="Arial" w:hAnsi="Arial"/>
                <w:sz w:val="14"/>
                <w:szCs w:val="14"/>
                <w:color w:val="auto"/>
              </w:rPr>
              <w:t>Coverage ends, or retiree benefits begin if eligible.</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Death</w:t>
            </w:r>
          </w:p>
        </w:tc>
        <w:tc>
          <w:tcPr>
            <w:tcW w:w="6400" w:type="dxa"/>
            <w:vAlign w:val="bottom"/>
            <w:tcBorders>
              <w:bottom w:val="single" w:sz="8" w:color="B2B2B2"/>
            </w:tcBorders>
          </w:tcPr>
          <w:p>
            <w:pPr>
              <w:ind w:left="100"/>
              <w:spacing w:after="0"/>
              <w:rPr>
                <w:sz w:val="20"/>
                <w:szCs w:val="20"/>
                <w:color w:val="auto"/>
              </w:rPr>
            </w:pPr>
            <w:r>
              <w:rPr>
                <w:rFonts w:ascii="Arial" w:cs="Arial" w:eastAsia="Arial" w:hAnsi="Arial"/>
                <w:sz w:val="14"/>
                <w:szCs w:val="14"/>
                <w:color w:val="auto"/>
              </w:rPr>
              <w:t>Coverage continues to eligible dependents for a specified period of time after death.</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Resignation</w:t>
            </w:r>
          </w:p>
        </w:tc>
        <w:tc>
          <w:tcPr>
            <w:tcW w:w="6400" w:type="dxa"/>
            <w:vAlign w:val="bottom"/>
            <w:tcBorders>
              <w:bottom w:val="single" w:sz="8" w:color="B2B2B2"/>
            </w:tcBorders>
          </w:tcPr>
          <w:p>
            <w:pPr>
              <w:ind w:left="100"/>
              <w:spacing w:after="0"/>
              <w:rPr>
                <w:sz w:val="20"/>
                <w:szCs w:val="20"/>
                <w:color w:val="auto"/>
              </w:rPr>
            </w:pPr>
            <w:r>
              <w:rPr>
                <w:rFonts w:ascii="Arial" w:cs="Arial" w:eastAsia="Arial" w:hAnsi="Arial"/>
                <w:sz w:val="14"/>
                <w:szCs w:val="14"/>
                <w:color w:val="auto"/>
              </w:rPr>
              <w:t>Payments end.</w:t>
            </w:r>
          </w:p>
        </w:tc>
        <w:tc>
          <w:tcPr>
            <w:tcW w:w="0" w:type="dxa"/>
            <w:vAlign w:val="bottom"/>
          </w:tcPr>
          <w:p>
            <w:pPr>
              <w:spacing w:after="0"/>
              <w:rPr>
                <w:sz w:val="1"/>
                <w:szCs w:val="1"/>
                <w:color w:val="auto"/>
              </w:rPr>
            </w:pPr>
          </w:p>
        </w:tc>
      </w:tr>
      <w:tr>
        <w:trPr>
          <w:trHeight w:val="149"/>
        </w:trPr>
        <w:tc>
          <w:tcPr>
            <w:tcW w:w="2040" w:type="dxa"/>
            <w:vAlign w:val="bottom"/>
            <w:tcBorders>
              <w:right w:val="single" w:sz="8" w:color="237CC1"/>
            </w:tcBorders>
          </w:tcPr>
          <w:p>
            <w:pPr>
              <w:ind w:left="20"/>
              <w:spacing w:after="0" w:line="149" w:lineRule="exact"/>
              <w:rPr>
                <w:sz w:val="20"/>
                <w:szCs w:val="20"/>
                <w:color w:val="auto"/>
              </w:rPr>
            </w:pPr>
            <w:r>
              <w:rPr>
                <w:rFonts w:ascii="Arial" w:cs="Arial" w:eastAsia="Arial" w:hAnsi="Arial"/>
                <w:sz w:val="14"/>
                <w:szCs w:val="14"/>
                <w:color w:val="auto"/>
              </w:rPr>
              <w:t>Termination without cause</w:t>
            </w:r>
          </w:p>
        </w:tc>
        <w:tc>
          <w:tcPr>
            <w:tcW w:w="6400" w:type="dxa"/>
            <w:vAlign w:val="bottom"/>
          </w:tcPr>
          <w:p>
            <w:pPr>
              <w:ind w:left="100"/>
              <w:spacing w:after="0" w:line="149" w:lineRule="exact"/>
              <w:rPr>
                <w:sz w:val="20"/>
                <w:szCs w:val="20"/>
                <w:color w:val="auto"/>
              </w:rPr>
            </w:pPr>
            <w:r>
              <w:rPr>
                <w:rFonts w:ascii="Arial" w:cs="Arial" w:eastAsia="Arial" w:hAnsi="Arial"/>
                <w:sz w:val="14"/>
                <w:szCs w:val="14"/>
                <w:color w:val="auto"/>
              </w:rPr>
              <w:t xml:space="preserve">Payment indicated in </w:t>
            </w:r>
            <w:r>
              <w:rPr>
                <w:rFonts w:ascii="Arial" w:cs="Arial" w:eastAsia="Arial" w:hAnsi="Arial"/>
                <w:sz w:val="14"/>
                <w:szCs w:val="14"/>
                <w:i w:val="1"/>
                <w:iCs w:val="1"/>
                <w:color w:val="auto"/>
              </w:rPr>
              <w:t>Benefits</w:t>
            </w:r>
            <w:r>
              <w:rPr>
                <w:rFonts w:ascii="Arial" w:cs="Arial" w:eastAsia="Arial" w:hAnsi="Arial"/>
                <w:sz w:val="14"/>
                <w:szCs w:val="14"/>
                <w:color w:val="auto"/>
              </w:rPr>
              <w:t xml:space="preserve"> above. Severance allowance includes a lump-sum cash payment</w:t>
            </w:r>
          </w:p>
        </w:tc>
        <w:tc>
          <w:tcPr>
            <w:tcW w:w="0" w:type="dxa"/>
            <w:vAlign w:val="bottom"/>
          </w:tcPr>
          <w:p>
            <w:pPr>
              <w:spacing w:after="0"/>
              <w:rPr>
                <w:sz w:val="1"/>
                <w:szCs w:val="1"/>
                <w:color w:val="auto"/>
              </w:rPr>
            </w:pPr>
          </w:p>
        </w:tc>
      </w:tr>
      <w:tr>
        <w:trPr>
          <w:trHeight w:val="144"/>
        </w:trPr>
        <w:tc>
          <w:tcPr>
            <w:tcW w:w="2040" w:type="dxa"/>
            <w:vAlign w:val="bottom"/>
            <w:tcBorders>
              <w:right w:val="single" w:sz="8" w:color="237CC1"/>
            </w:tcBorders>
          </w:tcPr>
          <w:p>
            <w:pPr>
              <w:spacing w:after="0"/>
              <w:rPr>
                <w:sz w:val="12"/>
                <w:szCs w:val="12"/>
                <w:color w:val="auto"/>
              </w:rPr>
            </w:pPr>
          </w:p>
        </w:tc>
        <w:tc>
          <w:tcPr>
            <w:tcW w:w="6400" w:type="dxa"/>
            <w:vAlign w:val="bottom"/>
          </w:tcPr>
          <w:p>
            <w:pPr>
              <w:ind w:left="100"/>
              <w:spacing w:after="0" w:line="144" w:lineRule="exact"/>
              <w:rPr>
                <w:sz w:val="20"/>
                <w:szCs w:val="20"/>
                <w:color w:val="auto"/>
              </w:rPr>
            </w:pPr>
            <w:r>
              <w:rPr>
                <w:rFonts w:ascii="Arial" w:cs="Arial" w:eastAsia="Arial" w:hAnsi="Arial"/>
                <w:sz w:val="14"/>
                <w:szCs w:val="14"/>
                <w:color w:val="auto"/>
              </w:rPr>
              <w:t>equal to 15 per cent of base salary over the notice period in recognition of loss of benefits and</w:t>
            </w:r>
          </w:p>
        </w:tc>
        <w:tc>
          <w:tcPr>
            <w:tcW w:w="0" w:type="dxa"/>
            <w:vAlign w:val="bottom"/>
          </w:tcPr>
          <w:p>
            <w:pPr>
              <w:spacing w:after="0"/>
              <w:rPr>
                <w:sz w:val="1"/>
                <w:szCs w:val="1"/>
                <w:color w:val="auto"/>
              </w:rPr>
            </w:pPr>
          </w:p>
        </w:tc>
      </w:tr>
      <w:tr>
        <w:trPr>
          <w:trHeight w:val="190"/>
        </w:trPr>
        <w:tc>
          <w:tcPr>
            <w:tcW w:w="2040" w:type="dxa"/>
            <w:vAlign w:val="bottom"/>
            <w:tcBorders>
              <w:right w:val="single" w:sz="8" w:color="237CC1"/>
            </w:tcBorders>
          </w:tcPr>
          <w:p>
            <w:pPr>
              <w:spacing w:after="0"/>
              <w:rPr>
                <w:sz w:val="16"/>
                <w:szCs w:val="16"/>
                <w:color w:val="auto"/>
              </w:rPr>
            </w:pPr>
          </w:p>
        </w:tc>
        <w:tc>
          <w:tcPr>
            <w:tcW w:w="6400" w:type="dxa"/>
            <w:vAlign w:val="bottom"/>
          </w:tcPr>
          <w:p>
            <w:pPr>
              <w:ind w:left="100"/>
              <w:spacing w:after="0"/>
              <w:rPr>
                <w:sz w:val="20"/>
                <w:szCs w:val="20"/>
                <w:color w:val="auto"/>
              </w:rPr>
            </w:pPr>
            <w:r>
              <w:rPr>
                <w:rFonts w:ascii="Arial" w:cs="Arial" w:eastAsia="Arial" w:hAnsi="Arial"/>
                <w:sz w:val="14"/>
                <w:szCs w:val="14"/>
                <w:color w:val="auto"/>
              </w:rPr>
              <w:t>perquisites.</w:t>
            </w:r>
          </w:p>
        </w:tc>
        <w:tc>
          <w:tcPr>
            <w:tcW w:w="0" w:type="dxa"/>
            <w:vAlign w:val="bottom"/>
          </w:tcPr>
          <w:p>
            <w:pPr>
              <w:spacing w:after="0"/>
              <w:rPr>
                <w:sz w:val="1"/>
                <w:szCs w:val="1"/>
                <w:color w:val="auto"/>
              </w:rPr>
            </w:pPr>
          </w:p>
        </w:tc>
      </w:tr>
      <w:tr>
        <w:trPr>
          <w:trHeight w:val="25"/>
        </w:trPr>
        <w:tc>
          <w:tcPr>
            <w:tcW w:w="2040" w:type="dxa"/>
            <w:vAlign w:val="bottom"/>
            <w:tcBorders>
              <w:bottom w:val="single" w:sz="8" w:color="B2B2B2"/>
              <w:right w:val="single" w:sz="8" w:color="237CC1"/>
            </w:tcBorders>
          </w:tcPr>
          <w:p>
            <w:pPr>
              <w:spacing w:after="0"/>
              <w:rPr>
                <w:sz w:val="2"/>
                <w:szCs w:val="2"/>
                <w:color w:val="auto"/>
              </w:rPr>
            </w:pPr>
          </w:p>
        </w:tc>
        <w:tc>
          <w:tcPr>
            <w:tcW w:w="640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Termination with cause</w:t>
            </w:r>
          </w:p>
        </w:tc>
        <w:tc>
          <w:tcPr>
            <w:tcW w:w="6400" w:type="dxa"/>
            <w:vAlign w:val="bottom"/>
          </w:tcPr>
          <w:p>
            <w:pPr>
              <w:ind w:left="100"/>
              <w:spacing w:after="0"/>
              <w:rPr>
                <w:sz w:val="20"/>
                <w:szCs w:val="20"/>
                <w:color w:val="auto"/>
              </w:rPr>
            </w:pPr>
            <w:r>
              <w:rPr>
                <w:rFonts w:ascii="Arial" w:cs="Arial" w:eastAsia="Arial" w:hAnsi="Arial"/>
                <w:sz w:val="14"/>
                <w:szCs w:val="14"/>
                <w:color w:val="auto"/>
              </w:rPr>
              <w:t>Payments end.</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Retirement</w:t>
            </w:r>
          </w:p>
        </w:tc>
        <w:tc>
          <w:tcPr>
            <w:tcW w:w="6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Death</w:t>
            </w:r>
          </w:p>
        </w:tc>
        <w:tc>
          <w:tcPr>
            <w:tcW w:w="640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Resignation</w:t>
            </w:r>
          </w:p>
        </w:tc>
        <w:tc>
          <w:tcPr>
            <w:tcW w:w="640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Termination without cause</w:t>
            </w:r>
          </w:p>
        </w:tc>
        <w:tc>
          <w:tcPr>
            <w:tcW w:w="6400" w:type="dxa"/>
            <w:vAlign w:val="bottom"/>
            <w:tcBorders>
              <w:bottom w:val="single" w:sz="8" w:color="B2B2B2"/>
            </w:tcBorders>
          </w:tcPr>
          <w:p>
            <w:pPr>
              <w:ind w:left="100"/>
              <w:spacing w:after="0"/>
              <w:rPr>
                <w:sz w:val="20"/>
                <w:szCs w:val="20"/>
                <w:color w:val="auto"/>
              </w:rPr>
            </w:pPr>
            <w:r>
              <w:rPr>
                <w:rFonts w:ascii="Arial" w:cs="Arial" w:eastAsia="Arial" w:hAnsi="Arial"/>
                <w:sz w:val="14"/>
                <w:szCs w:val="14"/>
                <w:color w:val="auto"/>
              </w:rPr>
              <w:t>Outplacement services.</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Termination with cause</w:t>
            </w:r>
          </w:p>
        </w:tc>
        <w:tc>
          <w:tcPr>
            <w:tcW w:w="640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40" w:type="dxa"/>
            <w:vAlign w:val="bottom"/>
            <w:tcBorders>
              <w:bottom w:val="single" w:sz="8" w:color="B2B2B2"/>
              <w:right w:val="single" w:sz="8" w:color="237CC1"/>
            </w:tcBorders>
          </w:tcPr>
          <w:p>
            <w:pPr>
              <w:ind w:left="20"/>
              <w:spacing w:after="0"/>
              <w:rPr>
                <w:sz w:val="20"/>
                <w:szCs w:val="20"/>
                <w:color w:val="auto"/>
              </w:rPr>
            </w:pPr>
            <w:r>
              <w:rPr>
                <w:rFonts w:ascii="Arial" w:cs="Arial" w:eastAsia="Arial" w:hAnsi="Arial"/>
                <w:sz w:val="14"/>
                <w:szCs w:val="14"/>
                <w:color w:val="auto"/>
              </w:rPr>
              <w:t>Retirement</w:t>
            </w:r>
          </w:p>
        </w:tc>
        <w:tc>
          <w:tcPr>
            <w:tcW w:w="6400" w:type="dxa"/>
            <w:vAlign w:val="bottom"/>
            <w:tcBorders>
              <w:bottom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40" w:type="dxa"/>
            <w:vAlign w:val="bottom"/>
            <w:tcBorders>
              <w:right w:val="single" w:sz="8" w:color="237CC1"/>
            </w:tcBorders>
          </w:tcPr>
          <w:p>
            <w:pPr>
              <w:ind w:left="20"/>
              <w:spacing w:after="0"/>
              <w:rPr>
                <w:sz w:val="20"/>
                <w:szCs w:val="20"/>
                <w:color w:val="auto"/>
              </w:rPr>
            </w:pPr>
            <w:r>
              <w:rPr>
                <w:rFonts w:ascii="Arial" w:cs="Arial" w:eastAsia="Arial" w:hAnsi="Arial"/>
                <w:sz w:val="14"/>
                <w:szCs w:val="14"/>
                <w:color w:val="auto"/>
              </w:rPr>
              <w:t>Death</w:t>
            </w:r>
          </w:p>
        </w:tc>
        <w:tc>
          <w:tcPr>
            <w:tcW w:w="6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40" w:type="dxa"/>
            <w:vAlign w:val="bottom"/>
            <w:tcBorders>
              <w:right w:val="single" w:sz="8" w:color="237CC1"/>
            </w:tcBorders>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-7620</wp:posOffset>
            </wp:positionV>
            <wp:extent cx="63138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13805"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-4615180</wp:posOffset>
            </wp:positionV>
            <wp:extent cx="63138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13805" cy="825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1300" w:space="220"/>
            <w:col w:w="9720"/>
          </w:cols>
          <w:pgMar w:left="320" w:top="1440" w:right="339" w:bottom="1440" w:gutter="0" w:footer="0" w:header="0"/>
        </w:sectPr>
      </w:pPr>
    </w:p>
    <w:p>
      <w:pPr>
        <w:spacing w:after="0"/>
        <w:rPr>
          <w:sz w:val="20"/>
          <w:szCs w:val="20"/>
          <w:color w:val="auto"/>
        </w:rPr>
      </w:pPr>
      <w:r>
        <w:rPr>
          <w:rFonts w:ascii="Arial" w:cs="Arial" w:eastAsia="Arial" w:hAnsi="Arial"/>
          <w:sz w:val="14"/>
          <w:szCs w:val="14"/>
          <w:color w:val="auto"/>
        </w:rPr>
        <w:t>Notes</w:t>
      </w:r>
    </w:p>
    <w:p>
      <w:pPr>
        <w:spacing w:after="0" w:line="32" w:lineRule="exact"/>
        <w:rPr>
          <w:sz w:val="20"/>
          <w:szCs w:val="20"/>
          <w:color w:val="auto"/>
        </w:rPr>
      </w:pPr>
    </w:p>
    <w:p>
      <w:pPr>
        <w:ind w:left="160" w:right="600" w:hanging="153"/>
        <w:spacing w:after="0" w:line="291" w:lineRule="auto"/>
        <w:tabs>
          <w:tab w:leader="none" w:pos="137" w:val="left"/>
        </w:tabs>
        <w:numPr>
          <w:ilvl w:val="0"/>
          <w:numId w:val="172"/>
        </w:numPr>
        <w:rPr>
          <w:rFonts w:ascii="Arial" w:cs="Arial" w:eastAsia="Arial" w:hAnsi="Arial"/>
          <w:sz w:val="13"/>
          <w:szCs w:val="13"/>
          <w:color w:val="auto"/>
        </w:rPr>
      </w:pPr>
      <w:r>
        <w:rPr>
          <w:rFonts w:ascii="Arial" w:cs="Arial" w:eastAsia="Arial" w:hAnsi="Arial"/>
          <w:sz w:val="13"/>
          <w:szCs w:val="13"/>
          <w:i w:val="1"/>
          <w:iCs w:val="1"/>
          <w:color w:val="auto"/>
        </w:rPr>
        <w:t xml:space="preserve">Resignation </w:t>
      </w:r>
      <w:r>
        <w:rPr>
          <w:rFonts w:ascii="Arial" w:cs="Arial" w:eastAsia="Arial" w:hAnsi="Arial"/>
          <w:sz w:val="13"/>
          <w:szCs w:val="13"/>
          <w:color w:val="auto"/>
        </w:rPr>
        <w:t>includes voluntary resignation but not resignation as a result of constructive dismissal. If a named executive resigns because of constructive dismissal, it is treated as termination</w:t>
      </w:r>
      <w:r>
        <w:rPr>
          <w:rFonts w:ascii="Arial" w:cs="Arial" w:eastAsia="Arial" w:hAnsi="Arial"/>
          <w:sz w:val="13"/>
          <w:szCs w:val="13"/>
          <w:i w:val="1"/>
          <w:iCs w:val="1"/>
          <w:color w:val="auto"/>
        </w:rPr>
        <w:t xml:space="preserve"> </w:t>
      </w:r>
      <w:r>
        <w:rPr>
          <w:rFonts w:ascii="Arial" w:cs="Arial" w:eastAsia="Arial" w:hAnsi="Arial"/>
          <w:sz w:val="13"/>
          <w:szCs w:val="13"/>
          <w:color w:val="auto"/>
        </w:rPr>
        <w:t>without cause.</w:t>
      </w:r>
    </w:p>
    <w:p>
      <w:pPr>
        <w:ind w:left="140" w:hanging="133"/>
        <w:spacing w:after="0"/>
        <w:tabs>
          <w:tab w:leader="none" w:pos="1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short-term incentive</w:t>
      </w:r>
      <w:r>
        <w:rPr>
          <w:rFonts w:ascii="Arial" w:cs="Arial" w:eastAsia="Arial" w:hAnsi="Arial"/>
          <w:sz w:val="13"/>
          <w:szCs w:val="13"/>
          <w:color w:val="auto"/>
        </w:rPr>
        <w:t xml:space="preserve"> award is not paid on resignation unless the Board uses its discretion.</w:t>
      </w:r>
    </w:p>
    <w:p>
      <w:pPr>
        <w:spacing w:after="0" w:line="38" w:lineRule="exact"/>
        <w:rPr>
          <w:rFonts w:ascii="Arial" w:cs="Arial" w:eastAsia="Arial" w:hAnsi="Arial"/>
          <w:sz w:val="13"/>
          <w:szCs w:val="13"/>
          <w:color w:val="auto"/>
        </w:rPr>
      </w:pPr>
    </w:p>
    <w:p>
      <w:pPr>
        <w:ind w:left="140" w:hanging="133"/>
        <w:spacing w:after="0"/>
        <w:tabs>
          <w:tab w:leader="none" w:pos="1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notice period</w:t>
      </w:r>
      <w:r>
        <w:rPr>
          <w:rFonts w:ascii="Arial" w:cs="Arial" w:eastAsia="Arial" w:hAnsi="Arial"/>
          <w:sz w:val="13"/>
          <w:szCs w:val="13"/>
          <w:color w:val="auto"/>
        </w:rPr>
        <w:t xml:space="preserve"> is currently two years for each named executive.</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72"/>
        </w:numPr>
        <w:rPr>
          <w:rFonts w:ascii="Arial" w:cs="Arial" w:eastAsia="Arial" w:hAnsi="Arial"/>
          <w:sz w:val="13"/>
          <w:szCs w:val="13"/>
          <w:color w:val="auto"/>
        </w:rPr>
      </w:pPr>
      <w:r>
        <w:rPr>
          <w:rFonts w:ascii="Arial" w:cs="Arial" w:eastAsia="Arial" w:hAnsi="Arial"/>
          <w:sz w:val="13"/>
          <w:szCs w:val="13"/>
          <w:i w:val="1"/>
          <w:iCs w:val="1"/>
          <w:color w:val="auto"/>
        </w:rPr>
        <w:t xml:space="preserve">Benefits on termination without cause </w:t>
      </w:r>
      <w:r>
        <w:rPr>
          <w:rFonts w:ascii="Arial" w:cs="Arial" w:eastAsia="Arial" w:hAnsi="Arial"/>
          <w:sz w:val="13"/>
          <w:szCs w:val="13"/>
          <w:color w:val="auto"/>
        </w:rPr>
        <w:t>is paid as an equivalent lump-sum for Mr. Chapman, and retiree benefits eligibility for Mr. Chapman would be determined on the termination date.</w:t>
      </w:r>
    </w:p>
    <w:p>
      <w:pPr>
        <w:spacing w:after="0" w:line="38" w:lineRule="exact"/>
        <w:rPr>
          <w:rFonts w:ascii="Arial" w:cs="Arial" w:eastAsia="Arial" w:hAnsi="Arial"/>
          <w:sz w:val="13"/>
          <w:szCs w:val="13"/>
          <w:color w:val="auto"/>
        </w:rPr>
      </w:pPr>
    </w:p>
    <w:p>
      <w:pPr>
        <w:ind w:left="140" w:hanging="133"/>
        <w:spacing w:after="0"/>
        <w:tabs>
          <w:tab w:leader="none" w:pos="1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For Mr. O'Donnell, Ms. Faraca, and Mr. Chapman there are certain differences due to U.S. tax law. These differences are:</w:t>
      </w:r>
    </w:p>
    <w:p>
      <w:pPr>
        <w:spacing w:after="0" w:line="25" w:lineRule="exact"/>
        <w:rPr>
          <w:rFonts w:ascii="Arial" w:cs="Arial" w:eastAsia="Arial" w:hAnsi="Arial"/>
          <w:sz w:val="13"/>
          <w:szCs w:val="13"/>
          <w:color w:val="auto"/>
        </w:rPr>
      </w:pPr>
    </w:p>
    <w:p>
      <w:pPr>
        <w:ind w:left="500" w:right="280" w:hanging="170"/>
        <w:spacing w:after="0" w:line="301" w:lineRule="auto"/>
        <w:tabs>
          <w:tab w:leader="none" w:pos="477" w:val="left"/>
        </w:tabs>
        <w:numPr>
          <w:ilvl w:val="1"/>
          <w:numId w:val="172"/>
        </w:numPr>
        <w:rPr>
          <w:rFonts w:ascii="Arial" w:cs="Arial" w:eastAsia="Arial" w:hAnsi="Arial"/>
          <w:sz w:val="13"/>
          <w:szCs w:val="13"/>
          <w:color w:val="auto"/>
        </w:rPr>
      </w:pPr>
      <w:r>
        <w:rPr>
          <w:rFonts w:ascii="Arial" w:cs="Arial" w:eastAsia="Arial" w:hAnsi="Arial"/>
          <w:sz w:val="13"/>
          <w:szCs w:val="13"/>
          <w:color w:val="auto"/>
        </w:rPr>
        <w:t>to the extent any of Mr. O'Donnell's, Ms. Faraca's, or Mr. Chapman's payments are subject to section 409A of the U.S. Internal Revenue Code of 1986, these payments may be deferred for a period of six months following the date of termination, and</w:t>
      </w:r>
    </w:p>
    <w:p>
      <w:pPr>
        <w:spacing w:after="0" w:line="1" w:lineRule="exact"/>
        <w:rPr>
          <w:rFonts w:ascii="Arial" w:cs="Arial" w:eastAsia="Arial" w:hAnsi="Arial"/>
          <w:sz w:val="13"/>
          <w:szCs w:val="13"/>
          <w:color w:val="auto"/>
        </w:rPr>
      </w:pPr>
    </w:p>
    <w:p>
      <w:pPr>
        <w:ind w:left="460" w:hanging="130"/>
        <w:spacing w:after="0"/>
        <w:tabs>
          <w:tab w:leader="none" w:pos="460" w:val="left"/>
        </w:tabs>
        <w:numPr>
          <w:ilvl w:val="1"/>
          <w:numId w:val="172"/>
        </w:numPr>
        <w:rPr>
          <w:rFonts w:ascii="Arial" w:cs="Arial" w:eastAsia="Arial" w:hAnsi="Arial"/>
          <w:sz w:val="13"/>
          <w:szCs w:val="13"/>
          <w:color w:val="auto"/>
        </w:rPr>
      </w:pPr>
      <w:r>
        <w:rPr>
          <w:rFonts w:ascii="Arial" w:cs="Arial" w:eastAsia="Arial" w:hAnsi="Arial"/>
          <w:sz w:val="13"/>
          <w:szCs w:val="13"/>
          <w:color w:val="auto"/>
        </w:rPr>
        <w:t>certain payments will be reduced in a specific order to the extent excise tax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123</w:t>
      </w:r>
    </w:p>
    <w:p>
      <w:pPr>
        <w:sectPr>
          <w:pgSz w:w="11900" w:h="16838" w:orient="portrait"/>
          <w:cols w:equalWidth="0" w:num="1">
            <w:col w:w="11240"/>
          </w:cols>
          <w:pgMar w:left="320" w:top="1440" w:right="3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b w:val="1"/>
          <w:bCs w:val="1"/>
          <w:color w:val="0D64EF"/>
        </w:rPr>
        <w:t>Departure of Chief Operating Officer</w:t>
      </w:r>
    </w:p>
    <w:p>
      <w:pPr>
        <w:spacing w:after="0" w:line="40" w:lineRule="exact"/>
        <w:rPr>
          <w:sz w:val="20"/>
          <w:szCs w:val="20"/>
          <w:color w:val="auto"/>
        </w:rPr>
      </w:pPr>
    </w:p>
    <w:p>
      <w:pPr>
        <w:ind w:right="20"/>
        <w:spacing w:after="0" w:line="326" w:lineRule="auto"/>
        <w:rPr>
          <w:sz w:val="20"/>
          <w:szCs w:val="20"/>
          <w:color w:val="auto"/>
        </w:rPr>
      </w:pPr>
      <w:r>
        <w:rPr>
          <w:rFonts w:ascii="Arial" w:cs="Arial" w:eastAsia="Arial" w:hAnsi="Arial"/>
          <w:sz w:val="16"/>
          <w:szCs w:val="16"/>
          <w:color w:val="auto"/>
        </w:rPr>
        <w:t>Mr. Chapman retired from TC Energy effective June 30, 2025. His role as Executive Vice-President and Chief Operating Officer, Natural Gas Pipelines transitioned to Tina Faraca effective February 1, 2025, at which point Mr. Chapman assumed the role of Executive Vice-President and Executive Advisor until his date of departure. The following arrangements applied for Mr. Chapman:</w:t>
      </w:r>
    </w:p>
    <w:p>
      <w:pPr>
        <w:spacing w:after="0" w:line="56" w:lineRule="exact"/>
        <w:rPr>
          <w:sz w:val="20"/>
          <w:szCs w:val="20"/>
          <w:color w:val="auto"/>
        </w:rPr>
      </w:pPr>
    </w:p>
    <w:p>
      <w:pPr>
        <w:ind w:left="160" w:right="500" w:hanging="153"/>
        <w:spacing w:after="0" w:line="337" w:lineRule="auto"/>
        <w:tabs>
          <w:tab w:leader="none" w:pos="13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payment of a prorated 2025 short-term incentive was equal to the average short term incentive award for the three years preceding his departure prorated for the actual period between the start of the calendar year and the departure date,</w:t>
      </w:r>
    </w:p>
    <w:p>
      <w:pPr>
        <w:spacing w:after="0" w:line="47" w:lineRule="exact"/>
        <w:rPr>
          <w:rFonts w:ascii="Arial" w:cs="Arial" w:eastAsia="Arial" w:hAnsi="Arial"/>
          <w:sz w:val="16"/>
          <w:szCs w:val="16"/>
          <w:color w:val="auto"/>
        </w:rPr>
      </w:pPr>
    </w:p>
    <w:p>
      <w:pPr>
        <w:ind w:left="160" w:hanging="153"/>
        <w:spacing w:after="0" w:line="337" w:lineRule="auto"/>
        <w:tabs>
          <w:tab w:leader="none" w:pos="13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pursuant to the PSU and the RSU Plan, vested units will be paid out without proration and outstanding grants will continue to vest and will be paid out in the normal course without proration, consistent with retirement treatment approved by the Board,</w:t>
      </w:r>
    </w:p>
    <w:p>
      <w:pPr>
        <w:spacing w:after="0" w:line="47" w:lineRule="exact"/>
        <w:rPr>
          <w:rFonts w:ascii="Arial" w:cs="Arial" w:eastAsia="Arial" w:hAnsi="Arial"/>
          <w:sz w:val="16"/>
          <w:szCs w:val="16"/>
          <w:color w:val="auto"/>
        </w:rPr>
      </w:pPr>
    </w:p>
    <w:p>
      <w:pPr>
        <w:ind w:left="160" w:right="60" w:hanging="153"/>
        <w:spacing w:after="0" w:line="317" w:lineRule="auto"/>
        <w:tabs>
          <w:tab w:leader="none" w:pos="13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pursuant to the Stock Option Plan, the expiry date of each tranche of Stock Options held by Mr. Chapman was revised to the earlier of the original expiry of each respective award or three years from the separation date. There is no change in the value of Mr. Chapman's unexercised in-the-money options as disclosed in the Incentive plan awards on page 116, and</w:t>
      </w:r>
    </w:p>
    <w:p>
      <w:pPr>
        <w:spacing w:after="0" w:line="63" w:lineRule="exact"/>
        <w:rPr>
          <w:rFonts w:ascii="Arial" w:cs="Arial" w:eastAsia="Arial" w:hAnsi="Arial"/>
          <w:sz w:val="16"/>
          <w:szCs w:val="16"/>
          <w:color w:val="auto"/>
        </w:rPr>
      </w:pPr>
    </w:p>
    <w:p>
      <w:pPr>
        <w:ind w:left="140" w:hanging="133"/>
        <w:spacing w:after="0"/>
        <w:tabs>
          <w:tab w:leader="none" w:pos="1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pension benefits as disclosed in the Retirement benefits section on page 99.</w:t>
      </w:r>
    </w:p>
    <w:p>
      <w:pPr>
        <w:spacing w:after="0" w:line="152" w:lineRule="exact"/>
        <w:rPr>
          <w:sz w:val="20"/>
          <w:szCs w:val="20"/>
          <w:color w:val="auto"/>
        </w:rPr>
      </w:pPr>
    </w:p>
    <w:p>
      <w:pPr>
        <w:ind w:right="900"/>
        <w:spacing w:after="0" w:line="337" w:lineRule="auto"/>
        <w:rPr>
          <w:sz w:val="20"/>
          <w:szCs w:val="20"/>
          <w:color w:val="auto"/>
        </w:rPr>
      </w:pPr>
      <w:r>
        <w:rPr>
          <w:rFonts w:ascii="Arial" w:cs="Arial" w:eastAsia="Arial" w:hAnsi="Arial"/>
          <w:sz w:val="16"/>
          <w:szCs w:val="16"/>
          <w:color w:val="auto"/>
        </w:rPr>
        <w:t>Other than as outlined in the Summary Compensation Table under "</w:t>
      </w:r>
      <w:r>
        <w:rPr>
          <w:rFonts w:ascii="Arial" w:cs="Arial" w:eastAsia="Arial" w:hAnsi="Arial"/>
          <w:sz w:val="16"/>
          <w:szCs w:val="16"/>
          <w:i w:val="1"/>
          <w:iCs w:val="1"/>
          <w:color w:val="auto"/>
        </w:rPr>
        <w:t>All other compensation</w:t>
      </w:r>
      <w:r>
        <w:rPr>
          <w:rFonts w:ascii="Arial" w:cs="Arial" w:eastAsia="Arial" w:hAnsi="Arial"/>
          <w:sz w:val="16"/>
          <w:szCs w:val="16"/>
          <w:color w:val="auto"/>
        </w:rPr>
        <w:t>" in 2025, no additional allowance, severance or other compensation was paid to Mr. Chapman upon his departure.</w:t>
      </w:r>
    </w:p>
    <w:p>
      <w:pPr>
        <w:spacing w:after="0" w:line="48" w:lineRule="exact"/>
        <w:rPr>
          <w:sz w:val="20"/>
          <w:szCs w:val="20"/>
          <w:color w:val="auto"/>
        </w:rPr>
      </w:pPr>
    </w:p>
    <w:p>
      <w:pPr>
        <w:jc w:val="both"/>
        <w:ind w:right="340"/>
        <w:spacing w:after="0" w:line="317" w:lineRule="auto"/>
        <w:rPr>
          <w:sz w:val="20"/>
          <w:szCs w:val="20"/>
          <w:color w:val="auto"/>
        </w:rPr>
      </w:pPr>
      <w:r>
        <w:rPr>
          <w:rFonts w:ascii="Arial" w:cs="Arial" w:eastAsia="Arial" w:hAnsi="Arial"/>
          <w:sz w:val="16"/>
          <w:szCs w:val="16"/>
          <w:color w:val="auto"/>
        </w:rPr>
        <w:t>Pursuant to Mr. Chapman's executive employment agreement, the above is subject to his compliance with 12-month non-competition and 12-month non-solicitation provisions, as well as compliance with his fiduciary obligations, confidentiality, non-disclosed, non-disparagement and cooperation provisions, which are not limited in time.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Change of control</w:t>
      </w:r>
    </w:p>
    <w:p>
      <w:pPr>
        <w:spacing w:after="0" w:line="40" w:lineRule="exact"/>
        <w:rPr>
          <w:sz w:val="20"/>
          <w:szCs w:val="20"/>
          <w:color w:val="auto"/>
        </w:rPr>
      </w:pPr>
    </w:p>
    <w:p>
      <w:pPr>
        <w:ind w:right="280"/>
        <w:spacing w:after="0" w:line="337" w:lineRule="auto"/>
        <w:rPr>
          <w:sz w:val="20"/>
          <w:szCs w:val="20"/>
          <w:color w:val="auto"/>
        </w:rPr>
      </w:pPr>
      <w:r>
        <w:rPr>
          <w:rFonts w:ascii="Arial" w:cs="Arial" w:eastAsia="Arial" w:hAnsi="Arial"/>
          <w:sz w:val="16"/>
          <w:szCs w:val="16"/>
          <w:color w:val="auto"/>
        </w:rPr>
        <w:t xml:space="preserve">Under the terms of the employment agreements, the Stock Option Plan, the RSU and the PSU Plan, a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includes an event where another entity becomes the beneficial owner of:</w:t>
      </w:r>
    </w:p>
    <w:p>
      <w:pPr>
        <w:spacing w:after="0" w:line="48" w:lineRule="exact"/>
        <w:rPr>
          <w:sz w:val="20"/>
          <w:szCs w:val="20"/>
          <w:color w:val="auto"/>
        </w:rPr>
      </w:pPr>
    </w:p>
    <w:p>
      <w:pPr>
        <w:ind w:left="140" w:hanging="133"/>
        <w:spacing w:after="0"/>
        <w:tabs>
          <w:tab w:leader="none" w:pos="1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more than 50 per cent of the voting shares of TC Energy, or</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more than 50 per cent of the voting shares of TCPL (not including the voting shares held by TC Energy).</w:t>
      </w:r>
    </w:p>
    <w:p>
      <w:pPr>
        <w:spacing w:after="0" w:line="152" w:lineRule="exact"/>
        <w:rPr>
          <w:sz w:val="20"/>
          <w:szCs w:val="20"/>
          <w:color w:val="auto"/>
        </w:rPr>
      </w:pPr>
    </w:p>
    <w:p>
      <w:pPr>
        <w:ind w:right="2940"/>
        <w:spacing w:after="0" w:line="337" w:lineRule="auto"/>
        <w:rPr>
          <w:sz w:val="20"/>
          <w:szCs w:val="20"/>
          <w:color w:val="auto"/>
        </w:rPr>
      </w:pPr>
      <w:r>
        <w:rPr>
          <w:rFonts w:ascii="Arial" w:cs="Arial" w:eastAsia="Arial" w:hAnsi="Arial"/>
          <w:sz w:val="16"/>
          <w:szCs w:val="16"/>
          <w:color w:val="auto"/>
        </w:rPr>
        <w:t>Other events can also constitute a change of control, including a merger where TC Energy is not the surviving entity, a sale of all, or substantially all, of TCPL’s assets or if the incumbent board ceases to be a majority of the Board.</w:t>
      </w:r>
    </w:p>
    <w:p>
      <w:pPr>
        <w:spacing w:after="0" w:line="48" w:lineRule="exact"/>
        <w:rPr>
          <w:sz w:val="20"/>
          <w:szCs w:val="20"/>
          <w:color w:val="auto"/>
        </w:rPr>
      </w:pPr>
    </w:p>
    <w:p>
      <w:pPr>
        <w:spacing w:after="0" w:line="326" w:lineRule="auto"/>
        <w:rPr>
          <w:sz w:val="20"/>
          <w:szCs w:val="20"/>
          <w:color w:val="auto"/>
        </w:rPr>
      </w:pPr>
      <w:r>
        <w:rPr>
          <w:rFonts w:ascii="Arial" w:cs="Arial" w:eastAsia="Arial" w:hAnsi="Arial"/>
          <w:sz w:val="16"/>
          <w:szCs w:val="16"/>
          <w:color w:val="auto"/>
        </w:rPr>
        <w:t>The following is a summary of the terms and provisions that apply to the compensation of all of the Canadian named executives if there is a change of control and there has been a termination without cause or a constructive dismissal within two years of the change of control (double trigger). Upon a double trigger for the named executives, a 24 month notice period applies, which provides for:</w:t>
      </w:r>
    </w:p>
    <w:p>
      <w:pPr>
        <w:spacing w:after="0" w:line="43" w:lineRule="exact"/>
        <w:rPr>
          <w:sz w:val="20"/>
          <w:szCs w:val="20"/>
          <w:color w:val="auto"/>
        </w:rPr>
      </w:pPr>
    </w:p>
    <w:p>
      <w:pPr>
        <w:ind w:left="160" w:right="20" w:hanging="153"/>
        <w:spacing w:after="0" w:line="306" w:lineRule="auto"/>
        <w:tabs>
          <w:tab w:leader="none" w:pos="13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payment of a severance allowance equal to the annual compensation during the notice period where annual compensation is composed of base salary and an average of annual incentive compensation over three years, or such lesser time, as applicable,</w:t>
      </w:r>
    </w:p>
    <w:p>
      <w:pPr>
        <w:spacing w:after="0" w:line="1" w:lineRule="exact"/>
        <w:rPr>
          <w:rFonts w:ascii="Arial" w:cs="Arial" w:eastAsia="Arial" w:hAnsi="Arial"/>
          <w:sz w:val="16"/>
          <w:szCs w:val="16"/>
          <w:color w:val="auto"/>
        </w:rPr>
      </w:pPr>
    </w:p>
    <w:p>
      <w:pPr>
        <w:ind w:left="160" w:right="420" w:hanging="153"/>
        <w:spacing w:after="0" w:line="306" w:lineRule="auto"/>
        <w:tabs>
          <w:tab w:leader="none" w:pos="13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for retirement benefits, a pensionable service credit of two years under the Supplemental DB Plan or a lump sum payment equal to 9 per cent of base salary for the notice period under the Supplemental DC Plan,</w:t>
      </w:r>
    </w:p>
    <w:p>
      <w:pPr>
        <w:spacing w:after="0" w:line="1" w:lineRule="exact"/>
        <w:rPr>
          <w:rFonts w:ascii="Arial" w:cs="Arial" w:eastAsia="Arial" w:hAnsi="Arial"/>
          <w:sz w:val="16"/>
          <w:szCs w:val="16"/>
          <w:color w:val="auto"/>
        </w:rPr>
      </w:pPr>
    </w:p>
    <w:p>
      <w:pPr>
        <w:ind w:left="140" w:hanging="133"/>
        <w:spacing w:after="0"/>
        <w:tabs>
          <w:tab w:leader="none" w:pos="1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lump sum cash payment equal to 15 per cent of base salary over the notice period,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professional outplacement services to a maximum of $25,000,</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accelerated vesting and payment of PSUs and RSUs at the Human Resources Committee's discretion, and</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accelerated vesting of Stock Options.</w:t>
      </w:r>
    </w:p>
    <w:p>
      <w:pPr>
        <w:spacing w:after="0" w:line="152" w:lineRule="exact"/>
        <w:rPr>
          <w:sz w:val="20"/>
          <w:szCs w:val="20"/>
          <w:color w:val="auto"/>
        </w:rPr>
      </w:pPr>
    </w:p>
    <w:p>
      <w:pPr>
        <w:jc w:val="both"/>
        <w:ind w:right="180"/>
        <w:spacing w:after="0" w:line="317" w:lineRule="auto"/>
        <w:rPr>
          <w:sz w:val="20"/>
          <w:szCs w:val="20"/>
          <w:color w:val="auto"/>
        </w:rPr>
      </w:pPr>
      <w:r>
        <w:rPr>
          <w:rFonts w:ascii="Arial" w:cs="Arial" w:eastAsia="Arial" w:hAnsi="Arial"/>
          <w:sz w:val="16"/>
          <w:szCs w:val="16"/>
          <w:color w:val="auto"/>
        </w:rPr>
        <w:t>If, for any reason, we are unable to implement accelerated vesting (for example, our common shares stop trading), we will pay the named executive a cash amount. This would be equal to the net amount of the compensation the named executive would have received if, on the date of a change of control, such named executive had exercised all vested options and unvested options that would have had accelerated vesting.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61" w:right="35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t>For Mr. O'Donnell, Ms. Faraca, and Mr. Chapman, the same terms and provisions apply, with the following differences:</w:t>
      </w:r>
    </w:p>
    <w:p>
      <w:pPr>
        <w:spacing w:after="0" w:line="152" w:lineRule="exact"/>
        <w:rPr>
          <w:sz w:val="20"/>
          <w:szCs w:val="20"/>
          <w:color w:val="auto"/>
        </w:rPr>
      </w:pPr>
    </w:p>
    <w:p>
      <w:pPr>
        <w:ind w:left="160" w:right="3040" w:hanging="153"/>
        <w:spacing w:after="0" w:line="303" w:lineRule="auto"/>
        <w:tabs>
          <w:tab w:leader="none" w:pos="13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to the extent any of Mr. O'Donnell, Ms. Faraca or Mr. Chapman's payments are subject to section 409A of the U.S. Internal Revenue Code of 1986, the payments may be deferred for a period of six months following the date of termination,</w:t>
      </w:r>
    </w:p>
    <w:p>
      <w:pPr>
        <w:spacing w:after="0" w:line="1" w:lineRule="exact"/>
        <w:rPr>
          <w:rFonts w:ascii="Arial" w:cs="Arial" w:eastAsia="Arial" w:hAnsi="Arial"/>
          <w:sz w:val="16"/>
          <w:szCs w:val="16"/>
          <w:color w:val="auto"/>
        </w:rPr>
      </w:pPr>
    </w:p>
    <w:p>
      <w:pPr>
        <w:ind w:left="160" w:right="3280" w:hanging="153"/>
        <w:spacing w:after="0" w:line="306" w:lineRule="auto"/>
        <w:tabs>
          <w:tab w:leader="none" w:pos="13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for retirement benefits, a non-elective contribution to the Non-Qualified Plan equal to 7 per cent of base salary for the notice period,</w:t>
      </w:r>
    </w:p>
    <w:p>
      <w:pPr>
        <w:spacing w:after="0" w:line="1" w:lineRule="exact"/>
        <w:rPr>
          <w:rFonts w:ascii="Arial" w:cs="Arial" w:eastAsia="Arial" w:hAnsi="Arial"/>
          <w:sz w:val="16"/>
          <w:szCs w:val="16"/>
          <w:color w:val="auto"/>
        </w:rPr>
      </w:pPr>
    </w:p>
    <w:p>
      <w:pPr>
        <w:ind w:left="140" w:hanging="133"/>
        <w:spacing w:after="0"/>
        <w:tabs>
          <w:tab w:leader="none" w:pos="1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certain payments will be reduced in a specific order to the extent excise tax applies,</w:t>
      </w:r>
    </w:p>
    <w:p>
      <w:pPr>
        <w:spacing w:after="0" w:line="44" w:lineRule="exact"/>
        <w:rPr>
          <w:rFonts w:ascii="Arial" w:cs="Arial" w:eastAsia="Arial" w:hAnsi="Arial"/>
          <w:sz w:val="16"/>
          <w:szCs w:val="16"/>
          <w:color w:val="auto"/>
        </w:rPr>
      </w:pPr>
    </w:p>
    <w:p>
      <w:pPr>
        <w:ind w:left="160" w:right="3040" w:hanging="153"/>
        <w:spacing w:after="0" w:line="306" w:lineRule="auto"/>
        <w:tabs>
          <w:tab w:leader="none" w:pos="13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Mr. O'Donnell and Mr. Chapman have elected to receive lump sum cash payments with respect to benefits during the notice period, and</w:t>
      </w:r>
    </w:p>
    <w:p>
      <w:pPr>
        <w:spacing w:after="0" w:line="1" w:lineRule="exact"/>
        <w:rPr>
          <w:rFonts w:ascii="Arial" w:cs="Arial" w:eastAsia="Arial" w:hAnsi="Arial"/>
          <w:sz w:val="16"/>
          <w:szCs w:val="16"/>
          <w:color w:val="auto"/>
        </w:rPr>
      </w:pPr>
    </w:p>
    <w:p>
      <w:pPr>
        <w:ind w:left="140" w:hanging="133"/>
        <w:spacing w:after="0"/>
        <w:tabs>
          <w:tab w:leader="none" w:pos="1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Ms. Faraca has elected to receive two equal installments with respect to benefits during the notice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Separation and other payments</w:t>
      </w:r>
    </w:p>
    <w:p>
      <w:pPr>
        <w:spacing w:after="0" w:line="40"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The table below is a summary of the incremental payments that would be made to each named executive under the different separation events, with and without a deemed change of control. All payments have been calculated using December 31, 2025 as the separation date and the date of a change of control as if it applies. These amounts would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be paid under the terms of the employment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These amounts do not include certain amounts that would be provided under normal course, such as the value of:</w:t>
      </w:r>
    </w:p>
    <w:p>
      <w:pPr>
        <w:spacing w:after="0" w:line="125" w:lineRule="exact"/>
        <w:rPr>
          <w:sz w:val="20"/>
          <w:szCs w:val="20"/>
          <w:color w:val="auto"/>
        </w:rPr>
      </w:pPr>
    </w:p>
    <w:p>
      <w:pPr>
        <w:ind w:left="140" w:hanging="133"/>
        <w:spacing w:after="0"/>
        <w:tabs>
          <w:tab w:leader="none" w:pos="1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any Stock Options, PSUs and RSUs vesting as part of normal employment,</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pension benefits that would normally be provided following resignation, or</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retiree benefits.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20" w:type="dxa"/>
            <w:vAlign w:val="bottom"/>
            <w:tcBorders>
              <w:top w:val="single" w:sz="8" w:color="237CC1"/>
              <w:bottom w:val="single" w:sz="8" w:color="D1D0CF"/>
            </w:tcBorders>
            <w:shd w:val="clear" w:color="auto" w:fill="D1D0CF"/>
          </w:tcPr>
          <w:p>
            <w:pPr>
              <w:spacing w:after="0"/>
              <w:rPr>
                <w:sz w:val="19"/>
                <w:szCs w:val="19"/>
                <w:color w:val="auto"/>
              </w:rPr>
            </w:pPr>
          </w:p>
        </w:tc>
        <w:tc>
          <w:tcPr>
            <w:tcW w:w="1500" w:type="dxa"/>
            <w:vAlign w:val="bottom"/>
            <w:tcBorders>
              <w:top w:val="single" w:sz="8" w:color="237CC1"/>
              <w:bottom w:val="single" w:sz="8" w:color="237CC1"/>
            </w:tcBorders>
            <w:shd w:val="clear" w:color="auto" w:fill="D1D0CF"/>
          </w:tcPr>
          <w:p>
            <w:pPr>
              <w:spacing w:after="0"/>
              <w:rPr>
                <w:sz w:val="19"/>
                <w:szCs w:val="19"/>
                <w:color w:val="auto"/>
              </w:rPr>
            </w:pPr>
          </w:p>
        </w:tc>
        <w:tc>
          <w:tcPr>
            <w:tcW w:w="1340" w:type="dxa"/>
            <w:vAlign w:val="bottom"/>
            <w:tcBorders>
              <w:top w:val="single" w:sz="8" w:color="237CC1"/>
              <w:bottom w:val="single" w:sz="8" w:color="237CC1"/>
            </w:tcBorders>
            <w:shd w:val="clear" w:color="auto" w:fill="D1D0CF"/>
          </w:tcPr>
          <w:p>
            <w:pPr>
              <w:spacing w:after="0"/>
              <w:rPr>
                <w:sz w:val="19"/>
                <w:szCs w:val="19"/>
                <w:color w:val="auto"/>
              </w:rPr>
            </w:pPr>
          </w:p>
        </w:tc>
        <w:tc>
          <w:tcPr>
            <w:tcW w:w="3020" w:type="dxa"/>
            <w:vAlign w:val="bottom"/>
            <w:tcBorders>
              <w:top w:val="single" w:sz="8" w:color="237CC1"/>
              <w:bottom w:val="single" w:sz="8" w:color="237CC1"/>
            </w:tcBorders>
            <w:gridSpan w:val="2"/>
            <w:shd w:val="clear" w:color="auto" w:fill="D1D0CF"/>
          </w:tcPr>
          <w:p>
            <w:pPr>
              <w:jc w:val="right"/>
              <w:ind w:right="728"/>
              <w:spacing w:after="0"/>
              <w:rPr>
                <w:sz w:val="20"/>
                <w:szCs w:val="20"/>
                <w:color w:val="auto"/>
              </w:rPr>
            </w:pPr>
            <w:r>
              <w:rPr>
                <w:rFonts w:ascii="Arial" w:cs="Arial" w:eastAsia="Arial" w:hAnsi="Arial"/>
                <w:sz w:val="14"/>
                <w:szCs w:val="14"/>
                <w:b w:val="1"/>
                <w:bCs w:val="1"/>
                <w:color w:val="auto"/>
              </w:rPr>
              <w:t>Without a change of control</w:t>
            </w:r>
          </w:p>
        </w:tc>
        <w:tc>
          <w:tcPr>
            <w:tcW w:w="1440" w:type="dxa"/>
            <w:vAlign w:val="bottom"/>
            <w:tcBorders>
              <w:top w:val="single" w:sz="8" w:color="237CC1"/>
              <w:bottom w:val="single" w:sz="8" w:color="237CC1"/>
            </w:tcBorders>
            <w:shd w:val="clear" w:color="auto" w:fill="D1D0CF"/>
          </w:tcPr>
          <w:p>
            <w:pPr>
              <w:spacing w:after="0"/>
              <w:rPr>
                <w:sz w:val="19"/>
                <w:szCs w:val="19"/>
                <w:color w:val="auto"/>
              </w:rPr>
            </w:pPr>
          </w:p>
        </w:tc>
        <w:tc>
          <w:tcPr>
            <w:tcW w:w="2080" w:type="dxa"/>
            <w:vAlign w:val="bottom"/>
            <w:tcBorders>
              <w:top w:val="single" w:sz="8" w:color="237CC1"/>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With a change of control</w:t>
            </w:r>
          </w:p>
        </w:tc>
        <w:tc>
          <w:tcPr>
            <w:tcW w:w="0" w:type="dxa"/>
            <w:vAlign w:val="bottom"/>
          </w:tcPr>
          <w:p>
            <w:pPr>
              <w:spacing w:after="0"/>
              <w:rPr>
                <w:sz w:val="1"/>
                <w:szCs w:val="1"/>
                <w:color w:val="auto"/>
              </w:rPr>
            </w:pPr>
          </w:p>
        </w:tc>
      </w:tr>
      <w:tr>
        <w:trPr>
          <w:trHeight w:val="152"/>
        </w:trPr>
        <w:tc>
          <w:tcPr>
            <w:tcW w:w="1720" w:type="dxa"/>
            <w:vAlign w:val="bottom"/>
            <w:shd w:val="clear" w:color="auto" w:fill="D1D0CF"/>
          </w:tcPr>
          <w:p>
            <w:pPr>
              <w:spacing w:after="0"/>
              <w:rPr>
                <w:sz w:val="13"/>
                <w:szCs w:val="13"/>
                <w:color w:val="auto"/>
              </w:rPr>
            </w:pPr>
          </w:p>
        </w:tc>
        <w:tc>
          <w:tcPr>
            <w:tcW w:w="1500" w:type="dxa"/>
            <w:vAlign w:val="bottom"/>
            <w:shd w:val="clear" w:color="auto" w:fill="D1D0CF"/>
          </w:tcPr>
          <w:p>
            <w:pPr>
              <w:spacing w:after="0"/>
              <w:rPr>
                <w:sz w:val="13"/>
                <w:szCs w:val="13"/>
                <w:color w:val="auto"/>
              </w:rPr>
            </w:pPr>
          </w:p>
        </w:tc>
        <w:tc>
          <w:tcPr>
            <w:tcW w:w="1340" w:type="dxa"/>
            <w:vAlign w:val="bottom"/>
            <w:shd w:val="clear" w:color="auto" w:fill="D1D0CF"/>
          </w:tcPr>
          <w:p>
            <w:pPr>
              <w:jc w:val="right"/>
              <w:ind w:right="248"/>
              <w:spacing w:after="0" w:line="152" w:lineRule="exact"/>
              <w:rPr>
                <w:sz w:val="20"/>
                <w:szCs w:val="20"/>
                <w:color w:val="auto"/>
              </w:rPr>
            </w:pPr>
            <w:r>
              <w:rPr>
                <w:rFonts w:ascii="Arial" w:cs="Arial" w:eastAsia="Arial" w:hAnsi="Arial"/>
                <w:sz w:val="14"/>
                <w:szCs w:val="14"/>
                <w:b w:val="1"/>
                <w:bCs w:val="1"/>
                <w:color w:val="auto"/>
              </w:rPr>
              <w:t>Termination</w:t>
            </w:r>
          </w:p>
        </w:tc>
        <w:tc>
          <w:tcPr>
            <w:tcW w:w="1620" w:type="dxa"/>
            <w:vAlign w:val="bottom"/>
            <w:shd w:val="clear" w:color="auto" w:fill="D1D0CF"/>
          </w:tcPr>
          <w:p>
            <w:pPr>
              <w:jc w:val="right"/>
              <w:ind w:right="328"/>
              <w:spacing w:after="0" w:line="152" w:lineRule="exact"/>
              <w:rPr>
                <w:sz w:val="20"/>
                <w:szCs w:val="20"/>
                <w:color w:val="auto"/>
              </w:rPr>
            </w:pPr>
            <w:r>
              <w:rPr>
                <w:rFonts w:ascii="Arial" w:cs="Arial" w:eastAsia="Arial" w:hAnsi="Arial"/>
                <w:sz w:val="14"/>
                <w:szCs w:val="14"/>
                <w:b w:val="1"/>
                <w:bCs w:val="1"/>
                <w:color w:val="auto"/>
              </w:rPr>
              <w:t>Termination</w:t>
            </w:r>
          </w:p>
        </w:tc>
        <w:tc>
          <w:tcPr>
            <w:tcW w:w="1400" w:type="dxa"/>
            <w:vAlign w:val="bottom"/>
            <w:vMerge w:val="restart"/>
            <w:shd w:val="clear" w:color="auto" w:fill="D1D0CF"/>
          </w:tcPr>
          <w:p>
            <w:pPr>
              <w:jc w:val="right"/>
              <w:ind w:right="208"/>
              <w:spacing w:after="0"/>
              <w:rPr>
                <w:sz w:val="20"/>
                <w:szCs w:val="20"/>
                <w:color w:val="auto"/>
              </w:rPr>
            </w:pPr>
            <w:r>
              <w:rPr>
                <w:rFonts w:ascii="Arial" w:cs="Arial" w:eastAsia="Arial" w:hAnsi="Arial"/>
                <w:sz w:val="14"/>
                <w:szCs w:val="14"/>
                <w:b w:val="1"/>
                <w:bCs w:val="1"/>
                <w:color w:val="auto"/>
              </w:rPr>
              <w:t>Retirement</w:t>
            </w:r>
          </w:p>
        </w:tc>
        <w:tc>
          <w:tcPr>
            <w:tcW w:w="1440" w:type="dxa"/>
            <w:vAlign w:val="bottom"/>
            <w:vMerge w:val="restart"/>
            <w:shd w:val="clear" w:color="auto" w:fill="D1D0CF"/>
          </w:tcPr>
          <w:p>
            <w:pPr>
              <w:jc w:val="right"/>
              <w:ind w:right="388"/>
              <w:spacing w:after="0"/>
              <w:rPr>
                <w:sz w:val="20"/>
                <w:szCs w:val="20"/>
                <w:color w:val="auto"/>
              </w:rPr>
            </w:pPr>
            <w:r>
              <w:rPr>
                <w:rFonts w:ascii="Arial" w:cs="Arial" w:eastAsia="Arial" w:hAnsi="Arial"/>
                <w:sz w:val="14"/>
                <w:szCs w:val="14"/>
                <w:b w:val="1"/>
                <w:bCs w:val="1"/>
                <w:color w:val="auto"/>
              </w:rPr>
              <w:t>Death</w:t>
            </w:r>
          </w:p>
        </w:tc>
        <w:tc>
          <w:tcPr>
            <w:tcW w:w="2080" w:type="dxa"/>
            <w:vAlign w:val="bottom"/>
            <w:shd w:val="clear" w:color="auto" w:fill="D1D0CF"/>
          </w:tcPr>
          <w:p>
            <w:pPr>
              <w:jc w:val="right"/>
              <w:spacing w:after="0" w:line="152" w:lineRule="exact"/>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57"/>
        </w:trPr>
        <w:tc>
          <w:tcPr>
            <w:tcW w:w="1720" w:type="dxa"/>
            <w:vAlign w:val="bottom"/>
            <w:vMerge w:val="restart"/>
            <w:shd w:val="clear" w:color="auto" w:fill="D1D0CF"/>
          </w:tcPr>
          <w:p>
            <w:pPr>
              <w:ind w:left="20"/>
              <w:spacing w:after="0"/>
              <w:rPr>
                <w:sz w:val="20"/>
                <w:szCs w:val="20"/>
                <w:color w:val="auto"/>
              </w:rPr>
            </w:pPr>
            <w:r>
              <w:rPr>
                <w:rFonts w:ascii="Arial" w:cs="Arial" w:eastAsia="Arial" w:hAnsi="Arial"/>
                <w:sz w:val="14"/>
                <w:szCs w:val="14"/>
                <w:b w:val="1"/>
                <w:bCs w:val="1"/>
                <w:color w:val="auto"/>
              </w:rPr>
              <w:t>Name</w:t>
            </w:r>
          </w:p>
        </w:tc>
        <w:tc>
          <w:tcPr>
            <w:tcW w:w="1500" w:type="dxa"/>
            <w:vAlign w:val="bottom"/>
            <w:shd w:val="clear" w:color="auto" w:fill="D1D0CF"/>
          </w:tcPr>
          <w:p>
            <w:pPr>
              <w:ind w:left="480"/>
              <w:spacing w:after="0" w:line="157" w:lineRule="exact"/>
              <w:rPr>
                <w:sz w:val="20"/>
                <w:szCs w:val="20"/>
                <w:color w:val="auto"/>
              </w:rPr>
            </w:pPr>
            <w:r>
              <w:rPr>
                <w:rFonts w:ascii="Arial" w:cs="Arial" w:eastAsia="Arial" w:hAnsi="Arial"/>
                <w:sz w:val="14"/>
                <w:szCs w:val="14"/>
                <w:b w:val="1"/>
                <w:bCs w:val="1"/>
                <w:color w:val="auto"/>
              </w:rPr>
              <w:t>Resignation</w:t>
            </w:r>
          </w:p>
        </w:tc>
        <w:tc>
          <w:tcPr>
            <w:tcW w:w="1340" w:type="dxa"/>
            <w:vAlign w:val="bottom"/>
            <w:shd w:val="clear" w:color="auto" w:fill="D1D0CF"/>
          </w:tcPr>
          <w:p>
            <w:pPr>
              <w:jc w:val="right"/>
              <w:ind w:right="248"/>
              <w:spacing w:after="0" w:line="157" w:lineRule="exact"/>
              <w:rPr>
                <w:sz w:val="20"/>
                <w:szCs w:val="20"/>
                <w:color w:val="auto"/>
              </w:rPr>
            </w:pPr>
            <w:r>
              <w:rPr>
                <w:rFonts w:ascii="Arial" w:cs="Arial" w:eastAsia="Arial" w:hAnsi="Arial"/>
                <w:sz w:val="14"/>
                <w:szCs w:val="14"/>
                <w:b w:val="1"/>
                <w:bCs w:val="1"/>
                <w:color w:val="auto"/>
              </w:rPr>
              <w:t>with cause</w:t>
            </w:r>
          </w:p>
        </w:tc>
        <w:tc>
          <w:tcPr>
            <w:tcW w:w="1620" w:type="dxa"/>
            <w:vAlign w:val="bottom"/>
            <w:shd w:val="clear" w:color="auto" w:fill="D1D0CF"/>
          </w:tcPr>
          <w:p>
            <w:pPr>
              <w:jc w:val="right"/>
              <w:ind w:right="328"/>
              <w:spacing w:after="0" w:line="157" w:lineRule="exact"/>
              <w:rPr>
                <w:sz w:val="20"/>
                <w:szCs w:val="20"/>
                <w:color w:val="auto"/>
              </w:rPr>
            </w:pPr>
            <w:r>
              <w:rPr>
                <w:rFonts w:ascii="Arial" w:cs="Arial" w:eastAsia="Arial" w:hAnsi="Arial"/>
                <w:sz w:val="14"/>
                <w:szCs w:val="14"/>
                <w:b w:val="1"/>
                <w:bCs w:val="1"/>
                <w:color w:val="auto"/>
              </w:rPr>
              <w:t>without cause</w:t>
            </w:r>
          </w:p>
        </w:tc>
        <w:tc>
          <w:tcPr>
            <w:tcW w:w="1400" w:type="dxa"/>
            <w:vAlign w:val="bottom"/>
            <w:vMerge w:val="continue"/>
            <w:shd w:val="clear" w:color="auto" w:fill="D1D0CF"/>
          </w:tcPr>
          <w:p>
            <w:pPr>
              <w:spacing w:after="0"/>
              <w:rPr>
                <w:sz w:val="13"/>
                <w:szCs w:val="13"/>
                <w:color w:val="auto"/>
              </w:rPr>
            </w:pPr>
          </w:p>
        </w:tc>
        <w:tc>
          <w:tcPr>
            <w:tcW w:w="1440" w:type="dxa"/>
            <w:vAlign w:val="bottom"/>
            <w:vMerge w:val="continue"/>
            <w:shd w:val="clear" w:color="auto" w:fill="D1D0CF"/>
          </w:tcPr>
          <w:p>
            <w:pPr>
              <w:spacing w:after="0"/>
              <w:rPr>
                <w:sz w:val="13"/>
                <w:szCs w:val="13"/>
                <w:color w:val="auto"/>
              </w:rPr>
            </w:pPr>
          </w:p>
        </w:tc>
        <w:tc>
          <w:tcPr>
            <w:tcW w:w="2080" w:type="dxa"/>
            <w:vAlign w:val="bottom"/>
            <w:shd w:val="clear" w:color="auto" w:fill="D1D0CF"/>
          </w:tcPr>
          <w:p>
            <w:pPr>
              <w:jc w:val="right"/>
              <w:spacing w:after="0" w:line="157" w:lineRule="exact"/>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88"/>
        </w:trPr>
        <w:tc>
          <w:tcPr>
            <w:tcW w:w="1720" w:type="dxa"/>
            <w:vAlign w:val="bottom"/>
            <w:tcBorders>
              <w:bottom w:val="single" w:sz="8" w:color="237CC1"/>
            </w:tcBorders>
            <w:vMerge w:val="continue"/>
            <w:shd w:val="clear" w:color="auto" w:fill="D1D0CF"/>
          </w:tcPr>
          <w:p>
            <w:pPr>
              <w:spacing w:after="0"/>
              <w:rPr>
                <w:sz w:val="16"/>
                <w:szCs w:val="16"/>
                <w:color w:val="auto"/>
              </w:rPr>
            </w:pPr>
          </w:p>
        </w:tc>
        <w:tc>
          <w:tcPr>
            <w:tcW w:w="1500" w:type="dxa"/>
            <w:vAlign w:val="bottom"/>
            <w:tcBorders>
              <w:bottom w:val="single" w:sz="8" w:color="237CC1"/>
            </w:tcBorders>
            <w:shd w:val="clear" w:color="auto" w:fill="D1D0CF"/>
          </w:tcPr>
          <w:p>
            <w:pPr>
              <w:ind w:left="1120"/>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237CC1"/>
            </w:tcBorders>
            <w:shd w:val="clear" w:color="auto" w:fill="D1D0CF"/>
          </w:tcPr>
          <w:p>
            <w:pPr>
              <w:ind w:left="880"/>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237CC1"/>
            </w:tcBorders>
            <w:shd w:val="clear" w:color="auto" w:fill="D1D0CF"/>
          </w:tcPr>
          <w:p>
            <w:pPr>
              <w:jc w:val="right"/>
              <w:ind w:right="28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237CC1"/>
            </w:tcBorders>
            <w:shd w:val="clear" w:color="auto" w:fill="D1D0CF"/>
          </w:tcPr>
          <w:p>
            <w:pPr>
              <w:jc w:val="right"/>
              <w:ind w:right="16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237CC1"/>
            </w:tcBorders>
            <w:shd w:val="clear" w:color="auto" w:fill="D1D0CF"/>
          </w:tcPr>
          <w:p>
            <w:pPr>
              <w:jc w:val="right"/>
              <w:ind w:right="348"/>
              <w:spacing w:after="0"/>
              <w:rPr>
                <w:sz w:val="20"/>
                <w:szCs w:val="20"/>
                <w:color w:val="auto"/>
              </w:rPr>
            </w:pPr>
            <w:r>
              <w:rPr>
                <w:rFonts w:ascii="Arial" w:cs="Arial" w:eastAsia="Arial" w:hAnsi="Arial"/>
                <w:sz w:val="14"/>
                <w:szCs w:val="14"/>
                <w:b w:val="1"/>
                <w:bCs w:val="1"/>
                <w:color w:val="auto"/>
              </w:rPr>
              <w:t>($)</w:t>
            </w:r>
          </w:p>
        </w:tc>
        <w:tc>
          <w:tcPr>
            <w:tcW w:w="208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1"/>
        </w:trPr>
        <w:tc>
          <w:tcPr>
            <w:tcW w:w="17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François Poirier</w:t>
            </w:r>
          </w:p>
        </w:tc>
        <w:tc>
          <w:tcPr>
            <w:tcW w:w="1500" w:type="dxa"/>
            <w:vAlign w:val="bottom"/>
            <w:tcBorders>
              <w:bottom w:val="single" w:sz="8" w:color="B2B2B2"/>
            </w:tcBorders>
          </w:tcPr>
          <w:p>
            <w:pPr>
              <w:ind w:left="110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B2B2B2"/>
            </w:tcBorders>
          </w:tcPr>
          <w:p>
            <w:pPr>
              <w:ind w:left="86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13,057,419</w:t>
            </w:r>
          </w:p>
        </w:tc>
        <w:tc>
          <w:tcPr>
            <w:tcW w:w="1400" w:type="dxa"/>
            <w:vAlign w:val="bottom"/>
            <w:tcBorders>
              <w:bottom w:val="single" w:sz="8" w:color="B2B2B2"/>
            </w:tcBorders>
          </w:tcPr>
          <w:p>
            <w:pPr>
              <w:jc w:val="right"/>
              <w:ind w:right="208"/>
              <w:spacing w:after="0"/>
              <w:rPr>
                <w:sz w:val="20"/>
                <w:szCs w:val="20"/>
                <w:color w:val="auto"/>
              </w:rPr>
            </w:pPr>
            <w:r>
              <w:rPr>
                <w:rFonts w:ascii="Arial" w:cs="Arial" w:eastAsia="Arial" w:hAnsi="Arial"/>
                <w:sz w:val="14"/>
                <w:szCs w:val="14"/>
                <w:color w:val="auto"/>
              </w:rPr>
              <w:t>2,210,194</w:t>
            </w:r>
          </w:p>
        </w:tc>
        <w:tc>
          <w:tcPr>
            <w:tcW w:w="1440" w:type="dxa"/>
            <w:vAlign w:val="bottom"/>
            <w:tcBorders>
              <w:bottom w:val="single" w:sz="8" w:color="B2B2B2"/>
            </w:tcBorders>
          </w:tcPr>
          <w:p>
            <w:pPr>
              <w:jc w:val="right"/>
              <w:ind w:right="388"/>
              <w:spacing w:after="0"/>
              <w:rPr>
                <w:sz w:val="20"/>
                <w:szCs w:val="20"/>
                <w:color w:val="auto"/>
              </w:rPr>
            </w:pPr>
            <w:r>
              <w:rPr>
                <w:rFonts w:ascii="Arial" w:cs="Arial" w:eastAsia="Arial" w:hAnsi="Arial"/>
                <w:sz w:val="14"/>
                <w:szCs w:val="14"/>
                <w:color w:val="auto"/>
              </w:rPr>
              <w:t>21,500,296</w:t>
            </w:r>
          </w:p>
        </w:tc>
        <w:tc>
          <w:tcPr>
            <w:tcW w:w="2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55,514,223</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Sean O'Donnell</w:t>
            </w:r>
          </w:p>
        </w:tc>
        <w:tc>
          <w:tcPr>
            <w:tcW w:w="1500" w:type="dxa"/>
            <w:vAlign w:val="bottom"/>
            <w:tcBorders>
              <w:bottom w:val="single" w:sz="8" w:color="B2B2B2"/>
            </w:tcBorders>
          </w:tcPr>
          <w:p>
            <w:pPr>
              <w:ind w:left="110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B2B2B2"/>
            </w:tcBorders>
          </w:tcPr>
          <w:p>
            <w:pPr>
              <w:ind w:left="86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10,662,418</w:t>
            </w:r>
          </w:p>
        </w:tc>
        <w:tc>
          <w:tcPr>
            <w:tcW w:w="1400" w:type="dxa"/>
            <w:vAlign w:val="bottom"/>
            <w:tcBorders>
              <w:bottom w:val="single" w:sz="8" w:color="B2B2B2"/>
            </w:tcBorders>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B2B2B2"/>
            </w:tcBorders>
          </w:tcPr>
          <w:p>
            <w:pPr>
              <w:jc w:val="right"/>
              <w:ind w:right="388"/>
              <w:spacing w:after="0"/>
              <w:rPr>
                <w:sz w:val="20"/>
                <w:szCs w:val="20"/>
                <w:color w:val="auto"/>
              </w:rPr>
            </w:pPr>
            <w:r>
              <w:rPr>
                <w:rFonts w:ascii="Arial" w:cs="Arial" w:eastAsia="Arial" w:hAnsi="Arial"/>
                <w:sz w:val="14"/>
                <w:szCs w:val="14"/>
                <w:color w:val="auto"/>
              </w:rPr>
              <w:t>5,602,155</w:t>
            </w:r>
          </w:p>
        </w:tc>
        <w:tc>
          <w:tcPr>
            <w:tcW w:w="2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18,129,389</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Tina Faraca</w:t>
            </w:r>
          </w:p>
        </w:tc>
        <w:tc>
          <w:tcPr>
            <w:tcW w:w="1500" w:type="dxa"/>
            <w:vAlign w:val="bottom"/>
            <w:tcBorders>
              <w:bottom w:val="single" w:sz="8" w:color="B2B2B2"/>
            </w:tcBorders>
          </w:tcPr>
          <w:p>
            <w:pPr>
              <w:ind w:left="110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B2B2B2"/>
            </w:tcBorders>
          </w:tcPr>
          <w:p>
            <w:pPr>
              <w:ind w:left="86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5,487,353</w:t>
            </w:r>
          </w:p>
        </w:tc>
        <w:tc>
          <w:tcPr>
            <w:tcW w:w="1400" w:type="dxa"/>
            <w:vAlign w:val="bottom"/>
            <w:tcBorders>
              <w:bottom w:val="single" w:sz="8" w:color="B2B2B2"/>
            </w:tcBorders>
          </w:tcPr>
          <w:p>
            <w:pPr>
              <w:jc w:val="right"/>
              <w:ind w:right="208"/>
              <w:spacing w:after="0"/>
              <w:rPr>
                <w:sz w:val="20"/>
                <w:szCs w:val="20"/>
                <w:color w:val="auto"/>
              </w:rPr>
            </w:pPr>
            <w:r>
              <w:rPr>
                <w:rFonts w:ascii="Arial" w:cs="Arial" w:eastAsia="Arial" w:hAnsi="Arial"/>
                <w:sz w:val="14"/>
                <w:szCs w:val="14"/>
                <w:color w:val="auto"/>
              </w:rPr>
              <w:t>823,398</w:t>
            </w:r>
          </w:p>
        </w:tc>
        <w:tc>
          <w:tcPr>
            <w:tcW w:w="1440" w:type="dxa"/>
            <w:vAlign w:val="bottom"/>
            <w:tcBorders>
              <w:bottom w:val="single" w:sz="8" w:color="B2B2B2"/>
            </w:tcBorders>
          </w:tcPr>
          <w:p>
            <w:pPr>
              <w:jc w:val="right"/>
              <w:ind w:right="388"/>
              <w:spacing w:after="0"/>
              <w:rPr>
                <w:sz w:val="20"/>
                <w:szCs w:val="20"/>
                <w:color w:val="auto"/>
              </w:rPr>
            </w:pPr>
            <w:r>
              <w:rPr>
                <w:rFonts w:ascii="Arial" w:cs="Arial" w:eastAsia="Arial" w:hAnsi="Arial"/>
                <w:sz w:val="14"/>
                <w:szCs w:val="14"/>
                <w:color w:val="auto"/>
              </w:rPr>
              <w:t>5,205,795</w:t>
            </w:r>
          </w:p>
        </w:tc>
        <w:tc>
          <w:tcPr>
            <w:tcW w:w="2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16,378,268</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Anita Dusevic Oliva</w:t>
            </w:r>
          </w:p>
        </w:tc>
        <w:tc>
          <w:tcPr>
            <w:tcW w:w="1500" w:type="dxa"/>
            <w:vAlign w:val="bottom"/>
            <w:tcBorders>
              <w:bottom w:val="single" w:sz="8" w:color="B2B2B2"/>
            </w:tcBorders>
          </w:tcPr>
          <w:p>
            <w:pPr>
              <w:ind w:left="110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B2B2B2"/>
            </w:tcBorders>
          </w:tcPr>
          <w:p>
            <w:pPr>
              <w:ind w:left="86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B2B2B2"/>
            </w:tcBorders>
          </w:tcPr>
          <w:p>
            <w:pPr>
              <w:jc w:val="right"/>
              <w:ind w:right="328"/>
              <w:spacing w:after="0"/>
              <w:rPr>
                <w:sz w:val="20"/>
                <w:szCs w:val="20"/>
                <w:color w:val="auto"/>
              </w:rPr>
            </w:pPr>
            <w:r>
              <w:rPr>
                <w:rFonts w:ascii="Arial" w:cs="Arial" w:eastAsia="Arial" w:hAnsi="Arial"/>
                <w:sz w:val="14"/>
                <w:szCs w:val="14"/>
                <w:color w:val="auto"/>
              </w:rPr>
              <w:t>4,737,500</w:t>
            </w:r>
          </w:p>
        </w:tc>
        <w:tc>
          <w:tcPr>
            <w:tcW w:w="1400" w:type="dxa"/>
            <w:vAlign w:val="bottom"/>
            <w:tcBorders>
              <w:bottom w:val="single" w:sz="8" w:color="B2B2B2"/>
            </w:tcBorders>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B2B2B2"/>
            </w:tcBorders>
          </w:tcPr>
          <w:p>
            <w:pPr>
              <w:jc w:val="right"/>
              <w:ind w:right="388"/>
              <w:spacing w:after="0"/>
              <w:rPr>
                <w:sz w:val="20"/>
                <w:szCs w:val="20"/>
                <w:color w:val="auto"/>
              </w:rPr>
            </w:pPr>
            <w:r>
              <w:rPr>
                <w:rFonts w:ascii="Arial" w:cs="Arial" w:eastAsia="Arial" w:hAnsi="Arial"/>
                <w:sz w:val="14"/>
                <w:szCs w:val="14"/>
                <w:color w:val="auto"/>
              </w:rPr>
              <w:t>2,162,500</w:t>
            </w:r>
          </w:p>
        </w:tc>
        <w:tc>
          <w:tcPr>
            <w:tcW w:w="2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7,722,469</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237CC1"/>
            </w:tcBorders>
          </w:tcPr>
          <w:p>
            <w:pPr>
              <w:ind w:left="20"/>
              <w:spacing w:after="0"/>
              <w:rPr>
                <w:sz w:val="20"/>
                <w:szCs w:val="20"/>
                <w:color w:val="auto"/>
              </w:rPr>
            </w:pPr>
            <w:r>
              <w:rPr>
                <w:rFonts w:ascii="Arial" w:cs="Arial" w:eastAsia="Arial" w:hAnsi="Arial"/>
                <w:sz w:val="14"/>
                <w:szCs w:val="14"/>
                <w:color w:val="auto"/>
              </w:rPr>
              <w:t>Stanley Chapman III</w:t>
            </w:r>
          </w:p>
        </w:tc>
        <w:tc>
          <w:tcPr>
            <w:tcW w:w="1500" w:type="dxa"/>
            <w:vAlign w:val="bottom"/>
            <w:tcBorders>
              <w:bottom w:val="single" w:sz="8" w:color="237CC1"/>
            </w:tcBorders>
          </w:tcPr>
          <w:p>
            <w:pPr>
              <w:ind w:left="110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237CC1"/>
            </w:tcBorders>
          </w:tcPr>
          <w:p>
            <w:pPr>
              <w:ind w:left="86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237CC1"/>
            </w:tcBorders>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237CC1"/>
            </w:tcBorders>
          </w:tcPr>
          <w:p>
            <w:pPr>
              <w:jc w:val="right"/>
              <w:ind w:right="208"/>
              <w:spacing w:after="0"/>
              <w:rPr>
                <w:sz w:val="20"/>
                <w:szCs w:val="20"/>
                <w:color w:val="auto"/>
              </w:rPr>
            </w:pPr>
            <w:r>
              <w:rPr>
                <w:rFonts w:ascii="Arial" w:cs="Arial" w:eastAsia="Arial" w:hAnsi="Arial"/>
                <w:sz w:val="14"/>
                <w:szCs w:val="14"/>
                <w:color w:val="auto"/>
              </w:rPr>
              <w:t>801,823</w:t>
            </w:r>
          </w:p>
        </w:tc>
        <w:tc>
          <w:tcPr>
            <w:tcW w:w="1440" w:type="dxa"/>
            <w:vAlign w:val="bottom"/>
            <w:tcBorders>
              <w:bottom w:val="single" w:sz="8" w:color="237CC1"/>
            </w:tcBorders>
          </w:tcPr>
          <w:p>
            <w:pPr>
              <w:jc w:val="right"/>
              <w:ind w:right="38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237CC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45" w:lineRule="exact"/>
        <w:rPr>
          <w:sz w:val="20"/>
          <w:szCs w:val="20"/>
          <w:color w:val="auto"/>
        </w:rPr>
      </w:pPr>
    </w:p>
    <w:p>
      <w:pPr>
        <w:ind w:left="160" w:right="2620" w:hanging="153"/>
        <w:spacing w:after="0" w:line="291" w:lineRule="auto"/>
        <w:tabs>
          <w:tab w:leader="none" w:pos="137" w:val="left"/>
        </w:tabs>
        <w:numPr>
          <w:ilvl w:val="0"/>
          <w:numId w:val="178"/>
        </w:numPr>
        <w:rPr>
          <w:rFonts w:ascii="Arial" w:cs="Arial" w:eastAsia="Arial" w:hAnsi="Arial"/>
          <w:sz w:val="13"/>
          <w:szCs w:val="13"/>
          <w:color w:val="auto"/>
        </w:rPr>
      </w:pPr>
      <w:r>
        <w:rPr>
          <w:rFonts w:ascii="Arial" w:cs="Arial" w:eastAsia="Arial" w:hAnsi="Arial"/>
          <w:sz w:val="13"/>
          <w:szCs w:val="13"/>
          <w:i w:val="1"/>
          <w:iCs w:val="1"/>
          <w:color w:val="auto"/>
        </w:rPr>
        <w:t xml:space="preserve">Termination without cause following a change of control </w:t>
      </w:r>
      <w:r>
        <w:rPr>
          <w:rFonts w:ascii="Arial" w:cs="Arial" w:eastAsia="Arial" w:hAnsi="Arial"/>
          <w:sz w:val="13"/>
          <w:szCs w:val="13"/>
          <w:color w:val="auto"/>
        </w:rPr>
        <w:t>also applies if the named executive resigns because of constructive dismissal and the separation</w:t>
      </w:r>
      <w:r>
        <w:rPr>
          <w:rFonts w:ascii="Arial" w:cs="Arial" w:eastAsia="Arial" w:hAnsi="Arial"/>
          <w:sz w:val="13"/>
          <w:szCs w:val="13"/>
          <w:i w:val="1"/>
          <w:iCs w:val="1"/>
          <w:color w:val="auto"/>
        </w:rPr>
        <w:t xml:space="preserve"> </w:t>
      </w:r>
      <w:r>
        <w:rPr>
          <w:rFonts w:ascii="Arial" w:cs="Arial" w:eastAsia="Arial" w:hAnsi="Arial"/>
          <w:sz w:val="13"/>
          <w:szCs w:val="13"/>
          <w:color w:val="auto"/>
        </w:rPr>
        <w:t>date is within two years of the date of a change of control.</w:t>
      </w:r>
    </w:p>
    <w:p>
      <w:pPr>
        <w:ind w:left="140" w:hanging="133"/>
        <w:spacing w:after="0"/>
        <w:tabs>
          <w:tab w:leader="none" w:pos="14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There are no incremental payments that would be made to each named executive in the event of a change of control without termination.</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 xml:space="preserve">PSUs, RSUs and Stock Options continue to vest under the </w:t>
      </w:r>
      <w:r>
        <w:rPr>
          <w:rFonts w:ascii="Arial" w:cs="Arial" w:eastAsia="Arial" w:hAnsi="Arial"/>
          <w:sz w:val="13"/>
          <w:szCs w:val="13"/>
          <w:i w:val="1"/>
          <w:iCs w:val="1"/>
          <w:color w:val="auto"/>
        </w:rPr>
        <w:t>Retirement</w:t>
      </w:r>
      <w:r>
        <w:rPr>
          <w:rFonts w:ascii="Arial" w:cs="Arial" w:eastAsia="Arial" w:hAnsi="Arial"/>
          <w:sz w:val="13"/>
          <w:szCs w:val="13"/>
          <w:color w:val="auto"/>
        </w:rPr>
        <w:t xml:space="preserve"> scenario, provided the named executive is age 55 or over.</w:t>
      </w:r>
    </w:p>
    <w:p>
      <w:pPr>
        <w:spacing w:after="0" w:line="38" w:lineRule="exact"/>
        <w:rPr>
          <w:rFonts w:ascii="Arial" w:cs="Arial" w:eastAsia="Arial" w:hAnsi="Arial"/>
          <w:sz w:val="13"/>
          <w:szCs w:val="13"/>
          <w:color w:val="auto"/>
        </w:rPr>
      </w:pPr>
    </w:p>
    <w:p>
      <w:pPr>
        <w:ind w:left="140" w:hanging="133"/>
        <w:spacing w:after="0"/>
        <w:tabs>
          <w:tab w:leader="none" w:pos="14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Mr. O'Donnell and Ms. Dusevic Oliva were not eligible for retirement as of December 31, 2025.</w:t>
      </w:r>
    </w:p>
    <w:p>
      <w:pPr>
        <w:spacing w:after="0" w:line="25" w:lineRule="exact"/>
        <w:rPr>
          <w:rFonts w:ascii="Arial" w:cs="Arial" w:eastAsia="Arial" w:hAnsi="Arial"/>
          <w:sz w:val="13"/>
          <w:szCs w:val="13"/>
          <w:color w:val="auto"/>
        </w:rPr>
      </w:pPr>
    </w:p>
    <w:p>
      <w:pPr>
        <w:ind w:left="140" w:hanging="133"/>
        <w:spacing w:after="0"/>
        <w:tabs>
          <w:tab w:leader="none" w:pos="14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Values provided to Mr. O'Donnell, Ms. Faraca and Mr. Chapman reflect a U.S./Canada foreign exchange rate of 1.3978 in 2025.</w:t>
      </w:r>
    </w:p>
    <w:p>
      <w:pPr>
        <w:spacing w:after="0" w:line="38" w:lineRule="exact"/>
        <w:rPr>
          <w:rFonts w:ascii="Arial" w:cs="Arial" w:eastAsia="Arial" w:hAnsi="Arial"/>
          <w:sz w:val="13"/>
          <w:szCs w:val="13"/>
          <w:color w:val="auto"/>
        </w:rPr>
      </w:pPr>
    </w:p>
    <w:p>
      <w:pPr>
        <w:ind w:left="160" w:right="2800" w:hanging="153"/>
        <w:spacing w:after="0" w:line="405" w:lineRule="auto"/>
        <w:tabs>
          <w:tab w:leader="none" w:pos="137" w:val="left"/>
        </w:tabs>
        <w:numPr>
          <w:ilvl w:val="0"/>
          <w:numId w:val="178"/>
        </w:numPr>
        <w:rPr>
          <w:rFonts w:ascii="Arial" w:cs="Arial" w:eastAsia="Arial" w:hAnsi="Arial"/>
          <w:sz w:val="11"/>
          <w:szCs w:val="11"/>
          <w:color w:val="auto"/>
        </w:rPr>
      </w:pPr>
      <w:r>
        <w:rPr>
          <w:rFonts w:ascii="Arial" w:cs="Arial" w:eastAsia="Arial" w:hAnsi="Arial"/>
          <w:sz w:val="11"/>
          <w:szCs w:val="11"/>
          <w:color w:val="auto"/>
        </w:rPr>
        <w:t xml:space="preserve">Mr. Chapman departed TC Energy on June 30, 2025. Figures noted above reflect Mr. Chapman's actual payout value. Please refer to the </w:t>
      </w:r>
      <w:r>
        <w:rPr>
          <w:rFonts w:ascii="Arial" w:cs="Arial" w:eastAsia="Arial" w:hAnsi="Arial"/>
          <w:sz w:val="11"/>
          <w:szCs w:val="11"/>
          <w:i w:val="1"/>
          <w:iCs w:val="1"/>
          <w:color w:val="auto"/>
        </w:rPr>
        <w:t>Outstanding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option-based and share-based awards </w:t>
      </w:r>
      <w:r>
        <w:rPr>
          <w:rFonts w:ascii="Arial" w:cs="Arial" w:eastAsia="Arial" w:hAnsi="Arial"/>
          <w:sz w:val="11"/>
          <w:szCs w:val="11"/>
          <w:color w:val="auto"/>
        </w:rPr>
        <w:t>section on page 116 and</w:t>
      </w:r>
      <w:r>
        <w:rPr>
          <w:rFonts w:ascii="Arial" w:cs="Arial" w:eastAsia="Arial" w:hAnsi="Arial"/>
          <w:sz w:val="11"/>
          <w:szCs w:val="11"/>
          <w:i w:val="1"/>
          <w:iCs w:val="1"/>
          <w:color w:val="auto"/>
        </w:rPr>
        <w:t xml:space="preserve"> Departure of Chief Operating Officer </w:t>
      </w:r>
      <w:r>
        <w:rPr>
          <w:rFonts w:ascii="Arial" w:cs="Arial" w:eastAsia="Arial" w:hAnsi="Arial"/>
          <w:sz w:val="11"/>
          <w:szCs w:val="11"/>
          <w:color w:val="auto"/>
        </w:rPr>
        <w:t>on page 124 for more information.</w:t>
      </w:r>
    </w:p>
    <w:p>
      <w:pPr>
        <w:spacing w:after="0" w:line="182" w:lineRule="exact"/>
        <w:rPr>
          <w:sz w:val="20"/>
          <w:szCs w:val="20"/>
          <w:color w:val="auto"/>
        </w:rPr>
      </w:pPr>
    </w:p>
    <w:p>
      <w:pPr>
        <w:ind w:right="500"/>
        <w:spacing w:after="0" w:line="337" w:lineRule="auto"/>
        <w:rPr>
          <w:sz w:val="20"/>
          <w:szCs w:val="20"/>
          <w:color w:val="auto"/>
        </w:rPr>
      </w:pPr>
      <w:r>
        <w:rPr>
          <w:rFonts w:ascii="Arial" w:cs="Arial" w:eastAsia="Arial" w:hAnsi="Arial"/>
          <w:sz w:val="16"/>
          <w:szCs w:val="16"/>
          <w:color w:val="auto"/>
        </w:rPr>
        <w:t>The Human Resources Committee reviews the severance amounts calculated for each named executive under their employment agreement. The data represents the total value to be paid to the executive if they are terminated without cause and with and without a deemed change of control.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125</w:t>
      </w:r>
    </w:p>
    <w:p>
      <w:pPr>
        <w:sectPr>
          <w:pgSz w:w="11900" w:h="16838" w:orient="portrait"/>
          <w:cols w:equalWidth="0" w:num="1">
            <w:col w:w="11240"/>
          </w:cols>
          <w:pgMar w:left="320" w:top="1039" w:right="339" w:bottom="1440" w:gutter="0" w:footer="0" w:header="0"/>
        </w:sectPr>
      </w:pPr>
    </w:p>
    <w:bookmarkStart w:id="131" w:name="page132"/>
    <w:bookmarkEnd w:id="131"/>
    <w:p>
      <w:pPr>
        <w:spacing w:after="0"/>
        <w:rPr>
          <w:sz w:val="20"/>
          <w:szCs w:val="20"/>
          <w:color w:val="auto"/>
        </w:rPr>
      </w:pPr>
      <w:r>
        <w:rPr>
          <w:rFonts w:ascii="Arial" w:cs="Arial" w:eastAsia="Arial" w:hAnsi="Arial"/>
          <w:sz w:val="29"/>
          <w:szCs w:val="29"/>
          <w:color w:val="0D64EF"/>
        </w:rPr>
        <w:t>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INTEREST OF CERTAIN PERSONS IN MATTERS TO BE ACTED UPON</w:t>
      </w:r>
    </w:p>
    <w:p>
      <w:pPr>
        <w:spacing w:after="0" w:line="48" w:lineRule="exact"/>
        <w:rPr>
          <w:sz w:val="20"/>
          <w:szCs w:val="20"/>
          <w:color w:val="auto"/>
        </w:rPr>
      </w:pPr>
    </w:p>
    <w:p>
      <w:pPr>
        <w:ind w:right="2600"/>
        <w:spacing w:after="0" w:line="312" w:lineRule="auto"/>
        <w:rPr>
          <w:sz w:val="20"/>
          <w:szCs w:val="20"/>
          <w:color w:val="auto"/>
        </w:rPr>
      </w:pPr>
      <w:r>
        <w:rPr>
          <w:rFonts w:ascii="Arial" w:cs="Arial" w:eastAsia="Arial" w:hAnsi="Arial"/>
          <w:sz w:val="16"/>
          <w:szCs w:val="16"/>
          <w:color w:val="auto"/>
        </w:rPr>
        <w:t>To the knowledge of TC Energy, other than as disclosed elsewhere in this Circular and other than as a result of any direct or indirect ownership of TC Energy securities, as of the date of this Circular, no person who has been a director or officer of TC Energy at any time since the commencement of TC Energy's last financial year, or any associate or affiliate of any of the foregoing, has any material interest, direct or indirect, by way of beneficial ownership of securities or otherwise, in any matter to be acted upon at the meeting other than the election of directors or the appointment of auditors.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INTEREST OF INFORMED PERSONS IN MATERIAL TRANSACTIONS</w:t>
      </w:r>
    </w:p>
    <w:p>
      <w:pPr>
        <w:spacing w:after="0" w:line="48" w:lineRule="exact"/>
        <w:rPr>
          <w:sz w:val="20"/>
          <w:szCs w:val="20"/>
          <w:color w:val="auto"/>
        </w:rPr>
      </w:pPr>
    </w:p>
    <w:p>
      <w:pPr>
        <w:jc w:val="both"/>
        <w:ind w:right="3000"/>
        <w:spacing w:after="0" w:line="326" w:lineRule="auto"/>
        <w:rPr>
          <w:sz w:val="20"/>
          <w:szCs w:val="20"/>
          <w:color w:val="auto"/>
        </w:rPr>
      </w:pPr>
      <w:r>
        <w:rPr>
          <w:rFonts w:ascii="Arial" w:cs="Arial" w:eastAsia="Arial" w:hAnsi="Arial"/>
          <w:sz w:val="16"/>
          <w:szCs w:val="16"/>
          <w:color w:val="auto"/>
        </w:rPr>
        <w:t>Since January 1, 2025, except as described in this Circular, no informed person, proposed director or any associate or affiliate of any informed person or proposed director, had a material interest, direct or indirect, in any transaction or proposed transaction which materially affected or would materially affect TC Energy or any of its 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INDEBTEDNESS OF DIRECTORS AND EXECUTIVES</w:t>
      </w:r>
    </w:p>
    <w:p>
      <w:pPr>
        <w:spacing w:after="0" w:line="48" w:lineRule="exact"/>
        <w:rPr>
          <w:sz w:val="20"/>
          <w:szCs w:val="20"/>
          <w:color w:val="auto"/>
        </w:rPr>
      </w:pPr>
    </w:p>
    <w:p>
      <w:pPr>
        <w:jc w:val="both"/>
        <w:ind w:right="3020"/>
        <w:spacing w:after="0" w:line="337" w:lineRule="auto"/>
        <w:rPr>
          <w:sz w:val="20"/>
          <w:szCs w:val="20"/>
          <w:color w:val="auto"/>
        </w:rPr>
      </w:pPr>
      <w:r>
        <w:rPr>
          <w:rFonts w:ascii="Arial" w:cs="Arial" w:eastAsia="Arial" w:hAnsi="Arial"/>
          <w:sz w:val="16"/>
          <w:szCs w:val="16"/>
          <w:color w:val="auto"/>
        </w:rPr>
        <w:t>As of the date of this Circular, none of our directors, executives or employees had any loans from TC Energy or any of our subsidiaries. This is also true for:</w:t>
      </w:r>
    </w:p>
    <w:p>
      <w:pPr>
        <w:spacing w:after="0" w:line="48" w:lineRule="exact"/>
        <w:rPr>
          <w:sz w:val="20"/>
          <w:szCs w:val="20"/>
          <w:color w:val="auto"/>
        </w:rPr>
      </w:pPr>
    </w:p>
    <w:p>
      <w:pPr>
        <w:ind w:left="140" w:hanging="133"/>
        <w:spacing w:after="0"/>
        <w:tabs>
          <w:tab w:leader="none" w:pos="1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former executives, directors or employees of TC Energy or any of our subsidiaries,</w:t>
      </w:r>
    </w:p>
    <w:p>
      <w:pPr>
        <w:spacing w:after="0" w:line="44" w:lineRule="exact"/>
        <w:rPr>
          <w:rFonts w:ascii="Arial" w:cs="Arial" w:eastAsia="Arial" w:hAnsi="Arial"/>
          <w:sz w:val="16"/>
          <w:szCs w:val="16"/>
          <w:color w:val="auto"/>
        </w:rPr>
      </w:pPr>
    </w:p>
    <w:p>
      <w:pPr>
        <w:ind w:left="140" w:hanging="133"/>
        <w:spacing w:after="0"/>
        <w:tabs>
          <w:tab w:leader="none" w:pos="1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this year’s nominated directors, and</w:t>
      </w:r>
    </w:p>
    <w:p>
      <w:pPr>
        <w:spacing w:after="0" w:line="57" w:lineRule="exact"/>
        <w:rPr>
          <w:rFonts w:ascii="Arial" w:cs="Arial" w:eastAsia="Arial" w:hAnsi="Arial"/>
          <w:sz w:val="16"/>
          <w:szCs w:val="16"/>
          <w:color w:val="auto"/>
        </w:rPr>
      </w:pPr>
    </w:p>
    <w:p>
      <w:pPr>
        <w:ind w:left="140" w:hanging="133"/>
        <w:spacing w:after="0"/>
        <w:tabs>
          <w:tab w:leader="none" w:pos="1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any associate of a director, executive officer or nominated director.</w:t>
      </w:r>
    </w:p>
    <w:p>
      <w:pPr>
        <w:spacing w:after="0" w:line="138" w:lineRule="exact"/>
        <w:rPr>
          <w:sz w:val="20"/>
          <w:szCs w:val="20"/>
          <w:color w:val="auto"/>
        </w:rPr>
      </w:pPr>
    </w:p>
    <w:p>
      <w:pPr>
        <w:ind w:right="2960"/>
        <w:spacing w:after="0" w:line="354" w:lineRule="auto"/>
        <w:rPr>
          <w:sz w:val="20"/>
          <w:szCs w:val="20"/>
          <w:color w:val="auto"/>
        </w:rPr>
      </w:pPr>
      <w:r>
        <w:rPr>
          <w:rFonts w:ascii="Arial" w:cs="Arial" w:eastAsia="Arial" w:hAnsi="Arial"/>
          <w:sz w:val="16"/>
          <w:szCs w:val="16"/>
          <w:color w:val="auto"/>
        </w:rPr>
        <w:t>None of the above owe money to another entity that is the subject of a guarantee, support agreement, letter of credit or other similar arrangement or understanding provided by TC Energy or any of our subsidiaries.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DIRECTORS’ AND OFFICERS’ LIABILITY INSURANCE</w:t>
      </w:r>
    </w:p>
    <w:p>
      <w:pPr>
        <w:spacing w:after="0" w:line="48" w:lineRule="exact"/>
        <w:rPr>
          <w:sz w:val="20"/>
          <w:szCs w:val="20"/>
          <w:color w:val="auto"/>
        </w:rPr>
      </w:pPr>
    </w:p>
    <w:p>
      <w:pPr>
        <w:spacing w:after="0" w:line="326" w:lineRule="auto"/>
        <w:rPr>
          <w:sz w:val="20"/>
          <w:szCs w:val="20"/>
          <w:color w:val="auto"/>
        </w:rPr>
      </w:pPr>
      <w:r>
        <w:rPr>
          <w:rFonts w:ascii="Arial" w:cs="Arial" w:eastAsia="Arial" w:hAnsi="Arial"/>
          <w:sz w:val="16"/>
          <w:szCs w:val="16"/>
          <w:color w:val="auto"/>
        </w:rPr>
        <w:t xml:space="preserve">TC Energy has purchased liability insurance to protect its directors and officers (or their heirs and legal representatives) against liabilities they may incur while performing their duties as directors and officers of TC Energy and/or its subsidiaries, subject to the limitations set out in the </w:t>
      </w:r>
      <w:r>
        <w:rPr>
          <w:rFonts w:ascii="Arial" w:cs="Arial" w:eastAsia="Arial" w:hAnsi="Arial"/>
          <w:sz w:val="16"/>
          <w:szCs w:val="16"/>
          <w:i w:val="1"/>
          <w:iCs w:val="1"/>
          <w:color w:val="auto"/>
        </w:rPr>
        <w:t>Canada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Corporations Act.</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0D64EF"/>
        </w:rPr>
        <w:t>ADDITIONAL INFORMATION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Shareholders can request a free copy of this Circular, the 2025 AIF and 2025 Annual Report from our Corporate Secretary: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TC Energy Corporation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450 - 1 Street S.W. Calgary, AB</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Canada T2P 5H1</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Tel: 1-800-661-3805</w:t>
      </w:r>
    </w:p>
    <w:p>
      <w:pPr>
        <w:spacing w:after="0" w:line="138"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auto"/>
        </w:rPr>
        <w:t>For financial information about TC Energy, see our most recent annual audited consolidated financial statements and MD&amp;A. Copies of these documents and materials related to corporate governance are available on our website (www.tcenergy.com).</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You can find more information about TC Energy on our website (www.tcenergy.com) and on SEDAR+ (www.sedarplus.ca).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126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40"/>
          </w:cols>
          <w:pgMar w:left="320" w:top="1034" w:right="339" w:bottom="1440" w:gutter="0" w:footer="0" w:header="0"/>
        </w:sectPr>
      </w:pPr>
    </w:p>
    <w:bookmarkStart w:id="132" w:name="page133"/>
    <w:bookmarkEnd w:id="132"/>
    <w:p>
      <w:pPr>
        <w:spacing w:after="0"/>
        <w:rPr>
          <w:sz w:val="20"/>
          <w:szCs w:val="20"/>
          <w:color w:val="auto"/>
        </w:rPr>
      </w:pPr>
      <w:r>
        <w:rPr>
          <w:rFonts w:ascii="Arial" w:cs="Arial" w:eastAsia="Arial" w:hAnsi="Arial"/>
          <w:sz w:val="29"/>
          <w:szCs w:val="29"/>
          <w:color w:val="0D64EF"/>
        </w:rPr>
        <w:t>Schedule A – Charter of the Board of Directors</w:t>
      </w:r>
    </w:p>
    <w:p>
      <w:pPr>
        <w:spacing w:after="0" w:line="163" w:lineRule="exact"/>
        <w:rPr>
          <w:sz w:val="20"/>
          <w:szCs w:val="20"/>
          <w:color w:val="auto"/>
        </w:rPr>
      </w:pPr>
    </w:p>
    <w:p>
      <w:pPr>
        <w:ind w:left="300" w:hanging="293"/>
        <w:spacing w:after="0"/>
        <w:tabs>
          <w:tab w:leader="none" w:pos="300" w:val="left"/>
        </w:tabs>
        <w:numPr>
          <w:ilvl w:val="0"/>
          <w:numId w:val="180"/>
        </w:numPr>
        <w:rPr>
          <w:rFonts w:ascii="Arial" w:cs="Arial" w:eastAsia="Arial" w:hAnsi="Arial"/>
          <w:sz w:val="18"/>
          <w:szCs w:val="18"/>
          <w:b w:val="1"/>
          <w:bCs w:val="1"/>
          <w:color w:val="0D64EF"/>
        </w:rPr>
      </w:pPr>
      <w:r>
        <w:rPr>
          <w:rFonts w:ascii="Arial" w:cs="Arial" w:eastAsia="Arial" w:hAnsi="Arial"/>
          <w:sz w:val="18"/>
          <w:szCs w:val="18"/>
          <w:b w:val="1"/>
          <w:bCs w:val="1"/>
          <w:color w:val="0D64EF"/>
        </w:rPr>
        <w:t>INTRODUCTION</w:t>
      </w:r>
    </w:p>
    <w:p>
      <w:pPr>
        <w:spacing w:after="0" w:line="106" w:lineRule="exact"/>
        <w:rPr>
          <w:rFonts w:ascii="Arial" w:cs="Arial" w:eastAsia="Arial" w:hAnsi="Arial"/>
          <w:sz w:val="18"/>
          <w:szCs w:val="18"/>
          <w:b w:val="1"/>
          <w:bCs w:val="1"/>
          <w:color w:val="0D64EF"/>
        </w:rPr>
      </w:pPr>
    </w:p>
    <w:p>
      <w:pPr>
        <w:ind w:left="660" w:right="180" w:hanging="330"/>
        <w:spacing w:after="0" w:line="319" w:lineRule="auto"/>
        <w:tabs>
          <w:tab w:leader="none" w:pos="664"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Board's primary responsibility is to foster the long-term success and sustainability of the Company consistent with the Board's responsibility to act honestly and in good faith with a view to the best interests of the Company.</w:t>
      </w:r>
    </w:p>
    <w:p>
      <w:pPr>
        <w:spacing w:after="0" w:line="34" w:lineRule="exact"/>
        <w:rPr>
          <w:rFonts w:ascii="Arial" w:cs="Arial" w:eastAsia="Arial" w:hAnsi="Arial"/>
          <w:sz w:val="16"/>
          <w:szCs w:val="16"/>
          <w:color w:val="auto"/>
        </w:rPr>
      </w:pPr>
    </w:p>
    <w:p>
      <w:pPr>
        <w:ind w:left="660" w:hanging="330"/>
        <w:spacing w:after="0"/>
        <w:tabs>
          <w:tab w:leader="none" w:pos="66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Board of Directors has plenary power. Any responsibility not delegated to management or a committee</w:t>
      </w:r>
    </w:p>
    <w:p>
      <w:pPr>
        <w:spacing w:after="0" w:line="29" w:lineRule="exact"/>
        <w:rPr>
          <w:rFonts w:ascii="Arial" w:cs="Arial" w:eastAsia="Arial" w:hAnsi="Arial"/>
          <w:sz w:val="16"/>
          <w:szCs w:val="16"/>
          <w:color w:val="auto"/>
        </w:rPr>
      </w:pPr>
    </w:p>
    <w:p>
      <w:pPr>
        <w:ind w:left="660" w:right="580"/>
        <w:spacing w:after="0" w:line="303" w:lineRule="auto"/>
        <w:rPr>
          <w:rFonts w:ascii="Arial" w:cs="Arial" w:eastAsia="Arial" w:hAnsi="Arial"/>
          <w:sz w:val="16"/>
          <w:szCs w:val="16"/>
          <w:color w:val="auto"/>
        </w:rPr>
      </w:pPr>
      <w:r>
        <w:rPr>
          <w:rFonts w:ascii="Arial" w:cs="Arial" w:eastAsia="Arial" w:hAnsi="Arial"/>
          <w:sz w:val="16"/>
          <w:szCs w:val="16"/>
          <w:color w:val="auto"/>
        </w:rPr>
        <w:t>of the Board remains with the Board. This Charter is prepared to assist the Board and management in clarifying responsibilities and ensuring effective communication between the Board and management.</w:t>
      </w:r>
    </w:p>
    <w:p>
      <w:pPr>
        <w:spacing w:after="0" w:line="136" w:lineRule="exact"/>
        <w:rPr>
          <w:sz w:val="20"/>
          <w:szCs w:val="20"/>
          <w:color w:val="auto"/>
        </w:rPr>
      </w:pPr>
    </w:p>
    <w:p>
      <w:pPr>
        <w:ind w:left="360" w:hanging="353"/>
        <w:spacing w:after="0"/>
        <w:tabs>
          <w:tab w:leader="none" w:pos="360" w:val="left"/>
        </w:tabs>
        <w:numPr>
          <w:ilvl w:val="0"/>
          <w:numId w:val="181"/>
        </w:numPr>
        <w:rPr>
          <w:rFonts w:ascii="Arial" w:cs="Arial" w:eastAsia="Arial" w:hAnsi="Arial"/>
          <w:sz w:val="18"/>
          <w:szCs w:val="18"/>
          <w:b w:val="1"/>
          <w:bCs w:val="1"/>
          <w:color w:val="0D64EF"/>
        </w:rPr>
      </w:pPr>
      <w:r>
        <w:rPr>
          <w:rFonts w:ascii="Arial" w:cs="Arial" w:eastAsia="Arial" w:hAnsi="Arial"/>
          <w:sz w:val="18"/>
          <w:szCs w:val="18"/>
          <w:b w:val="1"/>
          <w:bCs w:val="1"/>
          <w:color w:val="0D64EF"/>
        </w:rPr>
        <w:t>COMPOSITION AND BOARD ORGANIZATION</w:t>
      </w:r>
    </w:p>
    <w:p>
      <w:pPr>
        <w:spacing w:after="0" w:line="106" w:lineRule="exact"/>
        <w:rPr>
          <w:rFonts w:ascii="Arial" w:cs="Arial" w:eastAsia="Arial" w:hAnsi="Arial"/>
          <w:sz w:val="18"/>
          <w:szCs w:val="18"/>
          <w:b w:val="1"/>
          <w:bCs w:val="1"/>
          <w:color w:val="0D64EF"/>
        </w:rPr>
      </w:pPr>
    </w:p>
    <w:p>
      <w:pPr>
        <w:ind w:left="660" w:right="300" w:hanging="330"/>
        <w:spacing w:after="0" w:line="319" w:lineRule="auto"/>
        <w:tabs>
          <w:tab w:leader="none" w:pos="66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Nominees for directors are initially considered and recommended by the Governance Committee of the Board, approved by the entire Board and elected annually by the shareholders of the Company.</w:t>
      </w:r>
    </w:p>
    <w:p>
      <w:pPr>
        <w:spacing w:after="0" w:line="34" w:lineRule="exact"/>
        <w:rPr>
          <w:rFonts w:ascii="Arial" w:cs="Arial" w:eastAsia="Arial" w:hAnsi="Arial"/>
          <w:sz w:val="16"/>
          <w:szCs w:val="16"/>
          <w:color w:val="auto"/>
        </w:rPr>
      </w:pPr>
    </w:p>
    <w:p>
      <w:pPr>
        <w:jc w:val="both"/>
        <w:ind w:left="660" w:right="260" w:hanging="330"/>
        <w:spacing w:after="0" w:line="291" w:lineRule="auto"/>
        <w:tabs>
          <w:tab w:leader="none" w:pos="66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Board must be comprised of a majority of members who have been determined by the Board to be independent. A member is independent if the member has no direct or indirect relationship which could, in the view of the Board, be reasonably expected to interfere with the exercise of a member’s independent judgment.</w:t>
      </w:r>
    </w:p>
    <w:p>
      <w:pPr>
        <w:spacing w:after="0" w:line="56" w:lineRule="exact"/>
        <w:rPr>
          <w:rFonts w:ascii="Arial" w:cs="Arial" w:eastAsia="Arial" w:hAnsi="Arial"/>
          <w:sz w:val="16"/>
          <w:szCs w:val="16"/>
          <w:color w:val="auto"/>
        </w:rPr>
      </w:pPr>
    </w:p>
    <w:p>
      <w:pPr>
        <w:ind w:left="660" w:right="600" w:hanging="330"/>
        <w:spacing w:after="0" w:line="301" w:lineRule="auto"/>
        <w:tabs>
          <w:tab w:leader="none" w:pos="673" w:val="left"/>
        </w:tabs>
        <w:numPr>
          <w:ilvl w:val="1"/>
          <w:numId w:val="181"/>
        </w:numPr>
        <w:rPr>
          <w:rFonts w:ascii="Arial" w:cs="Arial" w:eastAsia="Arial" w:hAnsi="Arial"/>
          <w:sz w:val="16"/>
          <w:szCs w:val="16"/>
          <w:color w:val="auto"/>
        </w:rPr>
      </w:pPr>
      <w:r>
        <w:rPr>
          <w:rFonts w:ascii="Arial" w:cs="Arial" w:eastAsia="Arial" w:hAnsi="Arial"/>
          <w:sz w:val="16"/>
          <w:szCs w:val="16"/>
          <w:color w:val="auto"/>
        </w:rPr>
        <w:t>Directors who are not members of management will meet on a regular basis to discuss matters of interest independent of any influence from management.</w:t>
      </w:r>
    </w:p>
    <w:p>
      <w:pPr>
        <w:spacing w:after="0" w:line="49" w:lineRule="exact"/>
        <w:rPr>
          <w:rFonts w:ascii="Arial" w:cs="Arial" w:eastAsia="Arial" w:hAnsi="Arial"/>
          <w:sz w:val="16"/>
          <w:szCs w:val="16"/>
          <w:color w:val="auto"/>
        </w:rPr>
      </w:pPr>
    </w:p>
    <w:p>
      <w:pPr>
        <w:jc w:val="both"/>
        <w:ind w:left="660" w:right="2960" w:hanging="330"/>
        <w:spacing w:after="0" w:line="319" w:lineRule="auto"/>
        <w:tabs>
          <w:tab w:leader="none" w:pos="66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Certain of the responsibilities of the Board referred to herein may be delegated to committees of the Board. The responsibilities of those committees will be as set forth in their Charter, as amended from time to time.</w:t>
      </w:r>
    </w:p>
    <w:p>
      <w:pPr>
        <w:spacing w:after="0" w:line="124" w:lineRule="exact"/>
        <w:rPr>
          <w:sz w:val="20"/>
          <w:szCs w:val="20"/>
          <w:color w:val="auto"/>
        </w:rPr>
      </w:pPr>
    </w:p>
    <w:p>
      <w:pPr>
        <w:ind w:left="400" w:hanging="393"/>
        <w:spacing w:after="0"/>
        <w:tabs>
          <w:tab w:leader="none" w:pos="400" w:val="left"/>
        </w:tabs>
        <w:numPr>
          <w:ilvl w:val="0"/>
          <w:numId w:val="182"/>
        </w:numPr>
        <w:rPr>
          <w:rFonts w:ascii="Arial" w:cs="Arial" w:eastAsia="Arial" w:hAnsi="Arial"/>
          <w:sz w:val="18"/>
          <w:szCs w:val="18"/>
          <w:b w:val="1"/>
          <w:bCs w:val="1"/>
          <w:color w:val="0D64EF"/>
        </w:rPr>
      </w:pPr>
      <w:r>
        <w:rPr>
          <w:rFonts w:ascii="Arial" w:cs="Arial" w:eastAsia="Arial" w:hAnsi="Arial"/>
          <w:sz w:val="18"/>
          <w:szCs w:val="18"/>
          <w:b w:val="1"/>
          <w:bCs w:val="1"/>
          <w:color w:val="0D64EF"/>
        </w:rPr>
        <w:t>DUTIES AND RESPONSIBILITIES</w:t>
      </w:r>
    </w:p>
    <w:p>
      <w:pPr>
        <w:spacing w:after="0" w:line="129" w:lineRule="exact"/>
        <w:rPr>
          <w:sz w:val="20"/>
          <w:szCs w:val="20"/>
          <w:color w:val="auto"/>
        </w:rPr>
      </w:pPr>
    </w:p>
    <w:p>
      <w:pPr>
        <w:ind w:left="700" w:hanging="370"/>
        <w:spacing w:after="0"/>
        <w:tabs>
          <w:tab w:leader="none" w:pos="700" w:val="left"/>
        </w:tabs>
        <w:numPr>
          <w:ilvl w:val="0"/>
          <w:numId w:val="183"/>
        </w:numPr>
        <w:rPr>
          <w:rFonts w:ascii="Arial" w:cs="Arial" w:eastAsia="Arial" w:hAnsi="Arial"/>
          <w:sz w:val="18"/>
          <w:szCs w:val="18"/>
          <w:b w:val="1"/>
          <w:bCs w:val="1"/>
          <w:color w:val="0D64EF"/>
        </w:rPr>
      </w:pPr>
      <w:r>
        <w:rPr>
          <w:rFonts w:ascii="Arial" w:cs="Arial" w:eastAsia="Arial" w:hAnsi="Arial"/>
          <w:sz w:val="18"/>
          <w:szCs w:val="18"/>
          <w:b w:val="1"/>
          <w:bCs w:val="1"/>
          <w:color w:val="0D64EF"/>
        </w:rPr>
        <w:t>Managing the Affairs of the Board</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operates by delegating certain of its authorities, including spending authorizations, to management</w:t>
      </w:r>
    </w:p>
    <w:p>
      <w:pPr>
        <w:spacing w:after="0" w:line="31" w:lineRule="exact"/>
        <w:rPr>
          <w:sz w:val="20"/>
          <w:szCs w:val="20"/>
          <w:color w:val="auto"/>
        </w:rPr>
      </w:pPr>
    </w:p>
    <w:p>
      <w:pPr>
        <w:ind w:left="660" w:right="380"/>
        <w:spacing w:after="0" w:line="279" w:lineRule="auto"/>
        <w:rPr>
          <w:sz w:val="20"/>
          <w:szCs w:val="20"/>
          <w:color w:val="auto"/>
        </w:rPr>
      </w:pPr>
      <w:r>
        <w:rPr>
          <w:rFonts w:ascii="Arial" w:cs="Arial" w:eastAsia="Arial" w:hAnsi="Arial"/>
          <w:sz w:val="16"/>
          <w:szCs w:val="16"/>
          <w:color w:val="auto"/>
        </w:rPr>
        <w:t>and by reserving certain powers to itself. Certain of the legal obligations of the Board are described in detail in Section IV. Subject to these legal obligations and to the Articles and By-laws of the Company, the Board retains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responsibility for managing its own affairs, including:</w:t>
      </w:r>
    </w:p>
    <w:p>
      <w:pPr>
        <w:spacing w:after="0" w:line="113" w:lineRule="exact"/>
        <w:rPr>
          <w:sz w:val="20"/>
          <w:szCs w:val="20"/>
          <w:color w:val="auto"/>
        </w:rPr>
      </w:pPr>
    </w:p>
    <w:p>
      <w:pPr>
        <w:ind w:left="960" w:hanging="308"/>
        <w:spacing w:after="0"/>
        <w:tabs>
          <w:tab w:leader="none" w:pos="9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planning its composition and size;</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selecting its Chair;</w:t>
      </w:r>
    </w:p>
    <w:p>
      <w:pPr>
        <w:spacing w:after="0" w:line="111" w:lineRule="exact"/>
        <w:rPr>
          <w:rFonts w:ascii="Arial" w:cs="Arial" w:eastAsia="Arial" w:hAnsi="Arial"/>
          <w:sz w:val="16"/>
          <w:szCs w:val="16"/>
          <w:color w:val="auto"/>
        </w:rPr>
      </w:pPr>
    </w:p>
    <w:p>
      <w:pPr>
        <w:ind w:left="940" w:hanging="288"/>
        <w:spacing w:after="0"/>
        <w:tabs>
          <w:tab w:leader="none" w:pos="9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nominating candidates for election to the Board;</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determining independence of Board members;</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approving committees of the Board and membership of directors thereon;</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determining director compensation; and</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assessing the effectiveness of the Board, Committees and directors in fulfilling their responsibilities.</w:t>
      </w:r>
    </w:p>
    <w:p>
      <w:pPr>
        <w:spacing w:after="0" w:line="134" w:lineRule="exact"/>
        <w:rPr>
          <w:sz w:val="20"/>
          <w:szCs w:val="20"/>
          <w:color w:val="auto"/>
        </w:rPr>
      </w:pPr>
    </w:p>
    <w:p>
      <w:pPr>
        <w:ind w:left="700" w:hanging="370"/>
        <w:spacing w:after="0"/>
        <w:tabs>
          <w:tab w:leader="none" w:pos="700" w:val="left"/>
        </w:tabs>
        <w:numPr>
          <w:ilvl w:val="0"/>
          <w:numId w:val="185"/>
        </w:numPr>
        <w:rPr>
          <w:rFonts w:ascii="Arial" w:cs="Arial" w:eastAsia="Arial" w:hAnsi="Arial"/>
          <w:sz w:val="18"/>
          <w:szCs w:val="18"/>
          <w:b w:val="1"/>
          <w:bCs w:val="1"/>
          <w:color w:val="0D64EF"/>
        </w:rPr>
      </w:pPr>
      <w:r>
        <w:rPr>
          <w:rFonts w:ascii="Arial" w:cs="Arial" w:eastAsia="Arial" w:hAnsi="Arial"/>
          <w:sz w:val="18"/>
          <w:szCs w:val="18"/>
          <w:b w:val="1"/>
          <w:bCs w:val="1"/>
          <w:color w:val="0D64EF"/>
        </w:rPr>
        <w:t>Management and Human Resources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has the responsibility for:</w:t>
      </w:r>
    </w:p>
    <w:p>
      <w:pPr>
        <w:spacing w:after="0" w:line="125" w:lineRule="exact"/>
        <w:rPr>
          <w:sz w:val="20"/>
          <w:szCs w:val="20"/>
          <w:color w:val="auto"/>
        </w:rPr>
      </w:pPr>
    </w:p>
    <w:p>
      <w:pPr>
        <w:ind w:left="980" w:right="320" w:hanging="328"/>
        <w:spacing w:after="0" w:line="271" w:lineRule="auto"/>
        <w:tabs>
          <w:tab w:leader="none" w:pos="96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appointment and succession of the Chief Executive Officer (CEO) and monitoring CEO performance, approving CEO compensation and providing advice and counsel to the CEO in the execution of the</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CEO's duties;</w:t>
      </w:r>
    </w:p>
    <w:p>
      <w:pPr>
        <w:spacing w:after="0" w:line="111" w:lineRule="exact"/>
        <w:rPr>
          <w:rFonts w:ascii="Arial" w:cs="Arial" w:eastAsia="Arial" w:hAnsi="Arial"/>
          <w:sz w:val="16"/>
          <w:szCs w:val="16"/>
          <w:color w:val="auto"/>
        </w:rPr>
      </w:pPr>
    </w:p>
    <w:p>
      <w:pPr>
        <w:ind w:left="960" w:hanging="308"/>
        <w:spacing w:after="0"/>
        <w:tabs>
          <w:tab w:leader="none" w:pos="9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approving a position description for the CEO;</w:t>
      </w:r>
    </w:p>
    <w:p>
      <w:pPr>
        <w:spacing w:after="0" w:line="125" w:lineRule="exact"/>
        <w:rPr>
          <w:rFonts w:ascii="Arial" w:cs="Arial" w:eastAsia="Arial" w:hAnsi="Arial"/>
          <w:sz w:val="16"/>
          <w:szCs w:val="16"/>
          <w:color w:val="auto"/>
        </w:rPr>
      </w:pPr>
    </w:p>
    <w:p>
      <w:pPr>
        <w:ind w:left="940" w:hanging="288"/>
        <w:spacing w:after="0"/>
        <w:tabs>
          <w:tab w:leader="none" w:pos="9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reviewing CEO performance at least annually, against agreed-upon written objectives;</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approving decisions relating to senior management, including the:</w:t>
      </w:r>
    </w:p>
    <w:p>
      <w:pPr>
        <w:spacing w:after="0" w:line="125" w:lineRule="exact"/>
        <w:rPr>
          <w:rFonts w:ascii="Arial" w:cs="Arial" w:eastAsia="Arial" w:hAnsi="Arial"/>
          <w:sz w:val="16"/>
          <w:szCs w:val="16"/>
          <w:color w:val="auto"/>
        </w:rPr>
      </w:pPr>
    </w:p>
    <w:p>
      <w:pPr>
        <w:ind w:left="1300" w:hanging="325"/>
        <w:spacing w:after="0"/>
        <w:tabs>
          <w:tab w:leader="none" w:pos="130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appointment of officers of the Company and members of the Executive Leadership Team;</w:t>
      </w:r>
    </w:p>
    <w:p>
      <w:pPr>
        <w:spacing w:after="0" w:line="114" w:lineRule="exact"/>
        <w:rPr>
          <w:rFonts w:ascii="Arial" w:cs="Arial" w:eastAsia="Arial" w:hAnsi="Arial"/>
          <w:sz w:val="16"/>
          <w:szCs w:val="16"/>
          <w:color w:val="auto"/>
        </w:rPr>
      </w:pPr>
    </w:p>
    <w:p>
      <w:pPr>
        <w:ind w:left="1280" w:hanging="305"/>
        <w:spacing w:after="0"/>
        <w:tabs>
          <w:tab w:leader="none" w:pos="128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compensation and benefits for senior executive officers</w:t>
      </w:r>
      <w:r>
        <w:rPr>
          <w:rFonts w:ascii="Arial" w:cs="Arial" w:eastAsia="Arial" w:hAnsi="Arial"/>
          <w:sz w:val="20"/>
          <w:szCs w:val="20"/>
          <w:color w:val="auto"/>
          <w:vertAlign w:val="superscript"/>
        </w:rPr>
        <w:t>1</w:t>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17062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31" w:lineRule="exact"/>
        <w:rPr>
          <w:sz w:val="20"/>
          <w:szCs w:val="20"/>
          <w:color w:val="auto"/>
        </w:rPr>
      </w:pPr>
    </w:p>
    <w:p>
      <w:pPr>
        <w:ind w:left="240" w:hanging="233"/>
        <w:spacing w:after="0"/>
        <w:tabs>
          <w:tab w:leader="none" w:pos="240" w:val="left"/>
        </w:tabs>
        <w:numPr>
          <w:ilvl w:val="0"/>
          <w:numId w:val="187"/>
        </w:numPr>
        <w:rPr>
          <w:rFonts w:ascii="Arial" w:cs="Arial" w:eastAsia="Arial" w:hAnsi="Arial"/>
          <w:sz w:val="21"/>
          <w:szCs w:val="21"/>
          <w:color w:val="auto"/>
          <w:vertAlign w:val="superscript"/>
        </w:rPr>
      </w:pPr>
      <w:r>
        <w:rPr>
          <w:rFonts w:ascii="Arial" w:cs="Arial" w:eastAsia="Arial" w:hAnsi="Arial"/>
          <w:sz w:val="13"/>
          <w:szCs w:val="13"/>
          <w:color w:val="auto"/>
        </w:rPr>
        <w:t>Senior executive officers are the members of the executive leadership team (ELT) other than ELT members with the title of Senior Vice President.</w:t>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127</w:t>
      </w:r>
    </w:p>
    <w:p>
      <w:pPr>
        <w:sectPr>
          <w:pgSz w:w="11900" w:h="16838" w:orient="portrait"/>
          <w:cols w:equalWidth="0" w:num="1">
            <w:col w:w="11240"/>
          </w:cols>
          <w:pgMar w:left="320" w:top="1048" w:right="339" w:bottom="1440" w:gutter="0" w:footer="0" w:header="0"/>
          <w:type w:val="continuous"/>
        </w:sectPr>
      </w:pPr>
    </w:p>
    <w:bookmarkStart w:id="133" w:name="page134"/>
    <w:bookmarkEnd w:id="133"/>
    <w:p>
      <w:pPr>
        <w:ind w:left="1300" w:right="140" w:hanging="325"/>
        <w:spacing w:after="0" w:line="250" w:lineRule="auto"/>
        <w:tabs>
          <w:tab w:leader="none" w:pos="1286" w:val="left"/>
        </w:tabs>
        <w:numPr>
          <w:ilvl w:val="2"/>
          <w:numId w:val="188"/>
        </w:numPr>
        <w:rPr>
          <w:rFonts w:ascii="Arial" w:cs="Arial" w:eastAsia="Arial" w:hAnsi="Arial"/>
          <w:sz w:val="16"/>
          <w:szCs w:val="16"/>
          <w:color w:val="auto"/>
        </w:rPr>
      </w:pPr>
      <w:r>
        <w:rPr>
          <w:rFonts w:ascii="Arial" w:cs="Arial" w:eastAsia="Arial" w:hAnsi="Arial"/>
          <w:sz w:val="16"/>
          <w:szCs w:val="16"/>
          <w:color w:val="auto"/>
        </w:rPr>
        <w:t>employment contracts and other special arrangements with senior executive officers, or with other employee groups if such action is likely to have a subsequent material</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impact on the Company or</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its basic human resource and compensation policies.</w:t>
      </w:r>
    </w:p>
    <w:p>
      <w:pPr>
        <w:spacing w:after="0" w:line="109" w:lineRule="exact"/>
        <w:rPr>
          <w:rFonts w:ascii="Arial" w:cs="Arial" w:eastAsia="Arial" w:hAnsi="Arial"/>
          <w:sz w:val="16"/>
          <w:szCs w:val="16"/>
          <w:color w:val="auto"/>
        </w:rPr>
      </w:pPr>
    </w:p>
    <w:p>
      <w:pPr>
        <w:ind w:left="960" w:hanging="308"/>
        <w:spacing w:after="0"/>
        <w:tabs>
          <w:tab w:leader="none" w:pos="96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taking all reasonable steps to ensure succession planning programs are in place, including programs to train and develop management;</w:t>
      </w:r>
    </w:p>
    <w:p>
      <w:pPr>
        <w:spacing w:after="0" w:line="125" w:lineRule="exact"/>
        <w:rPr>
          <w:rFonts w:ascii="Arial" w:cs="Arial" w:eastAsia="Arial" w:hAnsi="Arial"/>
          <w:sz w:val="16"/>
          <w:szCs w:val="16"/>
          <w:color w:val="auto"/>
        </w:rPr>
      </w:pPr>
    </w:p>
    <w:p>
      <w:pPr>
        <w:jc w:val="both"/>
        <w:ind w:left="980" w:right="340" w:hanging="328"/>
        <w:spacing w:after="0" w:line="291" w:lineRule="auto"/>
        <w:tabs>
          <w:tab w:leader="none" w:pos="1007"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the overall oversight of the Company sponsored Canadian pension plans and ensuring that processes are in place to properly oversee the administration and management of such pension plans either directly or through delegation of the duties and responsibilities to one or more Board Committees; and</w:t>
      </w:r>
    </w:p>
    <w:p>
      <w:pPr>
        <w:spacing w:after="0" w:line="56" w:lineRule="exact"/>
        <w:rPr>
          <w:rFonts w:ascii="Arial" w:cs="Arial" w:eastAsia="Arial" w:hAnsi="Arial"/>
          <w:sz w:val="16"/>
          <w:szCs w:val="16"/>
          <w:color w:val="auto"/>
        </w:rPr>
      </w:pPr>
    </w:p>
    <w:p>
      <w:pPr>
        <w:ind w:left="1040" w:hanging="388"/>
        <w:spacing w:after="0"/>
        <w:tabs>
          <w:tab w:leader="none" w:pos="104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approving certain matters relating to all employees, including:</w:t>
      </w:r>
    </w:p>
    <w:p>
      <w:pPr>
        <w:spacing w:after="0" w:line="125" w:lineRule="exact"/>
        <w:rPr>
          <w:rFonts w:ascii="Arial" w:cs="Arial" w:eastAsia="Arial" w:hAnsi="Arial"/>
          <w:sz w:val="16"/>
          <w:szCs w:val="16"/>
          <w:color w:val="auto"/>
        </w:rPr>
      </w:pPr>
    </w:p>
    <w:p>
      <w:pPr>
        <w:ind w:left="1300" w:hanging="325"/>
        <w:spacing w:after="0"/>
        <w:tabs>
          <w:tab w:leader="none" w:pos="1300" w:val="left"/>
        </w:tabs>
        <w:numPr>
          <w:ilvl w:val="2"/>
          <w:numId w:val="189"/>
        </w:numPr>
        <w:rPr>
          <w:rFonts w:ascii="Arial" w:cs="Arial" w:eastAsia="Arial" w:hAnsi="Arial"/>
          <w:sz w:val="16"/>
          <w:szCs w:val="16"/>
          <w:color w:val="auto"/>
        </w:rPr>
      </w:pPr>
      <w:r>
        <w:rPr>
          <w:rFonts w:ascii="Arial" w:cs="Arial" w:eastAsia="Arial" w:hAnsi="Arial"/>
          <w:sz w:val="16"/>
          <w:szCs w:val="16"/>
          <w:color w:val="auto"/>
        </w:rPr>
        <w:t>the Annual Salary Policy/Program for employees;</w:t>
      </w:r>
    </w:p>
    <w:p>
      <w:pPr>
        <w:spacing w:after="0" w:line="111" w:lineRule="exact"/>
        <w:rPr>
          <w:rFonts w:ascii="Arial" w:cs="Arial" w:eastAsia="Arial" w:hAnsi="Arial"/>
          <w:sz w:val="16"/>
          <w:szCs w:val="16"/>
          <w:color w:val="auto"/>
        </w:rPr>
      </w:pPr>
    </w:p>
    <w:p>
      <w:pPr>
        <w:ind w:left="1300" w:right="540" w:hanging="325"/>
        <w:spacing w:after="0" w:line="319" w:lineRule="auto"/>
        <w:tabs>
          <w:tab w:leader="none" w:pos="1282" w:val="left"/>
        </w:tabs>
        <w:numPr>
          <w:ilvl w:val="2"/>
          <w:numId w:val="189"/>
        </w:numPr>
        <w:rPr>
          <w:rFonts w:ascii="Arial" w:cs="Arial" w:eastAsia="Arial" w:hAnsi="Arial"/>
          <w:sz w:val="16"/>
          <w:szCs w:val="16"/>
          <w:color w:val="auto"/>
        </w:rPr>
      </w:pPr>
      <w:r>
        <w:rPr>
          <w:rFonts w:ascii="Arial" w:cs="Arial" w:eastAsia="Arial" w:hAnsi="Arial"/>
          <w:sz w:val="16"/>
          <w:szCs w:val="16"/>
          <w:color w:val="auto"/>
        </w:rPr>
        <w:t>new benefit programs or changes to existing programs that would create a change in cost to the Company in excess of $10,000,000 annually; and</w:t>
      </w:r>
    </w:p>
    <w:p>
      <w:pPr>
        <w:spacing w:after="0" w:line="34" w:lineRule="exact"/>
        <w:rPr>
          <w:rFonts w:ascii="Arial" w:cs="Arial" w:eastAsia="Arial" w:hAnsi="Arial"/>
          <w:sz w:val="16"/>
          <w:szCs w:val="16"/>
          <w:color w:val="auto"/>
        </w:rPr>
      </w:pPr>
    </w:p>
    <w:p>
      <w:pPr>
        <w:ind w:left="1300" w:right="2820" w:hanging="325"/>
        <w:spacing w:after="0" w:line="301" w:lineRule="auto"/>
        <w:tabs>
          <w:tab w:leader="none" w:pos="1286" w:val="left"/>
        </w:tabs>
        <w:numPr>
          <w:ilvl w:val="2"/>
          <w:numId w:val="189"/>
        </w:numPr>
        <w:rPr>
          <w:rFonts w:ascii="Arial" w:cs="Arial" w:eastAsia="Arial" w:hAnsi="Arial"/>
          <w:sz w:val="16"/>
          <w:szCs w:val="16"/>
          <w:color w:val="auto"/>
        </w:rPr>
      </w:pPr>
      <w:r>
        <w:rPr>
          <w:rFonts w:ascii="Arial" w:cs="Arial" w:eastAsia="Arial" w:hAnsi="Arial"/>
          <w:sz w:val="16"/>
          <w:szCs w:val="16"/>
          <w:color w:val="auto"/>
        </w:rPr>
        <w:t>material benefits granted to retiring employees outside of benefits received under approved pension and other benefit programs.</w:t>
      </w:r>
    </w:p>
    <w:p>
      <w:pPr>
        <w:spacing w:after="0" w:line="71" w:lineRule="exact"/>
        <w:rPr>
          <w:rFonts w:ascii="Arial" w:cs="Arial" w:eastAsia="Arial" w:hAnsi="Arial"/>
          <w:sz w:val="16"/>
          <w:szCs w:val="16"/>
          <w:color w:val="auto"/>
        </w:rPr>
      </w:pPr>
    </w:p>
    <w:p>
      <w:pPr>
        <w:ind w:left="700" w:hanging="370"/>
        <w:spacing w:after="0"/>
        <w:tabs>
          <w:tab w:leader="none" w:pos="700" w:val="left"/>
        </w:tabs>
        <w:numPr>
          <w:ilvl w:val="0"/>
          <w:numId w:val="190"/>
        </w:numPr>
        <w:rPr>
          <w:rFonts w:ascii="Arial" w:cs="Arial" w:eastAsia="Arial" w:hAnsi="Arial"/>
          <w:sz w:val="18"/>
          <w:szCs w:val="18"/>
          <w:b w:val="1"/>
          <w:bCs w:val="1"/>
          <w:color w:val="0D64EF"/>
        </w:rPr>
      </w:pPr>
      <w:r>
        <w:rPr>
          <w:rFonts w:ascii="Arial" w:cs="Arial" w:eastAsia="Arial" w:hAnsi="Arial"/>
          <w:sz w:val="18"/>
          <w:szCs w:val="18"/>
          <w:b w:val="1"/>
          <w:bCs w:val="1"/>
          <w:color w:val="0D64EF"/>
        </w:rPr>
        <w:t>Strategy and Plans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has the responsibility to:</w:t>
      </w:r>
    </w:p>
    <w:p>
      <w:pPr>
        <w:spacing w:after="0" w:line="112" w:lineRule="exact"/>
        <w:rPr>
          <w:sz w:val="20"/>
          <w:szCs w:val="20"/>
          <w:color w:val="auto"/>
        </w:rPr>
      </w:pPr>
    </w:p>
    <w:p>
      <w:pPr>
        <w:ind w:left="980" w:right="300" w:hanging="328"/>
        <w:spacing w:after="0" w:line="319" w:lineRule="auto"/>
        <w:tabs>
          <w:tab w:leader="none" w:pos="96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participate in strategic planning sessions to ensure that management develops, corporate strategic priorities and objectives and approve the resulting strategic plan;</w:t>
      </w:r>
    </w:p>
    <w:p>
      <w:pPr>
        <w:spacing w:after="0" w:line="34" w:lineRule="exact"/>
        <w:rPr>
          <w:rFonts w:ascii="Arial" w:cs="Arial" w:eastAsia="Arial" w:hAnsi="Arial"/>
          <w:sz w:val="16"/>
          <w:szCs w:val="16"/>
          <w:color w:val="auto"/>
        </w:rPr>
      </w:pPr>
    </w:p>
    <w:p>
      <w:pPr>
        <w:ind w:left="960" w:hanging="308"/>
        <w:spacing w:after="0"/>
        <w:tabs>
          <w:tab w:leader="none" w:pos="9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approve capital commitment and expenditure budgets and related operating plans;</w:t>
      </w:r>
    </w:p>
    <w:p>
      <w:pPr>
        <w:spacing w:after="0" w:line="111" w:lineRule="exact"/>
        <w:rPr>
          <w:rFonts w:ascii="Arial" w:cs="Arial" w:eastAsia="Arial" w:hAnsi="Arial"/>
          <w:sz w:val="16"/>
          <w:szCs w:val="16"/>
          <w:color w:val="auto"/>
        </w:rPr>
      </w:pPr>
    </w:p>
    <w:p>
      <w:pPr>
        <w:ind w:left="940" w:hanging="288"/>
        <w:spacing w:after="0"/>
        <w:tabs>
          <w:tab w:leader="none" w:pos="9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approve financial and operating objectives used in determining compensation;</w:t>
      </w:r>
    </w:p>
    <w:p>
      <w:pPr>
        <w:spacing w:after="0" w:line="125" w:lineRule="exact"/>
        <w:rPr>
          <w:rFonts w:ascii="Arial" w:cs="Arial" w:eastAsia="Arial" w:hAnsi="Arial"/>
          <w:sz w:val="16"/>
          <w:szCs w:val="16"/>
          <w:color w:val="auto"/>
        </w:rPr>
      </w:pPr>
    </w:p>
    <w:p>
      <w:pPr>
        <w:ind w:left="980" w:right="2960" w:hanging="328"/>
        <w:spacing w:after="0" w:line="319" w:lineRule="auto"/>
        <w:tabs>
          <w:tab w:leader="none" w:pos="96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approve the entering into, or withdrawing from, lines of business that are, or are likely to be, material to the Company;</w:t>
      </w:r>
    </w:p>
    <w:p>
      <w:pPr>
        <w:spacing w:after="0" w:line="34" w:lineRule="exact"/>
        <w:rPr>
          <w:rFonts w:ascii="Arial" w:cs="Arial" w:eastAsia="Arial" w:hAnsi="Arial"/>
          <w:sz w:val="16"/>
          <w:szCs w:val="16"/>
          <w:color w:val="auto"/>
        </w:rPr>
      </w:pPr>
    </w:p>
    <w:p>
      <w:pPr>
        <w:ind w:left="960" w:hanging="308"/>
        <w:spacing w:after="0"/>
        <w:tabs>
          <w:tab w:leader="none" w:pos="9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approve material divestitures and acquisitions; and</w:t>
      </w:r>
    </w:p>
    <w:p>
      <w:pPr>
        <w:spacing w:after="0" w:line="111" w:lineRule="exact"/>
        <w:rPr>
          <w:rFonts w:ascii="Arial" w:cs="Arial" w:eastAsia="Arial" w:hAnsi="Arial"/>
          <w:sz w:val="16"/>
          <w:szCs w:val="16"/>
          <w:color w:val="auto"/>
        </w:rPr>
      </w:pPr>
    </w:p>
    <w:p>
      <w:pPr>
        <w:ind w:left="980" w:right="2860" w:hanging="328"/>
        <w:spacing w:after="0" w:line="319" w:lineRule="auto"/>
        <w:tabs>
          <w:tab w:leader="none" w:pos="96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monitor management's achievements in implementing major corporate strategies and objectives, in light of changing circumstances.</w:t>
      </w:r>
    </w:p>
    <w:p>
      <w:pPr>
        <w:spacing w:after="0" w:line="57" w:lineRule="exact"/>
        <w:rPr>
          <w:sz w:val="20"/>
          <w:szCs w:val="20"/>
          <w:color w:val="auto"/>
        </w:rPr>
      </w:pPr>
    </w:p>
    <w:p>
      <w:pPr>
        <w:ind w:left="700" w:hanging="370"/>
        <w:spacing w:after="0"/>
        <w:tabs>
          <w:tab w:leader="none" w:pos="700" w:val="left"/>
        </w:tabs>
        <w:numPr>
          <w:ilvl w:val="0"/>
          <w:numId w:val="192"/>
        </w:numPr>
        <w:rPr>
          <w:rFonts w:ascii="Arial" w:cs="Arial" w:eastAsia="Arial" w:hAnsi="Arial"/>
          <w:sz w:val="18"/>
          <w:szCs w:val="18"/>
          <w:b w:val="1"/>
          <w:bCs w:val="1"/>
          <w:color w:val="0D64EF"/>
        </w:rPr>
      </w:pPr>
      <w:r>
        <w:rPr>
          <w:rFonts w:ascii="Arial" w:cs="Arial" w:eastAsia="Arial" w:hAnsi="Arial"/>
          <w:sz w:val="18"/>
          <w:szCs w:val="18"/>
          <w:b w:val="1"/>
          <w:bCs w:val="1"/>
          <w:color w:val="0D64EF"/>
        </w:rPr>
        <w:t>Financial and Corporate Issues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has the responsibility to:</w:t>
      </w:r>
    </w:p>
    <w:p>
      <w:pPr>
        <w:spacing w:after="0" w:line="125" w:lineRule="exact"/>
        <w:rPr>
          <w:sz w:val="20"/>
          <w:szCs w:val="20"/>
          <w:color w:val="auto"/>
        </w:rPr>
      </w:pPr>
    </w:p>
    <w:p>
      <w:pPr>
        <w:ind w:left="960" w:hanging="308"/>
        <w:spacing w:after="0"/>
        <w:tabs>
          <w:tab w:leader="none" w:pos="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take reasonable steps to ensure the implementation and integrity of the Company's internal control and management information systems;</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monitor operational and financial results;</w:t>
      </w:r>
    </w:p>
    <w:p>
      <w:pPr>
        <w:spacing w:after="0" w:line="111" w:lineRule="exact"/>
        <w:rPr>
          <w:rFonts w:ascii="Arial" w:cs="Arial" w:eastAsia="Arial" w:hAnsi="Arial"/>
          <w:sz w:val="16"/>
          <w:szCs w:val="16"/>
          <w:color w:val="auto"/>
        </w:rPr>
      </w:pPr>
    </w:p>
    <w:p>
      <w:pPr>
        <w:ind w:left="940" w:hanging="288"/>
        <w:spacing w:after="0"/>
        <w:tabs>
          <w:tab w:leader="none" w:pos="94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approve annual financial statements, related Management’s Discussion and Analysis and the release thereof by management;</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approve the Management Information Circular, Annual Information Form and documents incorporated by reference therein;</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declare dividends;</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approve financings, changes in authorized capital, issue and repurchase of shares, issue and redemption</w:t>
      </w:r>
    </w:p>
    <w:p>
      <w:pPr>
        <w:spacing w:after="0" w:line="29" w:lineRule="exact"/>
        <w:rPr>
          <w:rFonts w:ascii="Arial" w:cs="Arial" w:eastAsia="Arial" w:hAnsi="Arial"/>
          <w:sz w:val="16"/>
          <w:szCs w:val="16"/>
          <w:color w:val="auto"/>
        </w:rPr>
      </w:pPr>
    </w:p>
    <w:p>
      <w:pPr>
        <w:ind w:left="980" w:right="2500"/>
        <w:spacing w:after="0" w:line="303" w:lineRule="auto"/>
        <w:rPr>
          <w:rFonts w:ascii="Arial" w:cs="Arial" w:eastAsia="Arial" w:hAnsi="Arial"/>
          <w:sz w:val="16"/>
          <w:szCs w:val="16"/>
          <w:color w:val="auto"/>
        </w:rPr>
      </w:pPr>
      <w:r>
        <w:rPr>
          <w:rFonts w:ascii="Arial" w:cs="Arial" w:eastAsia="Arial" w:hAnsi="Arial"/>
          <w:sz w:val="16"/>
          <w:szCs w:val="16"/>
          <w:color w:val="auto"/>
        </w:rPr>
        <w:t>of debt securities, listing of shares and other securities, issue of commercial paper, and related prospectuses and trust indentures;</w:t>
      </w:r>
    </w:p>
    <w:p>
      <w:pPr>
        <w:spacing w:after="0" w:line="47" w:lineRule="exact"/>
        <w:rPr>
          <w:rFonts w:ascii="Arial" w:cs="Arial" w:eastAsia="Arial" w:hAnsi="Arial"/>
          <w:sz w:val="16"/>
          <w:szCs w:val="16"/>
          <w:color w:val="auto"/>
        </w:rPr>
      </w:pPr>
    </w:p>
    <w:p>
      <w:pPr>
        <w:ind w:left="960" w:hanging="308"/>
        <w:spacing w:after="0"/>
        <w:tabs>
          <w:tab w:leader="none" w:pos="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recommend appointment of external auditors and approve auditors' fees;</w:t>
      </w:r>
    </w:p>
    <w:p>
      <w:pPr>
        <w:spacing w:after="0" w:line="125" w:lineRule="exact"/>
        <w:rPr>
          <w:rFonts w:ascii="Arial" w:cs="Arial" w:eastAsia="Arial" w:hAnsi="Arial"/>
          <w:sz w:val="16"/>
          <w:szCs w:val="16"/>
          <w:color w:val="auto"/>
        </w:rPr>
      </w:pPr>
    </w:p>
    <w:p>
      <w:pPr>
        <w:ind w:left="940" w:hanging="288"/>
        <w:spacing w:after="0"/>
        <w:tabs>
          <w:tab w:leader="none" w:pos="94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approve banking resolutions and significant changes in banking relationships;</w:t>
      </w:r>
    </w:p>
    <w:p>
      <w:pPr>
        <w:spacing w:after="0" w:line="111" w:lineRule="exact"/>
        <w:rPr>
          <w:rFonts w:ascii="Arial" w:cs="Arial" w:eastAsia="Arial" w:hAnsi="Arial"/>
          <w:sz w:val="16"/>
          <w:szCs w:val="16"/>
          <w:color w:val="auto"/>
        </w:rPr>
      </w:pPr>
    </w:p>
    <w:p>
      <w:pPr>
        <w:ind w:left="960" w:hanging="308"/>
        <w:spacing w:after="0"/>
        <w:tabs>
          <w:tab w:leader="none" w:pos="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approve appointments, or material changes in relationships with corporate trustees;</w:t>
      </w:r>
    </w:p>
    <w:p>
      <w:pPr>
        <w:spacing w:after="0" w:line="125" w:lineRule="exact"/>
        <w:rPr>
          <w:rFonts w:ascii="Arial" w:cs="Arial" w:eastAsia="Arial" w:hAnsi="Arial"/>
          <w:sz w:val="16"/>
          <w:szCs w:val="16"/>
          <w:color w:val="auto"/>
        </w:rPr>
      </w:pPr>
    </w:p>
    <w:p>
      <w:pPr>
        <w:ind w:left="980" w:right="3140" w:hanging="328"/>
        <w:spacing w:after="0" w:line="319" w:lineRule="auto"/>
        <w:tabs>
          <w:tab w:leader="none" w:pos="96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approve contracts, leases and other arrangements or commitments that may have a material impact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17062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40" w:lineRule="exact"/>
        <w:rPr>
          <w:sz w:val="20"/>
          <w:szCs w:val="20"/>
          <w:color w:val="auto"/>
        </w:rPr>
      </w:pPr>
    </w:p>
    <w:p>
      <w:pPr>
        <w:ind w:left="160" w:hanging="153"/>
        <w:spacing w:after="0" w:line="208" w:lineRule="auto"/>
        <w:tabs>
          <w:tab w:leader="none" w:pos="236" w:val="left"/>
        </w:tabs>
        <w:numPr>
          <w:ilvl w:val="0"/>
          <w:numId w:val="194"/>
        </w:numPr>
        <w:rPr>
          <w:rFonts w:ascii="Arial" w:cs="Arial" w:eastAsia="Arial" w:hAnsi="Arial"/>
          <w:sz w:val="21"/>
          <w:szCs w:val="21"/>
          <w:color w:val="auto"/>
          <w:vertAlign w:val="superscript"/>
        </w:rPr>
      </w:pPr>
      <w:r>
        <w:rPr>
          <w:rFonts w:ascii="Arial" w:cs="Arial" w:eastAsia="Arial" w:hAnsi="Arial"/>
          <w:sz w:val="13"/>
          <w:szCs w:val="13"/>
          <w:color w:val="auto"/>
        </w:rPr>
        <w:t>For purposes of this Charter, the term "material" includes a transaction or a series of related transactions that would, using reasonable business judgment and assumptions, have a meaningful impact on the Corporation. The impact could be relative to the Corporation's financial performance and liabilities as well as its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128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25" w:right="359" w:bottom="1440" w:gutter="0" w:footer="0" w:header="0"/>
        </w:sectPr>
      </w:pPr>
    </w:p>
    <w:bookmarkStart w:id="134" w:name="page135"/>
    <w:bookmarkEnd w:id="134"/>
    <w:p>
      <w:pPr>
        <w:ind w:left="960" w:hanging="308"/>
        <w:spacing w:after="0"/>
        <w:tabs>
          <w:tab w:leader="none" w:pos="9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approve spending authority guidelines; and</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approve the commencement or settlement of litigation that may have a material impact on the Company.</w:t>
      </w:r>
    </w:p>
    <w:p>
      <w:pPr>
        <w:spacing w:after="0" w:line="147" w:lineRule="exact"/>
        <w:rPr>
          <w:sz w:val="20"/>
          <w:szCs w:val="20"/>
          <w:color w:val="auto"/>
        </w:rPr>
      </w:pPr>
    </w:p>
    <w:p>
      <w:pPr>
        <w:ind w:left="700" w:hanging="370"/>
        <w:spacing w:after="0"/>
        <w:tabs>
          <w:tab w:leader="none" w:pos="700" w:val="left"/>
        </w:tabs>
        <w:numPr>
          <w:ilvl w:val="0"/>
          <w:numId w:val="196"/>
        </w:numPr>
        <w:rPr>
          <w:rFonts w:ascii="Arial" w:cs="Arial" w:eastAsia="Arial" w:hAnsi="Arial"/>
          <w:sz w:val="18"/>
          <w:szCs w:val="18"/>
          <w:b w:val="1"/>
          <w:bCs w:val="1"/>
          <w:color w:val="0D64EF"/>
        </w:rPr>
      </w:pPr>
      <w:r>
        <w:rPr>
          <w:rFonts w:ascii="Arial" w:cs="Arial" w:eastAsia="Arial" w:hAnsi="Arial"/>
          <w:sz w:val="18"/>
          <w:szCs w:val="18"/>
          <w:b w:val="1"/>
          <w:bCs w:val="1"/>
          <w:color w:val="0D64EF"/>
        </w:rPr>
        <w:t>Business and Risk Management</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has the responsibility to:</w:t>
      </w:r>
    </w:p>
    <w:p>
      <w:pPr>
        <w:spacing w:after="0" w:line="125" w:lineRule="exact"/>
        <w:rPr>
          <w:sz w:val="20"/>
          <w:szCs w:val="20"/>
          <w:color w:val="auto"/>
        </w:rPr>
      </w:pPr>
    </w:p>
    <w:p>
      <w:pPr>
        <w:ind w:left="980" w:right="460" w:hanging="328"/>
        <w:spacing w:after="0" w:line="301" w:lineRule="auto"/>
        <w:tabs>
          <w:tab w:leader="none" w:pos="96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take reasonable steps to ensure that management has identified the enterprise risks of the Company's businesses and implemented appropriate strategies to manage these risks, understands the enterprise risks and achieves a proper balance between risks and benefits;</w:t>
      </w:r>
    </w:p>
    <w:p>
      <w:pPr>
        <w:spacing w:after="0" w:line="49" w:lineRule="exact"/>
        <w:rPr>
          <w:rFonts w:ascii="Arial" w:cs="Arial" w:eastAsia="Arial" w:hAnsi="Arial"/>
          <w:sz w:val="16"/>
          <w:szCs w:val="16"/>
          <w:color w:val="auto"/>
        </w:rPr>
      </w:pPr>
    </w:p>
    <w:p>
      <w:pPr>
        <w:ind w:left="960" w:hanging="308"/>
        <w:spacing w:after="0"/>
        <w:tabs>
          <w:tab w:leader="none" w:pos="96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review reports on capital commitments and expenditures relative to approved budgets;</w:t>
      </w:r>
    </w:p>
    <w:p>
      <w:pPr>
        <w:spacing w:after="0" w:line="125" w:lineRule="exact"/>
        <w:rPr>
          <w:rFonts w:ascii="Arial" w:cs="Arial" w:eastAsia="Arial" w:hAnsi="Arial"/>
          <w:sz w:val="16"/>
          <w:szCs w:val="16"/>
          <w:color w:val="auto"/>
        </w:rPr>
      </w:pPr>
    </w:p>
    <w:p>
      <w:pPr>
        <w:ind w:left="940" w:hanging="288"/>
        <w:spacing w:after="0"/>
        <w:tabs>
          <w:tab w:leader="none" w:pos="94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review operating and financial performance relative to budgets or objectives;</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oversee environmental and social issues and receive, on a regular basis, reports on matters relating to,</w:t>
      </w:r>
    </w:p>
    <w:p>
      <w:pPr>
        <w:spacing w:after="0" w:line="29" w:lineRule="exact"/>
        <w:rPr>
          <w:rFonts w:ascii="Arial" w:cs="Arial" w:eastAsia="Arial" w:hAnsi="Arial"/>
          <w:sz w:val="16"/>
          <w:szCs w:val="16"/>
          <w:color w:val="auto"/>
        </w:rPr>
      </w:pPr>
    </w:p>
    <w:p>
      <w:pPr>
        <w:ind w:left="980" w:right="560"/>
        <w:spacing w:after="0" w:line="303" w:lineRule="auto"/>
        <w:rPr>
          <w:rFonts w:ascii="Arial" w:cs="Arial" w:eastAsia="Arial" w:hAnsi="Arial"/>
          <w:sz w:val="16"/>
          <w:szCs w:val="16"/>
          <w:color w:val="auto"/>
        </w:rPr>
      </w:pPr>
      <w:r>
        <w:rPr>
          <w:rFonts w:ascii="Arial" w:cs="Arial" w:eastAsia="Arial" w:hAnsi="Arial"/>
          <w:sz w:val="16"/>
          <w:szCs w:val="16"/>
          <w:color w:val="auto"/>
        </w:rPr>
        <w:t>among others, ethical conduct, environmental management, employee and contractor health and safety, human rights, relationships with Indigenous communities and related party transactions; and</w:t>
      </w:r>
    </w:p>
    <w:p>
      <w:pPr>
        <w:spacing w:after="0" w:line="47" w:lineRule="exact"/>
        <w:rPr>
          <w:rFonts w:ascii="Arial" w:cs="Arial" w:eastAsia="Arial" w:hAnsi="Arial"/>
          <w:sz w:val="16"/>
          <w:szCs w:val="16"/>
          <w:color w:val="auto"/>
        </w:rPr>
      </w:pPr>
    </w:p>
    <w:p>
      <w:pPr>
        <w:ind w:left="980" w:right="200" w:hanging="328"/>
        <w:spacing w:after="0" w:line="271" w:lineRule="auto"/>
        <w:tabs>
          <w:tab w:leader="none" w:pos="966"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assess and monitor management control systems by evaluating and assessing information provided by management and others (e.g. internal and external auditors) about the effectiveness of management</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control systems.</w:t>
      </w:r>
    </w:p>
    <w:p>
      <w:pPr>
        <w:spacing w:after="0" w:line="147"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color w:val="0D64EF"/>
        </w:rPr>
        <w:t>F.  Policies and Procedures</w:t>
      </w:r>
    </w:p>
    <w:p>
      <w:pPr>
        <w:spacing w:after="0" w:line="10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 Board has responsibility to:</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monitor compliance with all significant policies and procedures by which the Company is operated;</w:t>
      </w:r>
    </w:p>
    <w:p>
      <w:pPr>
        <w:spacing w:after="0" w:line="125" w:lineRule="exact"/>
        <w:rPr>
          <w:rFonts w:ascii="Arial" w:cs="Arial" w:eastAsia="Arial" w:hAnsi="Arial"/>
          <w:sz w:val="16"/>
          <w:szCs w:val="16"/>
          <w:color w:val="auto"/>
        </w:rPr>
      </w:pPr>
    </w:p>
    <w:p>
      <w:pPr>
        <w:ind w:left="960" w:hanging="308"/>
        <w:spacing w:after="0"/>
        <w:tabs>
          <w:tab w:leader="none" w:pos="96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direct management to ensure the Company operates at all times within applicable laws and regulations</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and to the highest ethical and moral standards;</w:t>
      </w:r>
    </w:p>
    <w:p>
      <w:pPr>
        <w:spacing w:after="0" w:line="113" w:lineRule="exact"/>
        <w:rPr>
          <w:sz w:val="20"/>
          <w:szCs w:val="20"/>
          <w:color w:val="auto"/>
        </w:rPr>
      </w:pPr>
    </w:p>
    <w:p>
      <w:pPr>
        <w:ind w:left="980" w:right="3080" w:hanging="328"/>
        <w:spacing w:after="0" w:line="319" w:lineRule="auto"/>
        <w:tabs>
          <w:tab w:leader="none" w:pos="953" w:val="left"/>
        </w:tabs>
        <w:numPr>
          <w:ilvl w:val="1"/>
          <w:numId w:val="199"/>
        </w:numPr>
        <w:rPr>
          <w:rFonts w:ascii="Arial" w:cs="Arial" w:eastAsia="Arial" w:hAnsi="Arial"/>
          <w:sz w:val="16"/>
          <w:szCs w:val="16"/>
          <w:color w:val="auto"/>
        </w:rPr>
      </w:pPr>
      <w:r>
        <w:rPr>
          <w:rFonts w:ascii="Arial" w:cs="Arial" w:eastAsia="Arial" w:hAnsi="Arial"/>
          <w:sz w:val="16"/>
          <w:szCs w:val="16"/>
          <w:color w:val="auto"/>
        </w:rPr>
        <w:t>provide policy direction to management while respecting its responsibility for day-to-day management of the Company's businesses; and</w:t>
      </w:r>
    </w:p>
    <w:p>
      <w:pPr>
        <w:spacing w:after="0" w:line="21" w:lineRule="exact"/>
        <w:rPr>
          <w:rFonts w:ascii="Arial" w:cs="Arial" w:eastAsia="Arial" w:hAnsi="Arial"/>
          <w:sz w:val="16"/>
          <w:szCs w:val="16"/>
          <w:color w:val="auto"/>
        </w:rPr>
      </w:pPr>
    </w:p>
    <w:p>
      <w:pPr>
        <w:ind w:left="980" w:right="560" w:hanging="328"/>
        <w:spacing w:after="0" w:line="319" w:lineRule="auto"/>
        <w:tabs>
          <w:tab w:leader="none" w:pos="962" w:val="left"/>
        </w:tabs>
        <w:numPr>
          <w:ilvl w:val="1"/>
          <w:numId w:val="199"/>
        </w:numPr>
        <w:rPr>
          <w:rFonts w:ascii="Arial" w:cs="Arial" w:eastAsia="Arial" w:hAnsi="Arial"/>
          <w:sz w:val="16"/>
          <w:szCs w:val="16"/>
          <w:color w:val="auto"/>
        </w:rPr>
      </w:pPr>
      <w:r>
        <w:rPr>
          <w:rFonts w:ascii="Arial" w:cs="Arial" w:eastAsia="Arial" w:hAnsi="Arial"/>
          <w:sz w:val="16"/>
          <w:szCs w:val="16"/>
          <w:color w:val="auto"/>
        </w:rPr>
        <w:t>review significant new corporate policies or material amendments to existing policies (including, for example, policies regarding business conduct, conflict of interest and the environment).</w:t>
      </w:r>
    </w:p>
    <w:p>
      <w:pPr>
        <w:spacing w:after="0" w:line="57" w:lineRule="exact"/>
        <w:rPr>
          <w:rFonts w:ascii="Arial" w:cs="Arial" w:eastAsia="Arial" w:hAnsi="Arial"/>
          <w:sz w:val="16"/>
          <w:szCs w:val="16"/>
          <w:color w:val="auto"/>
        </w:rPr>
      </w:pPr>
    </w:p>
    <w:p>
      <w:pPr>
        <w:ind w:left="720" w:hanging="390"/>
        <w:spacing w:after="0"/>
        <w:tabs>
          <w:tab w:leader="none" w:pos="720" w:val="left"/>
        </w:tabs>
        <w:numPr>
          <w:ilvl w:val="0"/>
          <w:numId w:val="200"/>
        </w:numPr>
        <w:rPr>
          <w:rFonts w:ascii="Arial" w:cs="Arial" w:eastAsia="Arial" w:hAnsi="Arial"/>
          <w:sz w:val="18"/>
          <w:szCs w:val="18"/>
          <w:b w:val="1"/>
          <w:bCs w:val="1"/>
          <w:color w:val="0D64EF"/>
        </w:rPr>
      </w:pPr>
      <w:r>
        <w:rPr>
          <w:rFonts w:ascii="Arial" w:cs="Arial" w:eastAsia="Arial" w:hAnsi="Arial"/>
          <w:sz w:val="18"/>
          <w:szCs w:val="18"/>
          <w:b w:val="1"/>
          <w:bCs w:val="1"/>
          <w:color w:val="0D64EF"/>
        </w:rPr>
        <w:t>Compliance Reporting and Corporate Communications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has the responsibility to:</w:t>
      </w:r>
    </w:p>
    <w:p>
      <w:pPr>
        <w:spacing w:after="0" w:line="125" w:lineRule="exact"/>
        <w:rPr>
          <w:sz w:val="20"/>
          <w:szCs w:val="20"/>
          <w:color w:val="auto"/>
        </w:rPr>
      </w:pPr>
    </w:p>
    <w:p>
      <w:pPr>
        <w:ind w:left="980" w:right="200" w:hanging="328"/>
        <w:spacing w:after="0" w:line="301" w:lineRule="auto"/>
        <w:tabs>
          <w:tab w:leader="none" w:pos="96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take all reasonable steps to ensure the Company has in place effective disclosure and communication processes with shareholders and other stakeholders and financial, regulatory and other recipients;</w:t>
      </w:r>
    </w:p>
    <w:p>
      <w:pPr>
        <w:spacing w:after="0" w:line="49" w:lineRule="exact"/>
        <w:rPr>
          <w:rFonts w:ascii="Arial" w:cs="Arial" w:eastAsia="Arial" w:hAnsi="Arial"/>
          <w:sz w:val="16"/>
          <w:szCs w:val="16"/>
          <w:color w:val="auto"/>
        </w:rPr>
      </w:pPr>
    </w:p>
    <w:p>
      <w:pPr>
        <w:ind w:left="960" w:hanging="308"/>
        <w:spacing w:after="0"/>
        <w:tabs>
          <w:tab w:leader="none" w:pos="9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approve interaction with shareholders on all items requiring shareholder response or approval;</w:t>
      </w:r>
    </w:p>
    <w:p>
      <w:pPr>
        <w:spacing w:after="0" w:line="125" w:lineRule="exact"/>
        <w:rPr>
          <w:rFonts w:ascii="Arial" w:cs="Arial" w:eastAsia="Arial" w:hAnsi="Arial"/>
          <w:sz w:val="16"/>
          <w:szCs w:val="16"/>
          <w:color w:val="auto"/>
        </w:rPr>
      </w:pPr>
    </w:p>
    <w:p>
      <w:pPr>
        <w:ind w:left="940" w:hanging="288"/>
        <w:spacing w:after="0"/>
        <w:tabs>
          <w:tab w:leader="none" w:pos="9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take all reasonable steps to ensure that the financial performance of the Company is adequately reported</w:t>
      </w:r>
    </w:p>
    <w:p>
      <w:pPr>
        <w:spacing w:after="0" w:line="3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to shareholders, other security holders and regulators on a timely and regular basis;</w:t>
      </w:r>
    </w:p>
    <w:p>
      <w:pPr>
        <w:spacing w:after="0" w:line="112" w:lineRule="exact"/>
        <w:rPr>
          <w:sz w:val="20"/>
          <w:szCs w:val="20"/>
          <w:color w:val="auto"/>
        </w:rPr>
      </w:pPr>
    </w:p>
    <w:p>
      <w:pPr>
        <w:ind w:left="960" w:hanging="308"/>
        <w:spacing w:after="0"/>
        <w:tabs>
          <w:tab w:leader="none" w:pos="9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take all reasonable steps to ensure that financial results are reported fairly and in accordance with generally accepted accounting principles;</w:t>
      </w:r>
    </w:p>
    <w:p>
      <w:pPr>
        <w:spacing w:after="0" w:line="125" w:lineRule="exact"/>
        <w:rPr>
          <w:rFonts w:ascii="Arial" w:cs="Arial" w:eastAsia="Arial" w:hAnsi="Arial"/>
          <w:sz w:val="16"/>
          <w:szCs w:val="16"/>
          <w:color w:val="auto"/>
        </w:rPr>
      </w:pPr>
    </w:p>
    <w:p>
      <w:pPr>
        <w:ind w:left="980" w:right="2940" w:hanging="328"/>
        <w:spacing w:after="0" w:line="319" w:lineRule="auto"/>
        <w:tabs>
          <w:tab w:leader="none" w:pos="96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take all reasonable steps to ensure the timely reporting of any other developments that have significant and material impact on the Company; and</w:t>
      </w:r>
    </w:p>
    <w:p>
      <w:pPr>
        <w:spacing w:after="0" w:line="34" w:lineRule="exact"/>
        <w:rPr>
          <w:rFonts w:ascii="Arial" w:cs="Arial" w:eastAsia="Arial" w:hAnsi="Arial"/>
          <w:sz w:val="16"/>
          <w:szCs w:val="16"/>
          <w:color w:val="auto"/>
        </w:rPr>
      </w:pPr>
    </w:p>
    <w:p>
      <w:pPr>
        <w:ind w:left="960" w:hanging="308"/>
        <w:spacing w:after="0"/>
        <w:tabs>
          <w:tab w:leader="none" w:pos="9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report annually to shareholders on the Board's stewardship for the preceding year (the Annual Report).</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0D64EF"/>
        </w:rPr>
        <w:t>IV.</w:t>
      </w:r>
      <w:r>
        <w:rPr>
          <w:sz w:val="20"/>
          <w:szCs w:val="20"/>
          <w:color w:val="auto"/>
        </w:rPr>
        <w:tab/>
      </w:r>
      <w:r>
        <w:rPr>
          <w:rFonts w:ascii="Arial" w:cs="Arial" w:eastAsia="Arial" w:hAnsi="Arial"/>
          <w:sz w:val="17"/>
          <w:szCs w:val="17"/>
          <w:b w:val="1"/>
          <w:bCs w:val="1"/>
          <w:color w:val="0D64EF"/>
        </w:rPr>
        <w:t>GENERAL LEGAL OBLIGATIONS OF THE BOARD OF DIRECTORS</w:t>
      </w:r>
    </w:p>
    <w:p>
      <w:pPr>
        <w:spacing w:after="0" w:line="120" w:lineRule="exact"/>
        <w:rPr>
          <w:sz w:val="20"/>
          <w:szCs w:val="20"/>
          <w:color w:val="auto"/>
        </w:rPr>
      </w:pPr>
    </w:p>
    <w:p>
      <w:pPr>
        <w:ind w:left="660" w:hanging="330"/>
        <w:spacing w:after="0"/>
        <w:tabs>
          <w:tab w:leader="none" w:pos="6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Board is responsible for:</w:t>
      </w:r>
    </w:p>
    <w:p>
      <w:pPr>
        <w:spacing w:after="0" w:line="125" w:lineRule="exact"/>
        <w:rPr>
          <w:rFonts w:ascii="Arial" w:cs="Arial" w:eastAsia="Arial" w:hAnsi="Arial"/>
          <w:sz w:val="16"/>
          <w:szCs w:val="16"/>
          <w:color w:val="auto"/>
        </w:rPr>
      </w:pPr>
    </w:p>
    <w:p>
      <w:pPr>
        <w:ind w:left="980" w:right="3060" w:hanging="328"/>
        <w:spacing w:after="0" w:line="301" w:lineRule="auto"/>
        <w:tabs>
          <w:tab w:leader="none" w:pos="962" w:val="left"/>
        </w:tabs>
        <w:numPr>
          <w:ilvl w:val="1"/>
          <w:numId w:val="203"/>
        </w:numPr>
        <w:rPr>
          <w:rFonts w:ascii="Arial" w:cs="Arial" w:eastAsia="Arial" w:hAnsi="Arial"/>
          <w:sz w:val="16"/>
          <w:szCs w:val="16"/>
          <w:color w:val="auto"/>
        </w:rPr>
      </w:pPr>
      <w:r>
        <w:rPr>
          <w:rFonts w:ascii="Arial" w:cs="Arial" w:eastAsia="Arial" w:hAnsi="Arial"/>
          <w:sz w:val="16"/>
          <w:szCs w:val="16"/>
          <w:color w:val="auto"/>
        </w:rPr>
        <w:t>directing management to ensure legal requirements have been met and documents and records have been properly prepared, approved and maintained;</w:t>
      </w:r>
    </w:p>
    <w:p>
      <w:pPr>
        <w:spacing w:after="0" w:line="49" w:lineRule="exact"/>
        <w:rPr>
          <w:rFonts w:ascii="Arial" w:cs="Arial" w:eastAsia="Arial" w:hAnsi="Arial"/>
          <w:sz w:val="16"/>
          <w:szCs w:val="16"/>
          <w:color w:val="auto"/>
        </w:rPr>
      </w:pPr>
    </w:p>
    <w:p>
      <w:pPr>
        <w:ind w:left="980" w:right="2920" w:hanging="328"/>
        <w:spacing w:after="0" w:line="319" w:lineRule="auto"/>
        <w:tabs>
          <w:tab w:leader="none" w:pos="957"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approving changes in the By-laws and Articles of Incorporation, matters requiring shareholder approval, and agendas for shareholder meetings;</w:t>
      </w:r>
    </w:p>
    <w:p>
      <w:pPr>
        <w:spacing w:after="0" w:line="34" w:lineRule="exact"/>
        <w:rPr>
          <w:rFonts w:ascii="Arial" w:cs="Arial" w:eastAsia="Arial" w:hAnsi="Arial"/>
          <w:sz w:val="16"/>
          <w:szCs w:val="16"/>
          <w:color w:val="auto"/>
        </w:rPr>
      </w:pPr>
    </w:p>
    <w:p>
      <w:pPr>
        <w:ind w:left="940" w:hanging="288"/>
        <w:spacing w:after="0"/>
        <w:tabs>
          <w:tab w:leader="none" w:pos="94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approving the Company's legal structure, name, logo, mission statement and vision statement; and</w:t>
      </w:r>
    </w:p>
    <w:p>
      <w:pPr>
        <w:spacing w:after="0" w:line="111" w:lineRule="exact"/>
        <w:rPr>
          <w:rFonts w:ascii="Arial" w:cs="Arial" w:eastAsia="Arial" w:hAnsi="Arial"/>
          <w:sz w:val="16"/>
          <w:szCs w:val="16"/>
          <w:color w:val="auto"/>
        </w:rPr>
      </w:pPr>
    </w:p>
    <w:p>
      <w:pPr>
        <w:ind w:left="980" w:right="3060" w:hanging="328"/>
        <w:spacing w:after="0" w:line="319" w:lineRule="auto"/>
        <w:tabs>
          <w:tab w:leader="none" w:pos="962" w:val="left"/>
        </w:tabs>
        <w:numPr>
          <w:ilvl w:val="1"/>
          <w:numId w:val="203"/>
        </w:numPr>
        <w:rPr>
          <w:rFonts w:ascii="Arial" w:cs="Arial" w:eastAsia="Arial" w:hAnsi="Arial"/>
          <w:sz w:val="16"/>
          <w:szCs w:val="16"/>
          <w:color w:val="auto"/>
        </w:rPr>
      </w:pPr>
      <w:r>
        <w:rPr>
          <w:rFonts w:ascii="Arial" w:cs="Arial" w:eastAsia="Arial" w:hAnsi="Arial"/>
          <w:sz w:val="16"/>
          <w:szCs w:val="16"/>
          <w:color w:val="auto"/>
        </w:rPr>
        <w:t>performing such functions as it reserves to itself or which cannot, by law, be delegated to Committees of the Board or to management.</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129</w:t>
      </w:r>
    </w:p>
    <w:p>
      <w:pPr>
        <w:sectPr>
          <w:pgSz w:w="11900" w:h="16838" w:orient="portrait"/>
          <w:cols w:equalWidth="0" w:num="1">
            <w:col w:w="11240"/>
          </w:cols>
          <w:pgMar w:left="320" w:top="1026" w:right="339" w:bottom="1440" w:gutter="0" w:footer="0" w:header="0"/>
          <w:type w:val="continuous"/>
        </w:sectPr>
      </w:pPr>
    </w:p>
    <w:bookmarkStart w:id="135" w:name="page136"/>
    <w:bookmarkEnd w:id="135"/>
    <w:p>
      <w:pPr>
        <w:spacing w:after="0" w:line="334" w:lineRule="exact"/>
        <w:rPr>
          <w:sz w:val="20"/>
          <w:szCs w:val="20"/>
          <w:color w:val="auto"/>
        </w:rPr>
      </w:pPr>
      <w:r>
        <w:rPr>
          <w:rFonts w:ascii="Arial" w:cs="Arial" w:eastAsia="Arial" w:hAnsi="Arial"/>
          <w:sz w:val="29"/>
          <w:szCs w:val="29"/>
          <w:color w:val="0D64EF"/>
        </w:rPr>
        <w:t>Schedule B – Non</w:t>
      </w:r>
      <w:r>
        <w:rPr>
          <w:rFonts w:ascii="MS PGothic" w:cs="MS PGothic" w:eastAsia="MS PGothic" w:hAnsi="MS PGothic"/>
          <w:sz w:val="29"/>
          <w:szCs w:val="29"/>
          <w:color w:val="0D64EF"/>
        </w:rPr>
        <w:t>‑</w:t>
      </w:r>
      <w:r>
        <w:rPr>
          <w:rFonts w:ascii="Arial" w:cs="Arial" w:eastAsia="Arial" w:hAnsi="Arial"/>
          <w:sz w:val="29"/>
          <w:szCs w:val="29"/>
          <w:color w:val="0D64EF"/>
        </w:rPr>
        <w:t>GAAP measures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In our disclosure, we use the following non-GAAP measures:</w:t>
      </w:r>
    </w:p>
    <w:p>
      <w:pPr>
        <w:spacing w:after="0" w:line="138" w:lineRule="exact"/>
        <w:rPr>
          <w:sz w:val="20"/>
          <w:szCs w:val="20"/>
          <w:color w:val="auto"/>
        </w:rPr>
      </w:pPr>
    </w:p>
    <w:p>
      <w:pPr>
        <w:ind w:left="140" w:hanging="133"/>
        <w:spacing w:after="0"/>
        <w:tabs>
          <w:tab w:leader="none" w:pos="1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comparable earnings before interest, taxes, depreciation and amortization (comparable EBITDA)</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comparable earnings before interest and taxes (comparable EBIT)</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comparable earnings per common share (comparable EPS)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Debt-to-EBITDA /Debt-to-EBITDA for compensation purposes</w:t>
      </w:r>
    </w:p>
    <w:p>
      <w:pPr>
        <w:spacing w:after="0" w:line="98" w:lineRule="exact"/>
        <w:rPr>
          <w:rFonts w:ascii="Arial" w:cs="Arial" w:eastAsia="Arial" w:hAnsi="Arial"/>
          <w:sz w:val="16"/>
          <w:szCs w:val="16"/>
          <w:color w:val="auto"/>
        </w:rPr>
      </w:pPr>
    </w:p>
    <w:p>
      <w:pPr>
        <w:ind w:left="160" w:right="680" w:hanging="153"/>
        <w:spacing w:after="0" w:line="337" w:lineRule="auto"/>
        <w:tabs>
          <w:tab w:leader="none" w:pos="13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distributable cash flow per share (DCF per share) / distributable cash flow per share for compensation purposes (DCF per share for compensation purposes)</w:t>
      </w:r>
    </w:p>
    <w:p>
      <w:pPr>
        <w:spacing w:after="0" w:line="47" w:lineRule="exact"/>
        <w:rPr>
          <w:rFonts w:ascii="Arial" w:cs="Arial" w:eastAsia="Arial" w:hAnsi="Arial"/>
          <w:sz w:val="16"/>
          <w:szCs w:val="16"/>
          <w:color w:val="auto"/>
        </w:rPr>
      </w:pPr>
    </w:p>
    <w:p>
      <w:pPr>
        <w:ind w:left="140" w:hanging="133"/>
        <w:spacing w:after="0"/>
        <w:tabs>
          <w:tab w:leader="none" w:pos="1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funds generated from operations and comparable funds generated from operations</w:t>
      </w:r>
    </w:p>
    <w:p>
      <w:pPr>
        <w:spacing w:after="0" w:line="138"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These measures do not have any standardized meaning as prescribed by GAAP and therefore may not be comparable to similar measures presented by other entities. These measures are reviewed regularly by our President and Chief Executive Officer, management and the Board of Directors in assessing our performance and making decisions regarding the ongoing operations of our business and its ability to generate cash flows. Some or all of these measures may also be used by investors and other external users of our financial statements as a supplemental measure to provide decision-useful information regarding our period-over-period performance and ability to generate earnings that are core to our ongoing operations. Discussions throughout this Circular on the factors impacting comparable EBITDA and comparable EBIT are consistent with the factors that impact segmented earnings, except where noted otherwise.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Comparable measures</w:t>
      </w:r>
    </w:p>
    <w:p>
      <w:pPr>
        <w:spacing w:after="0" w:line="53" w:lineRule="exact"/>
        <w:rPr>
          <w:sz w:val="20"/>
          <w:szCs w:val="20"/>
          <w:color w:val="auto"/>
        </w:rPr>
      </w:pPr>
    </w:p>
    <w:p>
      <w:pPr>
        <w:ind w:right="180"/>
        <w:spacing w:after="0" w:line="317" w:lineRule="auto"/>
        <w:rPr>
          <w:sz w:val="20"/>
          <w:szCs w:val="20"/>
          <w:color w:val="auto"/>
        </w:rPr>
      </w:pPr>
      <w:r>
        <w:rPr>
          <w:rFonts w:ascii="Arial" w:cs="Arial" w:eastAsia="Arial" w:hAnsi="Arial"/>
          <w:sz w:val="16"/>
          <w:szCs w:val="16"/>
          <w:color w:val="auto"/>
        </w:rPr>
        <w:t>We calculate comparable measures by adjusting certain GAAP measures for specific items we believe are significant but not reflective of our underlying operations in the period. Except as otherwise described herein, these comparable measures are calculated on a consistent basis from period to period and are adjusted for specific items in each period, as applicable.</w:t>
      </w:r>
    </w:p>
    <w:p>
      <w:pPr>
        <w:spacing w:after="0" w:line="64" w:lineRule="exact"/>
        <w:rPr>
          <w:sz w:val="20"/>
          <w:szCs w:val="20"/>
          <w:color w:val="auto"/>
        </w:rPr>
      </w:pPr>
    </w:p>
    <w:p>
      <w:pPr>
        <w:ind w:right="380"/>
        <w:spacing w:after="0" w:line="337" w:lineRule="auto"/>
        <w:rPr>
          <w:sz w:val="20"/>
          <w:szCs w:val="20"/>
          <w:color w:val="auto"/>
        </w:rPr>
      </w:pPr>
      <w:r>
        <w:rPr>
          <w:rFonts w:ascii="Arial" w:cs="Arial" w:eastAsia="Arial" w:hAnsi="Arial"/>
          <w:sz w:val="16"/>
          <w:szCs w:val="16"/>
          <w:color w:val="auto"/>
        </w:rPr>
        <w:t>Our decision to adjust for a specific item in reporting comparable measures is subjective and made after careful consideration. We maintain a consistent approach to adjustments, which generally fall into the categories described below:</w:t>
      </w:r>
    </w:p>
    <w:p>
      <w:pPr>
        <w:spacing w:after="0" w:line="48" w:lineRule="exact"/>
        <w:rPr>
          <w:sz w:val="20"/>
          <w:szCs w:val="20"/>
          <w:color w:val="auto"/>
        </w:rPr>
      </w:pPr>
    </w:p>
    <w:p>
      <w:pPr>
        <w:ind w:left="160" w:right="160" w:hanging="153"/>
        <w:spacing w:after="0" w:line="337" w:lineRule="auto"/>
        <w:tabs>
          <w:tab w:leader="none" w:pos="1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by their nature are unusual, infrequent and separately identifiable from our normal business operations and in our view are not reflective of our underlying operations in the period and generally include the following:</w:t>
      </w:r>
    </w:p>
    <w:p>
      <w:pPr>
        <w:spacing w:after="0" w:line="7" w:lineRule="exact"/>
        <w:rPr>
          <w:rFonts w:ascii="Arial" w:cs="Arial" w:eastAsia="Arial" w:hAnsi="Arial"/>
          <w:sz w:val="16"/>
          <w:szCs w:val="16"/>
          <w:color w:val="auto"/>
        </w:rPr>
      </w:pPr>
    </w:p>
    <w:p>
      <w:pPr>
        <w:ind w:left="340" w:right="60" w:hanging="171"/>
        <w:spacing w:after="0" w:line="316" w:lineRule="auto"/>
        <w:tabs>
          <w:tab w:leader="none" w:pos="343" w:val="left"/>
        </w:tabs>
        <w:numPr>
          <w:ilvl w:val="1"/>
          <w:numId w:val="205"/>
        </w:numPr>
        <w:rPr>
          <w:rFonts w:ascii="Arial" w:cs="Arial" w:eastAsia="Arial" w:hAnsi="Arial"/>
          <w:sz w:val="16"/>
          <w:szCs w:val="16"/>
          <w:color w:val="auto"/>
        </w:rPr>
      </w:pPr>
      <w:r>
        <w:rPr>
          <w:rFonts w:ascii="Arial" w:cs="Arial" w:eastAsia="Arial" w:hAnsi="Arial"/>
          <w:sz w:val="16"/>
          <w:szCs w:val="16"/>
          <w:color w:val="auto"/>
        </w:rPr>
        <w:t>gains or losses on sales of assets or assets held for sale; impairment of goodwill, plant, property and equipment, equity investments and other assets; legal, contractual and other infrequent settlements; acquisition, integration and restructuring costs; expected credit loss provisions on net investment in leases and certain contract assets in Mexico; impacts resulting from changes in legislation and enacted tax rates and unusual tax refunds/payments and valuation allowance adjustments</w:t>
      </w:r>
    </w:p>
    <w:p>
      <w:pPr>
        <w:spacing w:after="0" w:line="52" w:lineRule="exact"/>
        <w:rPr>
          <w:rFonts w:ascii="Arial" w:cs="Arial" w:eastAsia="Arial" w:hAnsi="Arial"/>
          <w:sz w:val="16"/>
          <w:szCs w:val="16"/>
          <w:color w:val="auto"/>
        </w:rPr>
      </w:pPr>
    </w:p>
    <w:p>
      <w:pPr>
        <w:ind w:left="160" w:right="220" w:hanging="153"/>
        <w:spacing w:after="0" w:line="341" w:lineRule="auto"/>
        <w:tabs>
          <w:tab w:leader="none" w:pos="1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unrealized gains and losses related to fair value adjustments that do not reflect realized earnings or losses or cash impacts incurred in the current period from our underlying operations and generally include the following:</w:t>
      </w:r>
    </w:p>
    <w:p>
      <w:pPr>
        <w:spacing w:after="0" w:line="1" w:lineRule="exact"/>
        <w:rPr>
          <w:sz w:val="20"/>
          <w:szCs w:val="20"/>
          <w:color w:val="auto"/>
        </w:rPr>
      </w:pPr>
    </w:p>
    <w:p>
      <w:pPr>
        <w:ind w:left="300" w:hanging="131"/>
        <w:spacing w:after="0"/>
        <w:tabs>
          <w:tab w:leader="none" w:pos="3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unrealized gains and losses from changes in the fair value of derivatives related to financial and commodity price risk management activities; unrealized</w:t>
      </w:r>
    </w:p>
    <w:p>
      <w:pPr>
        <w:spacing w:after="0" w:line="57" w:lineRule="exact"/>
        <w:rPr>
          <w:rFonts w:ascii="Arial" w:cs="Arial" w:eastAsia="Arial" w:hAnsi="Arial"/>
          <w:sz w:val="16"/>
          <w:szCs w:val="16"/>
          <w:color w:val="auto"/>
        </w:rPr>
      </w:pPr>
    </w:p>
    <w:p>
      <w:pPr>
        <w:ind w:left="340" w:right="60"/>
        <w:spacing w:after="0" w:line="337" w:lineRule="auto"/>
        <w:rPr>
          <w:rFonts w:ascii="Arial" w:cs="Arial" w:eastAsia="Arial" w:hAnsi="Arial"/>
          <w:sz w:val="16"/>
          <w:szCs w:val="16"/>
          <w:color w:val="auto"/>
        </w:rPr>
      </w:pPr>
      <w:r>
        <w:rPr>
          <w:rFonts w:ascii="Arial" w:cs="Arial" w:eastAsia="Arial" w:hAnsi="Arial"/>
          <w:sz w:val="16"/>
          <w:szCs w:val="16"/>
          <w:color w:val="auto"/>
        </w:rPr>
        <w:t>fair value adjustments related to our proportionate share of Bruce Power’s risk management activities and its funds invested for post-retirement benefits; unrealized foreign exchange gains and losses on intercompany loans that impact consolidated earnings.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130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983" w:right="359" w:bottom="1440" w:gutter="0" w:footer="0" w:header="0"/>
        </w:sectPr>
      </w:pPr>
    </w:p>
    <w:bookmarkStart w:id="136" w:name="page137"/>
    <w:bookmarkEnd w:id="136"/>
    <w:p>
      <w:pPr>
        <w:ind w:right="40"/>
        <w:spacing w:after="0" w:line="316" w:lineRule="auto"/>
        <w:rPr>
          <w:sz w:val="20"/>
          <w:szCs w:val="20"/>
          <w:color w:val="auto"/>
        </w:rPr>
      </w:pPr>
      <w:r>
        <w:rPr>
          <w:rFonts w:ascii="Arial" w:cs="Arial" w:eastAsia="Arial" w:hAnsi="Arial"/>
          <w:sz w:val="16"/>
          <w:szCs w:val="16"/>
          <w:color w:val="auto"/>
        </w:rPr>
        <w:t>The following table identifies our non-GAAP measures against their most directly comparable GAAP measures. These measures are applicable to each of our continuing operations and discontinued operations. For quantitative reconciliations of our comparable measures to their GAAP measures and a discussion of specific adjustments made for 2025 and comparative periods can be found in the Annual MD&amp;A on pages 22 to 29 and 76, the Financial results section in each business segment, and the Financial condition section. Non-GAAP measures for discontinued operations are found in the Discontinued operations section on page 88 of the Annual MD&amp;A.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6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4"/>
                <w:szCs w:val="14"/>
                <w:b w:val="1"/>
                <w:bCs w:val="1"/>
                <w:color w:val="auto"/>
              </w:rPr>
              <w:t>Comparable measure</w:t>
            </w:r>
          </w:p>
        </w:tc>
        <w:tc>
          <w:tcPr>
            <w:tcW w:w="5320" w:type="dxa"/>
            <w:vAlign w:val="bottom"/>
            <w:tcBorders>
              <w:top w:val="single" w:sz="8" w:color="0D64EF"/>
              <w:bottom w:val="single" w:sz="8" w:color="0D64EF"/>
            </w:tcBorders>
            <w:shd w:val="clear" w:color="auto" w:fill="D1D0CF"/>
          </w:tcPr>
          <w:p>
            <w:pPr>
              <w:ind w:left="920"/>
              <w:spacing w:after="0"/>
              <w:rPr>
                <w:sz w:val="20"/>
                <w:szCs w:val="20"/>
                <w:color w:val="auto"/>
              </w:rPr>
            </w:pPr>
            <w:r>
              <w:rPr>
                <w:rFonts w:ascii="Arial" w:cs="Arial" w:eastAsia="Arial" w:hAnsi="Arial"/>
                <w:sz w:val="14"/>
                <w:szCs w:val="14"/>
                <w:b w:val="1"/>
                <w:bCs w:val="1"/>
                <w:color w:val="auto"/>
              </w:rPr>
              <w:t>GAAP measure</w:t>
            </w:r>
          </w:p>
        </w:tc>
      </w:tr>
      <w:tr>
        <w:trPr>
          <w:trHeight w:val="192"/>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comparable EBITDA</w:t>
            </w:r>
          </w:p>
        </w:tc>
        <w:tc>
          <w:tcPr>
            <w:tcW w:w="5320" w:type="dxa"/>
            <w:vAlign w:val="bottom"/>
            <w:tcBorders>
              <w:bottom w:val="single" w:sz="8" w:color="B2B2B2"/>
            </w:tcBorders>
          </w:tcPr>
          <w:p>
            <w:pPr>
              <w:ind w:left="920"/>
              <w:spacing w:after="0"/>
              <w:rPr>
                <w:sz w:val="20"/>
                <w:szCs w:val="20"/>
                <w:color w:val="auto"/>
              </w:rPr>
            </w:pPr>
            <w:r>
              <w:rPr>
                <w:rFonts w:ascii="Arial" w:cs="Arial" w:eastAsia="Arial" w:hAnsi="Arial"/>
                <w:sz w:val="14"/>
                <w:szCs w:val="14"/>
                <w:color w:val="auto"/>
              </w:rPr>
              <w:t>segmented earnings (losses)</w:t>
            </w:r>
          </w:p>
        </w:tc>
      </w:tr>
      <w:tr>
        <w:trPr>
          <w:trHeight w:val="195"/>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comparable EBIT</w:t>
            </w:r>
          </w:p>
        </w:tc>
        <w:tc>
          <w:tcPr>
            <w:tcW w:w="5320" w:type="dxa"/>
            <w:vAlign w:val="bottom"/>
            <w:tcBorders>
              <w:bottom w:val="single" w:sz="8" w:color="B2B2B2"/>
            </w:tcBorders>
          </w:tcPr>
          <w:p>
            <w:pPr>
              <w:ind w:left="920"/>
              <w:spacing w:after="0"/>
              <w:rPr>
                <w:sz w:val="20"/>
                <w:szCs w:val="20"/>
                <w:color w:val="auto"/>
              </w:rPr>
            </w:pPr>
            <w:r>
              <w:rPr>
                <w:rFonts w:ascii="Arial" w:cs="Arial" w:eastAsia="Arial" w:hAnsi="Arial"/>
                <w:sz w:val="14"/>
                <w:szCs w:val="14"/>
                <w:color w:val="auto"/>
              </w:rPr>
              <w:t>segmented earnings (loses)</w:t>
            </w:r>
          </w:p>
        </w:tc>
      </w:tr>
      <w:tr>
        <w:trPr>
          <w:trHeight w:val="195"/>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comparable earnings</w:t>
            </w:r>
          </w:p>
        </w:tc>
        <w:tc>
          <w:tcPr>
            <w:tcW w:w="5320" w:type="dxa"/>
            <w:vAlign w:val="bottom"/>
            <w:tcBorders>
              <w:bottom w:val="single" w:sz="8" w:color="B2B2B2"/>
            </w:tcBorders>
          </w:tcPr>
          <w:p>
            <w:pPr>
              <w:ind w:left="920"/>
              <w:spacing w:after="0"/>
              <w:rPr>
                <w:sz w:val="20"/>
                <w:szCs w:val="20"/>
                <w:color w:val="auto"/>
              </w:rPr>
            </w:pPr>
            <w:r>
              <w:rPr>
                <w:rFonts w:ascii="Arial" w:cs="Arial" w:eastAsia="Arial" w:hAnsi="Arial"/>
                <w:sz w:val="14"/>
                <w:szCs w:val="14"/>
                <w:color w:val="auto"/>
              </w:rPr>
              <w:t>net income (loss) attributable to common shares</w:t>
            </w:r>
          </w:p>
        </w:tc>
      </w:tr>
      <w:tr>
        <w:trPr>
          <w:trHeight w:val="195"/>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comparable earnings per common share</w:t>
            </w:r>
          </w:p>
        </w:tc>
        <w:tc>
          <w:tcPr>
            <w:tcW w:w="5320" w:type="dxa"/>
            <w:vAlign w:val="bottom"/>
            <w:tcBorders>
              <w:bottom w:val="single" w:sz="8" w:color="B2B2B2"/>
            </w:tcBorders>
          </w:tcPr>
          <w:p>
            <w:pPr>
              <w:ind w:left="920"/>
              <w:spacing w:after="0"/>
              <w:rPr>
                <w:sz w:val="20"/>
                <w:szCs w:val="20"/>
                <w:color w:val="auto"/>
              </w:rPr>
            </w:pPr>
            <w:r>
              <w:rPr>
                <w:rFonts w:ascii="Arial" w:cs="Arial" w:eastAsia="Arial" w:hAnsi="Arial"/>
                <w:sz w:val="14"/>
                <w:szCs w:val="14"/>
                <w:color w:val="auto"/>
              </w:rPr>
              <w:t>net income (loss) per common share</w:t>
            </w:r>
          </w:p>
        </w:tc>
      </w:tr>
      <w:tr>
        <w:trPr>
          <w:trHeight w:val="195"/>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adjusted debt / adjusted debt normalized for foreign exchange</w:t>
            </w:r>
          </w:p>
        </w:tc>
        <w:tc>
          <w:tcPr>
            <w:tcW w:w="5320" w:type="dxa"/>
            <w:vAlign w:val="bottom"/>
            <w:tcBorders>
              <w:bottom w:val="single" w:sz="8" w:color="B2B2B2"/>
            </w:tcBorders>
          </w:tcPr>
          <w:p>
            <w:pPr>
              <w:ind w:left="920"/>
              <w:spacing w:after="0"/>
              <w:rPr>
                <w:sz w:val="20"/>
                <w:szCs w:val="20"/>
                <w:color w:val="auto"/>
              </w:rPr>
            </w:pPr>
            <w:r>
              <w:rPr>
                <w:rFonts w:ascii="Arial" w:cs="Arial" w:eastAsia="Arial" w:hAnsi="Arial"/>
                <w:sz w:val="14"/>
                <w:szCs w:val="14"/>
                <w:color w:val="auto"/>
              </w:rPr>
              <w:t>debt</w:t>
            </w:r>
          </w:p>
        </w:tc>
      </w:tr>
      <w:tr>
        <w:trPr>
          <w:trHeight w:val="195"/>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funds generated from operations</w:t>
            </w:r>
          </w:p>
        </w:tc>
        <w:tc>
          <w:tcPr>
            <w:tcW w:w="5320" w:type="dxa"/>
            <w:vAlign w:val="bottom"/>
            <w:tcBorders>
              <w:bottom w:val="single" w:sz="8" w:color="B2B2B2"/>
            </w:tcBorders>
          </w:tcPr>
          <w:p>
            <w:pPr>
              <w:ind w:left="920"/>
              <w:spacing w:after="0"/>
              <w:rPr>
                <w:sz w:val="20"/>
                <w:szCs w:val="20"/>
                <w:color w:val="auto"/>
              </w:rPr>
            </w:pPr>
            <w:r>
              <w:rPr>
                <w:rFonts w:ascii="Arial" w:cs="Arial" w:eastAsia="Arial" w:hAnsi="Arial"/>
                <w:sz w:val="14"/>
                <w:szCs w:val="14"/>
                <w:color w:val="auto"/>
              </w:rPr>
              <w:t>net cash provided by operations</w:t>
            </w:r>
          </w:p>
        </w:tc>
      </w:tr>
      <w:tr>
        <w:trPr>
          <w:trHeight w:val="195"/>
        </w:trPr>
        <w:tc>
          <w:tcPr>
            <w:tcW w:w="48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comparable funds generated from operations</w:t>
            </w:r>
          </w:p>
        </w:tc>
        <w:tc>
          <w:tcPr>
            <w:tcW w:w="5320" w:type="dxa"/>
            <w:vAlign w:val="bottom"/>
            <w:tcBorders>
              <w:bottom w:val="single" w:sz="8" w:color="B2B2B2"/>
            </w:tcBorders>
          </w:tcPr>
          <w:p>
            <w:pPr>
              <w:ind w:left="920"/>
              <w:spacing w:after="0"/>
              <w:rPr>
                <w:sz w:val="20"/>
                <w:szCs w:val="20"/>
                <w:color w:val="auto"/>
              </w:rPr>
            </w:pPr>
            <w:r>
              <w:rPr>
                <w:rFonts w:ascii="Arial" w:cs="Arial" w:eastAsia="Arial" w:hAnsi="Arial"/>
                <w:sz w:val="14"/>
                <w:szCs w:val="14"/>
                <w:color w:val="auto"/>
              </w:rPr>
              <w:t>net cash provided by operations</w:t>
            </w:r>
          </w:p>
        </w:tc>
      </w:tr>
      <w:tr>
        <w:trPr>
          <w:trHeight w:val="163"/>
        </w:trPr>
        <w:tc>
          <w:tcPr>
            <w:tcW w:w="4860" w:type="dxa"/>
            <w:vAlign w:val="bottom"/>
          </w:tcPr>
          <w:p>
            <w:pPr>
              <w:ind w:left="20"/>
              <w:spacing w:after="0"/>
              <w:rPr>
                <w:sz w:val="20"/>
                <w:szCs w:val="20"/>
                <w:color w:val="auto"/>
              </w:rPr>
            </w:pPr>
            <w:r>
              <w:rPr>
                <w:rFonts w:ascii="Arial" w:cs="Arial" w:eastAsia="Arial" w:hAnsi="Arial"/>
                <w:sz w:val="14"/>
                <w:szCs w:val="14"/>
                <w:color w:val="auto"/>
              </w:rPr>
              <w:t>comparable distributable cash flow per share /</w:t>
            </w:r>
          </w:p>
        </w:tc>
        <w:tc>
          <w:tcPr>
            <w:tcW w:w="5320" w:type="dxa"/>
            <w:vAlign w:val="bottom"/>
          </w:tcPr>
          <w:p>
            <w:pPr>
              <w:ind w:left="920"/>
              <w:spacing w:after="0"/>
              <w:rPr>
                <w:sz w:val="20"/>
                <w:szCs w:val="20"/>
                <w:color w:val="auto"/>
              </w:rPr>
            </w:pPr>
            <w:r>
              <w:rPr>
                <w:rFonts w:ascii="Arial" w:cs="Arial" w:eastAsia="Arial" w:hAnsi="Arial"/>
                <w:sz w:val="14"/>
                <w:szCs w:val="14"/>
                <w:color w:val="auto"/>
              </w:rPr>
              <w:t>net cash provided by operations</w:t>
            </w:r>
          </w:p>
        </w:tc>
      </w:tr>
      <w:tr>
        <w:trPr>
          <w:trHeight w:val="194"/>
        </w:trPr>
        <w:tc>
          <w:tcPr>
            <w:tcW w:w="4860" w:type="dxa"/>
            <w:vAlign w:val="bottom"/>
            <w:tcBorders>
              <w:bottom w:val="single" w:sz="8" w:color="0D64EF"/>
            </w:tcBorders>
          </w:tcPr>
          <w:p>
            <w:pPr>
              <w:ind w:left="20"/>
              <w:spacing w:after="0"/>
              <w:rPr>
                <w:sz w:val="20"/>
                <w:szCs w:val="20"/>
                <w:color w:val="auto"/>
              </w:rPr>
            </w:pPr>
            <w:r>
              <w:rPr>
                <w:rFonts w:ascii="Arial" w:cs="Arial" w:eastAsia="Arial" w:hAnsi="Arial"/>
                <w:sz w:val="14"/>
                <w:szCs w:val="14"/>
                <w:color w:val="auto"/>
              </w:rPr>
              <w:t>distributable cash flow per share for compensation purposes</w:t>
            </w:r>
          </w:p>
        </w:tc>
        <w:tc>
          <w:tcPr>
            <w:tcW w:w="5320" w:type="dxa"/>
            <w:vAlign w:val="bottom"/>
            <w:tcBorders>
              <w:bottom w:val="single" w:sz="8" w:color="0D64EF"/>
            </w:tcBorders>
          </w:tcPr>
          <w:p>
            <w:pPr>
              <w:spacing w:after="0"/>
              <w:rPr>
                <w:sz w:val="16"/>
                <w:szCs w:val="16"/>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Comparable EBITDA and comparable EBIT</w:t>
      </w:r>
    </w:p>
    <w:p>
      <w:pPr>
        <w:spacing w:after="0" w:line="5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Comparable EBITDA represents segmented earnings (losses) adjusted for specific items described in the Comparable measures section, excluding charges for depreciation and amortization. We use comparable EBITDA as a measure of our earnings from ongoing operations as it is a useful indicator of our performance and is also presented on a consolidated basis. Comparable EBIT represents segmented earnings (losses) adjusted for specific items and is an effective tool for evaluating trends in each segment. Refer to each business segment and the Discontinued operations section of the Annual MD&amp;A for a reconciliation to segmented earnings (losses).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Comparable earnings and comparable earnings per common share</w:t>
      </w:r>
    </w:p>
    <w:p>
      <w:pPr>
        <w:spacing w:after="0" w:line="40"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auto"/>
        </w:rPr>
        <w:t>Comparable earnings represents earnings attributable to common shareholders on a consolidated basis, adjusted for specific items described in the Comparable measures section. Comparable earnings is comprised of segmented earnings (losses), Interest expense, AFUDC, Foreign exchange (gains) losses, net, Interest income and other, Income tax expense (recovery), Net income (loss) attributable to non-controlling interests and Preferred share dividends on our Consolidated statement of income, adjusted for specific items. We use comparable earnings as a measure of our earnings from ongoing operations as it is a useful indicator of our performance and is also presented on a consolidated basis. Refer to page 25 and the Discontinued operations section of the Annual MD&amp;A for reconciliations to Net income (loss) attributable to common shares and Net income (loss) per common share for our continuing operations and discontinued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Funds generated from operations and comparable funds generated from operations</w:t>
      </w:r>
    </w:p>
    <w:p>
      <w:pPr>
        <w:spacing w:after="0" w:line="40"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auto"/>
        </w:rPr>
        <w:t>Funds generated from operations reflects net cash provided by operations before changes in operating working capital. The components of changes in working capital are disclosed in Note 28 Changes in operating working capital of our 2025 Consolidated financial statements. Comparable funds generated from operations is adjusted for the cash impact of specific items described in the Comparable measures section of our Annual MD&amp;A. We believe funds generated from operations and comparable funds generated from operations are useful measures of our consolidated operating cash flows because they exclude fluctuations from working capital balances, which do not necessarily reflect underlying operations in the same period, and are used to provide a consistent measure of the cash-generating ability of our businesses. Refer to the Financial condition section for a reconciliation to Net cash provided by operations.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131</w:t>
      </w:r>
    </w:p>
    <w:p>
      <w:pPr>
        <w:sectPr>
          <w:pgSz w:w="11900" w:h="16838" w:orient="portrait"/>
          <w:cols w:equalWidth="0" w:num="1">
            <w:col w:w="11240"/>
          </w:cols>
          <w:pgMar w:left="320" w:top="1039"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0D64EF"/>
        </w:rPr>
        <w:t>Reconciliation of Debt to EBITDA</w:t>
      </w:r>
    </w:p>
    <w:p>
      <w:pPr>
        <w:spacing w:after="0" w:line="4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With respect to non-GAAP measures used in the calculation of debt-to-EBITDA, adjusted debt is defined as the sum of Reported total debt, including Notes payable, Long-term debt, Current portion of long-term debt and Junior subordinated notes, as reported on our Consolidated balance sheet as well as Operating lease liabilities recognized on our Consolidated balance sheet and 50 per cent of Preferred shares as reported on our Consolidated balance sheet due to the debt-like nature of their contractual and financial obligations, less Cash and cash equivalents as reported on our Consolidated balance sheet and 50 per cent of Junior subordinated notes as reported on our Consolidated balance sheet due to the equity-like nature of their contractual and financial obligations. Adjusted comparable EBITDA is calculated as the sum of Comparable EBITDA from continuing operations and Comparable EBITDA from discontinued operations excluding operating lease costs recorded in Plant operating costs and other in our Consolidated statement of income and adjusted for Distributions received in excess</w:t>
      </w:r>
    </w:p>
    <w:p>
      <w:pPr>
        <w:spacing w:after="0" w:line="3"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of (income) loss from equity investments and a Loan from affiliate as reported in our Consolidated statement of cash flows which we believe is more reflective of the cash flows available to TC Energy to service our debt and other long-term commitments. Beginning in 2025, we entered into a subordinated demand revolving credit facility to borrow funds from the Sur de Texas joint venture and received proceeds totaling $111 million during the year. We believe that debt-to-EBITDA provides investors with useful information as it reflects our ability to service our debt and other long-term commitments. See below for reconciliations of adjusted debt to debt and adjusted comparable EBITDA to comparable EBITDA for the years ended December 31, 2023, 2024 and 2025. For a reconciliation of comparable EBITDA to segmented earnings (losses), refer to the Non-GAAP measures section of our 2025 Annual MD&amp;A, which is incorporated by reference.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debt and adjusted comparable EBITDA</w:t>
      </w:r>
      <w:r>
        <w:rPr>
          <w:rFonts w:ascii="Arial" w:cs="Arial" w:eastAsia="Arial" w:hAnsi="Arial"/>
          <w:sz w:val="20"/>
          <w:szCs w:val="20"/>
          <w:color w:val="auto"/>
          <w:vertAlign w:val="superscript"/>
        </w:rPr>
        <w:t>1</w:t>
      </w:r>
      <w:r>
        <w:rPr>
          <w:rFonts w:ascii="Arial" w:cs="Arial" w:eastAsia="Arial" w:hAnsi="Arial"/>
          <w:sz w:val="16"/>
          <w:szCs w:val="16"/>
          <w:color w:val="auto"/>
        </w:rPr>
        <w: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Borders>
              <w:top w:val="single" w:sz="8" w:color="237CC1"/>
              <w:bottom w:val="single" w:sz="8" w:color="D1D0CF"/>
            </w:tcBorders>
            <w:shd w:val="clear" w:color="auto" w:fill="D1D0CF"/>
          </w:tcPr>
          <w:p>
            <w:pPr>
              <w:spacing w:after="0"/>
              <w:rPr>
                <w:sz w:val="18"/>
                <w:szCs w:val="18"/>
                <w:color w:val="auto"/>
              </w:rPr>
            </w:pPr>
          </w:p>
        </w:tc>
        <w:tc>
          <w:tcPr>
            <w:tcW w:w="80" w:type="dxa"/>
            <w:vAlign w:val="bottom"/>
            <w:tcBorders>
              <w:top w:val="single" w:sz="8" w:color="237CC1"/>
              <w:bottom w:val="single" w:sz="8" w:color="D1D0CF"/>
            </w:tcBorders>
            <w:shd w:val="clear" w:color="auto" w:fill="D1D0CF"/>
          </w:tcPr>
          <w:p>
            <w:pPr>
              <w:spacing w:after="0"/>
              <w:rPr>
                <w:sz w:val="18"/>
                <w:szCs w:val="18"/>
                <w:color w:val="auto"/>
              </w:rPr>
            </w:pPr>
          </w:p>
        </w:tc>
        <w:tc>
          <w:tcPr>
            <w:tcW w:w="1640" w:type="dxa"/>
            <w:vAlign w:val="bottom"/>
            <w:tcBorders>
              <w:top w:val="single" w:sz="8" w:color="237CC1"/>
              <w:bottom w:val="single" w:sz="8" w:color="0D64EF"/>
            </w:tcBorders>
            <w:shd w:val="clear" w:color="auto" w:fill="D1D0CF"/>
          </w:tcPr>
          <w:p>
            <w:pPr>
              <w:spacing w:after="0"/>
              <w:rPr>
                <w:sz w:val="18"/>
                <w:szCs w:val="18"/>
                <w:color w:val="auto"/>
              </w:rPr>
            </w:pPr>
          </w:p>
        </w:tc>
        <w:tc>
          <w:tcPr>
            <w:tcW w:w="2300" w:type="dxa"/>
            <w:vAlign w:val="bottom"/>
            <w:tcBorders>
              <w:top w:val="single" w:sz="8" w:color="237CC1"/>
              <w:bottom w:val="single" w:sz="8" w:color="0D64EF"/>
            </w:tcBorders>
            <w:shd w:val="clear" w:color="auto" w:fill="D1D0CF"/>
          </w:tcPr>
          <w:p>
            <w:pPr>
              <w:jc w:val="right"/>
              <w:ind w:right="50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top w:val="single" w:sz="8" w:color="237CC1"/>
              <w:bottom w:val="single" w:sz="8" w:color="0D64EF"/>
            </w:tcBorders>
            <w:shd w:val="clear" w:color="auto" w:fill="D1D0CF"/>
          </w:tcPr>
          <w:p>
            <w:pPr>
              <w:spacing w:after="0"/>
              <w:rPr>
                <w:sz w:val="18"/>
                <w:szCs w:val="18"/>
                <w:color w:val="auto"/>
              </w:rPr>
            </w:pPr>
          </w:p>
        </w:tc>
      </w:tr>
      <w:tr>
        <w:trPr>
          <w:trHeight w:val="196"/>
        </w:trPr>
        <w:tc>
          <w:tcPr>
            <w:tcW w:w="59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color w:val="auto"/>
              </w:rPr>
              <w:t>(millions of Canadian $)</w:t>
            </w:r>
          </w:p>
        </w:tc>
        <w:tc>
          <w:tcPr>
            <w:tcW w:w="1720" w:type="dxa"/>
            <w:vAlign w:val="bottom"/>
            <w:tcBorders>
              <w:bottom w:val="single" w:sz="8" w:color="0D64EF"/>
            </w:tcBorders>
            <w:gridSpan w:val="2"/>
            <w:shd w:val="clear" w:color="auto" w:fill="D1D0CF"/>
          </w:tcPr>
          <w:p>
            <w:pPr>
              <w:jc w:val="right"/>
              <w:spacing w:after="0"/>
              <w:rPr>
                <w:sz w:val="20"/>
                <w:szCs w:val="20"/>
                <w:color w:val="auto"/>
              </w:rPr>
            </w:pPr>
            <w:r>
              <w:rPr>
                <w:rFonts w:ascii="Arial" w:cs="Arial" w:eastAsia="Arial" w:hAnsi="Arial"/>
                <w:sz w:val="14"/>
                <w:szCs w:val="14"/>
                <w:b w:val="1"/>
                <w:bCs w:val="1"/>
                <w:color w:val="auto"/>
              </w:rPr>
              <w:t>2025</w:t>
            </w:r>
          </w:p>
        </w:tc>
        <w:tc>
          <w:tcPr>
            <w:tcW w:w="2300" w:type="dxa"/>
            <w:vAlign w:val="bottom"/>
            <w:tcBorders>
              <w:bottom w:val="single" w:sz="8" w:color="0D64EF"/>
            </w:tcBorders>
            <w:shd w:val="clear" w:color="auto" w:fill="D1D0CF"/>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1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r>
      <w:tr>
        <w:trPr>
          <w:trHeight w:val="234"/>
        </w:trPr>
        <w:tc>
          <w:tcPr>
            <w:tcW w:w="5980" w:type="dxa"/>
            <w:vAlign w:val="bottom"/>
          </w:tcPr>
          <w:p>
            <w:pPr>
              <w:ind w:left="20"/>
              <w:spacing w:after="0"/>
              <w:rPr>
                <w:sz w:val="20"/>
                <w:szCs w:val="20"/>
                <w:color w:val="auto"/>
              </w:rPr>
            </w:pPr>
            <w:r>
              <w:rPr>
                <w:rFonts w:ascii="Arial" w:cs="Arial" w:eastAsia="Arial" w:hAnsi="Arial"/>
                <w:sz w:val="14"/>
                <w:szCs w:val="14"/>
                <w:b w:val="1"/>
                <w:bCs w:val="1"/>
                <w:color w:val="0D64EF"/>
              </w:rPr>
              <w:t>Reported total debt</w:t>
            </w:r>
          </w:p>
        </w:tc>
        <w:tc>
          <w:tcPr>
            <w:tcW w:w="1720" w:type="dxa"/>
            <w:vAlign w:val="bottom"/>
            <w:gridSpan w:val="2"/>
          </w:tcPr>
          <w:p>
            <w:pPr>
              <w:jc w:val="right"/>
              <w:ind w:right="28"/>
              <w:spacing w:after="0"/>
              <w:rPr>
                <w:sz w:val="20"/>
                <w:szCs w:val="20"/>
                <w:color w:val="auto"/>
              </w:rPr>
            </w:pPr>
            <w:r>
              <w:rPr>
                <w:rFonts w:ascii="Arial" w:cs="Arial" w:eastAsia="Arial" w:hAnsi="Arial"/>
                <w:sz w:val="14"/>
                <w:szCs w:val="14"/>
                <w:color w:val="auto"/>
              </w:rPr>
              <w:t>60,086</w:t>
            </w:r>
          </w:p>
        </w:tc>
        <w:tc>
          <w:tcPr>
            <w:tcW w:w="2300" w:type="dxa"/>
            <w:vAlign w:val="bottom"/>
          </w:tcPr>
          <w:p>
            <w:pPr>
              <w:jc w:val="right"/>
              <w:ind w:right="628"/>
              <w:spacing w:after="0"/>
              <w:rPr>
                <w:sz w:val="20"/>
                <w:szCs w:val="20"/>
                <w:color w:val="auto"/>
              </w:rPr>
            </w:pPr>
            <w:r>
              <w:rPr>
                <w:rFonts w:ascii="Arial" w:cs="Arial" w:eastAsia="Arial" w:hAnsi="Arial"/>
                <w:sz w:val="14"/>
                <w:szCs w:val="14"/>
                <w:color w:val="auto"/>
              </w:rPr>
              <w:t>59,366</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63,201</w:t>
            </w:r>
          </w:p>
        </w:tc>
      </w:tr>
      <w:tr>
        <w:trPr>
          <w:trHeight w:val="196"/>
        </w:trPr>
        <w:tc>
          <w:tcPr>
            <w:tcW w:w="5980" w:type="dxa"/>
            <w:vAlign w:val="bottom"/>
          </w:tcPr>
          <w:p>
            <w:pPr>
              <w:ind w:left="20"/>
              <w:spacing w:after="0"/>
              <w:rPr>
                <w:sz w:val="20"/>
                <w:szCs w:val="20"/>
                <w:color w:val="auto"/>
              </w:rPr>
            </w:pPr>
            <w:r>
              <w:rPr>
                <w:rFonts w:ascii="Arial" w:cs="Arial" w:eastAsia="Arial" w:hAnsi="Arial"/>
                <w:sz w:val="14"/>
                <w:szCs w:val="14"/>
                <w:color w:val="auto"/>
              </w:rPr>
              <w:t>Management adjustments:</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5980" w:type="dxa"/>
            <w:vAlign w:val="bottom"/>
          </w:tcPr>
          <w:p>
            <w:pPr>
              <w:ind w:left="100"/>
              <w:spacing w:after="0"/>
              <w:rPr>
                <w:sz w:val="20"/>
                <w:szCs w:val="20"/>
                <w:color w:val="auto"/>
              </w:rPr>
            </w:pPr>
            <w:r>
              <w:rPr>
                <w:rFonts w:ascii="Arial" w:cs="Arial" w:eastAsia="Arial" w:hAnsi="Arial"/>
                <w:sz w:val="14"/>
                <w:szCs w:val="14"/>
                <w:color w:val="auto"/>
              </w:rPr>
              <w:t>Debt treatment of preferred shares</w:t>
            </w:r>
            <w:r>
              <w:rPr>
                <w:rFonts w:ascii="Arial" w:cs="Arial" w:eastAsia="Arial" w:hAnsi="Arial"/>
                <w:sz w:val="9"/>
                <w:szCs w:val="9"/>
                <w:color w:val="auto"/>
              </w:rPr>
              <w:t>2</w:t>
            </w:r>
          </w:p>
        </w:tc>
        <w:tc>
          <w:tcPr>
            <w:tcW w:w="1720" w:type="dxa"/>
            <w:vAlign w:val="bottom"/>
            <w:gridSpan w:val="2"/>
          </w:tcPr>
          <w:p>
            <w:pPr>
              <w:jc w:val="right"/>
              <w:ind w:right="28"/>
              <w:spacing w:after="0"/>
              <w:rPr>
                <w:sz w:val="20"/>
                <w:szCs w:val="20"/>
                <w:color w:val="auto"/>
              </w:rPr>
            </w:pPr>
            <w:r>
              <w:rPr>
                <w:rFonts w:ascii="Arial" w:cs="Arial" w:eastAsia="Arial" w:hAnsi="Arial"/>
                <w:sz w:val="14"/>
                <w:szCs w:val="14"/>
                <w:color w:val="auto"/>
              </w:rPr>
              <w:t>1,128</w:t>
            </w:r>
          </w:p>
        </w:tc>
        <w:tc>
          <w:tcPr>
            <w:tcW w:w="2300" w:type="dxa"/>
            <w:vAlign w:val="bottom"/>
          </w:tcPr>
          <w:p>
            <w:pPr>
              <w:jc w:val="right"/>
              <w:ind w:right="628"/>
              <w:spacing w:after="0"/>
              <w:rPr>
                <w:sz w:val="20"/>
                <w:szCs w:val="20"/>
                <w:color w:val="auto"/>
              </w:rPr>
            </w:pPr>
            <w:r>
              <w:rPr>
                <w:rFonts w:ascii="Arial" w:cs="Arial" w:eastAsia="Arial" w:hAnsi="Arial"/>
                <w:sz w:val="14"/>
                <w:szCs w:val="14"/>
                <w:color w:val="auto"/>
              </w:rPr>
              <w:t>1,250</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1,250</w:t>
            </w:r>
          </w:p>
        </w:tc>
      </w:tr>
      <w:tr>
        <w:trPr>
          <w:trHeight w:val="202"/>
        </w:trPr>
        <w:tc>
          <w:tcPr>
            <w:tcW w:w="5980" w:type="dxa"/>
            <w:vAlign w:val="bottom"/>
          </w:tcPr>
          <w:p>
            <w:pPr>
              <w:ind w:left="100"/>
              <w:spacing w:after="0"/>
              <w:rPr>
                <w:sz w:val="20"/>
                <w:szCs w:val="20"/>
                <w:color w:val="auto"/>
              </w:rPr>
            </w:pPr>
            <w:r>
              <w:rPr>
                <w:rFonts w:ascii="Arial" w:cs="Arial" w:eastAsia="Arial" w:hAnsi="Arial"/>
                <w:sz w:val="14"/>
                <w:szCs w:val="14"/>
                <w:color w:val="auto"/>
              </w:rPr>
              <w:t>Equity treatment of junior subordinated notes</w:t>
            </w:r>
            <w:r>
              <w:rPr>
                <w:rFonts w:ascii="Arial" w:cs="Arial" w:eastAsia="Arial" w:hAnsi="Arial"/>
                <w:sz w:val="9"/>
                <w:szCs w:val="9"/>
                <w:color w:val="auto"/>
              </w:rPr>
              <w:t>3</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(6,047)</w:t>
            </w:r>
          </w:p>
        </w:tc>
        <w:tc>
          <w:tcPr>
            <w:tcW w:w="2300" w:type="dxa"/>
            <w:vAlign w:val="bottom"/>
          </w:tcPr>
          <w:p>
            <w:pPr>
              <w:jc w:val="right"/>
              <w:ind w:right="588"/>
              <w:spacing w:after="0"/>
              <w:rPr>
                <w:sz w:val="20"/>
                <w:szCs w:val="20"/>
                <w:color w:val="auto"/>
              </w:rPr>
            </w:pPr>
            <w:r>
              <w:rPr>
                <w:rFonts w:ascii="Arial" w:cs="Arial" w:eastAsia="Arial" w:hAnsi="Arial"/>
                <w:sz w:val="14"/>
                <w:szCs w:val="14"/>
                <w:color w:val="auto"/>
              </w:rPr>
              <w:t>(5,524)</w:t>
            </w:r>
          </w:p>
        </w:tc>
        <w:tc>
          <w:tcPr>
            <w:tcW w:w="1100" w:type="dxa"/>
            <w:vAlign w:val="bottom"/>
          </w:tcPr>
          <w:p>
            <w:pPr>
              <w:jc w:val="right"/>
              <w:spacing w:after="0"/>
              <w:rPr>
                <w:sz w:val="20"/>
                <w:szCs w:val="20"/>
                <w:color w:val="auto"/>
              </w:rPr>
            </w:pPr>
            <w:r>
              <w:rPr>
                <w:rFonts w:ascii="Arial" w:cs="Arial" w:eastAsia="Arial" w:hAnsi="Arial"/>
                <w:sz w:val="14"/>
                <w:szCs w:val="14"/>
                <w:color w:val="auto"/>
              </w:rPr>
              <w:t>(5,144)</w:t>
            </w:r>
          </w:p>
        </w:tc>
      </w:tr>
      <w:tr>
        <w:trPr>
          <w:trHeight w:val="202"/>
        </w:trPr>
        <w:tc>
          <w:tcPr>
            <w:tcW w:w="598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(168)</w:t>
            </w:r>
          </w:p>
        </w:tc>
        <w:tc>
          <w:tcPr>
            <w:tcW w:w="2300" w:type="dxa"/>
            <w:vAlign w:val="bottom"/>
          </w:tcPr>
          <w:p>
            <w:pPr>
              <w:jc w:val="right"/>
              <w:ind w:right="588"/>
              <w:spacing w:after="0"/>
              <w:rPr>
                <w:sz w:val="20"/>
                <w:szCs w:val="20"/>
                <w:color w:val="auto"/>
              </w:rPr>
            </w:pPr>
            <w:r>
              <w:rPr>
                <w:rFonts w:ascii="Arial" w:cs="Arial" w:eastAsia="Arial" w:hAnsi="Arial"/>
                <w:sz w:val="14"/>
                <w:szCs w:val="14"/>
                <w:color w:val="auto"/>
              </w:rPr>
              <w:t>(801)</w:t>
            </w:r>
          </w:p>
        </w:tc>
        <w:tc>
          <w:tcPr>
            <w:tcW w:w="1100" w:type="dxa"/>
            <w:vAlign w:val="bottom"/>
          </w:tcPr>
          <w:p>
            <w:pPr>
              <w:jc w:val="right"/>
              <w:spacing w:after="0"/>
              <w:rPr>
                <w:sz w:val="20"/>
                <w:szCs w:val="20"/>
                <w:color w:val="auto"/>
              </w:rPr>
            </w:pPr>
            <w:r>
              <w:rPr>
                <w:rFonts w:ascii="Arial" w:cs="Arial" w:eastAsia="Arial" w:hAnsi="Arial"/>
                <w:sz w:val="14"/>
                <w:szCs w:val="14"/>
                <w:color w:val="auto"/>
              </w:rPr>
              <w:t>(3,678)</w:t>
            </w:r>
          </w:p>
        </w:tc>
      </w:tr>
      <w:tr>
        <w:trPr>
          <w:trHeight w:val="205"/>
        </w:trPr>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Operating lease liabilities</w:t>
            </w:r>
          </w:p>
        </w:tc>
        <w:tc>
          <w:tcPr>
            <w:tcW w:w="17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431</w:t>
            </w:r>
          </w:p>
        </w:tc>
        <w:tc>
          <w:tcPr>
            <w:tcW w:w="2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511</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457</w:t>
            </w:r>
          </w:p>
        </w:tc>
      </w:tr>
      <w:tr>
        <w:trPr>
          <w:trHeight w:val="19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D64EF"/>
              </w:rPr>
              <w:t>Adjusted debt</w:t>
            </w:r>
          </w:p>
        </w:tc>
        <w:tc>
          <w:tcPr>
            <w:tcW w:w="17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55,430</w:t>
            </w:r>
          </w:p>
        </w:tc>
        <w:tc>
          <w:tcPr>
            <w:tcW w:w="2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54,802</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56,086</w:t>
            </w:r>
          </w:p>
        </w:tc>
      </w:tr>
      <w:tr>
        <w:trPr>
          <w:trHeight w:val="269"/>
        </w:trPr>
        <w:tc>
          <w:tcPr>
            <w:tcW w:w="5980" w:type="dxa"/>
            <w:vAlign w:val="bottom"/>
          </w:tcPr>
          <w:p>
            <w:pPr>
              <w:ind w:left="20"/>
              <w:spacing w:after="0"/>
              <w:rPr>
                <w:sz w:val="20"/>
                <w:szCs w:val="20"/>
                <w:color w:val="auto"/>
              </w:rPr>
            </w:pPr>
            <w:r>
              <w:rPr>
                <w:rFonts w:ascii="Arial" w:cs="Arial" w:eastAsia="Arial" w:hAnsi="Arial"/>
                <w:sz w:val="14"/>
                <w:szCs w:val="14"/>
                <w:color w:val="auto"/>
              </w:rPr>
              <w:t>Comparable EBITDA from continuing operations</w:t>
            </w:r>
            <w:r>
              <w:rPr>
                <w:rFonts w:ascii="Arial" w:cs="Arial" w:eastAsia="Arial" w:hAnsi="Arial"/>
                <w:sz w:val="9"/>
                <w:szCs w:val="9"/>
                <w:color w:val="auto"/>
              </w:rPr>
              <w:t>4</w:t>
            </w:r>
          </w:p>
        </w:tc>
        <w:tc>
          <w:tcPr>
            <w:tcW w:w="1720" w:type="dxa"/>
            <w:vAlign w:val="bottom"/>
            <w:gridSpan w:val="2"/>
          </w:tcPr>
          <w:p>
            <w:pPr>
              <w:jc w:val="right"/>
              <w:ind w:right="28"/>
              <w:spacing w:after="0"/>
              <w:rPr>
                <w:sz w:val="20"/>
                <w:szCs w:val="20"/>
                <w:color w:val="auto"/>
              </w:rPr>
            </w:pPr>
            <w:r>
              <w:rPr>
                <w:rFonts w:ascii="Arial" w:cs="Arial" w:eastAsia="Arial" w:hAnsi="Arial"/>
                <w:sz w:val="14"/>
                <w:szCs w:val="14"/>
                <w:color w:val="auto"/>
              </w:rPr>
              <w:t>10,952</w:t>
            </w:r>
          </w:p>
        </w:tc>
        <w:tc>
          <w:tcPr>
            <w:tcW w:w="2300" w:type="dxa"/>
            <w:vAlign w:val="bottom"/>
          </w:tcPr>
          <w:p>
            <w:pPr>
              <w:jc w:val="right"/>
              <w:ind w:right="628"/>
              <w:spacing w:after="0"/>
              <w:rPr>
                <w:sz w:val="20"/>
                <w:szCs w:val="20"/>
                <w:color w:val="auto"/>
              </w:rPr>
            </w:pPr>
            <w:r>
              <w:rPr>
                <w:rFonts w:ascii="Arial" w:cs="Arial" w:eastAsia="Arial" w:hAnsi="Arial"/>
                <w:sz w:val="14"/>
                <w:szCs w:val="14"/>
                <w:color w:val="auto"/>
              </w:rPr>
              <w:t>10,049</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9,472</w:t>
            </w:r>
          </w:p>
        </w:tc>
      </w:tr>
      <w:tr>
        <w:trPr>
          <w:trHeight w:val="202"/>
        </w:trPr>
        <w:tc>
          <w:tcPr>
            <w:tcW w:w="5980" w:type="dxa"/>
            <w:vAlign w:val="bottom"/>
          </w:tcPr>
          <w:p>
            <w:pPr>
              <w:ind w:left="20"/>
              <w:spacing w:after="0"/>
              <w:rPr>
                <w:sz w:val="20"/>
                <w:szCs w:val="20"/>
                <w:color w:val="auto"/>
              </w:rPr>
            </w:pPr>
            <w:r>
              <w:rPr>
                <w:rFonts w:ascii="Arial" w:cs="Arial" w:eastAsia="Arial" w:hAnsi="Arial"/>
                <w:sz w:val="14"/>
                <w:szCs w:val="14"/>
                <w:color w:val="auto"/>
              </w:rPr>
              <w:t>Comparable EBITDA from discontinued operations</w:t>
            </w:r>
            <w:r>
              <w:rPr>
                <w:rFonts w:ascii="Arial" w:cs="Arial" w:eastAsia="Arial" w:hAnsi="Arial"/>
                <w:sz w:val="9"/>
                <w:szCs w:val="9"/>
                <w:color w:val="auto"/>
              </w:rPr>
              <w:t>4</w:t>
            </w:r>
          </w:p>
        </w:tc>
        <w:tc>
          <w:tcPr>
            <w:tcW w:w="80" w:type="dxa"/>
            <w:vAlign w:val="bottom"/>
          </w:tcPr>
          <w:p>
            <w:pPr>
              <w:spacing w:after="0"/>
              <w:rPr>
                <w:sz w:val="17"/>
                <w:szCs w:val="17"/>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300" w:type="dxa"/>
            <w:vAlign w:val="bottom"/>
          </w:tcPr>
          <w:p>
            <w:pPr>
              <w:jc w:val="right"/>
              <w:ind w:right="628"/>
              <w:spacing w:after="0"/>
              <w:rPr>
                <w:sz w:val="20"/>
                <w:szCs w:val="20"/>
                <w:color w:val="auto"/>
              </w:rPr>
            </w:pPr>
            <w:r>
              <w:rPr>
                <w:rFonts w:ascii="Arial" w:cs="Arial" w:eastAsia="Arial" w:hAnsi="Arial"/>
                <w:sz w:val="14"/>
                <w:szCs w:val="14"/>
                <w:color w:val="auto"/>
              </w:rPr>
              <w:t>1,145</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1,516</w:t>
            </w:r>
          </w:p>
        </w:tc>
      </w:tr>
      <w:tr>
        <w:trPr>
          <w:trHeight w:val="202"/>
        </w:trPr>
        <w:tc>
          <w:tcPr>
            <w:tcW w:w="5980" w:type="dxa"/>
            <w:vAlign w:val="bottom"/>
          </w:tcPr>
          <w:p>
            <w:pPr>
              <w:ind w:left="20"/>
              <w:spacing w:after="0"/>
              <w:rPr>
                <w:sz w:val="20"/>
                <w:szCs w:val="20"/>
                <w:color w:val="auto"/>
              </w:rPr>
            </w:pPr>
            <w:r>
              <w:rPr>
                <w:rFonts w:ascii="Arial" w:cs="Arial" w:eastAsia="Arial" w:hAnsi="Arial"/>
                <w:sz w:val="14"/>
                <w:szCs w:val="14"/>
                <w:color w:val="auto"/>
              </w:rPr>
              <w:t>Operating lease cost</w:t>
            </w:r>
          </w:p>
        </w:tc>
        <w:tc>
          <w:tcPr>
            <w:tcW w:w="1720" w:type="dxa"/>
            <w:vAlign w:val="bottom"/>
            <w:gridSpan w:val="2"/>
          </w:tcPr>
          <w:p>
            <w:pPr>
              <w:jc w:val="right"/>
              <w:ind w:right="28"/>
              <w:spacing w:after="0"/>
              <w:rPr>
                <w:sz w:val="20"/>
                <w:szCs w:val="20"/>
                <w:color w:val="auto"/>
              </w:rPr>
            </w:pPr>
            <w:r>
              <w:rPr>
                <w:rFonts w:ascii="Arial" w:cs="Arial" w:eastAsia="Arial" w:hAnsi="Arial"/>
                <w:sz w:val="14"/>
                <w:szCs w:val="14"/>
                <w:color w:val="auto"/>
              </w:rPr>
              <w:t>112</w:t>
            </w:r>
          </w:p>
        </w:tc>
        <w:tc>
          <w:tcPr>
            <w:tcW w:w="2300" w:type="dxa"/>
            <w:vAlign w:val="bottom"/>
          </w:tcPr>
          <w:p>
            <w:pPr>
              <w:jc w:val="right"/>
              <w:ind w:right="628"/>
              <w:spacing w:after="0"/>
              <w:rPr>
                <w:sz w:val="20"/>
                <w:szCs w:val="20"/>
                <w:color w:val="auto"/>
              </w:rPr>
            </w:pPr>
            <w:r>
              <w:rPr>
                <w:rFonts w:ascii="Arial" w:cs="Arial" w:eastAsia="Arial" w:hAnsi="Arial"/>
                <w:sz w:val="14"/>
                <w:szCs w:val="14"/>
                <w:color w:val="auto"/>
              </w:rPr>
              <w:t>117</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105</w:t>
            </w:r>
          </w:p>
        </w:tc>
      </w:tr>
      <w:tr>
        <w:trPr>
          <w:trHeight w:val="202"/>
        </w:trPr>
        <w:tc>
          <w:tcPr>
            <w:tcW w:w="5980" w:type="dxa"/>
            <w:vAlign w:val="bottom"/>
          </w:tcPr>
          <w:p>
            <w:pPr>
              <w:ind w:left="20"/>
              <w:spacing w:after="0"/>
              <w:rPr>
                <w:sz w:val="20"/>
                <w:szCs w:val="20"/>
                <w:color w:val="auto"/>
              </w:rPr>
            </w:pPr>
            <w:r>
              <w:rPr>
                <w:rFonts w:ascii="Arial" w:cs="Arial" w:eastAsia="Arial" w:hAnsi="Arial"/>
                <w:sz w:val="14"/>
                <w:szCs w:val="14"/>
                <w:color w:val="auto"/>
              </w:rPr>
              <w:t>Distributions received in excess of (income) loss from equity investments</w:t>
            </w:r>
          </w:p>
        </w:tc>
        <w:tc>
          <w:tcPr>
            <w:tcW w:w="1720" w:type="dxa"/>
            <w:vAlign w:val="bottom"/>
            <w:gridSpan w:val="2"/>
          </w:tcPr>
          <w:p>
            <w:pPr>
              <w:jc w:val="right"/>
              <w:ind w:right="28"/>
              <w:spacing w:after="0"/>
              <w:rPr>
                <w:sz w:val="20"/>
                <w:szCs w:val="20"/>
                <w:color w:val="auto"/>
              </w:rPr>
            </w:pPr>
            <w:r>
              <w:rPr>
                <w:rFonts w:ascii="Arial" w:cs="Arial" w:eastAsia="Arial" w:hAnsi="Arial"/>
                <w:sz w:val="14"/>
                <w:szCs w:val="14"/>
                <w:color w:val="auto"/>
              </w:rPr>
              <w:t>342</w:t>
            </w:r>
          </w:p>
        </w:tc>
        <w:tc>
          <w:tcPr>
            <w:tcW w:w="2300" w:type="dxa"/>
            <w:vAlign w:val="bottom"/>
          </w:tcPr>
          <w:p>
            <w:pPr>
              <w:jc w:val="right"/>
              <w:ind w:right="628"/>
              <w:spacing w:after="0"/>
              <w:rPr>
                <w:sz w:val="20"/>
                <w:szCs w:val="20"/>
                <w:color w:val="auto"/>
              </w:rPr>
            </w:pPr>
            <w:r>
              <w:rPr>
                <w:rFonts w:ascii="Arial" w:cs="Arial" w:eastAsia="Arial" w:hAnsi="Arial"/>
                <w:sz w:val="14"/>
                <w:szCs w:val="14"/>
                <w:color w:val="auto"/>
              </w:rPr>
              <w:t>67</w:t>
            </w:r>
          </w:p>
        </w:tc>
        <w:tc>
          <w:tcPr>
            <w:tcW w:w="110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0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D64EF"/>
              </w:rPr>
              <w:t>Loan from affiliate</w:t>
            </w:r>
          </w:p>
        </w:tc>
        <w:tc>
          <w:tcPr>
            <w:tcW w:w="17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111</w:t>
            </w:r>
          </w:p>
        </w:tc>
        <w:tc>
          <w:tcPr>
            <w:tcW w:w="2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5"/>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D64EF"/>
              </w:rPr>
              <w:t>Adjusted Comparable EBITDA</w:t>
            </w:r>
          </w:p>
        </w:tc>
        <w:tc>
          <w:tcPr>
            <w:tcW w:w="17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11,517</w:t>
            </w:r>
          </w:p>
        </w:tc>
        <w:tc>
          <w:tcPr>
            <w:tcW w:w="2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11,378</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10,970</w:t>
            </w:r>
          </w:p>
        </w:tc>
      </w:tr>
      <w:tr>
        <w:trPr>
          <w:trHeight w:val="195"/>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D64EF"/>
              </w:rPr>
              <w:t>Adjusted Debt/Adjusted Comparable EBITDA</w:t>
            </w:r>
            <w:r>
              <w:rPr>
                <w:rFonts w:ascii="Arial" w:cs="Arial" w:eastAsia="Arial" w:hAnsi="Arial"/>
                <w:sz w:val="9"/>
                <w:szCs w:val="9"/>
                <w:color w:val="0D64EF"/>
              </w:rPr>
              <w:t>1</w:t>
            </w:r>
          </w:p>
        </w:tc>
        <w:tc>
          <w:tcPr>
            <w:tcW w:w="17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4.8</w:t>
            </w:r>
          </w:p>
        </w:tc>
        <w:tc>
          <w:tcPr>
            <w:tcW w:w="2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4.8</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17062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379" w:lineRule="exact"/>
        <w:rPr>
          <w:sz w:val="20"/>
          <w:szCs w:val="20"/>
          <w:color w:val="auto"/>
        </w:rPr>
      </w:pPr>
    </w:p>
    <w:p>
      <w:pPr>
        <w:ind w:left="160" w:right="3000" w:hanging="153"/>
        <w:spacing w:after="0" w:line="217" w:lineRule="auto"/>
        <w:tabs>
          <w:tab w:leader="none" w:pos="236" w:val="left"/>
        </w:tabs>
        <w:numPr>
          <w:ilvl w:val="0"/>
          <w:numId w:val="207"/>
        </w:numPr>
        <w:rPr>
          <w:rFonts w:ascii="Arial" w:cs="Arial" w:eastAsia="Arial" w:hAnsi="Arial"/>
          <w:sz w:val="21"/>
          <w:szCs w:val="21"/>
          <w:color w:val="auto"/>
          <w:vertAlign w:val="superscript"/>
        </w:rPr>
      </w:pPr>
      <w:r>
        <w:rPr>
          <w:rFonts w:ascii="Arial" w:cs="Arial" w:eastAsia="Arial" w:hAnsi="Arial"/>
          <w:sz w:val="13"/>
          <w:szCs w:val="13"/>
          <w:color w:val="auto"/>
        </w:rPr>
        <w:t>Adjusted debt and adjusted comparable EBITDA are non-GAAP measures. The calculations are based on management methodology. Individual rating agency calculations will differ.</w:t>
      </w:r>
    </w:p>
    <w:p>
      <w:pPr>
        <w:spacing w:after="0" w:line="27" w:lineRule="exact"/>
        <w:rPr>
          <w:sz w:val="20"/>
          <w:szCs w:val="20"/>
          <w:color w:val="auto"/>
        </w:rPr>
      </w:pPr>
    </w:p>
    <w:p>
      <w:pPr>
        <w:ind w:left="240" w:hanging="233"/>
        <w:spacing w:after="0"/>
        <w:tabs>
          <w:tab w:leader="none" w:pos="240" w:val="left"/>
        </w:tabs>
        <w:numPr>
          <w:ilvl w:val="0"/>
          <w:numId w:val="208"/>
        </w:numPr>
        <w:rPr>
          <w:rFonts w:ascii="Arial" w:cs="Arial" w:eastAsia="Arial" w:hAnsi="Arial"/>
          <w:sz w:val="21"/>
          <w:szCs w:val="21"/>
          <w:color w:val="auto"/>
          <w:vertAlign w:val="superscript"/>
        </w:rPr>
      </w:pPr>
      <w:r>
        <w:rPr>
          <w:rFonts w:ascii="Arial" w:cs="Arial" w:eastAsia="Arial" w:hAnsi="Arial"/>
          <w:sz w:val="13"/>
          <w:szCs w:val="13"/>
          <w:color w:val="auto"/>
        </w:rPr>
        <w:t>50 per cent debt treatment on $2.3 billion of preferred shares as of December 31, 2025.</w:t>
      </w:r>
    </w:p>
    <w:p>
      <w:pPr>
        <w:spacing w:after="0" w:line="23" w:lineRule="exact"/>
        <w:rPr>
          <w:sz w:val="20"/>
          <w:szCs w:val="20"/>
          <w:color w:val="auto"/>
        </w:rPr>
      </w:pPr>
    </w:p>
    <w:p>
      <w:pPr>
        <w:ind w:left="160" w:right="3160" w:hanging="153"/>
        <w:spacing w:after="0" w:line="217" w:lineRule="auto"/>
        <w:tabs>
          <w:tab w:leader="none" w:pos="236" w:val="left"/>
        </w:tabs>
        <w:numPr>
          <w:ilvl w:val="0"/>
          <w:numId w:val="209"/>
        </w:numPr>
        <w:rPr>
          <w:rFonts w:ascii="Arial" w:cs="Arial" w:eastAsia="Arial" w:hAnsi="Arial"/>
          <w:sz w:val="21"/>
          <w:szCs w:val="21"/>
          <w:color w:val="auto"/>
          <w:vertAlign w:val="superscript"/>
        </w:rPr>
      </w:pPr>
      <w:r>
        <w:rPr>
          <w:rFonts w:ascii="Arial" w:cs="Arial" w:eastAsia="Arial" w:hAnsi="Arial"/>
          <w:sz w:val="13"/>
          <w:szCs w:val="13"/>
          <w:color w:val="auto"/>
        </w:rPr>
        <w:t>50 per cent equity treatment on $12.1 billion of junior subordinated notes as of December 31, 2025. U.S. dollar-denominated notes translated at December 31, 2024, U.S./Canada foreign exchange rate of 1.37.</w:t>
      </w:r>
    </w:p>
    <w:p>
      <w:pPr>
        <w:spacing w:after="0" w:line="117" w:lineRule="exact"/>
        <w:rPr>
          <w:sz w:val="20"/>
          <w:szCs w:val="20"/>
          <w:color w:val="auto"/>
        </w:rPr>
      </w:pPr>
    </w:p>
    <w:p>
      <w:pPr>
        <w:ind w:left="160" w:right="2760" w:hanging="153"/>
        <w:spacing w:after="0" w:line="217" w:lineRule="auto"/>
        <w:tabs>
          <w:tab w:leader="none" w:pos="236" w:val="left"/>
        </w:tabs>
        <w:numPr>
          <w:ilvl w:val="0"/>
          <w:numId w:val="210"/>
        </w:numPr>
        <w:rPr>
          <w:rFonts w:ascii="Arial" w:cs="Arial" w:eastAsia="Arial" w:hAnsi="Arial"/>
          <w:sz w:val="21"/>
          <w:szCs w:val="21"/>
          <w:color w:val="auto"/>
          <w:vertAlign w:val="superscript"/>
        </w:rPr>
      </w:pPr>
      <w:r>
        <w:rPr>
          <w:rFonts w:ascii="Arial" w:cs="Arial" w:eastAsia="Arial" w:hAnsi="Arial"/>
          <w:sz w:val="13"/>
          <w:szCs w:val="13"/>
          <w:color w:val="auto"/>
        </w:rPr>
        <w:t>Comparable EBITDA from continuing operations and Comparable EBITDA from discontinued operations are non-GAAP financial measures. See the Forward-looking information and Non-GAAP measures sections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132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20"/>
          </w:cols>
          <w:pgMar w:left="320" w:top="1061"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0D64EF"/>
        </w:rPr>
        <w:t>Reconciliation of Comparable Distributable Cash Flow (DCF) per Share</w:t>
      </w:r>
    </w:p>
    <w:p>
      <w:pPr>
        <w:spacing w:after="0" w:line="4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Comparable DCF or “comparable distributable cash flow” represents comparable funds generated from operations, adjusted to reflect non-controlling interest distributions before capex contributions and debt recapitalization, returns of capital from equity investments (including loans from affiliate), non-recoverable maintenance capital, preferred share dividends paid, capitalized interest (IDC) and the debt component of Allowance for funds used during construction (Debt AFUDC). Comparable DCF and comparable DCF per share are non-GAAP measures which do not have any standardized meaning under U.S. GAAP and are therefore unlikely to be comparable to similar measures presented by other companies. The most directly comparable measure is net cash provided by operations presented in our financial statements. Our 2024 and 2023 DCF are presented including the results of our Liquids Pipelines business segment.</w:t>
      </w:r>
    </w:p>
    <w:p>
      <w:pPr>
        <w:spacing w:after="0" w:line="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believe comparable DCF and comparable DCF per share are useful measures of our consolidated operating cash flows because they exclude fluctuations from working capital balances, which do not necessarily reflect underlying operations in the same period and is used to provide a consistent measure of the cash-generating ability of our businesses. We calculate comparable DCF and comparable DCF per share to exclude expected non-controlling interest (NCI) distributions before capex contributions and debt recapitalization related primarily to our disposition of a 40 per cent interest in Columbia Gas and Columbia Gulf assets to provide a measure of the cash-generating ability of our businesses following the completion of the sale of this interest.</w:t>
      </w:r>
    </w:p>
    <w:p>
      <w:pPr>
        <w:spacing w:after="0" w:line="296" w:lineRule="exact"/>
        <w:rPr>
          <w:sz w:val="20"/>
          <w:szCs w:val="20"/>
          <w:color w:val="auto"/>
        </w:rPr>
      </w:pPr>
    </w:p>
    <w:p>
      <w:pPr>
        <w:ind w:right="380"/>
        <w:spacing w:after="0" w:line="315" w:lineRule="auto"/>
        <w:rPr>
          <w:sz w:val="20"/>
          <w:szCs w:val="20"/>
          <w:color w:val="auto"/>
        </w:rPr>
      </w:pPr>
      <w:r>
        <w:rPr>
          <w:rFonts w:ascii="Arial" w:cs="Arial" w:eastAsia="Arial" w:hAnsi="Arial"/>
          <w:sz w:val="16"/>
          <w:szCs w:val="16"/>
          <w:color w:val="auto"/>
        </w:rPr>
        <w:t>See below for reconciliations of comparable DCF and comparable DCF per share to comparable funds generated from operations for the years ended December 31, 2023, 2024 and 2025. For a reconciliation of comparable funds generated from operations to net cash generated from operations, refer to page 76 and the Non-GAAP measures section of our 2025 Annual MD&amp;A, which is incorporated by reference.</w:t>
      </w:r>
    </w:p>
    <w:tbl>
      <w:tblPr>
        <w:tblLayout w:type="fixed"/>
        <w:tblInd w:w="0" w:type="dxa"/>
        <w:tblCellMar>
          <w:top w:w="0" w:type="dxa"/>
          <w:left w:w="0" w:type="dxa"/>
          <w:bottom w:w="0" w:type="dxa"/>
          <w:right w:w="0" w:type="dxa"/>
        </w:tblCellMar>
      </w:tblPr>
      <w:tr>
        <w:trPr>
          <w:trHeight w:val="195"/>
        </w:trPr>
        <w:tc>
          <w:tcPr>
            <w:tcW w:w="6220" w:type="dxa"/>
            <w:vAlign w:val="bottom"/>
            <w:tcBorders>
              <w:top w:val="single" w:sz="8" w:color="0D64EF"/>
              <w:bottom w:val="single" w:sz="8" w:color="D1D0CF"/>
            </w:tcBorders>
            <w:shd w:val="clear" w:color="auto" w:fill="D1D0CF"/>
          </w:tcPr>
          <w:p>
            <w:pPr>
              <w:spacing w:after="0"/>
              <w:rPr>
                <w:sz w:val="16"/>
                <w:szCs w:val="16"/>
                <w:color w:val="auto"/>
              </w:rPr>
            </w:pPr>
          </w:p>
        </w:tc>
        <w:tc>
          <w:tcPr>
            <w:tcW w:w="80" w:type="dxa"/>
            <w:vAlign w:val="bottom"/>
            <w:tcBorders>
              <w:top w:val="single" w:sz="8" w:color="0D64EF"/>
              <w:bottom w:val="single" w:sz="8" w:color="D1D0CF"/>
            </w:tcBorders>
            <w:shd w:val="clear" w:color="auto" w:fill="D1D0CF"/>
          </w:tcPr>
          <w:p>
            <w:pPr>
              <w:spacing w:after="0"/>
              <w:rPr>
                <w:sz w:val="16"/>
                <w:szCs w:val="16"/>
                <w:color w:val="auto"/>
              </w:rPr>
            </w:pPr>
          </w:p>
        </w:tc>
        <w:tc>
          <w:tcPr>
            <w:tcW w:w="1620" w:type="dxa"/>
            <w:vAlign w:val="bottom"/>
            <w:tcBorders>
              <w:top w:val="single" w:sz="8" w:color="0D64EF"/>
              <w:bottom w:val="single" w:sz="8" w:color="0D64EF"/>
            </w:tcBorders>
            <w:shd w:val="clear" w:color="auto" w:fill="D1D0CF"/>
          </w:tcPr>
          <w:p>
            <w:pPr>
              <w:spacing w:after="0"/>
              <w:rPr>
                <w:sz w:val="16"/>
                <w:szCs w:val="16"/>
                <w:color w:val="auto"/>
              </w:rPr>
            </w:pPr>
          </w:p>
        </w:tc>
        <w:tc>
          <w:tcPr>
            <w:tcW w:w="2300" w:type="dxa"/>
            <w:vAlign w:val="bottom"/>
            <w:tcBorders>
              <w:top w:val="single" w:sz="8" w:color="0D64EF"/>
              <w:bottom w:val="single" w:sz="8" w:color="0D64EF"/>
            </w:tcBorders>
            <w:shd w:val="clear" w:color="auto" w:fill="D1D0CF"/>
          </w:tcPr>
          <w:p>
            <w:pPr>
              <w:jc w:val="right"/>
              <w:ind w:right="52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top w:val="single" w:sz="8" w:color="0D64EF"/>
              <w:bottom w:val="single" w:sz="8" w:color="0D64EF"/>
            </w:tcBorders>
            <w:shd w:val="clear" w:color="auto" w:fill="D1D0CF"/>
          </w:tcPr>
          <w:p>
            <w:pPr>
              <w:spacing w:after="0"/>
              <w:rPr>
                <w:sz w:val="16"/>
                <w:szCs w:val="16"/>
                <w:color w:val="auto"/>
              </w:rPr>
            </w:pPr>
          </w:p>
        </w:tc>
      </w:tr>
      <w:tr>
        <w:trPr>
          <w:trHeight w:val="196"/>
        </w:trPr>
        <w:tc>
          <w:tcPr>
            <w:tcW w:w="62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4"/>
                <w:szCs w:val="14"/>
                <w:color w:val="auto"/>
              </w:rPr>
              <w:t>(millions of Canadian $)</w:t>
            </w:r>
          </w:p>
        </w:tc>
        <w:tc>
          <w:tcPr>
            <w:tcW w:w="1700" w:type="dxa"/>
            <w:vAlign w:val="bottom"/>
            <w:tcBorders>
              <w:bottom w:val="single" w:sz="8" w:color="0D64EF"/>
            </w:tcBorders>
            <w:gridSpan w:val="2"/>
            <w:shd w:val="clear" w:color="auto" w:fill="D1D0CF"/>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2300" w:type="dxa"/>
            <w:vAlign w:val="bottom"/>
            <w:tcBorders>
              <w:bottom w:val="single" w:sz="8" w:color="0D64EF"/>
            </w:tcBorders>
            <w:shd w:val="clear" w:color="auto" w:fill="D1D0CF"/>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4"/>
                <w:szCs w:val="14"/>
                <w:b w:val="1"/>
                <w:bCs w:val="1"/>
                <w:color w:val="auto"/>
              </w:rPr>
              <w:t>2023</w:t>
            </w:r>
          </w:p>
        </w:tc>
      </w:tr>
      <w:tr>
        <w:trPr>
          <w:trHeight w:val="35"/>
        </w:trPr>
        <w:tc>
          <w:tcPr>
            <w:tcW w:w="6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Comparable funds generated from operations</w:t>
            </w:r>
          </w:p>
        </w:tc>
        <w:tc>
          <w:tcPr>
            <w:tcW w:w="1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7,996</w:t>
            </w:r>
          </w:p>
        </w:tc>
        <w:tc>
          <w:tcPr>
            <w:tcW w:w="2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7,890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7,980</w:t>
            </w:r>
          </w:p>
        </w:tc>
      </w:tr>
      <w:tr>
        <w:trPr>
          <w:trHeight w:val="188"/>
        </w:trPr>
        <w:tc>
          <w:tcPr>
            <w:tcW w:w="6220" w:type="dxa"/>
            <w:vAlign w:val="bottom"/>
          </w:tcPr>
          <w:p>
            <w:pPr>
              <w:ind w:left="20"/>
              <w:spacing w:after="0"/>
              <w:rPr>
                <w:sz w:val="20"/>
                <w:szCs w:val="20"/>
                <w:color w:val="auto"/>
              </w:rPr>
            </w:pPr>
            <w:r>
              <w:rPr>
                <w:rFonts w:ascii="Arial" w:cs="Arial" w:eastAsia="Arial" w:hAnsi="Arial"/>
                <w:sz w:val="14"/>
                <w:szCs w:val="14"/>
                <w:color w:val="auto"/>
              </w:rPr>
              <w:t>NCI distributions (pre-capex and debt recap)</w:t>
            </w: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(825)</w:t>
            </w:r>
          </w:p>
        </w:tc>
        <w:tc>
          <w:tcPr>
            <w:tcW w:w="2300" w:type="dxa"/>
            <w:vAlign w:val="bottom"/>
          </w:tcPr>
          <w:p>
            <w:pPr>
              <w:jc w:val="right"/>
              <w:ind w:right="548"/>
              <w:spacing w:after="0"/>
              <w:rPr>
                <w:sz w:val="20"/>
                <w:szCs w:val="20"/>
                <w:color w:val="auto"/>
              </w:rPr>
            </w:pPr>
            <w:r>
              <w:rPr>
                <w:rFonts w:ascii="Arial" w:cs="Arial" w:eastAsia="Arial" w:hAnsi="Arial"/>
                <w:sz w:val="14"/>
                <w:szCs w:val="14"/>
                <w:color w:val="auto"/>
              </w:rPr>
              <w:t>(771)</w:t>
            </w:r>
          </w:p>
        </w:tc>
        <w:tc>
          <w:tcPr>
            <w:tcW w:w="102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15"/>
        </w:trPr>
        <w:tc>
          <w:tcPr>
            <w:tcW w:w="6220" w:type="dxa"/>
            <w:vAlign w:val="bottom"/>
          </w:tcPr>
          <w:p>
            <w:pPr>
              <w:ind w:left="20"/>
              <w:spacing w:after="0"/>
              <w:rPr>
                <w:sz w:val="20"/>
                <w:szCs w:val="20"/>
                <w:color w:val="auto"/>
              </w:rPr>
            </w:pPr>
            <w:r>
              <w:rPr>
                <w:rFonts w:ascii="Arial" w:cs="Arial" w:eastAsia="Arial" w:hAnsi="Arial"/>
                <w:sz w:val="14"/>
                <w:szCs w:val="14"/>
                <w:color w:val="auto"/>
              </w:rPr>
              <w:t>Return of capital on equity investments</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c>
          <w:tcPr>
            <w:tcW w:w="2300" w:type="dxa"/>
            <w:vAlign w:val="bottom"/>
          </w:tcPr>
          <w:p>
            <w:pPr>
              <w:jc w:val="right"/>
              <w:ind w:right="588"/>
              <w:spacing w:after="0"/>
              <w:rPr>
                <w:sz w:val="20"/>
                <w:szCs w:val="20"/>
                <w:color w:val="auto"/>
              </w:rPr>
            </w:pPr>
            <w:r>
              <w:rPr>
                <w:rFonts w:ascii="Arial" w:cs="Arial" w:eastAsia="Arial" w:hAnsi="Arial"/>
                <w:sz w:val="14"/>
                <w:szCs w:val="14"/>
                <w:color w:val="auto"/>
              </w:rPr>
              <w:t>31</w:t>
            </w: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15"/>
        </w:trPr>
        <w:tc>
          <w:tcPr>
            <w:tcW w:w="6220" w:type="dxa"/>
            <w:vAlign w:val="bottom"/>
          </w:tcPr>
          <w:p>
            <w:pPr>
              <w:ind w:left="20"/>
              <w:spacing w:after="0"/>
              <w:rPr>
                <w:sz w:val="20"/>
                <w:szCs w:val="20"/>
                <w:color w:val="auto"/>
              </w:rPr>
            </w:pPr>
            <w:r>
              <w:rPr>
                <w:rFonts w:ascii="Arial" w:cs="Arial" w:eastAsia="Arial" w:hAnsi="Arial"/>
                <w:sz w:val="14"/>
                <w:szCs w:val="14"/>
                <w:color w:val="auto"/>
              </w:rPr>
              <w:t>Loan from affiliate</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111</w:t>
            </w:r>
          </w:p>
        </w:tc>
        <w:tc>
          <w:tcPr>
            <w:tcW w:w="23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6220" w:type="dxa"/>
            <w:vAlign w:val="bottom"/>
          </w:tcPr>
          <w:p>
            <w:pPr>
              <w:ind w:left="20"/>
              <w:spacing w:after="0"/>
              <w:rPr>
                <w:sz w:val="20"/>
                <w:szCs w:val="20"/>
                <w:color w:val="auto"/>
              </w:rPr>
            </w:pPr>
            <w:r>
              <w:rPr>
                <w:rFonts w:ascii="Arial" w:cs="Arial" w:eastAsia="Arial" w:hAnsi="Arial"/>
                <w:sz w:val="14"/>
                <w:szCs w:val="14"/>
                <w:color w:val="auto"/>
              </w:rPr>
              <w:t>Non-recoverable maintenance capital</w:t>
            </w: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(120)</w:t>
            </w:r>
          </w:p>
        </w:tc>
        <w:tc>
          <w:tcPr>
            <w:tcW w:w="2300" w:type="dxa"/>
            <w:vAlign w:val="bottom"/>
          </w:tcPr>
          <w:p>
            <w:pPr>
              <w:jc w:val="right"/>
              <w:ind w:right="548"/>
              <w:spacing w:after="0"/>
              <w:rPr>
                <w:sz w:val="20"/>
                <w:szCs w:val="20"/>
                <w:color w:val="auto"/>
              </w:rPr>
            </w:pPr>
            <w:r>
              <w:rPr>
                <w:rFonts w:ascii="Arial" w:cs="Arial" w:eastAsia="Arial" w:hAnsi="Arial"/>
                <w:sz w:val="14"/>
                <w:szCs w:val="14"/>
                <w:color w:val="auto"/>
              </w:rPr>
              <w:t>(143)</w:t>
            </w:r>
          </w:p>
        </w:tc>
        <w:tc>
          <w:tcPr>
            <w:tcW w:w="1020" w:type="dxa"/>
            <w:vAlign w:val="bottom"/>
          </w:tcPr>
          <w:p>
            <w:pPr>
              <w:jc w:val="right"/>
              <w:spacing w:after="0"/>
              <w:rPr>
                <w:sz w:val="20"/>
                <w:szCs w:val="20"/>
                <w:color w:val="auto"/>
              </w:rPr>
            </w:pPr>
            <w:r>
              <w:rPr>
                <w:rFonts w:ascii="Arial" w:cs="Arial" w:eastAsia="Arial" w:hAnsi="Arial"/>
                <w:sz w:val="14"/>
                <w:szCs w:val="14"/>
                <w:color w:val="auto"/>
              </w:rPr>
              <w:t>(202)</w:t>
            </w:r>
          </w:p>
        </w:tc>
      </w:tr>
      <w:tr>
        <w:trPr>
          <w:trHeight w:val="215"/>
        </w:trPr>
        <w:tc>
          <w:tcPr>
            <w:tcW w:w="6220" w:type="dxa"/>
            <w:vAlign w:val="bottom"/>
          </w:tcPr>
          <w:p>
            <w:pPr>
              <w:ind w:left="20"/>
              <w:spacing w:after="0"/>
              <w:rPr>
                <w:sz w:val="20"/>
                <w:szCs w:val="20"/>
                <w:color w:val="auto"/>
              </w:rPr>
            </w:pPr>
            <w:r>
              <w:rPr>
                <w:rFonts w:ascii="Arial" w:cs="Arial" w:eastAsia="Arial" w:hAnsi="Arial"/>
                <w:sz w:val="14"/>
                <w:szCs w:val="14"/>
                <w:color w:val="auto"/>
              </w:rPr>
              <w:t>Preferred share dividends</w:t>
            </w: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(114)</w:t>
            </w:r>
          </w:p>
        </w:tc>
        <w:tc>
          <w:tcPr>
            <w:tcW w:w="2300" w:type="dxa"/>
            <w:vAlign w:val="bottom"/>
          </w:tcPr>
          <w:p>
            <w:pPr>
              <w:jc w:val="right"/>
              <w:ind w:right="548"/>
              <w:spacing w:after="0"/>
              <w:rPr>
                <w:sz w:val="20"/>
                <w:szCs w:val="20"/>
                <w:color w:val="auto"/>
              </w:rPr>
            </w:pPr>
            <w:r>
              <w:rPr>
                <w:rFonts w:ascii="Arial" w:cs="Arial" w:eastAsia="Arial" w:hAnsi="Arial"/>
                <w:sz w:val="14"/>
                <w:szCs w:val="14"/>
                <w:color w:val="auto"/>
              </w:rPr>
              <w:t>(99)</w:t>
            </w:r>
          </w:p>
        </w:tc>
        <w:tc>
          <w:tcPr>
            <w:tcW w:w="102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19"/>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IDC + Debt AFUDC</w:t>
            </w: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(143)</w:t>
            </w:r>
          </w:p>
        </w:tc>
        <w:tc>
          <w:tcPr>
            <w:tcW w:w="2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(463)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r>
      <w:tr>
        <w:trPr>
          <w:trHeight w:val="198"/>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Comparable distributable cash flow</w:t>
            </w:r>
          </w:p>
        </w:tc>
        <w:tc>
          <w:tcPr>
            <w:tcW w:w="1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6,910</w:t>
            </w:r>
          </w:p>
        </w:tc>
        <w:tc>
          <w:tcPr>
            <w:tcW w:w="2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6,445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7,019</w:t>
            </w:r>
          </w:p>
        </w:tc>
      </w:tr>
      <w:tr>
        <w:trPr>
          <w:trHeight w:val="195"/>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D64EF"/>
              </w:rPr>
              <w:t>Weighted Average # of common shares (basic)- millions</w:t>
            </w:r>
          </w:p>
        </w:tc>
        <w:tc>
          <w:tcPr>
            <w:tcW w:w="1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1,040</w:t>
            </w:r>
          </w:p>
        </w:tc>
        <w:tc>
          <w:tcPr>
            <w:tcW w:w="2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1,038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w:t>
            </w:r>
          </w:p>
        </w:tc>
      </w:tr>
      <w:tr>
        <w:trPr>
          <w:trHeight w:val="195"/>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D64EF"/>
              </w:rPr>
              <w:t>Comparable DCF per share</w:t>
            </w:r>
          </w:p>
        </w:tc>
        <w:tc>
          <w:tcPr>
            <w:tcW w:w="1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6.64</w:t>
            </w:r>
          </w:p>
        </w:tc>
        <w:tc>
          <w:tcPr>
            <w:tcW w:w="2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6.21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133</w:t>
      </w:r>
    </w:p>
    <w:p>
      <w:pPr>
        <w:sectPr>
          <w:pgSz w:w="11900" w:h="16838" w:orient="portrait"/>
          <w:cols w:equalWidth="0" w:num="1">
            <w:col w:w="11240"/>
          </w:cols>
          <w:pgMar w:left="320" w:top="1101" w:right="339" w:bottom="1440" w:gutter="0" w:footer="0" w:header="0"/>
        </w:sectPr>
      </w:pPr>
    </w:p>
    <w:bookmarkStart w:id="139" w:name="page140"/>
    <w:bookmarkEnd w:id="139"/>
    <w:p>
      <w:pPr>
        <w:spacing w:after="0"/>
        <w:rPr>
          <w:sz w:val="20"/>
          <w:szCs w:val="20"/>
          <w:color w:val="auto"/>
        </w:rPr>
      </w:pPr>
      <w:r>
        <w:rPr>
          <w:rFonts w:ascii="Arial" w:cs="Arial" w:eastAsia="Arial" w:hAnsi="Arial"/>
          <w:sz w:val="29"/>
          <w:szCs w:val="29"/>
          <w:color w:val="0D64EF"/>
        </w:rPr>
        <w:t>Schedule C – Forward-Looking Information</w:t>
      </w:r>
    </w:p>
    <w:p>
      <w:pPr>
        <w:spacing w:after="0" w:line="16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This Circular, including the MD&amp;A disclosure incorporated by reference herein, contains certain information that is forward-looking and is subject to important risks and uncertainties. This Circular contains certain information that is forward-looking and is subject to important risks and uncertainties (such statements are usually accompanied by words like </w:t>
      </w:r>
      <w:r>
        <w:rPr>
          <w:rFonts w:ascii="Arial" w:cs="Arial" w:eastAsia="Arial" w:hAnsi="Arial"/>
          <w:sz w:val="16"/>
          <w:szCs w:val="16"/>
          <w:i w:val="1"/>
          <w:iCs w:val="1"/>
          <w:color w:val="auto"/>
        </w:rPr>
        <w:t>anticipate</w:t>
      </w:r>
      <w:r>
        <w:rPr>
          <w:rFonts w:ascii="Arial" w:cs="Arial" w:eastAsia="Arial" w:hAnsi="Arial"/>
          <w:sz w:val="16"/>
          <w:szCs w:val="16"/>
          <w:color w:val="auto"/>
        </w:rPr>
        <w:t xml:space="preserve">, </w:t>
      </w:r>
      <w:r>
        <w:rPr>
          <w:rFonts w:ascii="Arial" w:cs="Arial" w:eastAsia="Arial" w:hAnsi="Arial"/>
          <w:sz w:val="16"/>
          <w:szCs w:val="16"/>
          <w:i w:val="1"/>
          <w:iCs w:val="1"/>
          <w:color w:val="auto"/>
        </w:rPr>
        <w:t>expect</w:t>
      </w:r>
      <w:r>
        <w:rPr>
          <w:rFonts w:ascii="Arial" w:cs="Arial" w:eastAsia="Arial" w:hAnsi="Arial"/>
          <w:sz w:val="16"/>
          <w:szCs w:val="16"/>
          <w:color w:val="auto"/>
        </w:rPr>
        <w:t xml:space="preserve">, </w:t>
      </w:r>
      <w:r>
        <w:rPr>
          <w:rFonts w:ascii="Arial" w:cs="Arial" w:eastAsia="Arial" w:hAnsi="Arial"/>
          <w:sz w:val="16"/>
          <w:szCs w:val="16"/>
          <w:i w:val="1"/>
          <w:iCs w:val="1"/>
          <w:color w:val="auto"/>
        </w:rPr>
        <w:t>believe</w:t>
      </w:r>
      <w:r>
        <w:rPr>
          <w:rFonts w:ascii="Arial" w:cs="Arial" w:eastAsia="Arial" w:hAnsi="Arial"/>
          <w:sz w:val="16"/>
          <w:szCs w:val="16"/>
          <w:color w:val="auto"/>
        </w:rPr>
        <w:t xml:space="preserve">, </w:t>
      </w:r>
      <w:r>
        <w:rPr>
          <w:rFonts w:ascii="Arial" w:cs="Arial" w:eastAsia="Arial" w:hAnsi="Arial"/>
          <w:sz w:val="16"/>
          <w:szCs w:val="16"/>
          <w:i w:val="1"/>
          <w:iCs w:val="1"/>
          <w:color w:val="auto"/>
        </w:rPr>
        <w:t>may</w:t>
      </w:r>
      <w:r>
        <w:rPr>
          <w:rFonts w:ascii="Arial" w:cs="Arial" w:eastAsia="Arial" w:hAnsi="Arial"/>
          <w:sz w:val="16"/>
          <w:szCs w:val="16"/>
          <w:color w:val="auto"/>
        </w:rPr>
        <w:t xml:space="preserve">, </w:t>
      </w:r>
      <w:r>
        <w:rPr>
          <w:rFonts w:ascii="Arial" w:cs="Arial" w:eastAsia="Arial" w:hAnsi="Arial"/>
          <w:sz w:val="16"/>
          <w:szCs w:val="16"/>
          <w:i w:val="1"/>
          <w:iCs w:val="1"/>
          <w:color w:val="auto"/>
        </w:rPr>
        <w:t>will</w:t>
      </w:r>
      <w:r>
        <w:rPr>
          <w:rFonts w:ascii="Arial" w:cs="Arial" w:eastAsia="Arial" w:hAnsi="Arial"/>
          <w:sz w:val="16"/>
          <w:szCs w:val="16"/>
          <w:color w:val="auto"/>
        </w:rPr>
        <w:t xml:space="preserve">, </w:t>
      </w:r>
      <w:r>
        <w:rPr>
          <w:rFonts w:ascii="Arial" w:cs="Arial" w:eastAsia="Arial" w:hAnsi="Arial"/>
          <w:sz w:val="16"/>
          <w:szCs w:val="16"/>
          <w:i w:val="1"/>
          <w:iCs w:val="1"/>
          <w:color w:val="auto"/>
        </w:rPr>
        <w:t>should</w:t>
      </w:r>
      <w:r>
        <w:rPr>
          <w:rFonts w:ascii="Arial" w:cs="Arial" w:eastAsia="Arial" w:hAnsi="Arial"/>
          <w:sz w:val="16"/>
          <w:szCs w:val="16"/>
          <w:color w:val="auto"/>
        </w:rPr>
        <w:t xml:space="preserve">, </w:t>
      </w:r>
      <w:r>
        <w:rPr>
          <w:rFonts w:ascii="Arial" w:cs="Arial" w:eastAsia="Arial" w:hAnsi="Arial"/>
          <w:sz w:val="16"/>
          <w:szCs w:val="16"/>
          <w:i w:val="1"/>
          <w:iCs w:val="1"/>
          <w:color w:val="auto"/>
        </w:rPr>
        <w:t>estimate</w:t>
      </w:r>
      <w:r>
        <w:rPr>
          <w:rFonts w:ascii="Arial" w:cs="Arial" w:eastAsia="Arial" w:hAnsi="Arial"/>
          <w:sz w:val="16"/>
          <w:szCs w:val="16"/>
          <w:color w:val="auto"/>
        </w:rPr>
        <w:t xml:space="preserve">, </w:t>
      </w:r>
      <w:r>
        <w:rPr>
          <w:rFonts w:ascii="Arial" w:cs="Arial" w:eastAsia="Arial" w:hAnsi="Arial"/>
          <w:sz w:val="16"/>
          <w:szCs w:val="16"/>
          <w:i w:val="1"/>
          <w:iCs w:val="1"/>
          <w:color w:val="auto"/>
        </w:rPr>
        <w:t>intend</w:t>
      </w:r>
      <w:r>
        <w:rPr>
          <w:rFonts w:ascii="Arial" w:cs="Arial" w:eastAsia="Arial" w:hAnsi="Arial"/>
          <w:sz w:val="16"/>
          <w:szCs w:val="16"/>
          <w:color w:val="auto"/>
        </w:rPr>
        <w:t xml:space="preserve"> or other similar words). Forward-looking statements in this document are intended to provide TC Energy security holders and potential investors with information regarding TC Energy and its subsidiaries, including management's assessment of TC Energy's and its subsidiaries' future plans and financial outlook.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Our forward-looking statements included or incorporated by reference in this document include, but are not limited to:</w:t>
      </w:r>
    </w:p>
    <w:p>
      <w:pPr>
        <w:spacing w:after="0" w:line="98" w:lineRule="exact"/>
        <w:rPr>
          <w:sz w:val="20"/>
          <w:szCs w:val="20"/>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statements regarding the business of and procedure for the annual meeting and solicitation of proxies;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belief that virtual meetings and notice-and-access delivery are a more environmentally friendly and cost-effective methods of shareholder engagement;</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statements regarding our expected strategic focus on natural gas and power generation and forecasted energy demand levels;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future composition of our Board and senior management, including statements regarding our targets and inclusion initiatives;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statements regarding our risk management strategy, including cybersecurity and AI related expectations;</w:t>
      </w:r>
    </w:p>
    <w:p>
      <w:pPr>
        <w:spacing w:after="0" w:line="98" w:lineRule="exact"/>
        <w:rPr>
          <w:rFonts w:ascii="Arial" w:cs="Arial" w:eastAsia="Arial" w:hAnsi="Arial"/>
          <w:sz w:val="16"/>
          <w:szCs w:val="16"/>
          <w:color w:val="auto"/>
        </w:rPr>
      </w:pPr>
    </w:p>
    <w:p>
      <w:pPr>
        <w:ind w:left="160" w:right="620" w:hanging="153"/>
        <w:spacing w:after="0" w:line="341" w:lineRule="auto"/>
        <w:tabs>
          <w:tab w:leader="none" w:pos="13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statements related to TC Energy’s sustainability commitments, including methane reduction targets, safety, Indigenous relations, and integration of sustainability into strategy;</w:t>
      </w:r>
    </w:p>
    <w:p>
      <w:pPr>
        <w:spacing w:after="0" w:line="1" w:lineRule="exact"/>
        <w:rPr>
          <w:rFonts w:ascii="Arial" w:cs="Arial" w:eastAsia="Arial" w:hAnsi="Arial"/>
          <w:sz w:val="16"/>
          <w:szCs w:val="16"/>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statements relating to our financial and operating performance, including the performance of our subsidiaries;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statements relating to capital expenditures, contractual obligations, commitments and contingent liabilities;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statements relating to our intended benchmarking peer groups;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intended aims of our compensation for directors and named executive officers;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estimated compensation awards;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estimated annual retirement and pension benefits for the named executive officers, including estimated amounts for retired executives; and</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potential payments and benefits for the named executive officers upon specified triggering events.</w:t>
      </w:r>
    </w:p>
    <w:p>
      <w:pPr>
        <w:spacing w:after="0" w:line="152" w:lineRule="exact"/>
        <w:rPr>
          <w:sz w:val="20"/>
          <w:szCs w:val="20"/>
          <w:color w:val="auto"/>
        </w:rPr>
      </w:pPr>
    </w:p>
    <w:p>
      <w:pPr>
        <w:ind w:right="100"/>
        <w:spacing w:after="0" w:line="337" w:lineRule="auto"/>
        <w:rPr>
          <w:sz w:val="20"/>
          <w:szCs w:val="20"/>
          <w:color w:val="auto"/>
        </w:rPr>
      </w:pPr>
      <w:r>
        <w:rPr>
          <w:rFonts w:ascii="Arial" w:cs="Arial" w:eastAsia="Arial" w:hAnsi="Arial"/>
          <w:sz w:val="16"/>
          <w:szCs w:val="16"/>
          <w:color w:val="auto"/>
        </w:rPr>
        <w:t>Forward-looking statements do not guarantee future performance. Actual events and results could be significantly different because of assumptions, risks or uncertainties related to our business or events that happen after the date of this Circular.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Our forward-looking information is based on certain key assumptions and is subject to risks and uncertainties, including but not limited 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64EF"/>
        </w:rPr>
        <w:t>Assumptions</w:t>
      </w:r>
    </w:p>
    <w:p>
      <w:pPr>
        <w:spacing w:after="0" w:line="53" w:lineRule="exact"/>
        <w:rPr>
          <w:sz w:val="20"/>
          <w:szCs w:val="20"/>
          <w:color w:val="auto"/>
        </w:rPr>
      </w:pPr>
    </w:p>
    <w:p>
      <w:pPr>
        <w:ind w:left="140" w:hanging="133"/>
        <w:spacing w:after="0"/>
        <w:tabs>
          <w:tab w:leader="none" w:pos="1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realization of expected impacts from acquisitions and divestitures;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regulatory decisions and outcomes;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planned and unplanned outages and the utilization of our pipelines, power and storage assets;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integrity and reliability of our assets;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anticipated construction costs, schedules and completion dates;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access to capital markets, including portfolio management;</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expected industry, market and economic conditions, including the impact of these on our customers and suppliers;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inflation rates, commodity and labour prices;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interest, tax and foreign exchange rates; and</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nature and scope of hedging.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134 | 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w:t>
      </w:r>
    </w:p>
    <w:p>
      <w:pPr>
        <w:sectPr>
          <w:pgSz w:w="11900" w:h="16838" w:orient="portrait"/>
          <w:cols w:equalWidth="0" w:num="1">
            <w:col w:w="11200"/>
          </w:cols>
          <w:pgMar w:left="320" w:top="1048" w:right="3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0D64EF"/>
        </w:rPr>
        <w:t>Risks and Uncertainties</w:t>
      </w:r>
    </w:p>
    <w:p>
      <w:pPr>
        <w:spacing w:after="0" w:line="40" w:lineRule="exact"/>
        <w:rPr>
          <w:sz w:val="20"/>
          <w:szCs w:val="20"/>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realization of expected impacts from acquisitions and divestitures;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our ability to successfully implement our strategic priorities, and whether they will yield the expected benefits;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our ability to implement a capital allocation strategy aligned with maximizing shareholder value;</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operating performance of our pipelines, power generation and storage assets;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amount of capacity sold and rates achieved in our pipeline businesses;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amount of capacity payments and revenues from power generation assets due to plant availability;</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production levels within supply basins;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construction and completion of capital projects;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cost, availability of, and inflationary pressures on, labour, equipment and materials;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availability and market prices of commodities;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access to capital markets on competitive terms;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interest, tax and foreign exchange rates;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performance and credit risk of our counterparties;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regulatory decisions and outcomes of legal proceedings, including arbitration and insurance claims;</w:t>
      </w:r>
    </w:p>
    <w:p>
      <w:pPr>
        <w:spacing w:after="0" w:line="111" w:lineRule="exact"/>
        <w:rPr>
          <w:rFonts w:ascii="Arial" w:cs="Arial" w:eastAsia="Arial" w:hAnsi="Arial"/>
          <w:sz w:val="16"/>
          <w:szCs w:val="16"/>
          <w:color w:val="auto"/>
        </w:rPr>
      </w:pPr>
    </w:p>
    <w:p>
      <w:pPr>
        <w:ind w:left="160" w:right="2700" w:hanging="153"/>
        <w:spacing w:after="0" w:line="337" w:lineRule="auto"/>
        <w:tabs>
          <w:tab w:leader="none" w:pos="13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our ability to effectively anticipate and assess changes to government policies and regulations, including those related to the environment;</w:t>
      </w:r>
    </w:p>
    <w:p>
      <w:pPr>
        <w:spacing w:after="0" w:line="7"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our ability to realize the value of tangible assets and contractual recoveries;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competition in the businesses in which we operate;</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unexpected or unusual weather;</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acts of civil disobedience;</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cybersecurity and technological developments;</w:t>
      </w:r>
    </w:p>
    <w:p>
      <w:pPr>
        <w:spacing w:after="0" w:line="111"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sustainability-related risks including climate-related risks and the impact of energy transition on our business;</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economic and political conditions, and ongoing trade negotiations in North America, as well as globally; and</w:t>
      </w:r>
    </w:p>
    <w:p>
      <w:pPr>
        <w:spacing w:after="0" w:line="98" w:lineRule="exact"/>
        <w:rPr>
          <w:rFonts w:ascii="Arial" w:cs="Arial" w:eastAsia="Arial" w:hAnsi="Arial"/>
          <w:sz w:val="16"/>
          <w:szCs w:val="16"/>
          <w:color w:val="auto"/>
        </w:rPr>
      </w:pPr>
    </w:p>
    <w:p>
      <w:pPr>
        <w:ind w:left="140" w:hanging="133"/>
        <w:spacing w:after="0"/>
        <w:tabs>
          <w:tab w:leader="none" w:pos="1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global health crises, such as pandemics and epidemics, and the impacts relate thereto.</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the assumptions made, and the risks and uncertainties which could cause actual results</w:t>
      </w:r>
    </w:p>
    <w:p>
      <w:pPr>
        <w:spacing w:after="0" w:line="44"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to differ from the anticipated results, refer to the most recent Quarterly Report to Shareholders and Annual Report filed under TC Energy’s profile on SEDAR+ (www.sedarplus.ca) and with the SEC (www.sec.gov). As actual results could vary significantly from the forward-looking information, you should not put undue reliance on forward-looking information and should not use future-oriented information or financial outlooks for anything other than their intended purpose. We do not update our forward-looking statements due to new information or future events, unless we are required to by law.</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TC Energy </w:t>
      </w:r>
      <w:r>
        <w:rPr>
          <w:rFonts w:ascii="Arial" w:cs="Arial" w:eastAsia="Arial" w:hAnsi="Arial"/>
          <w:sz w:val="16"/>
          <w:szCs w:val="16"/>
          <w:b w:val="1"/>
          <w:bCs w:val="1"/>
          <w:color w:val="0D64EF"/>
        </w:rPr>
        <w:t>Management Information Circular</w:t>
      </w:r>
      <w:r>
        <w:rPr>
          <w:rFonts w:ascii="Arial" w:cs="Arial" w:eastAsia="Arial" w:hAnsi="Arial"/>
          <w:sz w:val="16"/>
          <w:szCs w:val="16"/>
          <w:color w:val="auto"/>
        </w:rPr>
        <w:t xml:space="preserve"> 2026 | 135</w:t>
      </w:r>
    </w:p>
    <w:p>
      <w:pPr>
        <w:sectPr>
          <w:pgSz w:w="11900" w:h="16838" w:orient="portrait"/>
          <w:cols w:equalWidth="0" w:num="1">
            <w:col w:w="11240"/>
          </w:cols>
          <w:pgMar w:left="320" w:top="1061" w:right="339" w:bottom="1440" w:gutter="0" w:footer="0" w:header="0"/>
        </w:sectPr>
      </w:pPr>
    </w:p>
    <w:bookmarkStart w:id="141" w:name="page142"/>
    <w:bookmarkEnd w:id="1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1010285</wp:posOffset>
            </wp:positionH>
            <wp:positionV relativeFrom="page">
              <wp:posOffset>831215</wp:posOffset>
            </wp:positionV>
            <wp:extent cx="5528945" cy="72015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5528945" cy="7201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1010285</wp:posOffset>
            </wp:positionH>
            <wp:positionV relativeFrom="page">
              <wp:posOffset>831215</wp:posOffset>
            </wp:positionV>
            <wp:extent cx="5528945" cy="72015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5528945" cy="72015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D545C4D"/>
    <w:multiLevelType w:val="hybridMultilevel"/>
    <w:lvl w:ilvl="0">
      <w:lvlJc w:val="left"/>
      <w:lvlText w:val="%1."/>
      <w:numFmt w:val="decimal"/>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1"/>
      <w:numFmt w:val="bullet"/>
      <w:start w:val="1"/>
    </w:lvl>
  </w:abstractNum>
  <w:abstractNum w:abstractNumId="3">
    <w:nsid w:val="2A155DBC"/>
    <w:multiLevelType w:val="hybridMultilevel"/>
    <w:lvl w:ilvl="0">
      <w:lvlJc w:val="left"/>
      <w:lvlText w:val="2"/>
      <w:numFmt w:val="bullet"/>
      <w:start w:val="1"/>
    </w:lvl>
  </w:abstractNum>
  <w:abstractNum w:abstractNumId="4">
    <w:nsid w:val="1D9F6E5F"/>
    <w:multiLevelType w:val="hybridMultilevel"/>
    <w:lvl w:ilvl="0">
      <w:lvlJc w:val="left"/>
      <w:lvlText w:val="1"/>
      <w:numFmt w:val="bullet"/>
      <w:start w:val="1"/>
    </w:lvl>
  </w:abstractNum>
  <w:abstractNum w:abstractNumId="5">
    <w:nsid w:val="97E1B4E"/>
    <w:multiLevelType w:val="hybridMultilevel"/>
    <w:lvl w:ilvl="0">
      <w:lvlJc w:val="left"/>
      <w:lvlText w:val="2"/>
      <w:numFmt w:val="bullet"/>
      <w:start w:val="1"/>
    </w:lvl>
  </w:abstractNum>
  <w:abstractNum w:abstractNumId="6">
    <w:nsid w:val="51088277"/>
    <w:multiLevelType w:val="hybridMultilevel"/>
    <w:lvl w:ilvl="0">
      <w:lvlJc w:val="left"/>
      <w:lvlText w:val="•"/>
      <w:numFmt w:val="bullet"/>
      <w:start w:val="1"/>
    </w:lvl>
  </w:abstractNum>
  <w:abstractNum w:abstractNumId="7">
    <w:nsid w:val="1CA0C5FA"/>
    <w:multiLevelType w:val="hybridMultilevel"/>
    <w:lvl w:ilvl="0">
      <w:lvlJc w:val="left"/>
      <w:lvlText w:val="%1."/>
      <w:numFmt w:val="decimal"/>
      <w:start w:val="1"/>
    </w:lvl>
  </w:abstractNum>
  <w:abstractNum w:abstractNumId="8">
    <w:nsid w:val="53584BCB"/>
    <w:multiLevelType w:val="hybridMultilevel"/>
    <w:lvl w:ilvl="0">
      <w:lvlJc w:val="left"/>
      <w:lvlText w:val="%1."/>
      <w:numFmt w:val="decimal"/>
      <w:start w:val="1"/>
    </w:lvl>
  </w:abstractNum>
  <w:abstractNum w:abstractNumId="9">
    <w:nsid w:val="415E286C"/>
    <w:multiLevelType w:val="hybridMultilevel"/>
    <w:lvl w:ilvl="0">
      <w:lvlJc w:val="left"/>
      <w:lvlText w:val="%1."/>
      <w:numFmt w:val="decimal"/>
      <w:start w:val="1"/>
    </w:lvl>
  </w:abstractNum>
  <w:abstractNum w:abstractNumId="10">
    <w:nsid w:val="7C58FD05"/>
    <w:multiLevelType w:val="hybridMultilevel"/>
    <w:lvl w:ilvl="0">
      <w:lvlJc w:val="left"/>
      <w:lvlText w:val="•"/>
      <w:numFmt w:val="bullet"/>
      <w:start w:val="1"/>
    </w:lvl>
  </w:abstractNum>
  <w:abstractNum w:abstractNumId="11">
    <w:nsid w:val="23D86AAC"/>
    <w:multiLevelType w:val="hybridMultilevel"/>
    <w:lvl w:ilvl="0">
      <w:lvlJc w:val="left"/>
      <w:lvlText w:val="•"/>
      <w:numFmt w:val="bullet"/>
      <w:start w:val="1"/>
    </w:lvl>
  </w:abstractNum>
  <w:abstractNum w:abstractNumId="12">
    <w:nsid w:val="45E6D486"/>
    <w:multiLevelType w:val="hybridMultilevel"/>
    <w:lvl w:ilvl="0">
      <w:lvlJc w:val="left"/>
      <w:lvlText w:val="•"/>
      <w:numFmt w:val="bullet"/>
      <w:start w:val="1"/>
    </w:lvl>
  </w:abstractNum>
  <w:abstractNum w:abstractNumId="13">
    <w:nsid w:val="5C10FE21"/>
    <w:multiLevelType w:val="hybridMultilevel"/>
    <w:lvl w:ilvl="0">
      <w:lvlJc w:val="left"/>
      <w:lvlText w:val="•"/>
      <w:numFmt w:val="bullet"/>
      <w:start w:val="1"/>
    </w:lvl>
  </w:abstractNum>
  <w:abstractNum w:abstractNumId="14">
    <w:nsid w:val="E7FFA2B"/>
    <w:multiLevelType w:val="hybridMultilevel"/>
    <w:lvl w:ilvl="0">
      <w:lvlJc w:val="left"/>
      <w:lvlText w:val="•"/>
      <w:numFmt w:val="bullet"/>
      <w:start w:val="1"/>
    </w:lvl>
  </w:abstractNum>
  <w:abstractNum w:abstractNumId="15">
    <w:nsid w:val="3C5991AA"/>
    <w:multiLevelType w:val="hybridMultilevel"/>
    <w:lvl w:ilvl="0">
      <w:lvlJc w:val="left"/>
      <w:lvlText w:val="•"/>
      <w:numFmt w:val="bullet"/>
      <w:start w:val="1"/>
    </w:lvl>
  </w:abstractNum>
  <w:abstractNum w:abstractNumId="16">
    <w:nsid w:val="4BD8591A"/>
    <w:multiLevelType w:val="hybridMultilevel"/>
    <w:lvl w:ilvl="0">
      <w:lvlJc w:val="left"/>
      <w:lvlText w:val="•"/>
      <w:numFmt w:val="bullet"/>
      <w:start w:val="1"/>
    </w:lvl>
  </w:abstractNum>
  <w:abstractNum w:abstractNumId="17">
    <w:nsid w:val="78DF6A55"/>
    <w:multiLevelType w:val="hybridMultilevel"/>
    <w:lvl w:ilvl="0">
      <w:lvlJc w:val="left"/>
      <w:lvlText w:val="•"/>
      <w:numFmt w:val="bullet"/>
      <w:start w:val="1"/>
    </w:lvl>
  </w:abstractNum>
  <w:abstractNum w:abstractNumId="18">
    <w:nsid w:val="39B7AAA2"/>
    <w:multiLevelType w:val="hybridMultilevel"/>
    <w:lvl w:ilvl="0">
      <w:lvlJc w:val="left"/>
      <w:lvlText w:val="•"/>
      <w:numFmt w:val="bullet"/>
      <w:start w:val="1"/>
    </w:lvl>
  </w:abstractNum>
  <w:abstractNum w:abstractNumId="19">
    <w:nsid w:val="2B0D8DBE"/>
    <w:multiLevelType w:val="hybridMultilevel"/>
    <w:lvl w:ilvl="0">
      <w:lvlJc w:val="left"/>
      <w:lvlText w:val="•"/>
      <w:numFmt w:val="bullet"/>
      <w:start w:val="1"/>
    </w:lvl>
  </w:abstractNum>
  <w:abstractNum w:abstractNumId="20">
    <w:nsid w:val="6C80EC70"/>
    <w:multiLevelType w:val="hybridMultilevel"/>
    <w:lvl w:ilvl="0">
      <w:lvlJc w:val="left"/>
      <w:lvlText w:val="•"/>
      <w:numFmt w:val="bullet"/>
      <w:start w:val="1"/>
    </w:lvl>
  </w:abstractNum>
  <w:abstractNum w:abstractNumId="21">
    <w:nsid w:val="379E21B5"/>
    <w:multiLevelType w:val="hybridMultilevel"/>
    <w:lvl w:ilvl="0">
      <w:lvlJc w:val="left"/>
      <w:lvlText w:val="•"/>
      <w:numFmt w:val="bullet"/>
      <w:start w:val="1"/>
    </w:lvl>
  </w:abstractNum>
  <w:abstractNum w:abstractNumId="22">
    <w:nsid w:val="69E373"/>
    <w:multiLevelType w:val="hybridMultilevel"/>
    <w:lvl w:ilvl="0">
      <w:lvlJc w:val="left"/>
      <w:lvlText w:val="•"/>
      <w:numFmt w:val="bullet"/>
      <w:start w:val="1"/>
    </w:lvl>
  </w:abstractNum>
  <w:abstractNum w:abstractNumId="23">
    <w:nsid w:val="2C27173B"/>
    <w:multiLevelType w:val="hybridMultilevel"/>
    <w:lvl w:ilvl="0">
      <w:lvlJc w:val="left"/>
      <w:lvlText w:val="•"/>
      <w:numFmt w:val="bullet"/>
      <w:start w:val="1"/>
    </w:lvl>
  </w:abstractNum>
  <w:abstractNum w:abstractNumId="24">
    <w:nsid w:val="4C9B0904"/>
    <w:multiLevelType w:val="hybridMultilevel"/>
    <w:lvl w:ilvl="0">
      <w:lvlJc w:val="left"/>
      <w:lvlText w:val="•"/>
      <w:numFmt w:val="bullet"/>
      <w:start w:val="1"/>
    </w:lvl>
  </w:abstractNum>
  <w:abstractNum w:abstractNumId="25">
    <w:nsid w:val="6AA7B75C"/>
    <w:multiLevelType w:val="hybridMultilevel"/>
    <w:lvl w:ilvl="0">
      <w:lvlJc w:val="left"/>
      <w:lvlText w:val="•"/>
      <w:numFmt w:val="bullet"/>
      <w:start w:val="1"/>
    </w:lvl>
  </w:abstractNum>
  <w:abstractNum w:abstractNumId="26">
    <w:nsid w:val="1DF029D3"/>
    <w:multiLevelType w:val="hybridMultilevel"/>
    <w:lvl w:ilvl="0">
      <w:lvlJc w:val="left"/>
      <w:lvlText w:val="•"/>
      <w:numFmt w:val="bullet"/>
      <w:start w:val="1"/>
    </w:lvl>
  </w:abstractNum>
  <w:abstractNum w:abstractNumId="27">
    <w:nsid w:val="5675FF36"/>
    <w:multiLevelType w:val="hybridMultilevel"/>
    <w:lvl w:ilvl="0">
      <w:lvlJc w:val="left"/>
      <w:lvlText w:val="•"/>
      <w:numFmt w:val="bullet"/>
      <w:start w:val="1"/>
    </w:lvl>
  </w:abstractNum>
  <w:abstractNum w:abstractNumId="28">
    <w:nsid w:val="3DD15094"/>
    <w:multiLevelType w:val="hybridMultilevel"/>
    <w:lvl w:ilvl="0">
      <w:lvlJc w:val="left"/>
      <w:lvlText w:val="•"/>
      <w:numFmt w:val="bullet"/>
      <w:start w:val="1"/>
    </w:lvl>
  </w:abstractNum>
  <w:abstractNum w:abstractNumId="29">
    <w:nsid w:val="3DB012B3"/>
    <w:multiLevelType w:val="hybridMultilevel"/>
    <w:lvl w:ilvl="0">
      <w:lvlJc w:val="left"/>
      <w:lvlText w:val="&amp;"/>
      <w:numFmt w:val="bullet"/>
      <w:start w:val="1"/>
    </w:lvl>
  </w:abstractNum>
  <w:abstractNum w:abstractNumId="30">
    <w:nsid w:val="2708C9AF"/>
    <w:multiLevelType w:val="hybridMultilevel"/>
    <w:lvl w:ilvl="0">
      <w:lvlJc w:val="left"/>
      <w:lvlText w:val="•"/>
      <w:numFmt w:val="bullet"/>
      <w:start w:val="1"/>
    </w:lvl>
  </w:abstractNum>
  <w:abstractNum w:abstractNumId="31">
    <w:nsid w:val="5B25ACE2"/>
    <w:multiLevelType w:val="hybridMultilevel"/>
    <w:lvl w:ilvl="0">
      <w:lvlJc w:val="left"/>
      <w:lvlText w:val="•"/>
      <w:numFmt w:val="bullet"/>
      <w:start w:val="1"/>
    </w:lvl>
  </w:abstractNum>
  <w:abstractNum w:abstractNumId="32">
    <w:nsid w:val="175DFCF0"/>
    <w:multiLevelType w:val="hybridMultilevel"/>
    <w:lvl w:ilvl="0">
      <w:lvlJc w:val="left"/>
      <w:lvlText w:val="•"/>
      <w:numFmt w:val="bullet"/>
      <w:start w:val="1"/>
    </w:lvl>
  </w:abstractNum>
  <w:abstractNum w:abstractNumId="33">
    <w:nsid w:val="4F97E3E4"/>
    <w:multiLevelType w:val="hybridMultilevel"/>
    <w:lvl w:ilvl="0">
      <w:lvlJc w:val="left"/>
      <w:lvlText w:val="•"/>
      <w:numFmt w:val="bullet"/>
      <w:start w:val="1"/>
    </w:lvl>
  </w:abstractNum>
  <w:abstractNum w:abstractNumId="34">
    <w:nsid w:val="53B0A9E"/>
    <w:multiLevelType w:val="hybridMultilevel"/>
    <w:lvl w:ilvl="0">
      <w:lvlJc w:val="left"/>
      <w:lvlText w:val="•"/>
      <w:numFmt w:val="bullet"/>
      <w:start w:val="1"/>
    </w:lvl>
  </w:abstractNum>
  <w:abstractNum w:abstractNumId="35">
    <w:nsid w:val="34FD6B4F"/>
    <w:multiLevelType w:val="hybridMultilevel"/>
    <w:lvl w:ilvl="0">
      <w:lvlJc w:val="left"/>
      <w:lvlText w:val="•"/>
      <w:numFmt w:val="bullet"/>
      <w:start w:val="1"/>
    </w:lvl>
  </w:abstractNum>
  <w:abstractNum w:abstractNumId="36">
    <w:nsid w:val="5915FF32"/>
    <w:multiLevelType w:val="hybridMultilevel"/>
    <w:lvl w:ilvl="0">
      <w:lvlJc w:val="left"/>
      <w:lvlText w:val="•"/>
      <w:numFmt w:val="bullet"/>
      <w:start w:val="1"/>
    </w:lvl>
  </w:abstractNum>
  <w:abstractNum w:abstractNumId="37">
    <w:nsid w:val="56438D15"/>
    <w:multiLevelType w:val="hybridMultilevel"/>
    <w:lvl w:ilvl="0">
      <w:lvlJc w:val="left"/>
      <w:lvlText w:val="•"/>
      <w:numFmt w:val="bullet"/>
      <w:start w:val="1"/>
    </w:lvl>
  </w:abstractNum>
  <w:abstractNum w:abstractNumId="38">
    <w:nsid w:val="519E3149"/>
    <w:multiLevelType w:val="hybridMultilevel"/>
    <w:lvl w:ilvl="0">
      <w:lvlJc w:val="left"/>
      <w:lvlText w:val="•"/>
      <w:numFmt w:val="bullet"/>
      <w:start w:val="1"/>
    </w:lvl>
  </w:abstractNum>
  <w:abstractNum w:abstractNumId="39">
    <w:nsid w:val="2C6E4AFD"/>
    <w:multiLevelType w:val="hybridMultilevel"/>
    <w:lvl w:ilvl="0">
      <w:lvlJc w:val="left"/>
      <w:lvlText w:val="•"/>
      <w:numFmt w:val="bullet"/>
      <w:start w:val="1"/>
    </w:lvl>
  </w:abstractNum>
  <w:abstractNum w:abstractNumId="40">
    <w:nsid w:val="17A1B582"/>
    <w:multiLevelType w:val="hybridMultilevel"/>
    <w:lvl w:ilvl="0">
      <w:lvlJc w:val="left"/>
      <w:lvlText w:val="•"/>
      <w:numFmt w:val="bullet"/>
      <w:start w:val="1"/>
    </w:lvl>
  </w:abstractNum>
  <w:abstractNum w:abstractNumId="41">
    <w:nsid w:val="4DF72E4E"/>
    <w:multiLevelType w:val="hybridMultilevel"/>
    <w:lvl w:ilvl="0">
      <w:lvlJc w:val="left"/>
      <w:lvlText w:val="•"/>
      <w:numFmt w:val="bullet"/>
      <w:start w:val="1"/>
    </w:lvl>
  </w:abstractNum>
  <w:abstractNum w:abstractNumId="42">
    <w:nsid w:val="5046B5A9"/>
    <w:multiLevelType w:val="hybridMultilevel"/>
    <w:lvl w:ilvl="0">
      <w:lvlJc w:val="left"/>
      <w:lvlText w:val="•"/>
      <w:numFmt w:val="bullet"/>
      <w:start w:val="1"/>
    </w:lvl>
  </w:abstractNum>
  <w:abstractNum w:abstractNumId="43">
    <w:nsid w:val="5D888A08"/>
    <w:multiLevelType w:val="hybridMultilevel"/>
    <w:lvl w:ilvl="0">
      <w:lvlJc w:val="left"/>
      <w:lvlText w:val="•"/>
      <w:numFmt w:val="bullet"/>
      <w:start w:val="1"/>
    </w:lvl>
  </w:abstractNum>
  <w:abstractNum w:abstractNumId="44">
    <w:nsid w:val="2A082C70"/>
    <w:multiLevelType w:val="hybridMultilevel"/>
    <w:lvl w:ilvl="0">
      <w:lvlJc w:val="left"/>
      <w:lvlText w:val="•"/>
      <w:numFmt w:val="bullet"/>
      <w:start w:val="1"/>
    </w:lvl>
  </w:abstractNum>
  <w:abstractNum w:abstractNumId="45">
    <w:nsid w:val="5EC6AFD4"/>
    <w:multiLevelType w:val="hybridMultilevel"/>
    <w:lvl w:ilvl="0">
      <w:lvlJc w:val="left"/>
      <w:lvlText w:val="•"/>
      <w:numFmt w:val="bullet"/>
      <w:start w:val="1"/>
    </w:lvl>
  </w:abstractNum>
  <w:abstractNum w:abstractNumId="46">
    <w:nsid w:val="19E21BB2"/>
    <w:multiLevelType w:val="hybridMultilevel"/>
    <w:lvl w:ilvl="0">
      <w:lvlJc w:val="left"/>
      <w:lvlText w:val="•"/>
      <w:numFmt w:val="bullet"/>
      <w:start w:val="1"/>
    </w:lvl>
  </w:abstractNum>
  <w:abstractNum w:abstractNumId="47">
    <w:nsid w:val="75E0858A"/>
    <w:multiLevelType w:val="hybridMultilevel"/>
    <w:lvl w:ilvl="0">
      <w:lvlJc w:val="left"/>
      <w:lvlText w:val="•"/>
      <w:numFmt w:val="bullet"/>
      <w:start w:val="1"/>
    </w:lvl>
  </w:abstractNum>
  <w:abstractNum w:abstractNumId="48">
    <w:nsid w:val="57A61A29"/>
    <w:multiLevelType w:val="hybridMultilevel"/>
    <w:lvl w:ilvl="0">
      <w:lvlJc w:val="left"/>
      <w:lvlText w:val="•"/>
      <w:numFmt w:val="bullet"/>
      <w:start w:val="1"/>
    </w:lvl>
  </w:abstractNum>
  <w:abstractNum w:abstractNumId="49">
    <w:nsid w:val="5399C654"/>
    <w:multiLevelType w:val="hybridMultilevel"/>
    <w:lvl w:ilvl="0">
      <w:lvlJc w:val="left"/>
      <w:lvlText w:val="•"/>
      <w:numFmt w:val="bullet"/>
      <w:start w:val="1"/>
    </w:lvl>
  </w:abstractNum>
  <w:abstractNum w:abstractNumId="50">
    <w:nsid w:val="20EE1348"/>
    <w:multiLevelType w:val="hybridMultilevel"/>
    <w:lvl w:ilvl="0">
      <w:lvlJc w:val="left"/>
      <w:lvlText w:val="•"/>
      <w:numFmt w:val="bullet"/>
      <w:start w:val="1"/>
    </w:lvl>
  </w:abstractNum>
  <w:abstractNum w:abstractNumId="51">
    <w:nsid w:val="4427069A"/>
    <w:multiLevelType w:val="hybridMultilevel"/>
    <w:lvl w:ilvl="0">
      <w:lvlJc w:val="left"/>
      <w:lvlText w:val="•"/>
      <w:numFmt w:val="bullet"/>
      <w:start w:val="1"/>
    </w:lvl>
  </w:abstractNum>
  <w:abstractNum w:abstractNumId="52">
    <w:nsid w:val="B37E80A"/>
    <w:multiLevelType w:val="hybridMultilevel"/>
    <w:lvl w:ilvl="0">
      <w:lvlJc w:val="left"/>
      <w:lvlText w:val="1"/>
      <w:numFmt w:val="bullet"/>
      <w:start w:val="1"/>
    </w:lvl>
  </w:abstractNum>
  <w:abstractNum w:abstractNumId="53">
    <w:nsid w:val="2157F6BC"/>
    <w:multiLevelType w:val="hybridMultilevel"/>
    <w:lvl w:ilvl="0">
      <w:lvlJc w:val="left"/>
      <w:lvlText w:val="•"/>
      <w:numFmt w:val="bullet"/>
      <w:start w:val="1"/>
    </w:lvl>
  </w:abstractNum>
  <w:abstractNum w:abstractNumId="54">
    <w:nsid w:val="704E1DD5"/>
    <w:multiLevelType w:val="hybridMultilevel"/>
    <w:lvl w:ilvl="0">
      <w:lvlJc w:val="left"/>
      <w:lvlText w:val="•"/>
      <w:numFmt w:val="bullet"/>
      <w:start w:val="1"/>
    </w:lvl>
  </w:abstractNum>
  <w:abstractNum w:abstractNumId="55">
    <w:nsid w:val="57D2F10E"/>
    <w:multiLevelType w:val="hybridMultilevel"/>
    <w:lvl w:ilvl="0">
      <w:lvlJc w:val="left"/>
      <w:lvlText w:val="•"/>
      <w:numFmt w:val="bullet"/>
      <w:start w:val="1"/>
    </w:lvl>
  </w:abstractNum>
  <w:abstractNum w:abstractNumId="56">
    <w:nsid w:val="BFFAE18"/>
    <w:multiLevelType w:val="hybridMultilevel"/>
    <w:lvl w:ilvl="0">
      <w:lvlJc w:val="left"/>
      <w:lvlText w:val="•"/>
      <w:numFmt w:val="bullet"/>
      <w:start w:val="1"/>
    </w:lvl>
  </w:abstractNum>
  <w:abstractNum w:abstractNumId="57">
    <w:nsid w:val="E3E47A8"/>
    <w:multiLevelType w:val="hybridMultilevel"/>
    <w:lvl w:ilvl="0">
      <w:lvlJc w:val="left"/>
      <w:lvlText w:val="•"/>
      <w:numFmt w:val="bullet"/>
      <w:start w:val="1"/>
    </w:lvl>
  </w:abstractNum>
  <w:abstractNum w:abstractNumId="58">
    <w:nsid w:val="2E48F044"/>
    <w:multiLevelType w:val="hybridMultilevel"/>
    <w:lvl w:ilvl="0">
      <w:lvlJc w:val="left"/>
      <w:lvlText w:val="•"/>
      <w:numFmt w:val="bullet"/>
      <w:start w:val="1"/>
    </w:lvl>
  </w:abstractNum>
  <w:abstractNum w:abstractNumId="59">
    <w:nsid w:val="49D0FEAC"/>
    <w:multiLevelType w:val="hybridMultilevel"/>
    <w:lvl w:ilvl="0">
      <w:lvlJc w:val="left"/>
      <w:lvlText w:val="•"/>
      <w:numFmt w:val="bullet"/>
      <w:start w:val="1"/>
    </w:lvl>
    <w:lvl w:ilvl="1">
      <w:lvlJc w:val="left"/>
      <w:lvlText w:val="•"/>
      <w:numFmt w:val="bullet"/>
      <w:start w:val="1"/>
    </w:lvl>
  </w:abstractNum>
  <w:abstractNum w:abstractNumId="60">
    <w:nsid w:val="4BEE5A5B"/>
    <w:multiLevelType w:val="hybridMultilevel"/>
    <w:lvl w:ilvl="0">
      <w:lvlJc w:val="left"/>
      <w:lvlText w:val="•"/>
      <w:numFmt w:val="bullet"/>
      <w:start w:val="1"/>
    </w:lvl>
  </w:abstractNum>
  <w:abstractNum w:abstractNumId="61">
    <w:nsid w:val="5551B9F3"/>
    <w:multiLevelType w:val="hybridMultilevel"/>
    <w:lvl w:ilvl="0">
      <w:lvlJc w:val="left"/>
      <w:lvlText w:val="•"/>
      <w:numFmt w:val="bullet"/>
      <w:start w:val="1"/>
    </w:lvl>
  </w:abstractNum>
  <w:abstractNum w:abstractNumId="62">
    <w:nsid w:val="24F6AB8E"/>
    <w:multiLevelType w:val="hybridMultilevel"/>
    <w:lvl w:ilvl="0">
      <w:lvlJc w:val="left"/>
      <w:lvlText w:val="•"/>
      <w:numFmt w:val="bullet"/>
      <w:start w:val="1"/>
    </w:lvl>
  </w:abstractNum>
  <w:abstractNum w:abstractNumId="63">
    <w:nsid w:val="634C574C"/>
    <w:multiLevelType w:val="hybridMultilevel"/>
    <w:lvl w:ilvl="0">
      <w:lvlJc w:val="left"/>
      <w:lvlText w:val="•"/>
      <w:numFmt w:val="bullet"/>
      <w:start w:val="1"/>
    </w:lvl>
  </w:abstractNum>
  <w:abstractNum w:abstractNumId="64">
    <w:nsid w:val="24E99DD7"/>
    <w:multiLevelType w:val="hybridMultilevel"/>
    <w:lvl w:ilvl="0">
      <w:lvlJc w:val="left"/>
      <w:lvlText w:val="•"/>
      <w:numFmt w:val="bullet"/>
      <w:start w:val="1"/>
    </w:lvl>
  </w:abstractNum>
  <w:abstractNum w:abstractNumId="65">
    <w:nsid w:val="2A31B62D"/>
    <w:multiLevelType w:val="hybridMultilevel"/>
    <w:lvl w:ilvl="0">
      <w:lvlJc w:val="left"/>
      <w:lvlText w:val="•"/>
      <w:numFmt w:val="bullet"/>
      <w:start w:val="1"/>
    </w:lvl>
  </w:abstractNum>
  <w:abstractNum w:abstractNumId="66">
    <w:nsid w:val="1849C29B"/>
    <w:multiLevelType w:val="hybridMultilevel"/>
    <w:lvl w:ilvl="0">
      <w:lvlJc w:val="left"/>
      <w:lvlText w:val="•"/>
      <w:numFmt w:val="bullet"/>
      <w:start w:val="1"/>
    </w:lvl>
  </w:abstractNum>
  <w:abstractNum w:abstractNumId="67">
    <w:nsid w:val="7DFF9D09"/>
    <w:multiLevelType w:val="hybridMultilevel"/>
    <w:lvl w:ilvl="0">
      <w:lvlJc w:val="left"/>
      <w:lvlText w:val="•"/>
      <w:numFmt w:val="bullet"/>
      <w:start w:val="1"/>
    </w:lvl>
  </w:abstractNum>
  <w:abstractNum w:abstractNumId="68">
    <w:nsid w:val="754342"/>
    <w:multiLevelType w:val="hybridMultilevel"/>
    <w:lvl w:ilvl="0">
      <w:lvlJc w:val="left"/>
      <w:lvlText w:val="•"/>
      <w:numFmt w:val="bullet"/>
      <w:start w:val="1"/>
    </w:lvl>
  </w:abstractNum>
  <w:abstractNum w:abstractNumId="69">
    <w:nsid w:val="69E7F3E5"/>
    <w:multiLevelType w:val="hybridMultilevel"/>
    <w:lvl w:ilvl="0">
      <w:lvlJc w:val="left"/>
      <w:lvlText w:val="•"/>
      <w:numFmt w:val="bullet"/>
      <w:start w:val="1"/>
    </w:lvl>
  </w:abstractNum>
  <w:abstractNum w:abstractNumId="70">
    <w:nsid w:val="2A6DE806"/>
    <w:multiLevelType w:val="hybridMultilevel"/>
    <w:lvl w:ilvl="0">
      <w:lvlJc w:val="left"/>
      <w:lvlText w:val="•"/>
      <w:numFmt w:val="bullet"/>
      <w:start w:val="1"/>
    </w:lvl>
  </w:abstractNum>
  <w:abstractNum w:abstractNumId="71">
    <w:nsid w:val="1816F8C4"/>
    <w:multiLevelType w:val="hybridMultilevel"/>
    <w:lvl w:ilvl="0">
      <w:lvlJc w:val="left"/>
      <w:lvlText w:val="•"/>
      <w:numFmt w:val="bullet"/>
      <w:start w:val="1"/>
    </w:lvl>
  </w:abstractNum>
  <w:abstractNum w:abstractNumId="72">
    <w:nsid w:val="37DF2233"/>
    <w:multiLevelType w:val="hybridMultilevel"/>
    <w:lvl w:ilvl="0">
      <w:lvlJc w:val="left"/>
      <w:lvlText w:val="•"/>
      <w:numFmt w:val="bullet"/>
      <w:start w:val="1"/>
    </w:lvl>
  </w:abstractNum>
  <w:abstractNum w:abstractNumId="73">
    <w:nsid w:val="7AB49DAF"/>
    <w:multiLevelType w:val="hybridMultilevel"/>
    <w:lvl w:ilvl="0">
      <w:lvlJc w:val="left"/>
      <w:lvlText w:val="•"/>
      <w:numFmt w:val="bullet"/>
      <w:start w:val="1"/>
    </w:lvl>
  </w:abstractNum>
  <w:abstractNum w:abstractNumId="74">
    <w:nsid w:val="759F82CD"/>
    <w:multiLevelType w:val="hybridMultilevel"/>
    <w:lvl w:ilvl="0">
      <w:lvlJc w:val="left"/>
      <w:lvlText w:val="•"/>
      <w:numFmt w:val="bullet"/>
      <w:start w:val="1"/>
    </w:lvl>
  </w:abstractNum>
  <w:abstractNum w:abstractNumId="75">
    <w:nsid w:val="61E74EA3"/>
    <w:multiLevelType w:val="hybridMultilevel"/>
    <w:lvl w:ilvl="0">
      <w:lvlJc w:val="left"/>
      <w:lvlText w:val="•"/>
      <w:numFmt w:val="bullet"/>
      <w:start w:val="1"/>
    </w:lvl>
  </w:abstractNum>
  <w:abstractNum w:abstractNumId="76">
    <w:nsid w:val="597B4D84"/>
    <w:multiLevelType w:val="hybridMultilevel"/>
    <w:lvl w:ilvl="0">
      <w:lvlJc w:val="left"/>
      <w:lvlText w:val="•"/>
      <w:numFmt w:val="bullet"/>
      <w:start w:val="1"/>
    </w:lvl>
  </w:abstractNum>
  <w:abstractNum w:abstractNumId="77">
    <w:nsid w:val="F819E7F"/>
    <w:multiLevelType w:val="hybridMultilevel"/>
    <w:lvl w:ilvl="0">
      <w:lvlJc w:val="left"/>
      <w:lvlText w:val="•"/>
      <w:numFmt w:val="bullet"/>
      <w:start w:val="1"/>
    </w:lvl>
  </w:abstractNum>
  <w:abstractNum w:abstractNumId="78">
    <w:nsid w:val="57C7D42D"/>
    <w:multiLevelType w:val="hybridMultilevel"/>
    <w:lvl w:ilvl="0">
      <w:lvlJc w:val="left"/>
      <w:lvlText w:val="•"/>
      <w:numFmt w:val="bullet"/>
      <w:start w:val="1"/>
    </w:lvl>
  </w:abstractNum>
  <w:abstractNum w:abstractNumId="79">
    <w:nsid w:val="312167AD"/>
    <w:multiLevelType w:val="hybridMultilevel"/>
    <w:lvl w:ilvl="0">
      <w:lvlJc w:val="left"/>
      <w:lvlText w:val="•"/>
      <w:numFmt w:val="bullet"/>
      <w:start w:val="1"/>
    </w:lvl>
  </w:abstractNum>
  <w:abstractNum w:abstractNumId="80">
    <w:nsid w:val="631B64D4"/>
    <w:multiLevelType w:val="hybridMultilevel"/>
    <w:lvl w:ilvl="0">
      <w:lvlJc w:val="left"/>
      <w:lvlText w:val="•"/>
      <w:numFmt w:val="bullet"/>
      <w:start w:val="1"/>
    </w:lvl>
  </w:abstractNum>
  <w:abstractNum w:abstractNumId="81">
    <w:nsid w:val="78B5E776"/>
    <w:multiLevelType w:val="hybridMultilevel"/>
    <w:lvl w:ilvl="0">
      <w:lvlJc w:val="left"/>
      <w:lvlText w:val="•"/>
      <w:numFmt w:val="bullet"/>
      <w:start w:val="1"/>
    </w:lvl>
  </w:abstractNum>
  <w:abstractNum w:abstractNumId="82">
    <w:nsid w:val="75486E47"/>
    <w:multiLevelType w:val="hybridMultilevel"/>
    <w:lvl w:ilvl="0">
      <w:lvlJc w:val="left"/>
      <w:lvlText w:val="•"/>
      <w:numFmt w:val="bullet"/>
      <w:start w:val="1"/>
    </w:lvl>
  </w:abstractNum>
  <w:abstractNum w:abstractNumId="83">
    <w:nsid w:val="6E534CDE"/>
    <w:multiLevelType w:val="hybridMultilevel"/>
    <w:lvl w:ilvl="0">
      <w:lvlJc w:val="left"/>
      <w:lvlText w:val="•"/>
      <w:numFmt w:val="bullet"/>
      <w:start w:val="1"/>
    </w:lvl>
  </w:abstractNum>
  <w:abstractNum w:abstractNumId="84">
    <w:nsid w:val="1A0DDE32"/>
    <w:multiLevelType w:val="hybridMultilevel"/>
    <w:lvl w:ilvl="0">
      <w:lvlJc w:val="left"/>
      <w:lvlText w:val="•"/>
      <w:numFmt w:val="bullet"/>
      <w:start w:val="1"/>
    </w:lvl>
  </w:abstractNum>
  <w:abstractNum w:abstractNumId="85">
    <w:nsid w:val="65968C1C"/>
    <w:multiLevelType w:val="hybridMultilevel"/>
    <w:lvl w:ilvl="0">
      <w:lvlJc w:val="left"/>
      <w:lvlText w:val="•"/>
      <w:numFmt w:val="bullet"/>
      <w:start w:val="1"/>
    </w:lvl>
  </w:abstractNum>
  <w:abstractNum w:abstractNumId="86">
    <w:nsid w:val="46263DEC"/>
    <w:multiLevelType w:val="hybridMultilevel"/>
    <w:lvl w:ilvl="0">
      <w:lvlJc w:val="left"/>
      <w:lvlText w:val="•"/>
      <w:numFmt w:val="bullet"/>
      <w:start w:val="1"/>
    </w:lvl>
  </w:abstractNum>
  <w:abstractNum w:abstractNumId="87">
    <w:nsid w:val="260D8C4A"/>
    <w:multiLevelType w:val="hybridMultilevel"/>
    <w:lvl w:ilvl="0">
      <w:lvlJc w:val="left"/>
      <w:lvlText w:val="•"/>
      <w:numFmt w:val="bullet"/>
      <w:start w:val="1"/>
    </w:lvl>
  </w:abstractNum>
  <w:abstractNum w:abstractNumId="88">
    <w:nsid w:val="73D4D3C4"/>
    <w:multiLevelType w:val="hybridMultilevel"/>
    <w:lvl w:ilvl="0">
      <w:lvlJc w:val="left"/>
      <w:lvlText w:val="•"/>
      <w:numFmt w:val="bullet"/>
      <w:start w:val="1"/>
    </w:lvl>
  </w:abstractNum>
  <w:abstractNum w:abstractNumId="89">
    <w:nsid w:val="746F2E30"/>
    <w:multiLevelType w:val="hybridMultilevel"/>
    <w:lvl w:ilvl="0">
      <w:lvlJc w:val="left"/>
      <w:lvlText w:val="•"/>
      <w:numFmt w:val="bullet"/>
      <w:start w:val="1"/>
    </w:lvl>
  </w:abstractNum>
  <w:abstractNum w:abstractNumId="90">
    <w:nsid w:val="6FDE8AF6"/>
    <w:multiLevelType w:val="hybridMultilevel"/>
    <w:lvl w:ilvl="0">
      <w:lvlJc w:val="left"/>
      <w:lvlText w:val="•"/>
      <w:numFmt w:val="bullet"/>
      <w:start w:val="1"/>
    </w:lvl>
  </w:abstractNum>
  <w:abstractNum w:abstractNumId="91">
    <w:nsid w:val="3FC32E20"/>
    <w:multiLevelType w:val="hybridMultilevel"/>
    <w:lvl w:ilvl="0">
      <w:lvlJc w:val="left"/>
      <w:lvlText w:val="&gt;"/>
      <w:numFmt w:val="bullet"/>
      <w:start w:val="1"/>
    </w:lvl>
  </w:abstractNum>
  <w:abstractNum w:abstractNumId="92">
    <w:nsid w:val="49C0E823"/>
    <w:multiLevelType w:val="hybridMultilevel"/>
    <w:lvl w:ilvl="0">
      <w:lvlJc w:val="left"/>
      <w:lvlText w:val="&gt;"/>
      <w:numFmt w:val="bullet"/>
      <w:start w:val="1"/>
    </w:lvl>
  </w:abstractNum>
  <w:abstractNum w:abstractNumId="93">
    <w:nsid w:val="14D53685"/>
    <w:multiLevelType w:val="hybridMultilevel"/>
    <w:lvl w:ilvl="0">
      <w:lvlJc w:val="left"/>
      <w:lvlText w:val="&gt;"/>
      <w:numFmt w:val="bullet"/>
      <w:start w:val="1"/>
    </w:lvl>
  </w:abstractNum>
  <w:abstractNum w:abstractNumId="94">
    <w:nsid w:val="230F856C"/>
    <w:multiLevelType w:val="hybridMultilevel"/>
    <w:lvl w:ilvl="0">
      <w:lvlJc w:val="left"/>
      <w:lvlText w:val="•"/>
      <w:numFmt w:val="bullet"/>
      <w:start w:val="1"/>
    </w:lvl>
  </w:abstractNum>
  <w:abstractNum w:abstractNumId="95">
    <w:nsid w:val="6EAA85FB"/>
    <w:multiLevelType w:val="hybridMultilevel"/>
    <w:lvl w:ilvl="0">
      <w:lvlJc w:val="left"/>
      <w:lvlText w:val="•"/>
      <w:numFmt w:val="bullet"/>
      <w:start w:val="1"/>
    </w:lvl>
  </w:abstractNum>
  <w:abstractNum w:abstractNumId="96">
    <w:nsid w:val="3F06ECB2"/>
    <w:multiLevelType w:val="hybridMultilevel"/>
    <w:lvl w:ilvl="0">
      <w:lvlJc w:val="left"/>
      <w:lvlText w:val="•"/>
      <w:numFmt w:val="bullet"/>
      <w:start w:val="1"/>
    </w:lvl>
  </w:abstractNum>
  <w:abstractNum w:abstractNumId="97">
    <w:nsid w:val="3B594807"/>
    <w:multiLevelType w:val="hybridMultilevel"/>
    <w:lvl w:ilvl="0">
      <w:lvlJc w:val="left"/>
      <w:lvlText w:val="•"/>
      <w:numFmt w:val="bullet"/>
      <w:start w:val="1"/>
    </w:lvl>
  </w:abstractNum>
  <w:abstractNum w:abstractNumId="98">
    <w:nsid w:val="6CAA2304"/>
    <w:multiLevelType w:val="hybridMultilevel"/>
    <w:lvl w:ilvl="0">
      <w:lvlJc w:val="left"/>
      <w:lvlText w:val="•"/>
      <w:numFmt w:val="bullet"/>
      <w:start w:val="1"/>
    </w:lvl>
  </w:abstractNum>
  <w:abstractNum w:abstractNumId="99">
    <w:nsid w:val="3F7C2FF4"/>
    <w:multiLevelType w:val="hybridMultilevel"/>
    <w:lvl w:ilvl="0">
      <w:lvlJc w:val="left"/>
      <w:lvlText w:val="•"/>
      <w:numFmt w:val="bullet"/>
      <w:start w:val="1"/>
    </w:lvl>
  </w:abstractNum>
  <w:abstractNum w:abstractNumId="100">
    <w:nsid w:val="25413BEC"/>
    <w:multiLevelType w:val="hybridMultilevel"/>
    <w:lvl w:ilvl="0">
      <w:lvlJc w:val="left"/>
      <w:lvlText w:val="•"/>
      <w:numFmt w:val="bullet"/>
      <w:start w:val="1"/>
    </w:lvl>
  </w:abstractNum>
  <w:abstractNum w:abstractNumId="101">
    <w:nsid w:val="17180B0B"/>
    <w:multiLevelType w:val="hybridMultilevel"/>
    <w:lvl w:ilvl="0">
      <w:lvlJc w:val="left"/>
      <w:lvlText w:val="•"/>
      <w:numFmt w:val="bullet"/>
      <w:start w:val="1"/>
    </w:lvl>
  </w:abstractNum>
  <w:abstractNum w:abstractNumId="102">
    <w:nsid w:val="579328B9"/>
    <w:multiLevelType w:val="hybridMultilevel"/>
    <w:lvl w:ilvl="0">
      <w:lvlJc w:val="left"/>
      <w:lvlText w:val="•"/>
      <w:numFmt w:val="bullet"/>
      <w:start w:val="1"/>
    </w:lvl>
  </w:abstractNum>
  <w:abstractNum w:abstractNumId="103">
    <w:nsid w:val="5D205E20"/>
    <w:multiLevelType w:val="hybridMultilevel"/>
    <w:lvl w:ilvl="0">
      <w:lvlJc w:val="left"/>
      <w:lvlText w:val="•"/>
      <w:numFmt w:val="bullet"/>
      <w:start w:val="1"/>
    </w:lvl>
  </w:abstractNum>
  <w:abstractNum w:abstractNumId="104">
    <w:nsid w:val="11CCA8BA"/>
    <w:multiLevelType w:val="hybridMultilevel"/>
    <w:lvl w:ilvl="0">
      <w:lvlJc w:val="left"/>
      <w:lvlText w:val="•"/>
      <w:numFmt w:val="bullet"/>
      <w:start w:val="1"/>
    </w:lvl>
  </w:abstractNum>
  <w:abstractNum w:abstractNumId="105">
    <w:nsid w:val="4D32AB86"/>
    <w:multiLevelType w:val="hybridMultilevel"/>
    <w:lvl w:ilvl="0">
      <w:lvlJc w:val="left"/>
      <w:lvlText w:val="•"/>
      <w:numFmt w:val="bullet"/>
      <w:start w:val="1"/>
    </w:lvl>
  </w:abstractNum>
  <w:abstractNum w:abstractNumId="106">
    <w:nsid w:val="3F07ACC3"/>
    <w:multiLevelType w:val="hybridMultilevel"/>
    <w:lvl w:ilvl="0">
      <w:lvlJc w:val="left"/>
      <w:lvlText w:val="•"/>
      <w:numFmt w:val="bullet"/>
      <w:start w:val="1"/>
    </w:lvl>
  </w:abstractNum>
  <w:abstractNum w:abstractNumId="107">
    <w:nsid w:val="6B47F63E"/>
    <w:multiLevelType w:val="hybridMultilevel"/>
    <w:lvl w:ilvl="0">
      <w:lvlJc w:val="left"/>
      <w:lvlText w:val="•"/>
      <w:numFmt w:val="bullet"/>
      <w:start w:val="1"/>
    </w:lvl>
  </w:abstractNum>
  <w:abstractNum w:abstractNumId="108">
    <w:nsid w:val="5CB44A05"/>
    <w:multiLevelType w:val="hybridMultilevel"/>
    <w:lvl w:ilvl="0">
      <w:lvlJc w:val="left"/>
      <w:lvlText w:val="&gt;"/>
      <w:numFmt w:val="bullet"/>
      <w:start w:val="1"/>
    </w:lvl>
  </w:abstractNum>
  <w:abstractNum w:abstractNumId="109">
    <w:nsid w:val="16CF80F1"/>
    <w:multiLevelType w:val="hybridMultilevel"/>
    <w:lvl w:ilvl="0">
      <w:lvlJc w:val="left"/>
      <w:lvlText w:val="&gt;"/>
      <w:numFmt w:val="bullet"/>
      <w:start w:val="1"/>
    </w:lvl>
  </w:abstractNum>
  <w:abstractNum w:abstractNumId="110">
    <w:nsid w:val="1C695DEC"/>
    <w:multiLevelType w:val="hybridMultilevel"/>
    <w:lvl w:ilvl="0">
      <w:lvlJc w:val="left"/>
      <w:lvlText w:val="%1."/>
      <w:numFmt w:val="decimal"/>
      <w:start w:val="60"/>
    </w:lvl>
  </w:abstractNum>
  <w:abstractNum w:abstractNumId="111">
    <w:nsid w:val="3FCFAED9"/>
    <w:multiLevelType w:val="hybridMultilevel"/>
    <w:lvl w:ilvl="0">
      <w:lvlJc w:val="left"/>
      <w:lvlText w:val="•"/>
      <w:numFmt w:val="bullet"/>
      <w:start w:val="1"/>
    </w:lvl>
  </w:abstractNum>
  <w:abstractNum w:abstractNumId="112">
    <w:nsid w:val="F856867"/>
    <w:multiLevelType w:val="hybridMultilevel"/>
    <w:lvl w:ilvl="0">
      <w:lvlJc w:val="left"/>
      <w:lvlText w:val="•"/>
      <w:numFmt w:val="bullet"/>
      <w:start w:val="1"/>
    </w:lvl>
  </w:abstractNum>
  <w:abstractNum w:abstractNumId="113">
    <w:nsid w:val="11B1CC33"/>
    <w:multiLevelType w:val="hybridMultilevel"/>
    <w:lvl w:ilvl="0">
      <w:lvlJc w:val="left"/>
      <w:lvlText w:val="•"/>
      <w:numFmt w:val="bullet"/>
      <w:start w:val="1"/>
    </w:lvl>
  </w:abstractNum>
  <w:abstractNum w:abstractNumId="114">
    <w:nsid w:val="2E22FBB7"/>
    <w:multiLevelType w:val="hybridMultilevel"/>
    <w:lvl w:ilvl="0">
      <w:lvlJc w:val="left"/>
      <w:lvlText w:val="•"/>
      <w:numFmt w:val="bullet"/>
      <w:start w:val="1"/>
    </w:lvl>
  </w:abstractNum>
  <w:abstractNum w:abstractNumId="115">
    <w:nsid w:val="29934699"/>
    <w:multiLevelType w:val="hybridMultilevel"/>
    <w:lvl w:ilvl="0">
      <w:lvlJc w:val="left"/>
      <w:lvlText w:val="•"/>
      <w:numFmt w:val="bullet"/>
      <w:start w:val="1"/>
    </w:lvl>
  </w:abstractNum>
  <w:abstractNum w:abstractNumId="116">
    <w:nsid w:val="77485850"/>
    <w:multiLevelType w:val="hybridMultilevel"/>
    <w:lvl w:ilvl="0">
      <w:lvlJc w:val="left"/>
      <w:lvlText w:val="•"/>
      <w:numFmt w:val="bullet"/>
      <w:start w:val="1"/>
    </w:lvl>
  </w:abstractNum>
  <w:abstractNum w:abstractNumId="117">
    <w:nsid w:val="744939A3"/>
    <w:multiLevelType w:val="hybridMultilevel"/>
    <w:lvl w:ilvl="0">
      <w:lvlJc w:val="left"/>
      <w:lvlText w:val="•"/>
      <w:numFmt w:val="bullet"/>
      <w:start w:val="1"/>
    </w:lvl>
  </w:abstractNum>
  <w:abstractNum w:abstractNumId="118">
    <w:nsid w:val="4FA0D2E3"/>
    <w:multiLevelType w:val="hybridMultilevel"/>
    <w:lvl w:ilvl="0">
      <w:lvlJc w:val="left"/>
      <w:lvlText w:val="•"/>
      <w:numFmt w:val="bullet"/>
      <w:start w:val="1"/>
    </w:lvl>
  </w:abstractNum>
  <w:abstractNum w:abstractNumId="119">
    <w:nsid w:val="6B1D2C14"/>
    <w:multiLevelType w:val="hybridMultilevel"/>
    <w:lvl w:ilvl="0">
      <w:lvlJc w:val="left"/>
      <w:lvlText w:val="•"/>
      <w:numFmt w:val="bullet"/>
      <w:start w:val="1"/>
    </w:lvl>
  </w:abstractNum>
  <w:abstractNum w:abstractNumId="120">
    <w:nsid w:val="68B867D3"/>
    <w:multiLevelType w:val="hybridMultilevel"/>
    <w:lvl w:ilvl="0">
      <w:lvlJc w:val="left"/>
      <w:lvlText w:val="•"/>
      <w:numFmt w:val="bullet"/>
      <w:start w:val="1"/>
    </w:lvl>
  </w:abstractNum>
  <w:abstractNum w:abstractNumId="121">
    <w:nsid w:val="3F7F5DD9"/>
    <w:multiLevelType w:val="hybridMultilevel"/>
    <w:lvl w:ilvl="0">
      <w:lvlJc w:val="left"/>
      <w:lvlText w:val="•"/>
      <w:numFmt w:val="bullet"/>
      <w:start w:val="1"/>
    </w:lvl>
  </w:abstractNum>
  <w:abstractNum w:abstractNumId="122">
    <w:nsid w:val="2AE05A34"/>
    <w:multiLevelType w:val="hybridMultilevel"/>
    <w:lvl w:ilvl="0">
      <w:lvlJc w:val="left"/>
      <w:lvlText w:val="•"/>
      <w:numFmt w:val="bullet"/>
      <w:start w:val="1"/>
    </w:lvl>
  </w:abstractNum>
  <w:abstractNum w:abstractNumId="123">
    <w:nsid w:val="32794FF7"/>
    <w:multiLevelType w:val="hybridMultilevel"/>
    <w:lvl w:ilvl="0">
      <w:lvlJc w:val="left"/>
      <w:lvlText w:val="•"/>
      <w:numFmt w:val="bullet"/>
      <w:start w:val="1"/>
    </w:lvl>
  </w:abstractNum>
  <w:abstractNum w:abstractNumId="124">
    <w:nsid w:val="5454945E"/>
    <w:multiLevelType w:val="hybridMultilevel"/>
    <w:lvl w:ilvl="0">
      <w:lvlJc w:val="left"/>
      <w:lvlText w:val="•"/>
      <w:numFmt w:val="bullet"/>
      <w:start w:val="1"/>
    </w:lvl>
  </w:abstractNum>
  <w:abstractNum w:abstractNumId="125">
    <w:nsid w:val="4DEFDFA0"/>
    <w:multiLevelType w:val="hybridMultilevel"/>
    <w:lvl w:ilvl="0">
      <w:lvlJc w:val="left"/>
      <w:lvlText w:val="•"/>
      <w:numFmt w:val="bullet"/>
      <w:start w:val="1"/>
    </w:lvl>
  </w:abstractNum>
  <w:abstractNum w:abstractNumId="126">
    <w:nsid w:val="2123D5F2"/>
    <w:multiLevelType w:val="hybridMultilevel"/>
    <w:lvl w:ilvl="0">
      <w:lvlJc w:val="left"/>
      <w:lvlText w:val="•"/>
      <w:numFmt w:val="bullet"/>
      <w:start w:val="1"/>
    </w:lvl>
  </w:abstractNum>
  <w:abstractNum w:abstractNumId="127">
    <w:nsid w:val="135B8110"/>
    <w:multiLevelType w:val="hybridMultilevel"/>
    <w:lvl w:ilvl="0">
      <w:lvlJc w:val="left"/>
      <w:lvlText w:val="•"/>
      <w:numFmt w:val="bullet"/>
      <w:start w:val="1"/>
    </w:lvl>
  </w:abstractNum>
  <w:abstractNum w:abstractNumId="128">
    <w:nsid w:val="94927A8"/>
    <w:multiLevelType w:val="hybridMultilevel"/>
    <w:lvl w:ilvl="0">
      <w:lvlJc w:val="left"/>
      <w:lvlText w:val="•"/>
      <w:numFmt w:val="bullet"/>
      <w:start w:val="1"/>
    </w:lvl>
  </w:abstractNum>
  <w:abstractNum w:abstractNumId="129">
    <w:nsid w:val="DCDF8F6"/>
    <w:multiLevelType w:val="hybridMultilevel"/>
    <w:lvl w:ilvl="0">
      <w:lvlJc w:val="left"/>
      <w:lvlText w:val="•"/>
      <w:numFmt w:val="bullet"/>
      <w:start w:val="1"/>
    </w:lvl>
  </w:abstractNum>
  <w:abstractNum w:abstractNumId="130">
    <w:nsid w:val="52D7B105"/>
    <w:multiLevelType w:val="hybridMultilevel"/>
    <w:lvl w:ilvl="0">
      <w:lvlJc w:val="left"/>
      <w:lvlText w:val="•"/>
      <w:numFmt w:val="bullet"/>
      <w:start w:val="1"/>
    </w:lvl>
  </w:abstractNum>
  <w:abstractNum w:abstractNumId="131">
    <w:nsid w:val="2E8A6394"/>
    <w:multiLevelType w:val="hybridMultilevel"/>
    <w:lvl w:ilvl="0">
      <w:lvlJc w:val="left"/>
      <w:lvlText w:val="•"/>
      <w:numFmt w:val="bullet"/>
      <w:start w:val="1"/>
    </w:lvl>
  </w:abstractNum>
  <w:abstractNum w:abstractNumId="132">
    <w:nsid w:val="24E60401"/>
    <w:multiLevelType w:val="hybridMultilevel"/>
    <w:lvl w:ilvl="0">
      <w:lvlJc w:val="left"/>
      <w:lvlText w:val="•"/>
      <w:numFmt w:val="bullet"/>
      <w:start w:val="1"/>
    </w:lvl>
  </w:abstractNum>
  <w:abstractNum w:abstractNumId="133">
    <w:nsid w:val="2A6AD9BE"/>
    <w:multiLevelType w:val="hybridMultilevel"/>
    <w:lvl w:ilvl="0">
      <w:lvlJc w:val="left"/>
      <w:lvlText w:val="•"/>
      <w:numFmt w:val="bullet"/>
      <w:start w:val="1"/>
    </w:lvl>
  </w:abstractNum>
  <w:abstractNum w:abstractNumId="134">
    <w:nsid w:val="BAAC1B4"/>
    <w:multiLevelType w:val="hybridMultilevel"/>
    <w:lvl w:ilvl="0">
      <w:lvlJc w:val="left"/>
      <w:lvlText w:val="•"/>
      <w:numFmt w:val="bullet"/>
      <w:start w:val="1"/>
    </w:lvl>
  </w:abstractNum>
  <w:abstractNum w:abstractNumId="135">
    <w:nsid w:val="36B2ACBC"/>
    <w:multiLevelType w:val="hybridMultilevel"/>
    <w:lvl w:ilvl="0">
      <w:lvlJc w:val="left"/>
      <w:lvlText w:val="•"/>
      <w:numFmt w:val="bullet"/>
      <w:start w:val="1"/>
    </w:lvl>
  </w:abstractNum>
  <w:abstractNum w:abstractNumId="136">
    <w:nsid w:val="779D8544"/>
    <w:multiLevelType w:val="hybridMultilevel"/>
    <w:lvl w:ilvl="0">
      <w:lvlJc w:val="left"/>
      <w:lvlText w:val="•"/>
      <w:numFmt w:val="bullet"/>
      <w:start w:val="1"/>
    </w:lvl>
  </w:abstractNum>
  <w:abstractNum w:abstractNumId="137">
    <w:nsid w:val="4AB26E78"/>
    <w:multiLevelType w:val="hybridMultilevel"/>
    <w:lvl w:ilvl="0">
      <w:lvlJc w:val="left"/>
      <w:lvlText w:val="•"/>
      <w:numFmt w:val="bullet"/>
      <w:start w:val="1"/>
    </w:lvl>
  </w:abstractNum>
  <w:abstractNum w:abstractNumId="138">
    <w:nsid w:val="21FAA2FA"/>
    <w:multiLevelType w:val="hybridMultilevel"/>
    <w:lvl w:ilvl="0">
      <w:lvlJc w:val="left"/>
      <w:lvlText w:val="•"/>
      <w:numFmt w:val="bullet"/>
      <w:start w:val="1"/>
    </w:lvl>
  </w:abstractNum>
  <w:abstractNum w:abstractNumId="139">
    <w:nsid w:val="5451CF49"/>
    <w:multiLevelType w:val="hybridMultilevel"/>
    <w:lvl w:ilvl="0">
      <w:lvlJc w:val="left"/>
      <w:lvlText w:val="1"/>
      <w:numFmt w:val="bullet"/>
      <w:start w:val="1"/>
    </w:lvl>
  </w:abstractNum>
  <w:abstractNum w:abstractNumId="140">
    <w:nsid w:val="6181EF69"/>
    <w:multiLevelType w:val="hybridMultilevel"/>
    <w:lvl w:ilvl="0">
      <w:lvlJc w:val="left"/>
      <w:lvlText w:val="•"/>
      <w:numFmt w:val="bullet"/>
      <w:start w:val="1"/>
    </w:lvl>
  </w:abstractNum>
  <w:abstractNum w:abstractNumId="141">
    <w:nsid w:val="3E6400E6"/>
    <w:multiLevelType w:val="hybridMultilevel"/>
    <w:lvl w:ilvl="0">
      <w:lvlJc w:val="left"/>
      <w:lvlText w:val="•"/>
      <w:numFmt w:val="bullet"/>
      <w:start w:val="1"/>
    </w:lvl>
  </w:abstractNum>
  <w:abstractNum w:abstractNumId="142">
    <w:nsid w:val="14217E23"/>
    <w:multiLevelType w:val="hybridMultilevel"/>
    <w:lvl w:ilvl="0">
      <w:lvlJc w:val="left"/>
      <w:lvlText w:val="1"/>
      <w:numFmt w:val="bullet"/>
      <w:start w:val="1"/>
    </w:lvl>
  </w:abstractNum>
  <w:abstractNum w:abstractNumId="143">
    <w:nsid w:val="710757D0"/>
    <w:multiLevelType w:val="hybridMultilevel"/>
    <w:lvl w:ilvl="0">
      <w:lvlJc w:val="left"/>
      <w:lvlText w:val="•"/>
      <w:numFmt w:val="bullet"/>
      <w:start w:val="1"/>
    </w:lvl>
  </w:abstractNum>
  <w:abstractNum w:abstractNumId="144">
    <w:nsid w:val="5015CD1A"/>
    <w:multiLevelType w:val="hybridMultilevel"/>
    <w:lvl w:ilvl="0">
      <w:lvlJc w:val="left"/>
      <w:lvlText w:val="•"/>
      <w:numFmt w:val="bullet"/>
      <w:start w:val="1"/>
    </w:lvl>
  </w:abstractNum>
  <w:abstractNum w:abstractNumId="145">
    <w:nsid w:val="424479DA"/>
    <w:multiLevelType w:val="hybridMultilevel"/>
    <w:lvl w:ilvl="0">
      <w:lvlJc w:val="left"/>
      <w:lvlText w:val="1"/>
      <w:numFmt w:val="bullet"/>
      <w:start w:val="1"/>
    </w:lvl>
  </w:abstractNum>
  <w:abstractNum w:abstractNumId="146">
    <w:nsid w:val="1A9A9E69"/>
    <w:multiLevelType w:val="hybridMultilevel"/>
    <w:lvl w:ilvl="0">
      <w:lvlJc w:val="left"/>
      <w:lvlText w:val="2"/>
      <w:numFmt w:val="bullet"/>
      <w:start w:val="1"/>
    </w:lvl>
  </w:abstractNum>
  <w:abstractNum w:abstractNumId="147">
    <w:nsid w:val="475E256A"/>
    <w:multiLevelType w:val="hybridMultilevel"/>
    <w:lvl w:ilvl="0">
      <w:lvlJc w:val="left"/>
      <w:lvlText w:val="•"/>
      <w:numFmt w:val="bullet"/>
      <w:start w:val="1"/>
    </w:lvl>
  </w:abstractNum>
  <w:abstractNum w:abstractNumId="148">
    <w:nsid w:val="368DB37E"/>
    <w:multiLevelType w:val="hybridMultilevel"/>
    <w:lvl w:ilvl="0">
      <w:lvlJc w:val="left"/>
      <w:lvlText w:val="•"/>
      <w:numFmt w:val="bullet"/>
      <w:start w:val="1"/>
    </w:lvl>
  </w:abstractNum>
  <w:abstractNum w:abstractNumId="149">
    <w:nsid w:val="6A3B714C"/>
    <w:multiLevelType w:val="hybridMultilevel"/>
    <w:lvl w:ilvl="0">
      <w:lvlJc w:val="left"/>
      <w:lvlText w:val="1"/>
      <w:numFmt w:val="bullet"/>
      <w:start w:val="1"/>
    </w:lvl>
  </w:abstractNum>
  <w:abstractNum w:abstractNumId="150">
    <w:nsid w:val="327B517E"/>
    <w:multiLevelType w:val="hybridMultilevel"/>
    <w:lvl w:ilvl="0">
      <w:lvlJc w:val="left"/>
      <w:lvlText w:val="•"/>
      <w:numFmt w:val="bullet"/>
      <w:start w:val="1"/>
    </w:lvl>
  </w:abstractNum>
  <w:abstractNum w:abstractNumId="151">
    <w:nsid w:val="1F461B51"/>
    <w:multiLevelType w:val="hybridMultilevel"/>
    <w:lvl w:ilvl="0">
      <w:lvlJc w:val="left"/>
      <w:lvlText w:val="•"/>
      <w:numFmt w:val="bullet"/>
      <w:start w:val="1"/>
    </w:lvl>
  </w:abstractNum>
  <w:abstractNum w:abstractNumId="152">
    <w:nsid w:val="29BACF25"/>
    <w:multiLevelType w:val="hybridMultilevel"/>
    <w:lvl w:ilvl="0">
      <w:lvlJc w:val="left"/>
      <w:lvlText w:val="1"/>
      <w:numFmt w:val="bullet"/>
      <w:start w:val="1"/>
    </w:lvl>
  </w:abstractNum>
  <w:abstractNum w:abstractNumId="153">
    <w:nsid w:val="5D5BABB3"/>
    <w:multiLevelType w:val="hybridMultilevel"/>
    <w:lvl w:ilvl="0">
      <w:lvlJc w:val="left"/>
      <w:lvlText w:val="2"/>
      <w:numFmt w:val="bullet"/>
      <w:start w:val="1"/>
    </w:lvl>
  </w:abstractNum>
  <w:abstractNum w:abstractNumId="154">
    <w:nsid w:val="51BF6B48"/>
    <w:multiLevelType w:val="hybridMultilevel"/>
    <w:lvl w:ilvl="0">
      <w:lvlJc w:val="left"/>
      <w:lvlText w:val="•"/>
      <w:numFmt w:val="bullet"/>
      <w:start w:val="1"/>
    </w:lvl>
  </w:abstractNum>
  <w:abstractNum w:abstractNumId="155">
    <w:nsid w:val="7E0F6384"/>
    <w:multiLevelType w:val="hybridMultilevel"/>
    <w:lvl w:ilvl="0">
      <w:lvlJc w:val="left"/>
      <w:lvlText w:val="•"/>
      <w:numFmt w:val="bullet"/>
      <w:start w:val="1"/>
    </w:lvl>
  </w:abstractNum>
  <w:abstractNum w:abstractNumId="156">
    <w:nsid w:val="2B4B8B53"/>
    <w:multiLevelType w:val="hybridMultilevel"/>
    <w:lvl w:ilvl="0">
      <w:lvlJc w:val="left"/>
      <w:lvlText w:val="•"/>
      <w:numFmt w:val="bullet"/>
      <w:start w:val="1"/>
    </w:lvl>
  </w:abstractNum>
  <w:abstractNum w:abstractNumId="157">
    <w:nsid w:val="72E3413A"/>
    <w:multiLevelType w:val="hybridMultilevel"/>
    <w:lvl w:ilvl="0">
      <w:lvlJc w:val="left"/>
      <w:lvlText w:val="•"/>
      <w:numFmt w:val="bullet"/>
      <w:start w:val="1"/>
    </w:lvl>
  </w:abstractNum>
  <w:abstractNum w:abstractNumId="158">
    <w:nsid w:val="116AE494"/>
    <w:multiLevelType w:val="hybridMultilevel"/>
    <w:lvl w:ilvl="0">
      <w:lvlJc w:val="left"/>
      <w:lvlText w:val="•"/>
      <w:numFmt w:val="bullet"/>
      <w:start w:val="1"/>
    </w:lvl>
  </w:abstractNum>
  <w:abstractNum w:abstractNumId="159">
    <w:nsid w:val="3494B2FB"/>
    <w:multiLevelType w:val="hybridMultilevel"/>
    <w:lvl w:ilvl="0">
      <w:lvlJc w:val="left"/>
      <w:lvlText w:val="•"/>
      <w:numFmt w:val="bullet"/>
      <w:start w:val="1"/>
    </w:lvl>
  </w:abstractNum>
  <w:abstractNum w:abstractNumId="160">
    <w:nsid w:val="B13A31"/>
    <w:multiLevelType w:val="hybridMultilevel"/>
    <w:lvl w:ilvl="0">
      <w:lvlJc w:val="left"/>
      <w:lvlText w:val="•"/>
      <w:numFmt w:val="bullet"/>
      <w:start w:val="1"/>
    </w:lvl>
  </w:abstractNum>
  <w:abstractNum w:abstractNumId="161">
    <w:nsid w:val="64429599"/>
    <w:multiLevelType w:val="hybridMultilevel"/>
    <w:lvl w:ilvl="0">
      <w:lvlJc w:val="left"/>
      <w:lvlText w:val="•"/>
      <w:numFmt w:val="bullet"/>
      <w:start w:val="1"/>
    </w:lvl>
  </w:abstractNum>
  <w:abstractNum w:abstractNumId="162">
    <w:nsid w:val="631F1690"/>
    <w:multiLevelType w:val="hybridMultilevel"/>
    <w:lvl w:ilvl="0">
      <w:lvlJc w:val="left"/>
      <w:lvlText w:val="•"/>
      <w:numFmt w:val="bullet"/>
      <w:start w:val="1"/>
    </w:lvl>
  </w:abstractNum>
  <w:abstractNum w:abstractNumId="163">
    <w:nsid w:val="25973E32"/>
    <w:multiLevelType w:val="hybridMultilevel"/>
    <w:lvl w:ilvl="0">
      <w:lvlJc w:val="left"/>
      <w:lvlText w:val="•"/>
      <w:numFmt w:val="bullet"/>
      <w:start w:val="1"/>
    </w:lvl>
  </w:abstractNum>
  <w:abstractNum w:abstractNumId="164">
    <w:nsid w:val="EAD6F57"/>
    <w:multiLevelType w:val="hybridMultilevel"/>
    <w:lvl w:ilvl="0">
      <w:lvlJc w:val="left"/>
      <w:lvlText w:val="•"/>
      <w:numFmt w:val="bullet"/>
      <w:start w:val="1"/>
    </w:lvl>
  </w:abstractNum>
  <w:abstractNum w:abstractNumId="165">
    <w:nsid w:val="6EC9D844"/>
    <w:multiLevelType w:val="hybridMultilevel"/>
    <w:lvl w:ilvl="0">
      <w:lvlJc w:val="left"/>
      <w:lvlText w:val="•"/>
      <w:numFmt w:val="bullet"/>
      <w:start w:val="1"/>
    </w:lvl>
  </w:abstractNum>
  <w:abstractNum w:abstractNumId="166">
    <w:nsid w:val="5C49EAEE"/>
    <w:multiLevelType w:val="hybridMultilevel"/>
    <w:lvl w:ilvl="0">
      <w:lvlJc w:val="left"/>
      <w:lvlText w:val="•"/>
      <w:numFmt w:val="bullet"/>
      <w:start w:val="1"/>
    </w:lvl>
  </w:abstractNum>
  <w:abstractNum w:abstractNumId="167">
    <w:nsid w:val="64AF49B"/>
    <w:multiLevelType w:val="hybridMultilevel"/>
    <w:lvl w:ilvl="0">
      <w:lvlJc w:val="left"/>
      <w:lvlText w:val="•"/>
      <w:numFmt w:val="bullet"/>
      <w:start w:val="1"/>
    </w:lvl>
  </w:abstractNum>
  <w:abstractNum w:abstractNumId="168">
    <w:nsid w:val="397C46BC"/>
    <w:multiLevelType w:val="hybridMultilevel"/>
    <w:lvl w:ilvl="0">
      <w:lvlJc w:val="left"/>
      <w:lvlText w:val="•"/>
      <w:numFmt w:val="bullet"/>
      <w:start w:val="1"/>
    </w:lvl>
  </w:abstractNum>
  <w:abstractNum w:abstractNumId="169">
    <w:nsid w:val="7E448DE9"/>
    <w:multiLevelType w:val="hybridMultilevel"/>
    <w:lvl w:ilvl="0">
      <w:lvlJc w:val="left"/>
      <w:lvlText w:val="•"/>
      <w:numFmt w:val="bullet"/>
      <w:start w:val="1"/>
    </w:lvl>
  </w:abstractNum>
  <w:abstractNum w:abstractNumId="170">
    <w:nsid w:val="5A9CC3E5"/>
    <w:multiLevelType w:val="hybridMultilevel"/>
    <w:lvl w:ilvl="0">
      <w:lvlJc w:val="left"/>
      <w:lvlText w:val="•"/>
      <w:numFmt w:val="bullet"/>
      <w:start w:val="1"/>
    </w:lvl>
  </w:abstractNum>
  <w:abstractNum w:abstractNumId="171">
    <w:nsid w:val="1AFE3625"/>
    <w:multiLevelType w:val="hybridMultilevel"/>
    <w:lvl w:ilvl="0">
      <w:lvlJc w:val="left"/>
      <w:lvlText w:val="•"/>
      <w:numFmt w:val="bullet"/>
      <w:start w:val="1"/>
    </w:lvl>
    <w:lvl w:ilvl="1">
      <w:lvlJc w:val="left"/>
      <w:lvlText w:val="•"/>
      <w:numFmt w:val="bullet"/>
      <w:start w:val="1"/>
    </w:lvl>
  </w:abstractNum>
  <w:abstractNum w:abstractNumId="172">
    <w:nsid w:val="3CA88ECF"/>
    <w:multiLevelType w:val="hybridMultilevel"/>
    <w:lvl w:ilvl="0">
      <w:lvlJc w:val="left"/>
      <w:lvlText w:val="•"/>
      <w:numFmt w:val="bullet"/>
      <w:start w:val="1"/>
    </w:lvl>
  </w:abstractNum>
  <w:abstractNum w:abstractNumId="173">
    <w:nsid w:val="6EBE4208"/>
    <w:multiLevelType w:val="hybridMultilevel"/>
    <w:lvl w:ilvl="0">
      <w:lvlJc w:val="left"/>
      <w:lvlText w:val="•"/>
      <w:numFmt w:val="bullet"/>
      <w:start w:val="1"/>
    </w:lvl>
  </w:abstractNum>
  <w:abstractNum w:abstractNumId="174">
    <w:nsid w:val="C058DF5"/>
    <w:multiLevelType w:val="hybridMultilevel"/>
    <w:lvl w:ilvl="0">
      <w:lvlJc w:val="left"/>
      <w:lvlText w:val="•"/>
      <w:numFmt w:val="bullet"/>
      <w:start w:val="1"/>
    </w:lvl>
  </w:abstractNum>
  <w:abstractNum w:abstractNumId="175">
    <w:nsid w:val="CBE5BE9"/>
    <w:multiLevelType w:val="hybridMultilevel"/>
    <w:lvl w:ilvl="0">
      <w:lvlJc w:val="left"/>
      <w:lvlText w:val="•"/>
      <w:numFmt w:val="bullet"/>
      <w:start w:val="1"/>
    </w:lvl>
  </w:abstractNum>
  <w:abstractNum w:abstractNumId="176">
    <w:nsid w:val="3102BBE2"/>
    <w:multiLevelType w:val="hybridMultilevel"/>
    <w:lvl w:ilvl="0">
      <w:lvlJc w:val="left"/>
      <w:lvlText w:val="•"/>
      <w:numFmt w:val="bullet"/>
      <w:start w:val="1"/>
    </w:lvl>
  </w:abstractNum>
  <w:abstractNum w:abstractNumId="177">
    <w:nsid w:val="26A02C5E"/>
    <w:multiLevelType w:val="hybridMultilevel"/>
    <w:lvl w:ilvl="0">
      <w:lvlJc w:val="left"/>
      <w:lvlText w:val="•"/>
      <w:numFmt w:val="bullet"/>
      <w:start w:val="1"/>
    </w:lvl>
  </w:abstractNum>
  <w:abstractNum w:abstractNumId="178">
    <w:nsid w:val="541C8153"/>
    <w:multiLevelType w:val="hybridMultilevel"/>
    <w:lvl w:ilvl="0">
      <w:lvlJc w:val="left"/>
      <w:lvlText w:val="•"/>
      <w:numFmt w:val="bullet"/>
      <w:start w:val="1"/>
    </w:lvl>
  </w:abstractNum>
  <w:abstractNum w:abstractNumId="179">
    <w:nsid w:val="67906F60"/>
    <w:multiLevelType w:val="hybridMultilevel"/>
    <w:lvl w:ilvl="0">
      <w:lvlJc w:val="left"/>
      <w:lvlText w:val="%1."/>
      <w:numFmt w:val="upperLetter"/>
      <w:start w:val="9"/>
    </w:lvl>
    <w:lvl w:ilvl="1">
      <w:lvlJc w:val="left"/>
      <w:lvlText w:val="%2."/>
      <w:numFmt w:val="upperLetter"/>
      <w:start w:val="1"/>
    </w:lvl>
  </w:abstractNum>
  <w:abstractNum w:abstractNumId="180">
    <w:nsid w:val="10DB9DAA"/>
    <w:multiLevelType w:val="hybridMultilevel"/>
    <w:lvl w:ilvl="0">
      <w:lvlJc w:val="left"/>
      <w:lvlText w:val="%1."/>
      <w:numFmt w:val="upperLetter"/>
      <w:start w:val="35"/>
    </w:lvl>
    <w:lvl w:ilvl="1">
      <w:lvlJc w:val="left"/>
      <w:lvlText w:val="%2."/>
      <w:numFmt w:val="upperLetter"/>
      <w:start w:val="1"/>
    </w:lvl>
  </w:abstractNum>
  <w:abstractNum w:abstractNumId="181">
    <w:nsid w:val="697D2D2"/>
    <w:multiLevelType w:val="hybridMultilevel"/>
    <w:lvl w:ilvl="0">
      <w:lvlJc w:val="left"/>
      <w:lvlText w:val="%1."/>
      <w:numFmt w:val="upperLetter"/>
      <w:start w:val="61"/>
    </w:lvl>
  </w:abstractNum>
  <w:abstractNum w:abstractNumId="182">
    <w:nsid w:val="6D68AB2"/>
    <w:multiLevelType w:val="hybridMultilevel"/>
    <w:lvl w:ilvl="0">
      <w:lvlJc w:val="left"/>
      <w:lvlText w:val="%1."/>
      <w:numFmt w:val="upperLetter"/>
      <w:start w:val="1"/>
    </w:lvl>
  </w:abstractNum>
  <w:abstractNum w:abstractNumId="183">
    <w:nsid w:val="3A966CD0"/>
    <w:multiLevelType w:val="hybridMultilevel"/>
    <w:lvl w:ilvl="0">
      <w:lvlJc w:val="left"/>
      <w:lvlText w:val="%1)"/>
      <w:numFmt w:val="lowerRoman"/>
      <w:start w:val="1"/>
    </w:lvl>
  </w:abstractNum>
  <w:abstractNum w:abstractNumId="184">
    <w:nsid w:val="63F37E85"/>
    <w:multiLevelType w:val="hybridMultilevel"/>
    <w:lvl w:ilvl="0">
      <w:lvlJc w:val="left"/>
      <w:lvlText w:val="%1."/>
      <w:numFmt w:val="upperLetter"/>
      <w:start w:val="2"/>
    </w:lvl>
  </w:abstractNum>
  <w:abstractNum w:abstractNumId="185">
    <w:nsid w:val="5895F5FA"/>
    <w:multiLevelType w:val="hybridMultilevel"/>
    <w:lvl w:ilvl="0">
      <w:lvlJc w:val="left"/>
      <w:lvlText w:val="%1)"/>
      <w:numFmt w:val="lowerRoman"/>
      <w:start w:val="1"/>
    </w:lvl>
    <w:lvl w:ilvl="1">
      <w:lvlJc w:val="left"/>
      <w:lvlText w:val="%2)"/>
      <w:numFmt w:val="lowerLetter"/>
      <w:start w:val="1"/>
    </w:lvl>
  </w:abstractNum>
  <w:abstractNum w:abstractNumId="186">
    <w:nsid w:val="38A5D054"/>
    <w:multiLevelType w:val="hybridMultilevel"/>
    <w:lvl w:ilvl="0">
      <w:lvlJc w:val="left"/>
      <w:lvlText w:val="1"/>
      <w:numFmt w:val="bullet"/>
      <w:start w:val="1"/>
    </w:lvl>
  </w:abstractNum>
  <w:abstractNum w:abstractNumId="187">
    <w:nsid w:val="F3F09D8"/>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3"/>
    </w:lvl>
  </w:abstractNum>
  <w:abstractNum w:abstractNumId="188">
    <w:nsid w:val="4B793735"/>
    <w:multiLevelType w:val="hybridMultilevel"/>
    <w:lvl w:ilvl="0">
      <w:lvlJc w:val="left"/>
      <w:lvlText w:val="%1"/>
      <w:numFmt w:val="upperLetter"/>
      <w:start w:val="1"/>
    </w:lvl>
    <w:lvl w:ilvl="1">
      <w:lvlJc w:val="left"/>
      <w:lvlText w:val="%2)"/>
      <w:numFmt w:val="lowerRoman"/>
      <w:start w:val="5"/>
    </w:lvl>
    <w:lvl w:ilvl="2">
      <w:lvlJc w:val="left"/>
      <w:lvlText w:val="%3)"/>
      <w:numFmt w:val="lowerLetter"/>
      <w:start w:val="1"/>
    </w:lvl>
  </w:abstractNum>
  <w:abstractNum w:abstractNumId="189">
    <w:nsid w:val="4A10B4E8"/>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190">
    <w:nsid w:val="43D3BCD4"/>
    <w:multiLevelType w:val="hybridMultilevel"/>
    <w:lvl w:ilvl="0">
      <w:lvlJc w:val="left"/>
      <w:lvlText w:val="%1)"/>
      <w:numFmt w:val="lowerRoman"/>
      <w:start w:val="1"/>
    </w:lvl>
  </w:abstractNum>
  <w:abstractNum w:abstractNumId="191">
    <w:nsid w:val="4C2A7166"/>
    <w:multiLevelType w:val="hybridMultilevel"/>
    <w:lvl w:ilvl="0">
      <w:lvlJc w:val="left"/>
      <w:lvlText w:val="%1."/>
      <w:numFmt w:val="upperLetter"/>
      <w:start w:val="4"/>
    </w:lvl>
  </w:abstractNum>
  <w:abstractNum w:abstractNumId="192">
    <w:nsid w:val="2E534A82"/>
    <w:multiLevelType w:val="hybridMultilevel"/>
    <w:lvl w:ilvl="0">
      <w:lvlJc w:val="left"/>
      <w:lvlText w:val="%1)"/>
      <w:numFmt w:val="lowerRoman"/>
      <w:start w:val="1"/>
    </w:lvl>
  </w:abstractNum>
  <w:abstractNum w:abstractNumId="193">
    <w:nsid w:val="26F2D364"/>
    <w:multiLevelType w:val="hybridMultilevel"/>
    <w:lvl w:ilvl="0">
      <w:lvlJc w:val="left"/>
      <w:lvlText w:val="2"/>
      <w:numFmt w:val="bullet"/>
      <w:start w:val="1"/>
    </w:lvl>
  </w:abstractNum>
  <w:abstractNum w:abstractNumId="194">
    <w:nsid w:val="71C1AF98"/>
    <w:multiLevelType w:val="hybridMultilevel"/>
    <w:lvl w:ilvl="0">
      <w:lvlJc w:val="left"/>
      <w:lvlText w:val="%1)"/>
      <w:numFmt w:val="lowerRoman"/>
      <w:start w:val="11"/>
    </w:lvl>
  </w:abstractNum>
  <w:abstractNum w:abstractNumId="195">
    <w:nsid w:val="3D00B9D9"/>
    <w:multiLevelType w:val="hybridMultilevel"/>
    <w:lvl w:ilvl="0">
      <w:lvlJc w:val="left"/>
      <w:lvlText w:val="%1."/>
      <w:numFmt w:val="upperLetter"/>
      <w:start w:val="5"/>
    </w:lvl>
  </w:abstractNum>
  <w:abstractNum w:abstractNumId="196">
    <w:nsid w:val="15BCABA8"/>
    <w:multiLevelType w:val="hybridMultilevel"/>
    <w:lvl w:ilvl="0">
      <w:lvlJc w:val="left"/>
      <w:lvlText w:val="%1"/>
      <w:numFmt w:val="upperLetter"/>
      <w:start w:val="1"/>
    </w:lvl>
    <w:lvl w:ilvl="1">
      <w:lvlJc w:val="left"/>
      <w:lvlText w:val="%2)"/>
      <w:numFmt w:val="lowerRoman"/>
      <w:start w:val="1"/>
    </w:lvl>
  </w:abstractNum>
  <w:abstractNum w:abstractNumId="197">
    <w:nsid w:val="4E0B9A87"/>
    <w:multiLevelType w:val="hybridMultilevel"/>
    <w:lvl w:ilvl="0">
      <w:lvlJc w:val="left"/>
      <w:lvlText w:val="%1"/>
      <w:numFmt w:val="upperLetter"/>
      <w:start w:val="1"/>
    </w:lvl>
    <w:lvl w:ilvl="1">
      <w:lvlJc w:val="left"/>
      <w:lvlText w:val="%2)"/>
      <w:numFmt w:val="lowerRoman"/>
      <w:start w:val="1"/>
    </w:lvl>
  </w:abstractNum>
  <w:abstractNum w:abstractNumId="198">
    <w:nsid w:val="434BAE75"/>
    <w:multiLevelType w:val="hybridMultilevel"/>
    <w:lvl w:ilvl="0">
      <w:lvlJc w:val="left"/>
      <w:lvlText w:val="%1"/>
      <w:numFmt w:val="upperLetter"/>
      <w:start w:val="1"/>
    </w:lvl>
    <w:lvl w:ilvl="1">
      <w:lvlJc w:val="left"/>
      <w:lvlText w:val="%2)"/>
      <w:numFmt w:val="lowerRoman"/>
      <w:start w:val="3"/>
    </w:lvl>
  </w:abstractNum>
  <w:abstractNum w:abstractNumId="199">
    <w:nsid w:val="4F38F265"/>
    <w:multiLevelType w:val="hybridMultilevel"/>
    <w:lvl w:ilvl="0">
      <w:lvlJc w:val="left"/>
      <w:lvlText w:val="%1."/>
      <w:numFmt w:val="upperLetter"/>
      <w:start w:val="7"/>
    </w:lvl>
    <w:lvl w:ilvl="1">
      <w:lvlJc w:val="left"/>
      <w:lvlText w:val="%2"/>
      <w:numFmt w:val="lowerRoman"/>
      <w:start w:val="1"/>
    </w:lvl>
  </w:abstractNum>
  <w:abstractNum w:abstractNumId="200">
    <w:nsid w:val="4C502870"/>
    <w:multiLevelType w:val="hybridMultilevel"/>
    <w:lvl w:ilvl="0">
      <w:lvlJc w:val="left"/>
      <w:lvlText w:val="%1)"/>
      <w:numFmt w:val="lowerRoman"/>
      <w:start w:val="1"/>
    </w:lvl>
  </w:abstractNum>
  <w:abstractNum w:abstractNumId="201">
    <w:nsid w:val="1DE8725A"/>
    <w:multiLevelType w:val="hybridMultilevel"/>
    <w:lvl w:ilvl="0">
      <w:lvlJc w:val="left"/>
      <w:lvlText w:val="%1)"/>
      <w:numFmt w:val="lowerRoman"/>
      <w:start w:val="4"/>
    </w:lvl>
  </w:abstractNum>
  <w:abstractNum w:abstractNumId="202">
    <w:nsid w:val="6A37288A"/>
    <w:multiLevelType w:val="hybridMultilevel"/>
    <w:lvl w:ilvl="0">
      <w:lvlJc w:val="left"/>
      <w:lvlText w:val="%1."/>
      <w:numFmt w:val="upperLetter"/>
      <w:start w:val="1"/>
    </w:lvl>
    <w:lvl w:ilvl="1">
      <w:lvlJc w:val="left"/>
      <w:lvlText w:val="%2)"/>
      <w:numFmt w:val="lowerRoman"/>
      <w:start w:val="1"/>
    </w:lvl>
  </w:abstractNum>
  <w:abstractNum w:abstractNumId="203">
    <w:nsid w:val="8F8B73F"/>
    <w:multiLevelType w:val="hybridMultilevel"/>
    <w:lvl w:ilvl="0">
      <w:lvlJc w:val="left"/>
      <w:lvlText w:val="•"/>
      <w:numFmt w:val="bullet"/>
      <w:start w:val="1"/>
    </w:lvl>
  </w:abstractNum>
  <w:abstractNum w:abstractNumId="204">
    <w:nsid w:val="CA6B462"/>
    <w:multiLevelType w:val="hybridMultilevel"/>
    <w:lvl w:ilvl="0">
      <w:lvlJc w:val="left"/>
      <w:lvlText w:val="•"/>
      <w:numFmt w:val="bullet"/>
      <w:start w:val="1"/>
    </w:lvl>
    <w:lvl w:ilvl="1">
      <w:lvlJc w:val="left"/>
      <w:lvlText w:val="▪"/>
      <w:numFmt w:val="bullet"/>
      <w:start w:val="1"/>
    </w:lvl>
  </w:abstractNum>
  <w:abstractNum w:abstractNumId="205">
    <w:nsid w:val="763CB680"/>
    <w:multiLevelType w:val="hybridMultilevel"/>
    <w:lvl w:ilvl="0">
      <w:lvlJc w:val="left"/>
      <w:lvlText w:val="•"/>
      <w:numFmt w:val="bullet"/>
      <w:start w:val="1"/>
    </w:lvl>
  </w:abstractNum>
  <w:abstractNum w:abstractNumId="206">
    <w:nsid w:val="15B71329"/>
    <w:multiLevelType w:val="hybridMultilevel"/>
    <w:lvl w:ilvl="0">
      <w:lvlJc w:val="left"/>
      <w:lvlText w:val="1"/>
      <w:numFmt w:val="bullet"/>
      <w:start w:val="1"/>
    </w:lvl>
  </w:abstractNum>
  <w:abstractNum w:abstractNumId="207">
    <w:nsid w:val="3DA97044"/>
    <w:multiLevelType w:val="hybridMultilevel"/>
    <w:lvl w:ilvl="0">
      <w:lvlJc w:val="left"/>
      <w:lvlText w:val="2"/>
      <w:numFmt w:val="bullet"/>
      <w:start w:val="1"/>
    </w:lvl>
  </w:abstractNum>
  <w:abstractNum w:abstractNumId="208">
    <w:nsid w:val="1CDCE2DE"/>
    <w:multiLevelType w:val="hybridMultilevel"/>
    <w:lvl w:ilvl="0">
      <w:lvlJc w:val="left"/>
      <w:lvlText w:val="3"/>
      <w:numFmt w:val="bullet"/>
      <w:start w:val="1"/>
    </w:lvl>
  </w:abstractNum>
  <w:abstractNum w:abstractNumId="209">
    <w:nsid w:val="69D3947C"/>
    <w:multiLevelType w:val="hybridMultilevel"/>
    <w:lvl w:ilvl="0">
      <w:lvlJc w:val="left"/>
      <w:lvlText w:val="4"/>
      <w:numFmt w:val="bullet"/>
      <w:start w:val="1"/>
    </w:lvl>
  </w:abstractNum>
  <w:abstractNum w:abstractNumId="210">
    <w:nsid w:val="2539DFA5"/>
    <w:multiLevelType w:val="hybridMultilevel"/>
    <w:lvl w:ilvl="0">
      <w:lvlJc w:val="left"/>
      <w:lvlText w:val="•"/>
      <w:numFmt w:val="bullet"/>
      <w:start w:val="1"/>
    </w:lvl>
  </w:abstractNum>
  <w:abstractNum w:abstractNumId="211">
    <w:nsid w:val="2DB88089"/>
    <w:multiLevelType w:val="hybridMultilevel"/>
    <w:lvl w:ilvl="0">
      <w:lvlJc w:val="left"/>
      <w:lvlText w:val="•"/>
      <w:numFmt w:val="bullet"/>
      <w:start w:val="1"/>
    </w:lvl>
  </w:abstractNum>
  <w:abstractNum w:abstractNumId="212">
    <w:nsid w:val="706B674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2026-03-20T10:39:07Z</dcterms:created>
  <dcterms:modified xsi:type="dcterms:W3CDTF">2026-03-20T10:39:07Z</dcterms:modified>
</cp:coreProperties>
</file>